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1.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9.xml" ContentType="application/vnd.openxmlformats-officedocument.themeOverride+xml"/>
  <Override PartName="/word/drawings/drawing2.xml" ContentType="application/vnd.openxmlformats-officedocument.drawingml.chartshape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0.xml" ContentType="application/vnd.openxmlformats-officedocument.themeOverride+xml"/>
  <Override PartName="/word/drawings/drawing3.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1.xml" ContentType="application/vnd.openxmlformats-officedocument.themeOverride+xml"/>
  <Override PartName="/word/drawings/drawing4.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5.xml" ContentType="application/vnd.openxmlformats-officedocument.drawingml.chartshapes+xml"/>
  <Override PartName="/word/charts/chart16.xml" ContentType="application/vnd.openxmlformats-officedocument.drawingml.chart+xml"/>
  <Override PartName="/word/theme/themeOverride12.xml" ContentType="application/vnd.openxmlformats-officedocument.themeOverride+xml"/>
  <Override PartName="/word/drawings/drawing6.xml" ContentType="application/vnd.openxmlformats-officedocument.drawingml.chartshapes+xml"/>
  <Override PartName="/word/charts/chart17.xml" ContentType="application/vnd.openxmlformats-officedocument.drawingml.chart+xml"/>
  <Override PartName="/word/theme/themeOverride13.xml" ContentType="application/vnd.openxmlformats-officedocument.themeOverride+xml"/>
  <Override PartName="/word/drawings/drawing7.xml" ContentType="application/vnd.openxmlformats-officedocument.drawingml.chartshapes+xml"/>
  <Override PartName="/word/charts/chart18.xml" ContentType="application/vnd.openxmlformats-officedocument.drawingml.chart+xml"/>
  <Override PartName="/word/theme/themeOverride14.xml" ContentType="application/vnd.openxmlformats-officedocument.themeOverride+xml"/>
  <Override PartName="/word/drawings/drawing8.xml" ContentType="application/vnd.openxmlformats-officedocument.drawingml.chartshapes+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5.xml" ContentType="application/vnd.openxmlformats-officedocument.themeOverride+xml"/>
  <Override PartName="/word/drawings/drawing9.xml" ContentType="application/vnd.openxmlformats-officedocument.drawingml.chartshapes+xml"/>
  <Override PartName="/word/charts/chart20.xml" ContentType="application/vnd.openxmlformats-officedocument.drawingml.chart+xml"/>
  <Override PartName="/word/theme/themeOverride16.xml" ContentType="application/vnd.openxmlformats-officedocument.themeOverride+xml"/>
  <Override PartName="/word/drawings/drawing10.xml" ContentType="application/vnd.openxmlformats-officedocument.drawingml.chartshapes+xml"/>
  <Override PartName="/word/charts/chart21.xml" ContentType="application/vnd.openxmlformats-officedocument.drawingml.chart+xml"/>
  <Override PartName="/word/theme/themeOverride17.xml" ContentType="application/vnd.openxmlformats-officedocument.themeOverride+xml"/>
  <Override PartName="/word/drawings/drawing11.xml" ContentType="application/vnd.openxmlformats-officedocument.drawingml.chartshapes+xml"/>
  <Override PartName="/word/charts/chart22.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8.xml" ContentType="application/vnd.openxmlformats-officedocument.themeOverride+xml"/>
  <Override PartName="/word/charts/chart23.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9.xml" ContentType="application/vnd.openxmlformats-officedocument.themeOverride+xml"/>
  <Override PartName="/word/charts/chart24.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0.xml" ContentType="application/vnd.openxmlformats-officedocument.themeOverride+xml"/>
  <Override PartName="/word/charts/chart25.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1.xml" ContentType="application/vnd.openxmlformats-officedocument.themeOverride+xml"/>
  <Override PartName="/word/charts/chart26.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2.xml" ContentType="application/vnd.openxmlformats-officedocument.themeOverride+xml"/>
  <Override PartName="/word/charts/chart27.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3.xml" ContentType="application/vnd.openxmlformats-officedocument.themeOverride+xml"/>
  <Override PartName="/word/charts/chart28.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4.xml" ContentType="application/vnd.openxmlformats-officedocument.themeOverride+xml"/>
  <Override PartName="/word/charts/chart29.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5.xml" ContentType="application/vnd.openxmlformats-officedocument.themeOverride+xml"/>
  <Override PartName="/word/charts/chart30.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6.xml" ContentType="application/vnd.openxmlformats-officedocument.themeOverride+xml"/>
  <Override PartName="/word/drawings/drawing12.xml" ContentType="application/vnd.openxmlformats-officedocument.drawingml.chartshapes+xml"/>
  <Override PartName="/word/charts/chart31.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7.xml" ContentType="application/vnd.openxmlformats-officedocument.themeOverride+xml"/>
  <Override PartName="/word/charts/chart32.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8.xml" ContentType="application/vnd.openxmlformats-officedocument.themeOverride+xml"/>
  <Override PartName="/word/charts/chart33.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9.xml" ContentType="application/vnd.openxmlformats-officedocument.themeOverride+xml"/>
  <Override PartName="/word/charts/chart34.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30.xml" ContentType="application/vnd.openxmlformats-officedocument.themeOverride+xml"/>
  <Override PartName="/word/charts/chart35.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31.xml" ContentType="application/vnd.openxmlformats-officedocument.themeOverride+xml"/>
  <Override PartName="/word/charts/chart36.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2.xml" ContentType="application/vnd.openxmlformats-officedocument.themeOverride+xml"/>
  <Override PartName="/word/charts/chart37.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3.xml" ContentType="application/vnd.openxmlformats-officedocument.themeOverride+xml"/>
  <Override PartName="/word/charts/chart38.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34.xml" ContentType="application/vnd.openxmlformats-officedocument.themeOverride+xml"/>
  <Override PartName="/word/charts/chart39.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5.xml" ContentType="application/vnd.openxmlformats-officedocument.themeOverride+xml"/>
  <Override PartName="/word/charts/chart40.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36.xml" ContentType="application/vnd.openxmlformats-officedocument.themeOverride+xml"/>
  <Override PartName="/word/charts/chart41.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7.xml" ContentType="application/vnd.openxmlformats-officedocument.themeOverride+xml"/>
  <Override PartName="/word/charts/chart42.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38.xml" ContentType="application/vnd.openxmlformats-officedocument.themeOverride+xml"/>
  <Override PartName="/word/charts/chart43.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39.xml" ContentType="application/vnd.openxmlformats-officedocument.themeOverride+xml"/>
  <Override PartName="/word/charts/chart44.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40.xml" ContentType="application/vnd.openxmlformats-officedocument.themeOverride+xml"/>
  <Override PartName="/word/footer9.xml" ContentType="application/vnd.openxmlformats-officedocument.wordprocessingml.footer+xml"/>
  <Override PartName="/word/header9.xml" ContentType="application/vnd.openxmlformats-officedocument.wordprocessingml.header+xml"/>
  <Override PartName="/word/charts/chart45.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41.xml" ContentType="application/vnd.openxmlformats-officedocument.themeOverride+xml"/>
  <Override PartName="/word/drawings/drawing13.xml" ContentType="application/vnd.openxmlformats-officedocument.drawingml.chartshapes+xml"/>
  <Override PartName="/word/charts/chart46.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42.xml" ContentType="application/vnd.openxmlformats-officedocument.themeOverride+xml"/>
  <Override PartName="/word/drawings/drawing14.xml" ContentType="application/vnd.openxmlformats-officedocument.drawingml.chartshapes+xml"/>
  <Override PartName="/word/charts/chart47.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43.xml" ContentType="application/vnd.openxmlformats-officedocument.themeOverride+xml"/>
  <Override PartName="/word/charts/chart48.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44.xml" ContentType="application/vnd.openxmlformats-officedocument.themeOverride+xml"/>
  <Override PartName="/word/drawings/drawing15.xml" ContentType="application/vnd.openxmlformats-officedocument.drawingml.chartshapes+xml"/>
  <Override PartName="/word/charts/chart49.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45.xml" ContentType="application/vnd.openxmlformats-officedocument.themeOverride+xml"/>
  <Override PartName="/word/charts/chart50.xml" ContentType="application/vnd.openxmlformats-officedocument.drawingml.chart+xml"/>
  <Override PartName="/word/theme/themeOverride46.xml" ContentType="application/vnd.openxmlformats-officedocument.themeOverride+xml"/>
  <Override PartName="/word/drawings/drawing16.xml" ContentType="application/vnd.openxmlformats-officedocument.drawingml.chartshapes+xml"/>
  <Override PartName="/word/charts/chart51.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47.xml" ContentType="application/vnd.openxmlformats-officedocument.themeOverride+xml"/>
  <Override PartName="/word/charts/chart52.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48.xml" ContentType="application/vnd.openxmlformats-officedocument.themeOverride+xml"/>
  <Override PartName="/word/charts/chart53.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49.xml" ContentType="application/vnd.openxmlformats-officedocument.themeOverride+xml"/>
  <Override PartName="/word/charts/chart54.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50.xml" ContentType="application/vnd.openxmlformats-officedocument.themeOverride+xml"/>
  <Override PartName="/word/charts/chart55.xml" ContentType="application/vnd.openxmlformats-officedocument.drawingml.chart+xml"/>
  <Override PartName="/word/charts/style49.xml" ContentType="application/vnd.ms-office.chartstyle+xml"/>
  <Override PartName="/word/charts/colors49.xml" ContentType="application/vnd.ms-office.chartcolorstyle+xml"/>
  <Override PartName="/word/theme/themeOverride51.xml" ContentType="application/vnd.openxmlformats-officedocument.themeOverride+xml"/>
  <Override PartName="/word/drawings/drawing17.xml" ContentType="application/vnd.openxmlformats-officedocument.drawingml.chartshapes+xml"/>
  <Override PartName="/word/charts/chart56.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52.xml" ContentType="application/vnd.openxmlformats-officedocument.themeOverride+xml"/>
  <Override PartName="/word/drawings/drawing18.xml" ContentType="application/vnd.openxmlformats-officedocument.drawingml.chartshapes+xml"/>
  <Override PartName="/word/charts/chart57.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53.xml" ContentType="application/vnd.openxmlformats-officedocument.themeOverride+xml"/>
  <Override PartName="/word/charts/chart58.xml" ContentType="application/vnd.openxmlformats-officedocument.drawingml.chart+xml"/>
  <Override PartName="/word/theme/themeOverride54.xml" ContentType="application/vnd.openxmlformats-officedocument.themeOverride+xml"/>
  <Override PartName="/word/charts/chart59.xml" ContentType="application/vnd.openxmlformats-officedocument.drawingml.chart+xml"/>
  <Override PartName="/word/charts/style52.xml" ContentType="application/vnd.ms-office.chartstyle+xml"/>
  <Override PartName="/word/charts/colors52.xml" ContentType="application/vnd.ms-office.chartcolorstyle+xml"/>
  <Override PartName="/word/drawings/drawing19.xml" ContentType="application/vnd.openxmlformats-officedocument.drawingml.chartshapes+xml"/>
  <Override PartName="/word/charts/chart60.xml" ContentType="application/vnd.openxmlformats-officedocument.drawingml.chart+xml"/>
  <Override PartName="/word/charts/style53.xml" ContentType="application/vnd.ms-office.chartstyle+xml"/>
  <Override PartName="/word/charts/colors53.xml" ContentType="application/vnd.ms-office.chartcolorstyle+xml"/>
  <Override PartName="/word/drawings/drawing20.xml" ContentType="application/vnd.openxmlformats-officedocument.drawingml.chartshapes+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charts/chart61.xml" ContentType="application/vnd.openxmlformats-officedocument.drawingml.chart+xml"/>
  <Override PartName="/word/charts/style54.xml" ContentType="application/vnd.ms-office.chartstyle+xml"/>
  <Override PartName="/word/charts/colors54.xml" ContentType="application/vnd.ms-office.chartcolorstyle+xml"/>
  <Override PartName="/word/header17.xml" ContentType="application/vnd.openxmlformats-officedocument.wordprocessingml.header+xml"/>
  <Override PartName="/word/header18.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charts/chart62.xml" ContentType="application/vnd.openxmlformats-officedocument.drawingml.chart+xml"/>
  <Override PartName="/word/charts/style55.xml" ContentType="application/vnd.ms-office.chartstyle+xml"/>
  <Override PartName="/word/charts/colors55.xml" ContentType="application/vnd.ms-office.chartcolorstyle+xml"/>
  <Override PartName="/word/drawings/drawing21.xml" ContentType="application/vnd.openxmlformats-officedocument.drawingml.chartshapes+xml"/>
  <Override PartName="/word/charts/chart63.xml" ContentType="application/vnd.openxmlformats-officedocument.drawingml.chart+xml"/>
  <Override PartName="/word/charts/style56.xml" ContentType="application/vnd.ms-office.chartstyle+xml"/>
  <Override PartName="/word/charts/colors56.xml" ContentType="application/vnd.ms-office.chartcolorstyle+xml"/>
  <Override PartName="/word/drawings/drawing22.xml" ContentType="application/vnd.openxmlformats-officedocument.drawingml.chartshapes+xml"/>
  <Override PartName="/word/charts/chart64.xml" ContentType="application/vnd.openxmlformats-officedocument.drawingml.chart+xml"/>
  <Override PartName="/word/charts/style57.xml" ContentType="application/vnd.ms-office.chartstyle+xml"/>
  <Override PartName="/word/charts/colors57.xml" ContentType="application/vnd.ms-office.chartcolorstyle+xml"/>
  <Override PartName="/word/header23.xml" ContentType="application/vnd.openxmlformats-officedocument.wordprocessingml.header+xml"/>
  <Override PartName="/word/header24.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header29.xml" ContentType="application/vnd.openxmlformats-officedocument.wordprocessingml.header+xml"/>
  <Override PartName="/word/charts/chart65.xml" ContentType="application/vnd.openxmlformats-officedocument.drawingml.chart+xml"/>
  <Override PartName="/word/drawings/drawing23.xml" ContentType="application/vnd.openxmlformats-officedocument.drawingml.chartshapes+xml"/>
  <Override PartName="/word/header30.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header31.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2.xml" ContentType="application/vnd.openxmlformats-officedocument.wordprocessingml.header+xml"/>
  <Override PartName="/word/charts/chart66.xml" ContentType="application/vnd.openxmlformats-officedocument.drawingml.chart+xml"/>
  <Override PartName="/word/charts/style58.xml" ContentType="application/vnd.ms-office.chartstyle+xml"/>
  <Override PartName="/word/charts/colors58.xml" ContentType="application/vnd.ms-office.chartcolorstyle+xml"/>
  <Override PartName="/word/header33.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36.xml" ContentType="application/vnd.openxmlformats-officedocument.wordprocessingml.header+xml"/>
  <Override PartName="/word/charts/chart67.xml" ContentType="application/vnd.openxmlformats-officedocument.drawingml.chart+xml"/>
  <Override PartName="/word/charts/style59.xml" ContentType="application/vnd.ms-office.chartstyle+xml"/>
  <Override PartName="/word/charts/colors59.xml" ContentType="application/vnd.ms-office.chartcolorstyle+xml"/>
  <Override PartName="/word/theme/themeOverride55.xml" ContentType="application/vnd.openxmlformats-officedocument.themeOverride+xml"/>
  <Override PartName="/word/charts/chart68.xml" ContentType="application/vnd.openxmlformats-officedocument.drawingml.chart+xml"/>
  <Override PartName="/word/charts/style60.xml" ContentType="application/vnd.ms-office.chartstyle+xml"/>
  <Override PartName="/word/charts/colors60.xml" ContentType="application/vnd.ms-office.chartcolorstyle+xml"/>
  <Override PartName="/word/theme/themeOverride56.xml" ContentType="application/vnd.openxmlformats-officedocument.themeOverride+xml"/>
  <Override PartName="/word/charts/chart69.xml" ContentType="application/vnd.openxmlformats-officedocument.drawingml.chart+xml"/>
  <Override PartName="/word/charts/style61.xml" ContentType="application/vnd.ms-office.chartstyle+xml"/>
  <Override PartName="/word/charts/colors61.xml" ContentType="application/vnd.ms-office.chartcolorstyle+xml"/>
  <Override PartName="/word/theme/themeOverride57.xml" ContentType="application/vnd.openxmlformats-officedocument.themeOverride+xml"/>
  <Override PartName="/word/drawings/drawing24.xml" ContentType="application/vnd.openxmlformats-officedocument.drawingml.chartshapes+xml"/>
  <Override PartName="/word/charts/chart70.xml" ContentType="application/vnd.openxmlformats-officedocument.drawingml.chart+xml"/>
  <Override PartName="/word/charts/style62.xml" ContentType="application/vnd.ms-office.chartstyle+xml"/>
  <Override PartName="/word/charts/colors62.xml" ContentType="application/vnd.ms-office.chartcolorstyle+xml"/>
  <Override PartName="/word/theme/themeOverride58.xml" ContentType="application/vnd.openxmlformats-officedocument.themeOverride+xml"/>
  <Override PartName="/word/header37.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38.xml" ContentType="application/vnd.openxmlformats-officedocument.wordprocessingml.header+xml"/>
  <Override PartName="/word/charts/chart71.xml" ContentType="application/vnd.openxmlformats-officedocument.drawingml.chart+xml"/>
  <Override PartName="/word/charts/style63.xml" ContentType="application/vnd.ms-office.chartstyle+xml"/>
  <Override PartName="/word/charts/colors63.xml" ContentType="application/vnd.ms-office.chartcolorstyle+xml"/>
  <Override PartName="/word/drawings/drawing25.xml" ContentType="application/vnd.openxmlformats-officedocument.drawingml.chartshapes+xml"/>
  <Override PartName="/word/charts/chart72.xml" ContentType="application/vnd.openxmlformats-officedocument.drawingml.chart+xml"/>
  <Override PartName="/word/charts/style64.xml" ContentType="application/vnd.ms-office.chartstyle+xml"/>
  <Override PartName="/word/charts/colors64.xml" ContentType="application/vnd.ms-office.chartcolorstyle+xml"/>
  <Override PartName="/word/drawings/drawing26.xml" ContentType="application/vnd.openxmlformats-officedocument.drawingml.chartshapes+xml"/>
  <Override PartName="/word/charts/chart73.xml" ContentType="application/vnd.openxmlformats-officedocument.drawingml.chart+xml"/>
  <Override PartName="/word/theme/themeOverride59.xml" ContentType="application/vnd.openxmlformats-officedocument.themeOverride+xml"/>
  <Override PartName="/word/drawings/drawing27.xml" ContentType="application/vnd.openxmlformats-officedocument.drawingml.chartshapes+xml"/>
  <Override PartName="/word/header39.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2.xml" ContentType="application/vnd.openxmlformats-officedocument.wordprocessingml.header+xml"/>
  <Override PartName="/word/charts/chart74.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75.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76.xml" ContentType="application/vnd.openxmlformats-officedocument.drawingml.chart+xml"/>
  <Override PartName="/word/charts/style67.xml" ContentType="application/vnd.ms-office.chartstyle+xml"/>
  <Override PartName="/word/charts/colors67.xml" ContentType="application/vnd.ms-office.chartcolorstyle+xml"/>
  <Override PartName="/word/drawings/drawing28.xml" ContentType="application/vnd.openxmlformats-officedocument.drawingml.chartshapes+xml"/>
  <Override PartName="/word/charts/chart77.xml" ContentType="application/vnd.openxmlformats-officedocument.drawingml.chart+xml"/>
  <Override PartName="/word/theme/themeOverride60.xml" ContentType="application/vnd.openxmlformats-officedocument.themeOverride+xml"/>
  <Override PartName="/word/charts/chart78.xml" ContentType="application/vnd.openxmlformats-officedocument.drawingml.chart+xml"/>
  <Override PartName="/word/theme/themeOverride61.xml" ContentType="application/vnd.openxmlformats-officedocument.themeOverride+xml"/>
  <Override PartName="/word/charts/chart79.xml" ContentType="application/vnd.openxmlformats-officedocument.drawingml.chart+xml"/>
  <Override PartName="/word/theme/themeOverride62.xml" ContentType="application/vnd.openxmlformats-officedocument.themeOverride+xml"/>
  <Override PartName="/word/header43.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charts/chart80.xml" ContentType="application/vnd.openxmlformats-officedocument.drawingml.chart+xml"/>
  <Override PartName="/word/theme/themeOverride63.xml" ContentType="application/vnd.openxmlformats-officedocument.themeOverride+xml"/>
  <Override PartName="/word/charts/chart81.xml" ContentType="application/vnd.openxmlformats-officedocument.drawingml.chart+xml"/>
  <Override PartName="/word/theme/themeOverride64.xml" ContentType="application/vnd.openxmlformats-officedocument.themeOverride+xml"/>
  <Override PartName="/word/charts/chart82.xml" ContentType="application/vnd.openxmlformats-officedocument.drawingml.chart+xml"/>
  <Override PartName="/word/charts/style68.xml" ContentType="application/vnd.ms-office.chartstyle+xml"/>
  <Override PartName="/word/charts/colors68.xml" ContentType="application/vnd.ms-office.chartcolorstyle+xml"/>
  <Override PartName="/word/footer49.xml" ContentType="application/vnd.openxmlformats-officedocument.wordprocessingml.footer+xml"/>
  <Override PartName="/word/header44.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4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EB86B4" w14:textId="795AAADD" w:rsidR="00502EF3" w:rsidRPr="001B41AD" w:rsidRDefault="00AD5E6E" w:rsidP="00502EF3">
      <w:pPr>
        <w:spacing w:before="240"/>
        <w:ind w:firstLine="720"/>
        <w:rPr>
          <w:rFonts w:cstheme="minorHAnsi"/>
          <w:sz w:val="48"/>
          <w:szCs w:val="64"/>
          <w:lang w:val="sr-Cyrl-CS"/>
        </w:rPr>
      </w:pPr>
      <w:r w:rsidRPr="001B41AD">
        <w:rPr>
          <w:lang w:val="sr-Cyrl-CS"/>
        </w:rPr>
        <w:t xml:space="preserve">На основу члана 27в став 1. и члана </w:t>
      </w:r>
      <w:r w:rsidR="00B54C4D" w:rsidRPr="001B41AD">
        <w:rPr>
          <w:lang w:val="sr-Cyrl-CS"/>
        </w:rPr>
        <w:t>31. став 1. тачка 1) подтач</w:t>
      </w:r>
      <w:r w:rsidR="00772333" w:rsidRPr="001B41AD">
        <w:rPr>
          <w:lang w:val="sr-Cyrl-CS"/>
        </w:rPr>
        <w:t>.</w:t>
      </w:r>
      <w:r w:rsidR="00B54C4D" w:rsidRPr="001B41AD">
        <w:rPr>
          <w:lang w:val="sr-Cyrl-CS"/>
        </w:rPr>
        <w:t xml:space="preserve"> (12</w:t>
      </w:r>
      <w:r w:rsidRPr="001B41AD">
        <w:rPr>
          <w:lang w:val="sr-Cyrl-CS"/>
        </w:rPr>
        <w:t>)</w:t>
      </w:r>
      <w:r w:rsidR="00B54C4D" w:rsidRPr="001B41AD">
        <w:rPr>
          <w:lang w:val="sr-Cyrl-CS"/>
        </w:rPr>
        <w:t xml:space="preserve"> и (13) </w:t>
      </w:r>
      <w:r w:rsidRPr="001B41AD">
        <w:rPr>
          <w:lang w:val="sr-Cyrl-CS"/>
        </w:rPr>
        <w:t xml:space="preserve">Закона о буџетском систему („Службени гласник РС”, бр. </w:t>
      </w:r>
      <w:r w:rsidR="00772333" w:rsidRPr="001B41AD">
        <w:rPr>
          <w:lang w:val="sr-Cyrl-CS"/>
        </w:rPr>
        <w:t>54/09, 73/10, 101/10, 101/11, 93/12, 62/13, 63/13 – исправка, 108/13, 142/14, 68/15 – др. закон, 103/15, 99/16, 113/17, 95/18, 31/19, 72/19, 149/20, 118/21, 118/21 – др. закон, 138/22, 92/23 и 94/24</w:t>
      </w:r>
      <w:r w:rsidRPr="001B41AD">
        <w:rPr>
          <w:color w:val="7F7F7F" w:themeColor="text1" w:themeTint="80"/>
          <w:lang w:val="sr-Cyrl-CS"/>
        </w:rPr>
        <w:t>)</w:t>
      </w:r>
      <w:r w:rsidR="00502EF3" w:rsidRPr="001B41AD">
        <w:rPr>
          <w:rFonts w:cstheme="minorHAnsi"/>
          <w:bCs/>
          <w:szCs w:val="72"/>
          <w:lang w:val="sr-Cyrl-CS"/>
        </w:rPr>
        <w:t>,</w:t>
      </w:r>
    </w:p>
    <w:p w14:paraId="369B521A" w14:textId="77777777" w:rsidR="00502EF3" w:rsidRPr="001B41AD" w:rsidRDefault="00502EF3" w:rsidP="00502EF3">
      <w:pPr>
        <w:ind w:firstLine="720"/>
        <w:rPr>
          <w:rFonts w:cstheme="minorHAnsi"/>
          <w:bCs/>
          <w:color w:val="7F7F7F" w:themeColor="text1" w:themeTint="80"/>
          <w:szCs w:val="72"/>
          <w:lang w:val="sr-Cyrl-CS"/>
        </w:rPr>
      </w:pPr>
      <w:r w:rsidRPr="001B41AD">
        <w:rPr>
          <w:rFonts w:cstheme="minorHAnsi"/>
          <w:bCs/>
          <w:szCs w:val="72"/>
          <w:lang w:val="sr-Cyrl-CS"/>
        </w:rPr>
        <w:t>Влада усваја</w:t>
      </w:r>
    </w:p>
    <w:p w14:paraId="7FA97773" w14:textId="77777777" w:rsidR="00502EF3" w:rsidRPr="001B41AD" w:rsidRDefault="00502EF3" w:rsidP="00502EF3">
      <w:pPr>
        <w:spacing w:after="0" w:line="240" w:lineRule="auto"/>
        <w:jc w:val="center"/>
        <w:rPr>
          <w:rFonts w:cstheme="minorHAnsi"/>
          <w:b/>
          <w:bCs/>
          <w:sz w:val="26"/>
          <w:szCs w:val="26"/>
          <w:lang w:val="sr-Cyrl-CS"/>
        </w:rPr>
      </w:pPr>
      <w:r w:rsidRPr="001B41AD">
        <w:rPr>
          <w:rFonts w:cstheme="minorHAnsi"/>
          <w:b/>
          <w:bCs/>
          <w:sz w:val="26"/>
          <w:szCs w:val="26"/>
          <w:lang w:val="sr-Cyrl-CS"/>
        </w:rPr>
        <w:t>РЕВИДИРАНУ</w:t>
      </w:r>
      <w:r w:rsidRPr="001B41AD">
        <w:rPr>
          <w:rFonts w:ascii="Times New Roman" w:hAnsi="Times New Roman" w:cstheme="minorHAnsi"/>
          <w:b/>
          <w:bCs/>
          <w:sz w:val="26"/>
          <w:szCs w:val="26"/>
          <w:lang w:val="sr-Cyrl-CS"/>
        </w:rPr>
        <w:t xml:space="preserve"> </w:t>
      </w:r>
      <w:r w:rsidRPr="001B41AD">
        <w:rPr>
          <w:rFonts w:cstheme="minorHAnsi"/>
          <w:b/>
          <w:bCs/>
          <w:sz w:val="26"/>
          <w:szCs w:val="26"/>
          <w:lang w:val="sr-Cyrl-CS"/>
        </w:rPr>
        <w:t>ФИСКАЛНУ СТРАТЕГИЈУ</w:t>
      </w:r>
    </w:p>
    <w:p w14:paraId="235865F9" w14:textId="77777777" w:rsidR="00502EF3" w:rsidRPr="001B41AD" w:rsidRDefault="00502EF3" w:rsidP="00502EF3">
      <w:pPr>
        <w:spacing w:after="0" w:line="240" w:lineRule="auto"/>
        <w:jc w:val="center"/>
        <w:rPr>
          <w:rFonts w:cstheme="minorHAnsi"/>
          <w:b/>
          <w:bCs/>
          <w:sz w:val="26"/>
          <w:szCs w:val="26"/>
          <w:lang w:val="sr-Cyrl-CS"/>
        </w:rPr>
      </w:pPr>
      <w:r w:rsidRPr="001B41AD">
        <w:rPr>
          <w:rFonts w:cstheme="minorHAnsi"/>
          <w:b/>
          <w:bCs/>
          <w:sz w:val="26"/>
          <w:szCs w:val="26"/>
          <w:lang w:val="sr-Cyrl-CS"/>
        </w:rPr>
        <w:t>ЗА 2026. ГОДИНУ СА ПРОЈЕКЦИЈАМА ЗА 2027. И 2028. ГОДИНУ</w:t>
      </w:r>
    </w:p>
    <w:p w14:paraId="114CCA37" w14:textId="77777777" w:rsidR="00502EF3" w:rsidRPr="001B41AD" w:rsidRDefault="00502EF3" w:rsidP="00502EF3">
      <w:pPr>
        <w:spacing w:after="0" w:line="240" w:lineRule="auto"/>
        <w:jc w:val="center"/>
        <w:rPr>
          <w:rFonts w:cstheme="minorHAnsi"/>
          <w:b/>
          <w:bCs/>
          <w:sz w:val="24"/>
          <w:szCs w:val="72"/>
          <w:lang w:val="sr-Cyrl-CS"/>
        </w:rPr>
      </w:pPr>
    </w:p>
    <w:p w14:paraId="49F661C4" w14:textId="77777777" w:rsidR="00502EF3" w:rsidRPr="001B41AD" w:rsidRDefault="00F026F6" w:rsidP="00502EF3">
      <w:pPr>
        <w:pStyle w:val="Heading1"/>
        <w:jc w:val="center"/>
        <w:rPr>
          <w:rFonts w:asciiTheme="minorHAnsi" w:hAnsiTheme="minorHAnsi" w:cstheme="minorHAnsi"/>
          <w:b/>
          <w:sz w:val="26"/>
          <w:szCs w:val="26"/>
          <w:lang w:val="sr-Cyrl-CS"/>
        </w:rPr>
      </w:pPr>
      <w:bookmarkStart w:id="0" w:name="_Toc146277910"/>
      <w:bookmarkStart w:id="1" w:name="_Toc148431263"/>
      <w:bookmarkStart w:id="2" w:name="_Toc212642464"/>
      <w:r w:rsidRPr="001B41AD">
        <w:rPr>
          <w:rFonts w:asciiTheme="minorHAnsi" w:hAnsiTheme="minorHAnsi" w:cstheme="minorHAnsi"/>
          <w:b/>
          <w:sz w:val="26"/>
          <w:szCs w:val="26"/>
          <w:lang w:val="sr-Cyrl-CS"/>
        </w:rPr>
        <w:t>I</w:t>
      </w:r>
      <w:r w:rsidR="00502EF3" w:rsidRPr="001B41AD">
        <w:rPr>
          <w:rFonts w:asciiTheme="minorHAnsi" w:hAnsiTheme="minorHAnsi" w:cstheme="minorHAnsi"/>
          <w:b/>
          <w:sz w:val="26"/>
          <w:szCs w:val="26"/>
          <w:lang w:val="sr-Cyrl-CS"/>
        </w:rPr>
        <w:t xml:space="preserve"> МАКРОЕКОНОМСКИ ОКВИР ЗА ПЕРИОД ОД 2026. ДО 2028. ГОДИНЕ</w:t>
      </w:r>
      <w:bookmarkEnd w:id="0"/>
      <w:bookmarkEnd w:id="1"/>
      <w:bookmarkEnd w:id="2"/>
    </w:p>
    <w:p w14:paraId="17AD75DB" w14:textId="77777777" w:rsidR="00502EF3" w:rsidRPr="001B41AD" w:rsidRDefault="00502EF3" w:rsidP="00502EF3">
      <w:pPr>
        <w:pStyle w:val="Heading2"/>
        <w:rPr>
          <w:rFonts w:asciiTheme="minorHAnsi" w:hAnsiTheme="minorHAnsi" w:cstheme="minorHAnsi"/>
          <w:b w:val="0"/>
          <w:lang w:val="sr-Cyrl-CS"/>
        </w:rPr>
      </w:pPr>
      <w:bookmarkStart w:id="3" w:name="_Toc146277911"/>
      <w:bookmarkStart w:id="4" w:name="_Toc148431264"/>
      <w:bookmarkStart w:id="5" w:name="_Toc212642465"/>
      <w:r w:rsidRPr="001B41AD">
        <w:rPr>
          <w:rFonts w:asciiTheme="minorHAnsi" w:hAnsiTheme="minorHAnsi" w:cstheme="minorHAnsi"/>
          <w:sz w:val="22"/>
          <w:lang w:val="sr-Cyrl-CS"/>
        </w:rPr>
        <w:t xml:space="preserve">1. </w:t>
      </w:r>
      <w:r w:rsidRPr="001B41AD">
        <w:rPr>
          <w:rFonts w:asciiTheme="minorHAnsi" w:hAnsiTheme="minorHAnsi" w:cstheme="minorHAnsi"/>
          <w:lang w:val="sr-Cyrl-CS"/>
        </w:rPr>
        <w:t>Општи оквир и главни циљеви и смернице економске политике</w:t>
      </w:r>
      <w:bookmarkEnd w:id="3"/>
      <w:bookmarkEnd w:id="4"/>
      <w:bookmarkEnd w:id="5"/>
    </w:p>
    <w:p w14:paraId="748F1B9C" w14:textId="77777777" w:rsidR="00502EF3" w:rsidRPr="001B41AD" w:rsidRDefault="00502EF3" w:rsidP="00502EF3">
      <w:pPr>
        <w:rPr>
          <w:rFonts w:cstheme="minorHAnsi"/>
          <w:color w:val="auto"/>
          <w:sz w:val="18"/>
          <w:highlight w:val="darkGray"/>
          <w:lang w:val="sr-Cyrl-CS"/>
        </w:rPr>
        <w:sectPr w:rsidR="00502EF3" w:rsidRPr="001B41AD" w:rsidSect="00766A90">
          <w:headerReference w:type="default" r:id="rId8"/>
          <w:footerReference w:type="default" r:id="rId9"/>
          <w:pgSz w:w="12240" w:h="15840" w:code="1"/>
          <w:pgMar w:top="1440" w:right="1440" w:bottom="1440" w:left="1440" w:header="720" w:footer="720" w:gutter="0"/>
          <w:pgNumType w:start="1"/>
          <w:cols w:space="720"/>
          <w:titlePg/>
          <w:docGrid w:linePitch="360"/>
        </w:sectPr>
      </w:pPr>
    </w:p>
    <w:p w14:paraId="312333B2" w14:textId="77777777" w:rsidR="00502EF3" w:rsidRPr="001B41AD" w:rsidRDefault="00502EF3" w:rsidP="00502EF3">
      <w:pPr>
        <w:rPr>
          <w:rFonts w:ascii="Calibri" w:eastAsia="Calibri" w:hAnsi="Calibri" w:cs="Calibri"/>
          <w:b/>
          <w:bCs/>
          <w:color w:val="0070C0"/>
          <w:szCs w:val="72"/>
          <w:lang w:val="sr-Cyrl-CS"/>
        </w:rPr>
        <w:sectPr w:rsidR="00502EF3" w:rsidRPr="001B41AD" w:rsidSect="00436957">
          <w:headerReference w:type="even" r:id="rId10"/>
          <w:headerReference w:type="default" r:id="rId11"/>
          <w:footerReference w:type="even" r:id="rId12"/>
          <w:footerReference w:type="default" r:id="rId13"/>
          <w:headerReference w:type="first" r:id="rId14"/>
          <w:footerReference w:type="first" r:id="rId15"/>
          <w:type w:val="continuous"/>
          <w:pgSz w:w="12240" w:h="15840" w:code="1"/>
          <w:pgMar w:top="1440" w:right="1440" w:bottom="1440" w:left="1440" w:header="720" w:footer="720" w:gutter="0"/>
          <w:cols w:num="2" w:space="720"/>
          <w:titlePg/>
          <w:docGrid w:linePitch="360"/>
        </w:sectPr>
      </w:pPr>
    </w:p>
    <w:p w14:paraId="2E830F9A" w14:textId="77777777" w:rsidR="00502EF3" w:rsidRPr="001B41AD" w:rsidRDefault="00502EF3" w:rsidP="00502EF3">
      <w:pPr>
        <w:spacing w:after="120" w:line="257" w:lineRule="auto"/>
        <w:rPr>
          <w:rFonts w:ascii="Calibri" w:eastAsia="Calibri" w:hAnsi="Calibri" w:cs="Calibri"/>
          <w:b/>
          <w:bCs/>
          <w:i/>
          <w:color w:val="0070C0"/>
          <w:szCs w:val="72"/>
          <w:lang w:val="sr-Cyrl-CS"/>
        </w:rPr>
      </w:pPr>
      <w:r w:rsidRPr="001B41AD">
        <w:rPr>
          <w:rFonts w:ascii="Calibri" w:eastAsia="Calibri" w:hAnsi="Calibri" w:cs="Calibri"/>
          <w:b/>
          <w:bCs/>
          <w:i/>
          <w:color w:val="0070C0"/>
          <w:szCs w:val="72"/>
          <w:lang w:val="sr-Cyrl-CS"/>
        </w:rPr>
        <w:t xml:space="preserve">Глобални економски контекст у 2025. години обележен је дубоким структурним променама и израженом неизвесношћу која произилази из појачане трговинске и геополитичке фрагментације. </w:t>
      </w:r>
      <w:r w:rsidRPr="001B41AD">
        <w:rPr>
          <w:rFonts w:ascii="Calibri" w:eastAsia="Calibri" w:hAnsi="Calibri" w:cs="Calibri"/>
          <w:bCs/>
          <w:color w:val="0070C0"/>
          <w:szCs w:val="72"/>
          <w:lang w:val="sr-Cyrl-CS"/>
        </w:rPr>
        <w:t>Ескалација тарифних мера, реструктурирање глобалних ланаца снабдевања и редефинисање индустријских политика у водећим економијама значајно су утицали на трговинске токове, инвестиционе одлуке и кретања на робним и финансијским тржиштима. Увођењем најширег спектра трговинских рестрикција у последњим деценијама, глобално окружење добило је нову димензију неизвесности. Иако су билатерални споразуми постигнути у другој половини године делимично ублажили тензије, последице фрагментације настављају да оптерећују међународну размену и услове финансирања, посебно за земље у развоју. Правовремено прилагођавање приватног сектора и ефикасно преусмеравање ланаца снабдевања омогућили су да глобални трговински систем задржи функционалност и релативну стабилност.</w:t>
      </w:r>
    </w:p>
    <w:p w14:paraId="74FA5BE9" w14:textId="77777777" w:rsidR="00502EF3" w:rsidRPr="001B41AD" w:rsidRDefault="00502EF3" w:rsidP="00502EF3">
      <w:pPr>
        <w:spacing w:after="120" w:line="257" w:lineRule="auto"/>
        <w:rPr>
          <w:rFonts w:ascii="Calibri" w:eastAsia="Calibri" w:hAnsi="Calibri" w:cs="Calibri"/>
          <w:bCs/>
          <w:color w:val="0070C0"/>
          <w:szCs w:val="72"/>
          <w:lang w:val="sr-Cyrl-CS"/>
        </w:rPr>
      </w:pPr>
      <w:r w:rsidRPr="001B41AD">
        <w:rPr>
          <w:rFonts w:ascii="Calibri" w:eastAsia="Calibri" w:hAnsi="Calibri" w:cs="Calibri"/>
          <w:b/>
          <w:bCs/>
          <w:i/>
          <w:color w:val="0070C0"/>
          <w:szCs w:val="72"/>
          <w:lang w:val="sr-Cyrl-CS"/>
        </w:rPr>
        <w:t xml:space="preserve">Република Србија ове процесе прати пажљиво и континуирано анализира потенцијалне канале преноса глобалних ризика на домаћу економију. </w:t>
      </w:r>
      <w:r w:rsidRPr="001B41AD">
        <w:rPr>
          <w:rFonts w:ascii="Calibri" w:eastAsia="Calibri" w:hAnsi="Calibri" w:cs="Calibri"/>
          <w:bCs/>
          <w:color w:val="0070C0"/>
          <w:szCs w:val="72"/>
          <w:lang w:val="sr-Cyrl-CS"/>
        </w:rPr>
        <w:t xml:space="preserve">Иако су изазови у области трговине, инвестиција и финансијских токова реални, Република Србија у период повећане неизвесности улази са снажним одбрамбеним позицијама: високим девизним резервама, стабилним и добро капитализованим банкарским сектором, ниским учешћем јавног дуга у БДП и адекватним фискалним простором. У таквом окружењу, очување макроекономске </w:t>
      </w:r>
      <w:r w:rsidRPr="001B41AD">
        <w:rPr>
          <w:rFonts w:ascii="Calibri" w:eastAsia="Calibri" w:hAnsi="Calibri" w:cs="Calibri"/>
          <w:bCs/>
          <w:color w:val="0070C0"/>
          <w:szCs w:val="72"/>
          <w:lang w:val="sr-Cyrl-CS"/>
        </w:rPr>
        <w:t>стабилности остаје централни приоритет економске политике, уз појачан надзор над ризицима и благовремено прилагођавање мера у складу са развојем ситуације у непосредном окружењу. Истовремено, све израженија глобална фрагментација и измене регулаторних и климатских политика, укључујући механизме попут CBAM у Европској унији (у даљем тексту: ЕУ), повећавају потребу за структурним прилагођавањима која ће утицати на трошкове и конкурентност појединих сектора српске привреде.</w:t>
      </w:r>
    </w:p>
    <w:p w14:paraId="43A4F919" w14:textId="77777777" w:rsidR="00502EF3" w:rsidRPr="001B41AD" w:rsidRDefault="00502EF3" w:rsidP="00502EF3">
      <w:pPr>
        <w:spacing w:after="120" w:line="257" w:lineRule="auto"/>
        <w:rPr>
          <w:rFonts w:ascii="Calibri" w:eastAsia="Calibri" w:hAnsi="Calibri" w:cs="Calibri"/>
          <w:bCs/>
          <w:color w:val="0070C0"/>
          <w:szCs w:val="72"/>
          <w:lang w:val="sr-Cyrl-CS"/>
        </w:rPr>
      </w:pPr>
      <w:r w:rsidRPr="001B41AD">
        <w:rPr>
          <w:rFonts w:ascii="Calibri" w:eastAsia="Calibri" w:hAnsi="Calibri" w:cs="Calibri"/>
          <w:b/>
          <w:bCs/>
          <w:i/>
          <w:color w:val="0070C0"/>
          <w:szCs w:val="72"/>
          <w:lang w:val="sr-Cyrl-CS"/>
        </w:rPr>
        <w:t xml:space="preserve">Током претходних неколико година Република Србија је, као мала и отворена економија, показала изузетну отпорност на разноврсне изазове. </w:t>
      </w:r>
      <w:r w:rsidRPr="001B41AD">
        <w:rPr>
          <w:rFonts w:ascii="Calibri" w:eastAsia="Calibri" w:hAnsi="Calibri" w:cs="Calibri"/>
          <w:bCs/>
          <w:color w:val="0070C0"/>
          <w:szCs w:val="72"/>
          <w:lang w:val="sr-Cyrl-CS"/>
        </w:rPr>
        <w:t xml:space="preserve">Захваљујући одговорној фискалној и монетарној политици, континуираним инвестицијама и спроведеним структурним реформама очувана је макроекономска стабилност, сачувано поверење инвеститора и обезбеђен континуитет раста. Ипак, дешавања током 2025. појачала су неизвесност: раст тарифних баријера и изражена глобална фрагментација, уз истовремени пораст домаћих друштвено-политичких тензија, деловали су обуздавајуће на инвестициону и потрошачку активност. Иако су основни макроиндикатори остали стабилни, раст БДП у првој половини 2025. </w:t>
      </w:r>
      <w:r w:rsidR="006E3C30" w:rsidRPr="001B41AD">
        <w:rPr>
          <w:rFonts w:ascii="Calibri" w:eastAsia="Calibri" w:hAnsi="Calibri" w:cs="Calibri"/>
          <w:bCs/>
          <w:color w:val="0070C0"/>
          <w:szCs w:val="72"/>
          <w:lang w:val="sr-Cyrl-CS"/>
        </w:rPr>
        <w:t xml:space="preserve">године </w:t>
      </w:r>
      <w:r w:rsidRPr="001B41AD">
        <w:rPr>
          <w:rFonts w:ascii="Calibri" w:eastAsia="Calibri" w:hAnsi="Calibri" w:cs="Calibri"/>
          <w:bCs/>
          <w:color w:val="0070C0"/>
          <w:szCs w:val="72"/>
          <w:lang w:val="sr-Cyrl-CS"/>
        </w:rPr>
        <w:t xml:space="preserve">био је испод очекивања, па је пројекција за целу годину ревидирана наниже (са 3,0% на 2,3%). Инфлација се већим делом 2025. </w:t>
      </w:r>
      <w:r w:rsidR="006E3C30" w:rsidRPr="001B41AD">
        <w:rPr>
          <w:rFonts w:ascii="Calibri" w:eastAsia="Calibri" w:hAnsi="Calibri" w:cs="Calibri"/>
          <w:bCs/>
          <w:color w:val="0070C0"/>
          <w:szCs w:val="72"/>
          <w:lang w:val="sr-Cyrl-CS"/>
        </w:rPr>
        <w:t xml:space="preserve">године </w:t>
      </w:r>
      <w:r w:rsidRPr="001B41AD">
        <w:rPr>
          <w:rFonts w:ascii="Calibri" w:eastAsia="Calibri" w:hAnsi="Calibri" w:cs="Calibri"/>
          <w:bCs/>
          <w:color w:val="0070C0"/>
          <w:szCs w:val="72"/>
          <w:lang w:val="sr-Cyrl-CS"/>
        </w:rPr>
        <w:t xml:space="preserve">кретала у горњој зони циља, али је од септембра осетно успорила (на 2,9% мг), захваљујући ограничењу </w:t>
      </w:r>
      <w:r w:rsidRPr="001B41AD">
        <w:rPr>
          <w:rFonts w:ascii="Calibri" w:eastAsia="Calibri" w:hAnsi="Calibri" w:cs="Calibri"/>
          <w:bCs/>
          <w:color w:val="0070C0"/>
          <w:szCs w:val="72"/>
          <w:lang w:val="sr-Cyrl-CS"/>
        </w:rPr>
        <w:lastRenderedPageBreak/>
        <w:t>трговинских маржи. За 2026. годину се, уз нормализацију трошковних фактора и стабилнију пољопривредну сезону, пројектује просечна инфлација од 3,7%.</w:t>
      </w:r>
    </w:p>
    <w:p w14:paraId="2AF50CE0" w14:textId="4B9CFFCA" w:rsidR="00502EF3" w:rsidRPr="001B41AD" w:rsidRDefault="00502EF3" w:rsidP="00502EF3">
      <w:pPr>
        <w:spacing w:after="120" w:line="257" w:lineRule="auto"/>
        <w:rPr>
          <w:rFonts w:ascii="Calibri" w:eastAsia="Calibri" w:hAnsi="Calibri" w:cs="Calibri"/>
          <w:bCs/>
          <w:color w:val="0070C0"/>
          <w:szCs w:val="72"/>
          <w:lang w:val="sr-Cyrl-CS"/>
        </w:rPr>
      </w:pPr>
      <w:r w:rsidRPr="001B41AD">
        <w:rPr>
          <w:rFonts w:ascii="Calibri" w:eastAsia="Calibri" w:hAnsi="Calibri" w:cs="Calibri"/>
          <w:b/>
          <w:bCs/>
          <w:i/>
          <w:color w:val="0070C0"/>
          <w:szCs w:val="72"/>
          <w:lang w:val="sr-Cyrl-CS"/>
        </w:rPr>
        <w:t xml:space="preserve">У ревидираном макроекономском оквиру за 2026. годину пројектује се раст БДП од 3,0%, што је за 1,2 п.п. мање у односу на претходна очекивања, и одражава конзервативнији приступ планирању у условима повишених ризика. </w:t>
      </w:r>
      <w:r w:rsidRPr="001B41AD">
        <w:rPr>
          <w:rFonts w:ascii="Calibri" w:eastAsia="Calibri" w:hAnsi="Calibri" w:cs="Calibri"/>
          <w:bCs/>
          <w:color w:val="0070C0"/>
          <w:szCs w:val="72"/>
          <w:lang w:val="sr-Cyrl-CS"/>
        </w:rPr>
        <w:t xml:space="preserve">Кључни покретачи раста остају домаћа тражња, раст реалног дохотка, наставак јавних и приватних инвестиција и реализација пројеката повезаних са </w:t>
      </w:r>
      <w:r w:rsidRPr="001B41AD">
        <w:rPr>
          <w:rFonts w:ascii="Calibri" w:eastAsia="Calibri" w:hAnsi="Calibri" w:cs="Calibri"/>
          <w:bCs/>
          <w:i/>
          <w:color w:val="0070C0"/>
          <w:szCs w:val="72"/>
          <w:lang w:val="sr-Cyrl-CS"/>
        </w:rPr>
        <w:t>EXPO 2027</w:t>
      </w:r>
      <w:r w:rsidRPr="001B41AD">
        <w:rPr>
          <w:rFonts w:ascii="Calibri" w:eastAsia="Calibri" w:hAnsi="Calibri" w:cs="Calibri"/>
          <w:bCs/>
          <w:color w:val="0070C0"/>
          <w:szCs w:val="72"/>
          <w:lang w:val="sr-Cyrl-CS"/>
        </w:rPr>
        <w:t xml:space="preserve"> и програмом Скок у будућност. Главни разлог ревизије је неизвесна динамика економске активности у појединим индустријским гранама у условима изражене глобалне фрагментације, ојачаних рестрикција и промене енергетских токова. Са производне стране, пројекција подразумева умеренији раст индустрије (опрез у прерађивачким гранама), снажан раст грађевинарства на крилима завршне фазе </w:t>
      </w:r>
      <w:r w:rsidRPr="001B41AD">
        <w:rPr>
          <w:rFonts w:ascii="Calibri" w:eastAsia="Calibri" w:hAnsi="Calibri" w:cs="Calibri"/>
          <w:bCs/>
          <w:i/>
          <w:color w:val="0070C0"/>
          <w:szCs w:val="72"/>
          <w:lang w:val="sr-Cyrl-CS"/>
        </w:rPr>
        <w:t>EXPO</w:t>
      </w:r>
      <w:r w:rsidR="006119E5" w:rsidRPr="001B41AD">
        <w:rPr>
          <w:rFonts w:ascii="Calibri" w:eastAsia="Calibri" w:hAnsi="Calibri" w:cs="Calibri"/>
          <w:bCs/>
          <w:i/>
          <w:color w:val="0070C0"/>
          <w:szCs w:val="72"/>
          <w:lang w:val="sr-Cyrl-CS"/>
        </w:rPr>
        <w:t xml:space="preserve"> 2027</w:t>
      </w:r>
      <w:r w:rsidRPr="001B41AD">
        <w:rPr>
          <w:rFonts w:ascii="Calibri" w:eastAsia="Calibri" w:hAnsi="Calibri" w:cs="Calibri"/>
          <w:bCs/>
          <w:color w:val="0070C0"/>
          <w:szCs w:val="72"/>
          <w:lang w:val="sr-Cyrl-CS"/>
        </w:rPr>
        <w:t xml:space="preserve"> и ефекта ниске базе, као и стабилан раст услуга.</w:t>
      </w:r>
    </w:p>
    <w:p w14:paraId="15FBAA38" w14:textId="77777777" w:rsidR="00502EF3" w:rsidRPr="001B41AD" w:rsidRDefault="00502EF3" w:rsidP="00502EF3">
      <w:pPr>
        <w:spacing w:after="120" w:line="257" w:lineRule="auto"/>
        <w:rPr>
          <w:rFonts w:ascii="Calibri" w:eastAsia="Calibri" w:hAnsi="Calibri" w:cs="Calibri"/>
          <w:bCs/>
          <w:color w:val="0070C0"/>
          <w:szCs w:val="72"/>
          <w:lang w:val="sr-Cyrl-CS"/>
        </w:rPr>
      </w:pPr>
      <w:r w:rsidRPr="001B41AD">
        <w:rPr>
          <w:rFonts w:ascii="Calibri" w:eastAsia="Calibri" w:hAnsi="Calibri" w:cs="Calibri"/>
          <w:b/>
          <w:bCs/>
          <w:i/>
          <w:color w:val="0070C0"/>
          <w:szCs w:val="72"/>
          <w:lang w:val="sr-Cyrl-CS"/>
        </w:rPr>
        <w:t xml:space="preserve">Обезбеђивање енергетске безбедности и убрзана транзиција ка одрживим изворима енергије централни су циљеви енергетске стратегије и процеса декарбонизације. </w:t>
      </w:r>
      <w:r w:rsidRPr="001B41AD">
        <w:rPr>
          <w:rFonts w:ascii="Calibri" w:eastAsia="Calibri" w:hAnsi="Calibri" w:cs="Calibri"/>
          <w:bCs/>
          <w:color w:val="0070C0"/>
          <w:szCs w:val="72"/>
          <w:lang w:val="sr-Cyrl-CS"/>
        </w:rPr>
        <w:t>Република</w:t>
      </w:r>
      <w:r w:rsidRPr="001B41AD">
        <w:rPr>
          <w:rFonts w:ascii="Calibri" w:eastAsia="Calibri" w:hAnsi="Calibri" w:cs="Calibri"/>
          <w:b/>
          <w:bCs/>
          <w:i/>
          <w:color w:val="0070C0"/>
          <w:szCs w:val="72"/>
          <w:lang w:val="sr-Cyrl-CS"/>
        </w:rPr>
        <w:t xml:space="preserve"> </w:t>
      </w:r>
      <w:r w:rsidRPr="001B41AD">
        <w:rPr>
          <w:rFonts w:ascii="Calibri" w:eastAsia="Calibri" w:hAnsi="Calibri" w:cs="Calibri"/>
          <w:bCs/>
          <w:color w:val="0070C0"/>
          <w:szCs w:val="72"/>
          <w:lang w:val="sr-Cyrl-CS"/>
        </w:rPr>
        <w:t>Србија се обавезала на постепено повећање удела обновљивих извора, јачање енергетске ефикасности и смањење емисија CO₂ као кључне предуслове дугорочне економске и еколошке отпорности</w:t>
      </w:r>
      <w:r w:rsidRPr="001B41AD">
        <w:rPr>
          <w:rFonts w:ascii="Calibri" w:eastAsia="Calibri" w:hAnsi="Calibri" w:cs="Calibri"/>
          <w:bCs/>
          <w:color w:val="4472C4" w:themeColor="accent1"/>
          <w:szCs w:val="72"/>
          <w:lang w:val="sr-Cyrl-CS"/>
        </w:rPr>
        <w:t>.</w:t>
      </w:r>
      <w:r w:rsidRPr="001B41AD">
        <w:rPr>
          <w:rFonts w:ascii="Calibri" w:eastAsia="Calibri" w:hAnsi="Calibri" w:cs="Calibri"/>
          <w:bCs/>
          <w:color w:val="EE0000"/>
          <w:szCs w:val="72"/>
          <w:lang w:val="sr-Cyrl-CS"/>
        </w:rPr>
        <w:t xml:space="preserve"> </w:t>
      </w:r>
      <w:r w:rsidRPr="001B41AD">
        <w:rPr>
          <w:rFonts w:ascii="Calibri" w:eastAsia="Calibri" w:hAnsi="Calibri" w:cs="Calibri"/>
          <w:bCs/>
          <w:color w:val="0070C0"/>
          <w:szCs w:val="72"/>
          <w:lang w:val="sr-Cyrl-CS"/>
        </w:rPr>
        <w:t xml:space="preserve">Ефекти CBAM и пратећих климатских политика биће </w:t>
      </w:r>
      <w:r w:rsidR="007E0FBA" w:rsidRPr="001B41AD">
        <w:rPr>
          <w:rFonts w:ascii="Calibri" w:eastAsia="Calibri" w:hAnsi="Calibri" w:cs="Calibri"/>
          <w:bCs/>
          <w:color w:val="0070C0"/>
          <w:szCs w:val="72"/>
          <w:lang w:val="sr-Cyrl-CS"/>
        </w:rPr>
        <w:t xml:space="preserve">приказани </w:t>
      </w:r>
      <w:r w:rsidRPr="001B41AD">
        <w:rPr>
          <w:rFonts w:ascii="Calibri" w:eastAsia="Calibri" w:hAnsi="Calibri" w:cs="Calibri"/>
          <w:bCs/>
          <w:color w:val="0070C0"/>
          <w:szCs w:val="72"/>
          <w:lang w:val="sr-Cyrl-CS"/>
        </w:rPr>
        <w:t>у Фискалној стратегији за 2027. са пројекцијама до 2029. године</w:t>
      </w:r>
      <w:r w:rsidR="00A83B13" w:rsidRPr="001B41AD">
        <w:rPr>
          <w:rFonts w:ascii="Calibri" w:eastAsia="Calibri" w:hAnsi="Calibri" w:cs="Calibri"/>
          <w:bCs/>
          <w:color w:val="0070C0"/>
          <w:szCs w:val="72"/>
          <w:lang w:val="sr-Cyrl-CS"/>
        </w:rPr>
        <w:t>.</w:t>
      </w:r>
    </w:p>
    <w:p w14:paraId="72BDECB3" w14:textId="297C6AE5" w:rsidR="00502EF3" w:rsidRPr="001B41AD" w:rsidRDefault="00502EF3" w:rsidP="00502EF3">
      <w:pPr>
        <w:spacing w:after="120" w:line="257" w:lineRule="auto"/>
        <w:rPr>
          <w:rFonts w:ascii="Calibri" w:eastAsia="Calibri" w:hAnsi="Calibri" w:cs="Calibri"/>
          <w:bCs/>
          <w:color w:val="0070C0"/>
          <w:szCs w:val="72"/>
          <w:lang w:val="sr-Cyrl-CS"/>
        </w:rPr>
      </w:pPr>
      <w:r w:rsidRPr="001B41AD">
        <w:rPr>
          <w:rFonts w:ascii="Calibri" w:eastAsia="Calibri" w:hAnsi="Calibri" w:cs="Calibri"/>
          <w:b/>
          <w:bCs/>
          <w:i/>
          <w:color w:val="0070C0"/>
          <w:szCs w:val="72"/>
          <w:lang w:val="sr-Cyrl-CS"/>
        </w:rPr>
        <w:t xml:space="preserve">Средњорочно гледано, пројектује се кумулативни раст од 11,9% у периоду 2026–2028, са просечном годишњом стопом раста од 3,8%. </w:t>
      </w:r>
      <w:r w:rsidRPr="001B41AD">
        <w:rPr>
          <w:rFonts w:ascii="Calibri" w:eastAsia="Calibri" w:hAnsi="Calibri" w:cs="Calibri"/>
          <w:bCs/>
          <w:color w:val="0070C0"/>
          <w:szCs w:val="72"/>
          <w:lang w:val="sr-Cyrl-CS"/>
        </w:rPr>
        <w:t xml:space="preserve">Динамика раста ће бити заснована на домаћој тражњи, уз снажан наставак инвестиционог циклуса, раст приватне потрошње и постепени опоравак спољне тражње. Убрзање на 5,0% у 2027. години биће резултат реализације </w:t>
      </w:r>
      <w:r w:rsidRPr="001B41AD">
        <w:rPr>
          <w:rFonts w:ascii="Calibri" w:eastAsia="Calibri" w:hAnsi="Calibri" w:cs="Calibri"/>
          <w:bCs/>
          <w:i/>
          <w:color w:val="0070C0"/>
          <w:szCs w:val="72"/>
          <w:lang w:val="sr-Cyrl-CS"/>
        </w:rPr>
        <w:t>EXPO</w:t>
      </w:r>
      <w:r w:rsidR="006119E5" w:rsidRPr="001B41AD">
        <w:rPr>
          <w:rFonts w:ascii="Calibri" w:eastAsia="Calibri" w:hAnsi="Calibri" w:cs="Calibri"/>
          <w:bCs/>
          <w:i/>
          <w:color w:val="0070C0"/>
          <w:szCs w:val="72"/>
          <w:lang w:val="sr-Cyrl-CS"/>
        </w:rPr>
        <w:t xml:space="preserve"> 2027</w:t>
      </w:r>
      <w:r w:rsidRPr="001B41AD">
        <w:rPr>
          <w:rFonts w:ascii="Calibri" w:eastAsia="Calibri" w:hAnsi="Calibri" w:cs="Calibri"/>
          <w:bCs/>
          <w:color w:val="0070C0"/>
          <w:szCs w:val="72"/>
          <w:lang w:val="sr-Cyrl-CS"/>
        </w:rPr>
        <w:t xml:space="preserve"> активности, док се у 2028. очекује умерено успоравање услед базног ефекта. Такав профил раста указује на стабилност </w:t>
      </w:r>
      <w:r w:rsidRPr="001B41AD">
        <w:rPr>
          <w:rFonts w:ascii="Calibri" w:eastAsia="Calibri" w:hAnsi="Calibri" w:cs="Calibri"/>
          <w:bCs/>
          <w:color w:val="0070C0"/>
          <w:szCs w:val="72"/>
          <w:lang w:val="sr-Cyrl-CS"/>
        </w:rPr>
        <w:t>макроекономских фундамената и уравнотежену структуру привредне активности.</w:t>
      </w:r>
    </w:p>
    <w:p w14:paraId="7B2E7E5E" w14:textId="4659428E" w:rsidR="00502EF3" w:rsidRPr="001B41AD" w:rsidRDefault="00502EF3" w:rsidP="00502EF3">
      <w:pPr>
        <w:spacing w:after="120" w:line="257" w:lineRule="auto"/>
        <w:rPr>
          <w:rFonts w:ascii="Calibri" w:eastAsia="Calibri" w:hAnsi="Calibri" w:cs="Calibri"/>
          <w:bCs/>
          <w:color w:val="0070C0"/>
          <w:szCs w:val="72"/>
          <w:lang w:val="sr-Cyrl-CS"/>
        </w:rPr>
      </w:pPr>
      <w:r w:rsidRPr="001B41AD">
        <w:rPr>
          <w:rFonts w:ascii="Calibri" w:eastAsia="Calibri" w:hAnsi="Calibri" w:cs="Calibri"/>
          <w:b/>
          <w:bCs/>
          <w:i/>
          <w:color w:val="0070C0"/>
          <w:szCs w:val="72"/>
          <w:lang w:val="sr-Cyrl-CS"/>
        </w:rPr>
        <w:t>Средњорочни ризици остају изражени и првенствено произилазе из глобалне фрагментације, пооштравања трговинских и индустријских политика, геополитичких тензија и нестабилности на тржиштима енергената и хране.</w:t>
      </w:r>
      <w:r w:rsidRPr="001B41AD">
        <w:rPr>
          <w:rFonts w:ascii="Calibri" w:eastAsia="Calibri" w:hAnsi="Calibri" w:cs="Calibri"/>
          <w:bCs/>
          <w:color w:val="0070C0"/>
          <w:szCs w:val="72"/>
          <w:lang w:val="sr-Cyrl-CS"/>
        </w:rPr>
        <w:t xml:space="preserve"> На домаћем плану, најважнији изазови односе се на секторске неизвесности у енергетски и извозно оријентисаним гранама. Економска политика усмерава одговор на ове изазове кр</w:t>
      </w:r>
      <w:r w:rsidR="007E141B" w:rsidRPr="001B41AD">
        <w:rPr>
          <w:rFonts w:ascii="Calibri" w:eastAsia="Calibri" w:hAnsi="Calibri" w:cs="Calibri"/>
          <w:bCs/>
          <w:color w:val="0070C0"/>
          <w:szCs w:val="72"/>
          <w:lang w:val="sr-Cyrl-CS"/>
        </w:rPr>
        <w:t xml:space="preserve">оз очување фискалне дисциплине, </w:t>
      </w:r>
      <w:r w:rsidRPr="001B41AD">
        <w:rPr>
          <w:rFonts w:ascii="Calibri" w:eastAsia="Calibri" w:hAnsi="Calibri" w:cs="Calibri"/>
          <w:bCs/>
          <w:color w:val="0070C0"/>
          <w:szCs w:val="72"/>
          <w:lang w:val="sr-Cyrl-CS"/>
        </w:rPr>
        <w:t>мере за повећање енергетске ефикасности</w:t>
      </w:r>
      <w:r w:rsidR="007E141B" w:rsidRPr="001B41AD">
        <w:rPr>
          <w:rFonts w:ascii="Calibri" w:eastAsia="Calibri" w:hAnsi="Calibri" w:cs="Calibri"/>
          <w:bCs/>
          <w:color w:val="0070C0"/>
          <w:szCs w:val="72"/>
          <w:lang w:val="sr-Cyrl-CS"/>
        </w:rPr>
        <w:t xml:space="preserve"> и сигурности, уз</w:t>
      </w:r>
      <w:r w:rsidRPr="001B41AD">
        <w:rPr>
          <w:rFonts w:ascii="Calibri" w:eastAsia="Calibri" w:hAnsi="Calibri" w:cs="Calibri"/>
          <w:bCs/>
          <w:color w:val="0070C0"/>
          <w:szCs w:val="72"/>
          <w:lang w:val="sr-Cyrl-CS"/>
        </w:rPr>
        <w:t xml:space="preserve"> убрзање реализације инфраструктурних и </w:t>
      </w:r>
      <w:r w:rsidRPr="001B41AD">
        <w:rPr>
          <w:rFonts w:ascii="Calibri" w:eastAsia="Calibri" w:hAnsi="Calibri" w:cs="Calibri"/>
          <w:bCs/>
          <w:i/>
          <w:color w:val="0070C0"/>
          <w:szCs w:val="72"/>
          <w:lang w:val="sr-Cyrl-CS"/>
        </w:rPr>
        <w:t>EXPO</w:t>
      </w:r>
      <w:r w:rsidR="006119E5" w:rsidRPr="001B41AD">
        <w:rPr>
          <w:rFonts w:ascii="Calibri" w:eastAsia="Calibri" w:hAnsi="Calibri" w:cs="Calibri"/>
          <w:bCs/>
          <w:i/>
          <w:color w:val="0070C0"/>
          <w:szCs w:val="72"/>
          <w:lang w:val="sr-Cyrl-CS"/>
        </w:rPr>
        <w:t xml:space="preserve"> 2027</w:t>
      </w:r>
      <w:r w:rsidRPr="001B41AD">
        <w:rPr>
          <w:rFonts w:ascii="Calibri" w:eastAsia="Calibri" w:hAnsi="Calibri" w:cs="Calibri"/>
          <w:bCs/>
          <w:color w:val="0070C0"/>
          <w:szCs w:val="72"/>
          <w:lang w:val="sr-Cyrl-CS"/>
        </w:rPr>
        <w:t>-повезаних пројеката. Такав оквир омогућава да се негативни ефекти шокова ублаже, а позитивни спољни импулси брже пренесу у раст.</w:t>
      </w:r>
    </w:p>
    <w:p w14:paraId="41B2D95B" w14:textId="77777777" w:rsidR="00502EF3" w:rsidRPr="001B41AD" w:rsidRDefault="00502EF3" w:rsidP="00502EF3">
      <w:pPr>
        <w:spacing w:after="120" w:line="257" w:lineRule="auto"/>
        <w:rPr>
          <w:rFonts w:ascii="Calibri" w:eastAsia="Calibri" w:hAnsi="Calibri" w:cs="Calibri"/>
          <w:bCs/>
          <w:color w:val="0070C0"/>
          <w:szCs w:val="72"/>
          <w:lang w:val="sr-Cyrl-CS"/>
        </w:rPr>
      </w:pPr>
      <w:r w:rsidRPr="001B41AD">
        <w:rPr>
          <w:rFonts w:ascii="Calibri" w:eastAsia="Calibri" w:hAnsi="Calibri" w:cs="Calibri"/>
          <w:b/>
          <w:bCs/>
          <w:i/>
          <w:color w:val="0070C0"/>
          <w:szCs w:val="72"/>
          <w:lang w:val="sr-Cyrl-CS"/>
        </w:rPr>
        <w:t xml:space="preserve">Фискална дисциплина остаје темељни принцип економске политике Републике Србије. </w:t>
      </w:r>
      <w:r w:rsidRPr="001B41AD">
        <w:rPr>
          <w:rFonts w:ascii="Calibri" w:eastAsia="Calibri" w:hAnsi="Calibri" w:cs="Calibri"/>
          <w:bCs/>
          <w:color w:val="0070C0"/>
          <w:szCs w:val="72"/>
          <w:lang w:val="sr-Cyrl-CS"/>
        </w:rPr>
        <w:t>Планира се постепено смањење буџетског дефицита са 3,0% БДП током инвестиционог циклуса на 2,5% БДП до 2028. године, што обезбеђује наставак опадајућег тренда јавног дуга који ће се, према проценама, спустити на око 44% БДП до краја средњорочног периода. Истовремено, висок ниво јавних инвестиција биће задржан, уз унапређење транспарентности и ефикасности управљања капиталним пројектима.</w:t>
      </w:r>
    </w:p>
    <w:p w14:paraId="05493F9E" w14:textId="77777777" w:rsidR="00502EF3" w:rsidRPr="001B41AD" w:rsidRDefault="00502EF3" w:rsidP="00502EF3">
      <w:pPr>
        <w:spacing w:after="120" w:line="257" w:lineRule="auto"/>
        <w:rPr>
          <w:rFonts w:ascii="Calibri" w:eastAsia="Calibri" w:hAnsi="Calibri" w:cs="Calibri"/>
          <w:bCs/>
          <w:color w:val="0070C0"/>
          <w:szCs w:val="72"/>
          <w:lang w:val="sr-Cyrl-CS"/>
        </w:rPr>
      </w:pPr>
      <w:r w:rsidRPr="001B41AD">
        <w:rPr>
          <w:rFonts w:ascii="Calibri" w:eastAsia="Calibri" w:hAnsi="Calibri" w:cs="Calibri"/>
          <w:b/>
          <w:bCs/>
          <w:i/>
          <w:color w:val="0070C0"/>
          <w:szCs w:val="72"/>
          <w:lang w:val="sr-Cyrl-CS"/>
        </w:rPr>
        <w:t xml:space="preserve">Наставак процеса европских интеграција и продубљивање сарадње остају стратешки циљеви економске политике Републике Србије. </w:t>
      </w:r>
      <w:r w:rsidRPr="001B41AD">
        <w:rPr>
          <w:rFonts w:ascii="Calibri" w:eastAsia="Calibri" w:hAnsi="Calibri" w:cs="Calibri"/>
          <w:bCs/>
          <w:color w:val="0070C0"/>
          <w:szCs w:val="72"/>
          <w:lang w:val="sr-Cyrl-CS"/>
        </w:rPr>
        <w:t>Имплементација Агенде раста представља важан инструмент за јачање економске повезаности Западног Балкана са јединственим тржиштем Европске уније, док саветодавни аранжман са Међународним монетарним фондом (у даљем тексту: ММФ) обезбеђује додатни ослонац за спровођење структурних реформи, јача транспарентност и предвидивост економске политике и доприноси очувању макроекономског кредибилитета Републике Србије у међународним оквирима. Комбиновано, ови процеси позиционирају Републику Србију као стабилног и поузданог партнера на европском путу и у регионалним иницијативама.</w:t>
      </w:r>
    </w:p>
    <w:p w14:paraId="661A55C8" w14:textId="77777777" w:rsidR="00EC3C29" w:rsidRPr="001B41AD" w:rsidRDefault="00EC3C29" w:rsidP="00502EF3">
      <w:pPr>
        <w:spacing w:after="120" w:line="257" w:lineRule="auto"/>
        <w:rPr>
          <w:rFonts w:ascii="Calibri" w:eastAsia="Calibri" w:hAnsi="Calibri" w:cs="Calibri"/>
          <w:bCs/>
          <w:color w:val="0070C0"/>
          <w:szCs w:val="72"/>
          <w:lang w:val="sr-Cyrl-CS"/>
        </w:rPr>
        <w:sectPr w:rsidR="00EC3C29" w:rsidRPr="001B41AD" w:rsidSect="00436957">
          <w:headerReference w:type="even" r:id="rId16"/>
          <w:headerReference w:type="default" r:id="rId17"/>
          <w:footerReference w:type="even" r:id="rId18"/>
          <w:footerReference w:type="default" r:id="rId19"/>
          <w:footerReference w:type="first" r:id="rId20"/>
          <w:type w:val="continuous"/>
          <w:pgSz w:w="12240" w:h="15840" w:code="1"/>
          <w:pgMar w:top="1440" w:right="1440" w:bottom="1440" w:left="1440" w:header="720" w:footer="720" w:gutter="0"/>
          <w:cols w:num="2" w:space="720"/>
          <w:titlePg/>
          <w:docGrid w:linePitch="360"/>
        </w:sectPr>
      </w:pPr>
    </w:p>
    <w:p w14:paraId="1B59BB24" w14:textId="77777777" w:rsidR="00EC3C29" w:rsidRPr="001B41AD" w:rsidRDefault="00EC3C29" w:rsidP="00502EF3">
      <w:pPr>
        <w:keepNext/>
        <w:keepLines/>
        <w:spacing w:before="40" w:after="0"/>
        <w:jc w:val="center"/>
        <w:outlineLvl w:val="1"/>
        <w:rPr>
          <w:rFonts w:ascii="Calibri" w:eastAsia="Times New Roman" w:hAnsi="Calibri" w:cs="Calibri"/>
          <w:b/>
          <w:bCs/>
          <w:sz w:val="24"/>
          <w:szCs w:val="26"/>
          <w:lang w:val="sr-Cyrl-CS"/>
        </w:rPr>
      </w:pPr>
      <w:bookmarkStart w:id="6" w:name="_Toc146277912"/>
      <w:bookmarkStart w:id="7" w:name="_Toc148431265"/>
      <w:bookmarkStart w:id="8" w:name="_Toc171062478"/>
    </w:p>
    <w:p w14:paraId="5C6D139E" w14:textId="77777777" w:rsidR="00502EF3" w:rsidRPr="001B41AD" w:rsidRDefault="00502EF3" w:rsidP="00502EF3">
      <w:pPr>
        <w:keepNext/>
        <w:keepLines/>
        <w:spacing w:before="40" w:after="0"/>
        <w:jc w:val="center"/>
        <w:outlineLvl w:val="1"/>
        <w:rPr>
          <w:rFonts w:ascii="Calibri" w:eastAsia="Times New Roman" w:hAnsi="Calibri" w:cs="Calibri"/>
          <w:b/>
          <w:bCs/>
          <w:color w:val="2F5496"/>
          <w:sz w:val="24"/>
          <w:szCs w:val="26"/>
          <w:lang w:val="sr-Cyrl-CS"/>
        </w:rPr>
        <w:sectPr w:rsidR="00502EF3" w:rsidRPr="001B41AD" w:rsidSect="00436957">
          <w:type w:val="continuous"/>
          <w:pgSz w:w="12240" w:h="15840" w:code="1"/>
          <w:pgMar w:top="1440" w:right="1440" w:bottom="1440" w:left="1440" w:header="720" w:footer="720" w:gutter="0"/>
          <w:cols w:space="720"/>
          <w:titlePg/>
          <w:docGrid w:linePitch="360"/>
        </w:sectPr>
      </w:pPr>
      <w:bookmarkStart w:id="9" w:name="_Toc212642466"/>
      <w:r w:rsidRPr="001B41AD">
        <w:rPr>
          <w:rFonts w:ascii="Calibri" w:eastAsia="Times New Roman" w:hAnsi="Calibri" w:cs="Calibri"/>
          <w:b/>
          <w:bCs/>
          <w:color w:val="2F5496"/>
          <w:sz w:val="24"/>
          <w:szCs w:val="26"/>
          <w:lang w:val="sr-Cyrl-CS"/>
        </w:rPr>
        <w:t xml:space="preserve">2. </w:t>
      </w:r>
      <w:r w:rsidRPr="001B41AD">
        <w:rPr>
          <w:rFonts w:ascii="Calibri" w:eastAsia="Times New Roman" w:hAnsi="Calibri" w:cs="Calibri"/>
          <w:b/>
          <w:bCs/>
          <w:color w:val="2F5496" w:themeColor="accent1" w:themeShade="BF"/>
          <w:sz w:val="24"/>
          <w:szCs w:val="26"/>
          <w:lang w:val="sr-Cyrl-CS"/>
        </w:rPr>
        <w:t>Процене</w:t>
      </w:r>
      <w:r w:rsidRPr="001B41AD">
        <w:rPr>
          <w:rFonts w:ascii="Calibri" w:eastAsia="Times New Roman" w:hAnsi="Calibri" w:cs="Calibri"/>
          <w:b/>
          <w:bCs/>
          <w:color w:val="2F5496"/>
          <w:sz w:val="24"/>
          <w:szCs w:val="26"/>
          <w:lang w:val="sr-Cyrl-CS"/>
        </w:rPr>
        <w:t xml:space="preserve"> међународног економског окружења</w:t>
      </w:r>
      <w:bookmarkEnd w:id="6"/>
      <w:bookmarkEnd w:id="7"/>
      <w:bookmarkEnd w:id="8"/>
      <w:bookmarkEnd w:id="9"/>
    </w:p>
    <w:p w14:paraId="5F966F6F" w14:textId="77777777" w:rsidR="00502EF3" w:rsidRPr="001B41AD" w:rsidRDefault="00502EF3" w:rsidP="00502EF3">
      <w:pPr>
        <w:rPr>
          <w:rFonts w:ascii="Calibri" w:eastAsia="Calibri" w:hAnsi="Calibri" w:cs="Times New Roman"/>
          <w:color w:val="FF0000"/>
          <w:highlight w:val="yellow"/>
          <w:lang w:val="sr-Cyrl-CS"/>
        </w:rPr>
      </w:pPr>
      <w:r w:rsidRPr="001B41AD">
        <w:rPr>
          <w:rFonts w:ascii="Calibri" w:eastAsia="Calibri" w:hAnsi="Calibri" w:cs="Calibri"/>
          <w:b/>
          <w:noProof/>
          <w:color w:val="FF0000"/>
          <w:sz w:val="24"/>
          <w:highlight w:val="yellow"/>
        </w:rPr>
        <mc:AlternateContent>
          <mc:Choice Requires="wps">
            <w:drawing>
              <wp:anchor distT="0" distB="0" distL="114300" distR="114300" simplePos="0" relativeHeight="251672576" behindDoc="1" locked="0" layoutInCell="1" allowOverlap="1" wp14:anchorId="653C8A5C" wp14:editId="5E94EB3F">
                <wp:simplePos x="0" y="0"/>
                <wp:positionH relativeFrom="margin">
                  <wp:posOffset>-67586</wp:posOffset>
                </wp:positionH>
                <wp:positionV relativeFrom="paragraph">
                  <wp:posOffset>216783</wp:posOffset>
                </wp:positionV>
                <wp:extent cx="6139815" cy="5553490"/>
                <wp:effectExtent l="0" t="0" r="0" b="9525"/>
                <wp:wrapNone/>
                <wp:docPr id="63" name="Rectangle 63"/>
                <wp:cNvGraphicFramePr/>
                <a:graphic xmlns:a="http://schemas.openxmlformats.org/drawingml/2006/main">
                  <a:graphicData uri="http://schemas.microsoft.com/office/word/2010/wordprocessingShape">
                    <wps:wsp>
                      <wps:cNvSpPr/>
                      <wps:spPr>
                        <a:xfrm>
                          <a:off x="0" y="0"/>
                          <a:ext cx="6139815" cy="5553490"/>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txbx>
                        <w:txbxContent>
                          <w:p w14:paraId="1CA5B897" w14:textId="77777777" w:rsidR="001B41AD" w:rsidRDefault="001B41AD" w:rsidP="00502EF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3C8A5C" id="Rectangle 63" o:spid="_x0000_s1026" style="position:absolute;left:0;text-align:left;margin-left:-5.3pt;margin-top:17.05pt;width:483.45pt;height:437.3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" fillcolor="#d9d9d9" stroked="f" strokeweight="1pt">
                <v:fill r:id="rId21" o:title="" color2="window" type="pattern"/>
                <v:textbox>
                  <w:txbxContent>
                    <w:p w14:paraId="1CA5B897" w14:textId="77777777" w:rsidR="001B41AD" w:rsidRDefault="001B41AD" w:rsidP="00502EF3">
                      <w:pPr>
                        <w:jc w:val="center"/>
                      </w:pPr>
                    </w:p>
                  </w:txbxContent>
                </v:textbox>
                <w10:wrap anchorx="margin"/>
              </v:rect>
            </w:pict>
          </mc:Fallback>
        </mc:AlternateContent>
      </w:r>
    </w:p>
    <w:p w14:paraId="293DE9C4" w14:textId="77777777" w:rsidR="00502EF3" w:rsidRPr="001B41AD" w:rsidRDefault="00502EF3" w:rsidP="00502EF3">
      <w:pPr>
        <w:spacing w:after="120"/>
        <w:rPr>
          <w:rFonts w:ascii="Calibri" w:eastAsia="Calibri" w:hAnsi="Calibri" w:cs="Calibri"/>
          <w:bCs/>
          <w:color w:val="0070C0"/>
          <w:szCs w:val="72"/>
          <w:lang w:val="sr-Cyrl-CS"/>
        </w:rPr>
        <w:sectPr w:rsidR="00502EF3" w:rsidRPr="001B41AD" w:rsidSect="00436957">
          <w:type w:val="continuous"/>
          <w:pgSz w:w="12240" w:h="15840"/>
          <w:pgMar w:top="1440" w:right="1440" w:bottom="1440" w:left="1440" w:header="708" w:footer="708" w:gutter="0"/>
          <w:cols w:num="2" w:space="708"/>
          <w:docGrid w:linePitch="360"/>
        </w:sectPr>
      </w:pPr>
    </w:p>
    <w:p w14:paraId="473DC205" w14:textId="77777777" w:rsidR="00502EF3" w:rsidRPr="001B41AD" w:rsidRDefault="00502EF3" w:rsidP="00502EF3">
      <w:pPr>
        <w:spacing w:after="120"/>
        <w:rPr>
          <w:rFonts w:ascii="Calibri" w:eastAsia="Calibri" w:hAnsi="Calibri" w:cs="Calibri"/>
          <w:bCs/>
          <w:color w:val="0070C0"/>
          <w:szCs w:val="72"/>
          <w:lang w:val="sr-Cyrl-CS"/>
        </w:rPr>
      </w:pPr>
      <w:r w:rsidRPr="001B41AD">
        <w:rPr>
          <w:rFonts w:ascii="Calibri" w:eastAsia="Calibri" w:hAnsi="Calibri" w:cs="Calibri"/>
          <w:bCs/>
          <w:color w:val="0070C0"/>
          <w:szCs w:val="72"/>
          <w:lang w:val="sr-Cyrl-CS"/>
        </w:rPr>
        <w:t>Глобална економска кретања током 2025. године била су изразито нестабилна, под утицајем снажне интеракције економских и политичких фактора који су преобликовали међународно окружење. Нови талас промена у економској политици Сједињених Америчких Држава (у даљем тексту: САД) и реструктурирање глобалних трговинских односа појачали су неизвесност и изазвали осцилације на финансијским тржиштима. Увођењем широког спектра нових тарифних мера, царине су достигле највише нивое у последњим деценијама. Иако су контрамере других земаља биле ограничене, каснији билатерални споразуми са САД ублажили су трговинске тензије и допринели стабилизацији очекивања. Правовремено прилагођавање приватног сектора и ефикасно преусмеравање ланаца снабдевања омогућили су да глобални трговински систем задржи функционалност и релативну стабилност упркос измењеним условима. У октобарским пројекцијама ММФ је благо повећао очекивани раст глобалног БДП на 3,2% у 2025. и 3,1% у 2026. години. Ревизија пре свега одражава привремену отпорност и прилагодљивост економија, док ће ефекти тарифних мера и појачане глобалне фрагментације постепено долазити до изражаја у наредним годинама, ограничавајући потенцијал раста на дужи рок.</w:t>
      </w:r>
    </w:p>
    <w:p w14:paraId="27490E0A" w14:textId="77777777" w:rsidR="00502EF3" w:rsidRPr="001B41AD" w:rsidRDefault="00502EF3" w:rsidP="00502EF3">
      <w:pPr>
        <w:spacing w:after="120"/>
        <w:rPr>
          <w:rFonts w:ascii="Calibri" w:eastAsia="Calibri" w:hAnsi="Calibri" w:cs="Calibri"/>
          <w:bCs/>
          <w:color w:val="0070C0"/>
          <w:szCs w:val="72"/>
          <w:lang w:val="sr-Cyrl-CS"/>
        </w:rPr>
      </w:pPr>
      <w:r w:rsidRPr="001B41AD">
        <w:rPr>
          <w:rFonts w:ascii="Calibri" w:eastAsia="Calibri" w:hAnsi="Calibri" w:cs="Calibri"/>
          <w:bCs/>
          <w:color w:val="0070C0"/>
          <w:szCs w:val="72"/>
          <w:lang w:val="sr-Cyrl-CS"/>
        </w:rPr>
        <w:t xml:space="preserve">Глобална инфлација наставиће да успорава, уз изражене регионалне разлике. Према актуелним проценама, укупна инфлација опада са 5,8% у 2024. на 4,2% у 2025. и 3,7% у 2026. години, при </w:t>
      </w:r>
      <w:r w:rsidRPr="001B41AD">
        <w:rPr>
          <w:rFonts w:ascii="Calibri" w:eastAsia="Calibri" w:hAnsi="Calibri" w:cs="Calibri"/>
          <w:bCs/>
          <w:color w:val="0070C0"/>
          <w:szCs w:val="72"/>
          <w:lang w:val="sr-Cyrl-CS"/>
        </w:rPr>
        <w:t>чему је пројектована путања суштински непромењена у односу на претходне пројекције. Дивергенција монетарних политика одражава хетерогеност домаћих услова — разлике у динамици инфлације, снази привредне активности и прилагођености тржишта рада — те централне банке темпирају ублажавање рестриктивне монетарне политике у складу са националним оквирима. Фискална политика остаје релативно експанзивна: примарни дефицити и даље премашују пре</w:t>
      </w:r>
      <w:r w:rsidR="004A3785" w:rsidRPr="001B41AD">
        <w:rPr>
          <w:rFonts w:ascii="Calibri" w:eastAsia="Calibri" w:hAnsi="Calibri" w:cs="Calibri"/>
          <w:bCs/>
          <w:color w:val="0070C0"/>
          <w:szCs w:val="72"/>
          <w:lang w:val="sr-Cyrl-CS"/>
        </w:rPr>
        <w:t>т</w:t>
      </w:r>
      <w:r w:rsidRPr="001B41AD">
        <w:rPr>
          <w:rFonts w:ascii="Calibri" w:eastAsia="Calibri" w:hAnsi="Calibri" w:cs="Calibri"/>
          <w:bCs/>
          <w:color w:val="0070C0"/>
          <w:szCs w:val="72"/>
          <w:lang w:val="sr-Cyrl-CS"/>
        </w:rPr>
        <w:t>пандемијске нивое, што појачава притиске на дугорочну одрживост јавних финансија и сужава маневарски простор за геополитички мотивисане иницијативе усмерене на повећање улагања.</w:t>
      </w:r>
    </w:p>
    <w:p w14:paraId="38AC4F67" w14:textId="77777777" w:rsidR="00502EF3" w:rsidRPr="001B41AD" w:rsidRDefault="00502EF3" w:rsidP="00502EF3">
      <w:pPr>
        <w:spacing w:after="120"/>
        <w:rPr>
          <w:rFonts w:ascii="Calibri" w:eastAsia="Calibri" w:hAnsi="Calibri" w:cs="Calibri"/>
          <w:bCs/>
          <w:color w:val="0070C0"/>
          <w:szCs w:val="72"/>
          <w:lang w:val="sr-Cyrl-CS"/>
        </w:rPr>
      </w:pPr>
      <w:r w:rsidRPr="001B41AD">
        <w:rPr>
          <w:rFonts w:ascii="Calibri" w:eastAsia="Calibri" w:hAnsi="Calibri" w:cs="Calibri"/>
          <w:bCs/>
          <w:color w:val="0070C0"/>
          <w:szCs w:val="72"/>
          <w:lang w:val="sr-Cyrl-CS"/>
        </w:rPr>
        <w:t>Ризици пројекција остају асиметрични наниже. Продужена трговинска неизвесност и потенцијална ескалација протекционизма могу додатно обуздати инвестиције, пореметити ланце снабдевања и успорити раст продуктивности. Истовремено, раст јавног дуга и виши трошкови финансирања увећавају осетљивост фискалних позиција. Додатне неизвесности произлазе из климатских шокова и могућих турбуленција у технолошком сектору, нарочито ако ефекти шире примене вештачке интелигенције остану испод очекивања. Са позитивне стране, напредак у трговинским договорима, убрзање структурних реформи и технолошке иновације — укључујући широку примену вештачке интелигенције — могли би оснажити поверење и подстаћи раст у средњем року.</w:t>
      </w:r>
    </w:p>
    <w:p w14:paraId="456EFDFB" w14:textId="77777777" w:rsidR="00502EF3" w:rsidRPr="001B41AD" w:rsidRDefault="00502EF3" w:rsidP="00502EF3">
      <w:pPr>
        <w:rPr>
          <w:rFonts w:ascii="Calibri" w:eastAsia="Calibri" w:hAnsi="Calibri" w:cs="Calibri"/>
          <w:b/>
          <w:lang w:val="sr-Cyrl-CS"/>
        </w:rPr>
        <w:sectPr w:rsidR="00502EF3" w:rsidRPr="001B41AD" w:rsidSect="00436957">
          <w:type w:val="continuous"/>
          <w:pgSz w:w="12240" w:h="15840"/>
          <w:pgMar w:top="1440" w:right="1440" w:bottom="1440" w:left="1440" w:header="708" w:footer="708" w:gutter="0"/>
          <w:cols w:num="2" w:space="708"/>
          <w:docGrid w:linePitch="360"/>
        </w:sectPr>
      </w:pPr>
    </w:p>
    <w:p w14:paraId="4E125EAC" w14:textId="77777777" w:rsidR="00502EF3" w:rsidRPr="001B41AD" w:rsidRDefault="00502EF3" w:rsidP="00502EF3">
      <w:pPr>
        <w:spacing w:before="120"/>
        <w:rPr>
          <w:rFonts w:ascii="Calibri" w:eastAsia="Calibri" w:hAnsi="Calibri" w:cs="Calibri"/>
          <w:b/>
          <w:lang w:val="sr-Cyrl-CS"/>
        </w:rPr>
        <w:sectPr w:rsidR="00502EF3" w:rsidRPr="001B41AD" w:rsidSect="00436957">
          <w:type w:val="continuous"/>
          <w:pgSz w:w="12240" w:h="15840"/>
          <w:pgMar w:top="1440" w:right="1440" w:bottom="1440" w:left="1440" w:header="708" w:footer="708" w:gutter="0"/>
          <w:cols w:num="2" w:space="708"/>
          <w:docGrid w:linePitch="360"/>
        </w:sectPr>
      </w:pPr>
    </w:p>
    <w:p w14:paraId="31C6DA2E" w14:textId="77777777" w:rsidR="00502EF3" w:rsidRPr="001B41AD" w:rsidRDefault="00502EF3" w:rsidP="00502EF3">
      <w:pPr>
        <w:rPr>
          <w:rFonts w:ascii="Calibri" w:eastAsia="Calibri" w:hAnsi="Calibri" w:cs="Calibri"/>
          <w:b/>
          <w:color w:val="2F5496" w:themeColor="accent1" w:themeShade="BF"/>
          <w:lang w:val="sr-Cyrl-CS"/>
        </w:rPr>
      </w:pPr>
      <w:r w:rsidRPr="001B41AD">
        <w:rPr>
          <w:rFonts w:ascii="Calibri" w:eastAsia="Calibri" w:hAnsi="Calibri" w:cs="Calibri"/>
          <w:b/>
          <w:color w:val="2F5496" w:themeColor="accent1" w:themeShade="BF"/>
          <w:lang w:val="sr-Cyrl-CS"/>
        </w:rPr>
        <w:t>Макроекономске процене Међународног монетарног фонда (ММФ)</w:t>
      </w:r>
    </w:p>
    <w:p w14:paraId="34ACED8E" w14:textId="77777777" w:rsidR="00502EF3" w:rsidRPr="001B41AD" w:rsidRDefault="00502EF3" w:rsidP="00502EF3">
      <w:pPr>
        <w:spacing w:line="264" w:lineRule="auto"/>
        <w:rPr>
          <w:rFonts w:ascii="Calibri" w:eastAsia="Calibri" w:hAnsi="Calibri" w:cs="Times New Roman"/>
          <w:lang w:val="sr-Cyrl-CS"/>
        </w:rPr>
      </w:pPr>
      <w:r w:rsidRPr="001B41AD">
        <w:rPr>
          <w:rFonts w:ascii="Calibri" w:eastAsia="Calibri" w:hAnsi="Calibri" w:cs="Times New Roman"/>
          <w:lang w:val="sr-Cyrl-CS"/>
        </w:rPr>
        <w:t xml:space="preserve">Током 2025. године глобална економија је пословала у изузетно сложеном и нестабилном окружењу, у којем су промене економских и трговинских политика водећих земаља, заједно са појачаним геополитичким тензијама, утицале на токове раста, трговине и инвестиција. САД су почетком 2025. године увеле широк пакет нових </w:t>
      </w:r>
      <w:r w:rsidRPr="001B41AD">
        <w:rPr>
          <w:rFonts w:ascii="Calibri" w:eastAsia="Calibri" w:hAnsi="Calibri" w:cs="Times New Roman"/>
          <w:lang w:val="sr-Cyrl-CS"/>
        </w:rPr>
        <w:t xml:space="preserve">тарифних мера, подижући царине на вишедеценијски максимум. Након почетних, ограничених контрамера појединих партнера, уследио је низ билатералних споразума са САД који су допринели смиривању трговинских тензија и ублажавању неповољних ефеката на трговинске робне токове. Ефективна царинска стопа САД се, после априлског максимума, стабилизовала у распону од 10 до 20 процената за већину земаља-и даље знатно више у односу на претходни </w:t>
      </w:r>
      <w:r w:rsidRPr="001B41AD">
        <w:rPr>
          <w:rFonts w:ascii="Calibri" w:eastAsia="Calibri" w:hAnsi="Calibri" w:cs="Times New Roman"/>
          <w:lang w:val="sr-Cyrl-CS"/>
        </w:rPr>
        <w:lastRenderedPageBreak/>
        <w:t xml:space="preserve">период. </w:t>
      </w:r>
      <w:r w:rsidR="00026924" w:rsidRPr="001B41AD">
        <w:rPr>
          <w:rFonts w:ascii="Calibri" w:eastAsia="Calibri" w:hAnsi="Calibri" w:cs="Times New Roman"/>
          <w:lang w:val="sr-Cyrl-CS"/>
        </w:rPr>
        <w:t>Заокрет</w:t>
      </w:r>
      <w:r w:rsidRPr="001B41AD">
        <w:rPr>
          <w:rFonts w:ascii="Calibri" w:eastAsia="Calibri" w:hAnsi="Calibri" w:cs="Times New Roman"/>
          <w:lang w:val="sr-Cyrl-CS"/>
        </w:rPr>
        <w:t xml:space="preserve"> у америчкој политици иницирао је брза прилагођавања у глобалним ланцима снабдевања: приватни сектор је преусмеравао трговинске токове, мењао добављачке структуре и привремено повећавао залихе уочи најављених поскупљења. Одложена примена дела тарифа омогућила је компанијама да успоре корекције цена, док су високе профитне марже након пандемијске инфлације деловале као амортизер за добављаче и увознике. Иако је релативно слабији долар појачао царински шок у САД, истовремено је допринео повољнијим глобалним финансијским условима и ублажио инфлаторне притиске преко девизног канала, чиме је креаторима политика проширио простор за подршку економској активности. Скуп ових фактора ублажио је ефекте протекционизма и спречио нагли пад глобалне производње и трговине.</w:t>
      </w:r>
    </w:p>
    <w:p w14:paraId="69222811" w14:textId="77777777" w:rsidR="00502EF3" w:rsidRPr="001B41AD" w:rsidRDefault="00502EF3" w:rsidP="00502EF3">
      <w:pPr>
        <w:jc w:val="center"/>
        <w:rPr>
          <w:rFonts w:ascii="Calibri" w:eastAsia="Calibri" w:hAnsi="Calibri" w:cs="Calibri"/>
          <w:b/>
          <w:color w:val="2F5496"/>
          <w:lang w:val="sr-Cyrl-CS"/>
        </w:rPr>
      </w:pPr>
      <w:r w:rsidRPr="001B41AD">
        <w:rPr>
          <w:rFonts w:ascii="Calibri" w:eastAsia="Calibri" w:hAnsi="Calibri" w:cs="Calibri"/>
          <w:b/>
          <w:color w:val="002060"/>
          <w:lang w:val="sr-Cyrl-CS"/>
        </w:rPr>
        <w:t>Укупна, економска и трговинска неизвесност (индекс)</w:t>
      </w:r>
    </w:p>
    <w:p w14:paraId="5E67F8F4" w14:textId="77777777" w:rsidR="00502EF3" w:rsidRPr="001B41AD" w:rsidRDefault="00502EF3" w:rsidP="00502EF3">
      <w:pPr>
        <w:spacing w:after="120"/>
        <w:rPr>
          <w:rFonts w:ascii="Calibri" w:eastAsia="Calibri" w:hAnsi="Calibri" w:cs="Times New Roman"/>
          <w:lang w:val="sr-Cyrl-CS"/>
        </w:rPr>
      </w:pPr>
      <w:r w:rsidRPr="001B41AD">
        <w:rPr>
          <w:noProof/>
        </w:rPr>
        <w:drawing>
          <wp:inline distT="0" distB="0" distL="0" distR="0" wp14:anchorId="1211CB72" wp14:editId="4FB69C0B">
            <wp:extent cx="2747010" cy="2169160"/>
            <wp:effectExtent l="0" t="0" r="15240" b="254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1B41AD">
        <w:rPr>
          <w:rFonts w:ascii="Calibri" w:eastAsia="Calibri" w:hAnsi="Calibri" w:cs="Times New Roman"/>
          <w:sz w:val="14"/>
          <w:szCs w:val="16"/>
          <w:lang w:val="sr-Cyrl-CS"/>
        </w:rPr>
        <w:t>Извор: ММФ, World Economic Outlook, октобар 2025.</w:t>
      </w:r>
    </w:p>
    <w:p w14:paraId="55C68E3E" w14:textId="77777777" w:rsidR="00502EF3" w:rsidRPr="001B41AD" w:rsidRDefault="00502EF3" w:rsidP="00502EF3">
      <w:pPr>
        <w:spacing w:after="120"/>
        <w:rPr>
          <w:rFonts w:ascii="Calibri" w:eastAsia="Calibri" w:hAnsi="Calibri" w:cs="Times New Roman"/>
          <w:lang w:val="sr-Cyrl-CS"/>
        </w:rPr>
      </w:pPr>
      <w:r w:rsidRPr="001B41AD">
        <w:rPr>
          <w:rFonts w:ascii="Calibri" w:eastAsia="Calibri" w:hAnsi="Calibri" w:cs="Times New Roman"/>
          <w:lang w:val="sr-Cyrl-CS"/>
        </w:rPr>
        <w:t>Иако су показатељи активности остали релативно отпорни, мере које су краткорочно подржале раст, као што су преусмеравање трговинских токова и привремено гомилање залиха, носе високе трошкове и нису одрживе на дужи рок. Неуобичајена динамика нето извоза и залиха, проистекла из убрзаног раста увоза, указује да се импулси раста у све већој мери ослањају на пролазне факторе. Истовремено, раст базне инфлације у САД и задржавање инфлације изнад</w:t>
      </w:r>
      <w:r w:rsidR="00BF502A" w:rsidRPr="001B41AD">
        <w:rPr>
          <w:rFonts w:ascii="Calibri" w:eastAsia="Calibri" w:hAnsi="Calibri" w:cs="Times New Roman"/>
          <w:lang w:val="sr-Cyrl-CS"/>
        </w:rPr>
        <w:t xml:space="preserve"> циљева у више других економија</w:t>
      </w:r>
      <w:r w:rsidRPr="001B41AD">
        <w:rPr>
          <w:rFonts w:ascii="Calibri" w:eastAsia="Calibri" w:hAnsi="Calibri" w:cs="Times New Roman"/>
          <w:lang w:val="sr-Cyrl-CS"/>
        </w:rPr>
        <w:t xml:space="preserve"> сугеришу постепено преливање царинских мера на цене и </w:t>
      </w:r>
      <w:r w:rsidRPr="001B41AD">
        <w:rPr>
          <w:rFonts w:ascii="Calibri" w:eastAsia="Calibri" w:hAnsi="Calibri" w:cs="Times New Roman"/>
          <w:lang w:val="sr-Cyrl-CS"/>
        </w:rPr>
        <w:t>трошкове производње. Поред трговинских поремећаја, дошло је и до значајних промена у осталим сферама економске политике: више развијених земаља смањило је обим развојне помоћи и пооштрило имиграционе режиме, што је утицало на глобалне токове капитала и рада. Нагли пад нето миграције у више напредних економија представља структурни ризик за потенцијални раст и демографску одрживост.</w:t>
      </w:r>
      <w:r w:rsidRPr="001B41AD">
        <w:rPr>
          <w:rFonts w:ascii="Calibri" w:eastAsia="Calibri" w:hAnsi="Calibri" w:cs="Times New Roman"/>
          <w:lang w:val="sr-Cyrl-CS"/>
        </w:rPr>
        <w:br/>
        <w:t>Иако је у октобарском извештају глобални раст коригован благо навише, на 3,2% за 2025. и 3,1% за 2026. годину, ова корекција пре свега одражава привремену отпорност привреда и повољнија прилагођавања у првој половини 2025. године. Очекивани пуни ефекти протекционизма и појачане фрагментације међународних токова испољиће се касније, ограничавајући средњорочни потенцијал раста кроз мање ефикасну алокацију ресурса, скупљу трговину и смањен трансфер технологија и знања. У таквом окружењу, креатори политика стоје пред задатком повећања предвидивости и обнављања поверења у трговински и финансијски систем. Према препорука</w:t>
      </w:r>
      <w:r w:rsidR="00EB6374" w:rsidRPr="001B41AD">
        <w:rPr>
          <w:rFonts w:ascii="Calibri" w:eastAsia="Calibri" w:hAnsi="Calibri" w:cs="Times New Roman"/>
          <w:lang w:val="sr-Cyrl-CS"/>
        </w:rPr>
        <w:t>ма ММФ</w:t>
      </w:r>
      <w:r w:rsidRPr="001B41AD">
        <w:rPr>
          <w:rFonts w:ascii="Calibri" w:eastAsia="Calibri" w:hAnsi="Calibri" w:cs="Times New Roman"/>
          <w:lang w:val="sr-Cyrl-CS"/>
        </w:rPr>
        <w:t>, стабилизација глобалне економије подразумева постепену нормализацију трговинских односа, очување независности монетарних институција и фискалну дисциплину усмерену ка дугорочној одрживости јавних финансија.</w:t>
      </w:r>
    </w:p>
    <w:p w14:paraId="3D4BC60D" w14:textId="77777777" w:rsidR="00502EF3" w:rsidRPr="001B41AD" w:rsidRDefault="00502EF3" w:rsidP="00502EF3">
      <w:pPr>
        <w:jc w:val="center"/>
        <w:rPr>
          <w:rFonts w:ascii="Calibri" w:eastAsia="Calibri" w:hAnsi="Calibri" w:cs="Times New Roman"/>
          <w:bCs/>
          <w:iCs/>
          <w:color w:val="002060"/>
          <w:lang w:val="sr-Cyrl-CS"/>
        </w:rPr>
      </w:pPr>
      <w:r w:rsidRPr="001B41AD">
        <w:rPr>
          <w:rFonts w:ascii="Calibri" w:eastAsia="Calibri" w:hAnsi="Calibri" w:cs="Times New Roman"/>
          <w:b/>
          <w:color w:val="002060"/>
          <w:lang w:val="sr-Cyrl-CS"/>
        </w:rPr>
        <w:t>Глобални економски раст, п.п.</w:t>
      </w:r>
    </w:p>
    <w:p w14:paraId="1EF9BF49" w14:textId="77777777" w:rsidR="00502EF3" w:rsidRPr="001B41AD" w:rsidRDefault="00502EF3" w:rsidP="00502EF3">
      <w:pPr>
        <w:rPr>
          <w:rFonts w:ascii="Calibri" w:eastAsia="Calibri" w:hAnsi="Calibri" w:cs="Times New Roman"/>
          <w:bCs/>
          <w:color w:val="FF0000"/>
          <w:lang w:val="sr-Cyrl-CS"/>
        </w:rPr>
      </w:pPr>
      <w:r w:rsidRPr="001B41AD">
        <w:rPr>
          <w:rFonts w:ascii="Calibri" w:eastAsia="Calibri" w:hAnsi="Calibri" w:cs="Times New Roman"/>
          <w:noProof/>
          <w:color w:val="FF0000"/>
        </w:rPr>
        <w:drawing>
          <wp:inline distT="0" distB="0" distL="0" distR="0" wp14:anchorId="2B8D44B6" wp14:editId="6591D77A">
            <wp:extent cx="2743200" cy="1938528"/>
            <wp:effectExtent l="0" t="0" r="0" b="5080"/>
            <wp:docPr id="39" name="Chart 39">
              <a:extLst xmlns:a="http://schemas.openxmlformats.org/drawingml/2006/main">
                <a:ext uri="{FF2B5EF4-FFF2-40B4-BE49-F238E27FC236}">
                  <a16:creationId xmlns:a16="http://schemas.microsoft.com/office/drawing/2014/main" id="{00000000-0008-0000-0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E2C0FD6" w14:textId="77777777" w:rsidR="00502EF3" w:rsidRPr="001B41AD" w:rsidRDefault="00502EF3" w:rsidP="00502EF3">
      <w:pPr>
        <w:rPr>
          <w:rFonts w:ascii="Calibri" w:eastAsia="Calibri" w:hAnsi="Calibri" w:cs="Times New Roman"/>
          <w:sz w:val="14"/>
          <w:szCs w:val="16"/>
          <w:lang w:val="sr-Cyrl-CS"/>
        </w:rPr>
      </w:pPr>
      <w:r w:rsidRPr="001B41AD">
        <w:rPr>
          <w:rFonts w:ascii="Calibri" w:eastAsia="Calibri" w:hAnsi="Calibri" w:cs="Times New Roman"/>
          <w:sz w:val="14"/>
          <w:szCs w:val="16"/>
          <w:lang w:val="sr-Cyrl-CS"/>
        </w:rPr>
        <w:t>Извор: ММФ, World Economic Outlook, октобар 2025.</w:t>
      </w:r>
    </w:p>
    <w:p w14:paraId="2B68670D" w14:textId="77777777" w:rsidR="00502EF3" w:rsidRPr="001B41AD" w:rsidRDefault="00502EF3" w:rsidP="00502EF3">
      <w:pPr>
        <w:rPr>
          <w:rFonts w:ascii="Calibri" w:eastAsia="Calibri" w:hAnsi="Calibri" w:cs="Times New Roman"/>
          <w:color w:val="FF0000"/>
          <w:lang w:val="sr-Cyrl-CS"/>
        </w:rPr>
      </w:pPr>
    </w:p>
    <w:p w14:paraId="5F461D2F" w14:textId="77777777" w:rsidR="00502EF3" w:rsidRPr="001B41AD" w:rsidRDefault="00502EF3" w:rsidP="00502EF3">
      <w:pPr>
        <w:rPr>
          <w:rFonts w:ascii="Calibri" w:eastAsia="Calibri" w:hAnsi="Calibri" w:cs="Times New Roman"/>
          <w:color w:val="FF0000"/>
          <w:lang w:val="sr-Cyrl-CS"/>
        </w:rPr>
      </w:pPr>
    </w:p>
    <w:p w14:paraId="1FDA8E82" w14:textId="77777777" w:rsidR="00502EF3" w:rsidRPr="001B41AD" w:rsidRDefault="00502EF3" w:rsidP="00502EF3">
      <w:pPr>
        <w:rPr>
          <w:rFonts w:ascii="Calibri" w:eastAsia="Calibri" w:hAnsi="Calibri" w:cs="Times New Roman"/>
          <w:color w:val="FF0000"/>
          <w:lang w:val="sr-Cyrl-CS"/>
        </w:rPr>
      </w:pPr>
    </w:p>
    <w:p w14:paraId="1E99E36D" w14:textId="77777777" w:rsidR="00502EF3" w:rsidRPr="001B41AD" w:rsidRDefault="00502EF3" w:rsidP="00502EF3">
      <w:pPr>
        <w:rPr>
          <w:rFonts w:ascii="Calibri" w:eastAsia="Calibri" w:hAnsi="Calibri" w:cs="Times New Roman"/>
          <w:color w:val="FF0000"/>
          <w:lang w:val="sr-Cyrl-CS"/>
        </w:rPr>
        <w:sectPr w:rsidR="00502EF3" w:rsidRPr="001B41AD" w:rsidSect="00436957">
          <w:type w:val="continuous"/>
          <w:pgSz w:w="12240" w:h="15840"/>
          <w:pgMar w:top="1440" w:right="1440" w:bottom="1440" w:left="1440" w:header="708" w:footer="708" w:gutter="0"/>
          <w:cols w:num="2" w:space="708"/>
          <w:docGrid w:linePitch="360"/>
        </w:sectPr>
      </w:pPr>
    </w:p>
    <w:tbl>
      <w:tblPr>
        <w:tblStyle w:val="TableGrid"/>
        <w:tblW w:w="500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1"/>
        <w:gridCol w:w="1042"/>
        <w:gridCol w:w="1042"/>
        <w:gridCol w:w="1042"/>
        <w:gridCol w:w="1042"/>
        <w:gridCol w:w="1042"/>
      </w:tblGrid>
      <w:tr w:rsidR="00502EF3" w:rsidRPr="001B41AD" w14:paraId="45DA7960" w14:textId="77777777" w:rsidTr="00436957">
        <w:trPr>
          <w:trHeight w:val="351"/>
        </w:trPr>
        <w:tc>
          <w:tcPr>
            <w:tcW w:w="5000" w:type="pct"/>
            <w:gridSpan w:val="6"/>
            <w:tcBorders>
              <w:bottom w:val="single" w:sz="4" w:space="0" w:color="002060"/>
            </w:tcBorders>
            <w:vAlign w:val="center"/>
          </w:tcPr>
          <w:p w14:paraId="10B68A0B" w14:textId="77777777" w:rsidR="00502EF3" w:rsidRPr="001B41AD" w:rsidRDefault="00502EF3" w:rsidP="00436957">
            <w:pPr>
              <w:jc w:val="center"/>
              <w:rPr>
                <w:rFonts w:ascii="Calibri" w:eastAsia="Calibri" w:hAnsi="Calibri" w:cs="Calibri"/>
                <w:b/>
                <w:color w:val="002060"/>
                <w:lang w:val="sr-Cyrl-CS"/>
              </w:rPr>
            </w:pPr>
            <w:r w:rsidRPr="001B41AD">
              <w:rPr>
                <w:rFonts w:ascii="Calibri" w:eastAsia="Calibri" w:hAnsi="Calibri" w:cs="Calibri"/>
                <w:b/>
                <w:color w:val="002060"/>
                <w:lang w:val="sr-Cyrl-CS"/>
              </w:rPr>
              <w:lastRenderedPageBreak/>
              <w:t>Табела 1. Међународно окружење – макроекономски показатељи</w:t>
            </w:r>
          </w:p>
        </w:tc>
      </w:tr>
      <w:tr w:rsidR="00502EF3" w:rsidRPr="001B41AD" w14:paraId="57062560" w14:textId="77777777" w:rsidTr="00436957">
        <w:trPr>
          <w:trHeight w:val="180"/>
        </w:trPr>
        <w:tc>
          <w:tcPr>
            <w:tcW w:w="2220" w:type="pct"/>
            <w:tcBorders>
              <w:top w:val="single" w:sz="4" w:space="0" w:color="002060"/>
              <w:left w:val="single" w:sz="2" w:space="0" w:color="FFFFFF"/>
              <w:bottom w:val="single" w:sz="2" w:space="0" w:color="FFFFFF"/>
              <w:right w:val="single" w:sz="2" w:space="0" w:color="FFFFFF"/>
            </w:tcBorders>
          </w:tcPr>
          <w:p w14:paraId="696F263F" w14:textId="77777777" w:rsidR="00502EF3" w:rsidRPr="001B41AD" w:rsidRDefault="00502EF3" w:rsidP="00436957">
            <w:pPr>
              <w:rPr>
                <w:rFonts w:ascii="Calibri" w:eastAsia="Calibri" w:hAnsi="Calibri" w:cs="Calibri"/>
                <w:color w:val="002060"/>
                <w:sz w:val="18"/>
                <w:lang w:val="sr-Cyrl-CS"/>
              </w:rPr>
            </w:pPr>
          </w:p>
        </w:tc>
        <w:tc>
          <w:tcPr>
            <w:tcW w:w="556" w:type="pct"/>
            <w:tcBorders>
              <w:top w:val="single" w:sz="4" w:space="0" w:color="002060"/>
              <w:left w:val="single" w:sz="2" w:space="0" w:color="FFFFFF"/>
              <w:bottom w:val="single" w:sz="4" w:space="0" w:color="002060"/>
              <w:right w:val="single" w:sz="2" w:space="0" w:color="FFFFFF"/>
            </w:tcBorders>
          </w:tcPr>
          <w:p w14:paraId="681B3EF0" w14:textId="77777777" w:rsidR="00502EF3" w:rsidRPr="001B41AD" w:rsidRDefault="00502EF3" w:rsidP="00436957">
            <w:pPr>
              <w:jc w:val="center"/>
              <w:rPr>
                <w:rFonts w:ascii="Calibri" w:eastAsia="Calibri" w:hAnsi="Calibri" w:cs="Calibri"/>
                <w:color w:val="002060"/>
                <w:sz w:val="18"/>
                <w:lang w:val="sr-Cyrl-CS"/>
              </w:rPr>
            </w:pPr>
            <w:r w:rsidRPr="001B41AD">
              <w:rPr>
                <w:rFonts w:ascii="Calibri" w:eastAsia="Calibri" w:hAnsi="Calibri" w:cs="Calibri"/>
                <w:color w:val="002060"/>
                <w:sz w:val="18"/>
                <w:lang w:val="sr-Cyrl-CS"/>
              </w:rPr>
              <w:t>2024</w:t>
            </w:r>
          </w:p>
        </w:tc>
        <w:tc>
          <w:tcPr>
            <w:tcW w:w="556" w:type="pct"/>
            <w:tcBorders>
              <w:top w:val="single" w:sz="4" w:space="0" w:color="002060"/>
              <w:left w:val="single" w:sz="2" w:space="0" w:color="FFFFFF"/>
              <w:bottom w:val="single" w:sz="4" w:space="0" w:color="002060"/>
              <w:right w:val="single" w:sz="2" w:space="0" w:color="FFFFFF"/>
            </w:tcBorders>
          </w:tcPr>
          <w:p w14:paraId="784A6748" w14:textId="77777777" w:rsidR="00502EF3" w:rsidRPr="001B41AD" w:rsidRDefault="00502EF3" w:rsidP="00436957">
            <w:pPr>
              <w:jc w:val="center"/>
              <w:rPr>
                <w:rFonts w:ascii="Calibri" w:eastAsia="Calibri" w:hAnsi="Calibri" w:cs="Calibri"/>
                <w:color w:val="002060"/>
                <w:sz w:val="18"/>
                <w:lang w:val="sr-Cyrl-CS"/>
              </w:rPr>
            </w:pPr>
            <w:r w:rsidRPr="001B41AD">
              <w:rPr>
                <w:rFonts w:ascii="Calibri" w:eastAsia="Calibri" w:hAnsi="Calibri" w:cs="Calibri"/>
                <w:color w:val="002060"/>
                <w:sz w:val="18"/>
                <w:lang w:val="sr-Cyrl-CS"/>
              </w:rPr>
              <w:t>2025</w:t>
            </w:r>
          </w:p>
        </w:tc>
        <w:tc>
          <w:tcPr>
            <w:tcW w:w="556" w:type="pct"/>
            <w:tcBorders>
              <w:top w:val="single" w:sz="4" w:space="0" w:color="002060"/>
              <w:left w:val="single" w:sz="2" w:space="0" w:color="FFFFFF"/>
              <w:bottom w:val="single" w:sz="4" w:space="0" w:color="002060"/>
              <w:right w:val="single" w:sz="2" w:space="0" w:color="FFFFFF"/>
            </w:tcBorders>
          </w:tcPr>
          <w:p w14:paraId="59693D26" w14:textId="77777777" w:rsidR="00502EF3" w:rsidRPr="001B41AD" w:rsidRDefault="00502EF3" w:rsidP="00436957">
            <w:pPr>
              <w:jc w:val="center"/>
              <w:rPr>
                <w:rFonts w:ascii="Calibri" w:eastAsia="Calibri" w:hAnsi="Calibri" w:cs="Calibri"/>
                <w:color w:val="002060"/>
                <w:sz w:val="18"/>
                <w:lang w:val="sr-Cyrl-CS"/>
              </w:rPr>
            </w:pPr>
            <w:r w:rsidRPr="001B41AD">
              <w:rPr>
                <w:rFonts w:ascii="Calibri" w:eastAsia="Calibri" w:hAnsi="Calibri" w:cs="Calibri"/>
                <w:color w:val="002060"/>
                <w:sz w:val="18"/>
                <w:lang w:val="sr-Cyrl-CS"/>
              </w:rPr>
              <w:t>2026</w:t>
            </w:r>
          </w:p>
        </w:tc>
        <w:tc>
          <w:tcPr>
            <w:tcW w:w="556" w:type="pct"/>
            <w:tcBorders>
              <w:top w:val="single" w:sz="4" w:space="0" w:color="002060"/>
              <w:left w:val="single" w:sz="2" w:space="0" w:color="FFFFFF"/>
              <w:bottom w:val="single" w:sz="4" w:space="0" w:color="002060"/>
              <w:right w:val="single" w:sz="2" w:space="0" w:color="FFFFFF"/>
            </w:tcBorders>
          </w:tcPr>
          <w:p w14:paraId="355BCEB8" w14:textId="77777777" w:rsidR="00502EF3" w:rsidRPr="001B41AD" w:rsidRDefault="00502EF3" w:rsidP="00436957">
            <w:pPr>
              <w:jc w:val="center"/>
              <w:rPr>
                <w:rFonts w:ascii="Calibri" w:eastAsia="Calibri" w:hAnsi="Calibri" w:cs="Calibri"/>
                <w:color w:val="002060"/>
                <w:sz w:val="18"/>
                <w:lang w:val="sr-Cyrl-CS"/>
              </w:rPr>
            </w:pPr>
            <w:r w:rsidRPr="001B41AD">
              <w:rPr>
                <w:rFonts w:ascii="Calibri" w:eastAsia="Calibri" w:hAnsi="Calibri" w:cs="Calibri"/>
                <w:color w:val="002060"/>
                <w:sz w:val="18"/>
                <w:lang w:val="sr-Cyrl-CS"/>
              </w:rPr>
              <w:t>2027</w:t>
            </w:r>
          </w:p>
        </w:tc>
        <w:tc>
          <w:tcPr>
            <w:tcW w:w="556" w:type="pct"/>
            <w:tcBorders>
              <w:top w:val="single" w:sz="4" w:space="0" w:color="002060"/>
              <w:left w:val="single" w:sz="2" w:space="0" w:color="FFFFFF"/>
              <w:bottom w:val="single" w:sz="4" w:space="0" w:color="002060"/>
              <w:right w:val="single" w:sz="2" w:space="0" w:color="FFFFFF"/>
            </w:tcBorders>
          </w:tcPr>
          <w:p w14:paraId="1E16429C" w14:textId="77777777" w:rsidR="00502EF3" w:rsidRPr="001B41AD" w:rsidRDefault="00502EF3" w:rsidP="00436957">
            <w:pPr>
              <w:jc w:val="center"/>
              <w:rPr>
                <w:rFonts w:ascii="Calibri" w:eastAsia="Calibri" w:hAnsi="Calibri" w:cs="Calibri"/>
                <w:color w:val="002060"/>
                <w:sz w:val="18"/>
                <w:lang w:val="sr-Cyrl-CS"/>
              </w:rPr>
            </w:pPr>
            <w:r w:rsidRPr="001B41AD">
              <w:rPr>
                <w:rFonts w:ascii="Calibri" w:eastAsia="Calibri" w:hAnsi="Calibri" w:cs="Calibri"/>
                <w:color w:val="002060"/>
                <w:sz w:val="18"/>
                <w:lang w:val="sr-Cyrl-CS"/>
              </w:rPr>
              <w:t>2028</w:t>
            </w:r>
          </w:p>
        </w:tc>
      </w:tr>
      <w:tr w:rsidR="00A73AD5" w:rsidRPr="001B41AD" w14:paraId="70611717" w14:textId="77777777" w:rsidTr="00436957">
        <w:trPr>
          <w:trHeight w:val="190"/>
        </w:trPr>
        <w:tc>
          <w:tcPr>
            <w:tcW w:w="2220" w:type="pct"/>
            <w:tcBorders>
              <w:top w:val="single" w:sz="2" w:space="0" w:color="FFFFFF"/>
              <w:left w:val="single" w:sz="2" w:space="0" w:color="FFFFFF"/>
              <w:bottom w:val="single" w:sz="2" w:space="0" w:color="FFFFFF"/>
            </w:tcBorders>
            <w:shd w:val="clear" w:color="auto" w:fill="E7E6E6"/>
          </w:tcPr>
          <w:p w14:paraId="21D4B163" w14:textId="77777777" w:rsidR="00502EF3" w:rsidRPr="001B41AD" w:rsidRDefault="00502EF3" w:rsidP="00436957">
            <w:pPr>
              <w:rPr>
                <w:rFonts w:ascii="Calibri" w:eastAsia="Calibri" w:hAnsi="Calibri" w:cs="Calibri"/>
                <w:color w:val="002060"/>
                <w:sz w:val="18"/>
                <w:lang w:val="sr-Cyrl-CS"/>
              </w:rPr>
            </w:pPr>
            <w:r w:rsidRPr="001B41AD">
              <w:rPr>
                <w:rFonts w:ascii="Calibri" w:eastAsia="Calibri" w:hAnsi="Calibri" w:cs="Calibri"/>
                <w:color w:val="002060"/>
                <w:sz w:val="18"/>
                <w:lang w:val="sr-Cyrl-CS"/>
              </w:rPr>
              <w:t>Реални раст БДП</w:t>
            </w:r>
            <w:r w:rsidRPr="001B41AD">
              <w:rPr>
                <w:rFonts w:ascii="Calibri" w:eastAsia="Calibri" w:hAnsi="Calibri" w:cs="Calibri"/>
                <w:color w:val="002060"/>
                <w:sz w:val="18"/>
                <w:vertAlign w:val="superscript"/>
                <w:lang w:val="sr-Cyrl-CS"/>
              </w:rPr>
              <w:t>1</w:t>
            </w:r>
            <w:r w:rsidRPr="001B41AD">
              <w:rPr>
                <w:rFonts w:ascii="Calibri" w:eastAsia="Calibri" w:hAnsi="Calibri" w:cs="Calibri"/>
                <w:color w:val="002060"/>
                <w:sz w:val="18"/>
                <w:lang w:val="sr-Cyrl-CS"/>
              </w:rPr>
              <w:t>, %</w:t>
            </w:r>
          </w:p>
        </w:tc>
        <w:tc>
          <w:tcPr>
            <w:tcW w:w="556" w:type="pct"/>
            <w:tcBorders>
              <w:top w:val="single" w:sz="2" w:space="0" w:color="FFFFFF"/>
              <w:bottom w:val="single" w:sz="2" w:space="0" w:color="FFFFFF"/>
            </w:tcBorders>
            <w:shd w:val="clear" w:color="auto" w:fill="E7E6E6"/>
          </w:tcPr>
          <w:p w14:paraId="77A5F0D0" w14:textId="77777777" w:rsidR="00502EF3" w:rsidRPr="001B41AD" w:rsidRDefault="00502EF3" w:rsidP="00436957">
            <w:pPr>
              <w:rPr>
                <w:rFonts w:ascii="Calibri" w:eastAsia="Calibri" w:hAnsi="Calibri" w:cs="Calibri"/>
                <w:color w:val="002060"/>
                <w:sz w:val="18"/>
                <w:lang w:val="sr-Cyrl-CS"/>
              </w:rPr>
            </w:pPr>
          </w:p>
        </w:tc>
        <w:tc>
          <w:tcPr>
            <w:tcW w:w="556" w:type="pct"/>
            <w:tcBorders>
              <w:top w:val="single" w:sz="2" w:space="0" w:color="FFFFFF"/>
              <w:bottom w:val="single" w:sz="2" w:space="0" w:color="FFFFFF"/>
            </w:tcBorders>
            <w:shd w:val="clear" w:color="auto" w:fill="E7E6E6"/>
          </w:tcPr>
          <w:p w14:paraId="34145133" w14:textId="77777777" w:rsidR="00502EF3" w:rsidRPr="001B41AD" w:rsidRDefault="00502EF3" w:rsidP="00436957">
            <w:pPr>
              <w:rPr>
                <w:rFonts w:ascii="Calibri" w:eastAsia="Calibri" w:hAnsi="Calibri" w:cs="Calibri"/>
                <w:color w:val="002060"/>
                <w:sz w:val="18"/>
                <w:lang w:val="sr-Cyrl-CS"/>
              </w:rPr>
            </w:pPr>
          </w:p>
        </w:tc>
        <w:tc>
          <w:tcPr>
            <w:tcW w:w="556" w:type="pct"/>
            <w:tcBorders>
              <w:top w:val="single" w:sz="2" w:space="0" w:color="FFFFFF"/>
              <w:bottom w:val="single" w:sz="2" w:space="0" w:color="FFFFFF"/>
            </w:tcBorders>
            <w:shd w:val="clear" w:color="auto" w:fill="E7E6E6"/>
          </w:tcPr>
          <w:p w14:paraId="0A7BF243" w14:textId="77777777" w:rsidR="00502EF3" w:rsidRPr="001B41AD" w:rsidRDefault="00502EF3" w:rsidP="00436957">
            <w:pPr>
              <w:rPr>
                <w:rFonts w:ascii="Calibri" w:eastAsia="Calibri" w:hAnsi="Calibri" w:cs="Calibri"/>
                <w:color w:val="002060"/>
                <w:sz w:val="18"/>
                <w:lang w:val="sr-Cyrl-CS"/>
              </w:rPr>
            </w:pPr>
          </w:p>
        </w:tc>
        <w:tc>
          <w:tcPr>
            <w:tcW w:w="556" w:type="pct"/>
            <w:tcBorders>
              <w:top w:val="single" w:sz="2" w:space="0" w:color="FFFFFF"/>
              <w:bottom w:val="single" w:sz="2" w:space="0" w:color="FFFFFF"/>
            </w:tcBorders>
            <w:shd w:val="clear" w:color="auto" w:fill="E7E6E6"/>
          </w:tcPr>
          <w:p w14:paraId="5009BAEC" w14:textId="77777777" w:rsidR="00502EF3" w:rsidRPr="001B41AD" w:rsidRDefault="00502EF3" w:rsidP="00436957">
            <w:pPr>
              <w:rPr>
                <w:rFonts w:ascii="Calibri" w:eastAsia="Calibri" w:hAnsi="Calibri" w:cs="Calibri"/>
                <w:color w:val="002060"/>
                <w:sz w:val="18"/>
                <w:lang w:val="sr-Cyrl-CS"/>
              </w:rPr>
            </w:pPr>
          </w:p>
        </w:tc>
        <w:tc>
          <w:tcPr>
            <w:tcW w:w="556" w:type="pct"/>
            <w:tcBorders>
              <w:top w:val="single" w:sz="2" w:space="0" w:color="FFFFFF"/>
              <w:bottom w:val="single" w:sz="2" w:space="0" w:color="FFFFFF"/>
              <w:right w:val="single" w:sz="2" w:space="0" w:color="FFFFFF"/>
            </w:tcBorders>
            <w:shd w:val="clear" w:color="auto" w:fill="E7E6E6"/>
          </w:tcPr>
          <w:p w14:paraId="2054CD9F" w14:textId="77777777" w:rsidR="00502EF3" w:rsidRPr="001B41AD" w:rsidRDefault="00502EF3" w:rsidP="00436957">
            <w:pPr>
              <w:rPr>
                <w:rFonts w:ascii="Calibri" w:eastAsia="Calibri" w:hAnsi="Calibri" w:cs="Calibri"/>
                <w:color w:val="002060"/>
                <w:sz w:val="18"/>
                <w:lang w:val="sr-Cyrl-CS"/>
              </w:rPr>
            </w:pPr>
          </w:p>
        </w:tc>
      </w:tr>
      <w:tr w:rsidR="00A73AD5" w:rsidRPr="001B41AD" w14:paraId="2123EE45" w14:textId="77777777" w:rsidTr="00436957">
        <w:trPr>
          <w:trHeight w:val="190"/>
        </w:trPr>
        <w:tc>
          <w:tcPr>
            <w:tcW w:w="2220" w:type="pct"/>
            <w:tcBorders>
              <w:top w:val="single" w:sz="2" w:space="0" w:color="FFFFFF"/>
            </w:tcBorders>
          </w:tcPr>
          <w:p w14:paraId="57BFAE63" w14:textId="77777777" w:rsidR="00502EF3" w:rsidRPr="001B41AD" w:rsidRDefault="00502EF3" w:rsidP="00436957">
            <w:pPr>
              <w:ind w:left="255"/>
              <w:rPr>
                <w:rFonts w:ascii="Calibri" w:eastAsia="Calibri" w:hAnsi="Calibri" w:cs="Calibri"/>
                <w:color w:val="002060"/>
                <w:sz w:val="18"/>
                <w:lang w:val="sr-Cyrl-CS"/>
              </w:rPr>
            </w:pPr>
            <w:r w:rsidRPr="001B41AD">
              <w:rPr>
                <w:rFonts w:ascii="Calibri" w:eastAsia="Calibri" w:hAnsi="Calibri" w:cs="Calibri"/>
                <w:color w:val="002060"/>
                <w:sz w:val="18"/>
                <w:lang w:val="sr-Cyrl-CS"/>
              </w:rPr>
              <w:t>Свет укупно</w:t>
            </w:r>
          </w:p>
        </w:tc>
        <w:tc>
          <w:tcPr>
            <w:tcW w:w="556" w:type="pct"/>
            <w:tcBorders>
              <w:top w:val="single" w:sz="2" w:space="0" w:color="FFFFFF"/>
            </w:tcBorders>
            <w:vAlign w:val="center"/>
          </w:tcPr>
          <w:p w14:paraId="6F91EE7E"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3,3</w:t>
            </w:r>
          </w:p>
        </w:tc>
        <w:tc>
          <w:tcPr>
            <w:tcW w:w="556" w:type="pct"/>
            <w:tcBorders>
              <w:top w:val="single" w:sz="2" w:space="0" w:color="FFFFFF"/>
            </w:tcBorders>
            <w:vAlign w:val="center"/>
          </w:tcPr>
          <w:p w14:paraId="4C775281"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3,2</w:t>
            </w:r>
          </w:p>
        </w:tc>
        <w:tc>
          <w:tcPr>
            <w:tcW w:w="556" w:type="pct"/>
            <w:tcBorders>
              <w:top w:val="single" w:sz="2" w:space="0" w:color="FFFFFF"/>
            </w:tcBorders>
            <w:vAlign w:val="center"/>
          </w:tcPr>
          <w:p w14:paraId="18A50D16"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3,1</w:t>
            </w:r>
          </w:p>
        </w:tc>
        <w:tc>
          <w:tcPr>
            <w:tcW w:w="556" w:type="pct"/>
            <w:tcBorders>
              <w:top w:val="single" w:sz="2" w:space="0" w:color="FFFFFF"/>
            </w:tcBorders>
            <w:vAlign w:val="center"/>
          </w:tcPr>
          <w:p w14:paraId="0EF3BFE4"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3,2</w:t>
            </w:r>
          </w:p>
        </w:tc>
        <w:tc>
          <w:tcPr>
            <w:tcW w:w="556" w:type="pct"/>
            <w:tcBorders>
              <w:top w:val="single" w:sz="2" w:space="0" w:color="FFFFFF"/>
            </w:tcBorders>
            <w:vAlign w:val="center"/>
          </w:tcPr>
          <w:p w14:paraId="38153877"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3,2</w:t>
            </w:r>
          </w:p>
        </w:tc>
      </w:tr>
      <w:tr w:rsidR="00A73AD5" w:rsidRPr="001B41AD" w14:paraId="1E5CB947" w14:textId="77777777" w:rsidTr="00436957">
        <w:trPr>
          <w:trHeight w:val="180"/>
        </w:trPr>
        <w:tc>
          <w:tcPr>
            <w:tcW w:w="2220" w:type="pct"/>
          </w:tcPr>
          <w:p w14:paraId="7A789A04" w14:textId="77777777" w:rsidR="00502EF3" w:rsidRPr="001B41AD" w:rsidRDefault="00502EF3" w:rsidP="00436957">
            <w:pPr>
              <w:ind w:left="255"/>
              <w:rPr>
                <w:rFonts w:ascii="Calibri" w:eastAsia="Calibri" w:hAnsi="Calibri" w:cs="Calibri"/>
                <w:color w:val="002060"/>
                <w:sz w:val="18"/>
                <w:lang w:val="sr-Cyrl-CS"/>
              </w:rPr>
            </w:pPr>
            <w:r w:rsidRPr="001B41AD">
              <w:rPr>
                <w:rFonts w:ascii="Calibri" w:eastAsia="Calibri" w:hAnsi="Calibri" w:cs="Calibri"/>
                <w:color w:val="002060"/>
                <w:sz w:val="18"/>
                <w:lang w:val="sr-Cyrl-CS"/>
              </w:rPr>
              <w:t>Развијене економије</w:t>
            </w:r>
          </w:p>
        </w:tc>
        <w:tc>
          <w:tcPr>
            <w:tcW w:w="556" w:type="pct"/>
            <w:vAlign w:val="center"/>
          </w:tcPr>
          <w:p w14:paraId="7FB97A32"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1,8</w:t>
            </w:r>
          </w:p>
        </w:tc>
        <w:tc>
          <w:tcPr>
            <w:tcW w:w="556" w:type="pct"/>
            <w:vAlign w:val="center"/>
          </w:tcPr>
          <w:p w14:paraId="0991BBFD"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1,6</w:t>
            </w:r>
          </w:p>
        </w:tc>
        <w:tc>
          <w:tcPr>
            <w:tcW w:w="556" w:type="pct"/>
            <w:vAlign w:val="center"/>
          </w:tcPr>
          <w:p w14:paraId="36E59B13"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1,6</w:t>
            </w:r>
          </w:p>
        </w:tc>
        <w:tc>
          <w:tcPr>
            <w:tcW w:w="556" w:type="pct"/>
            <w:vAlign w:val="center"/>
          </w:tcPr>
          <w:p w14:paraId="217AEA4A"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1,7</w:t>
            </w:r>
          </w:p>
        </w:tc>
        <w:tc>
          <w:tcPr>
            <w:tcW w:w="556" w:type="pct"/>
            <w:vAlign w:val="center"/>
          </w:tcPr>
          <w:p w14:paraId="037AF02E"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1,7</w:t>
            </w:r>
          </w:p>
        </w:tc>
      </w:tr>
      <w:tr w:rsidR="00A73AD5" w:rsidRPr="001B41AD" w14:paraId="6823FDA5" w14:textId="77777777" w:rsidTr="00436957">
        <w:trPr>
          <w:trHeight w:val="190"/>
        </w:trPr>
        <w:tc>
          <w:tcPr>
            <w:tcW w:w="2220" w:type="pct"/>
          </w:tcPr>
          <w:p w14:paraId="663CA4D8" w14:textId="77777777" w:rsidR="00502EF3" w:rsidRPr="001B41AD" w:rsidRDefault="00502EF3" w:rsidP="00436957">
            <w:pPr>
              <w:ind w:left="615" w:hanging="180"/>
              <w:rPr>
                <w:rFonts w:ascii="Calibri" w:eastAsia="Calibri" w:hAnsi="Calibri" w:cs="Calibri"/>
                <w:color w:val="002060"/>
                <w:sz w:val="18"/>
                <w:lang w:val="sr-Cyrl-CS"/>
              </w:rPr>
            </w:pPr>
            <w:r w:rsidRPr="001B41AD">
              <w:rPr>
                <w:rFonts w:ascii="Calibri" w:eastAsia="Calibri" w:hAnsi="Calibri" w:cs="Calibri"/>
                <w:color w:val="002060"/>
                <w:sz w:val="18"/>
                <w:lang w:val="sr-Cyrl-CS"/>
              </w:rPr>
              <w:t>САД</w:t>
            </w:r>
          </w:p>
        </w:tc>
        <w:tc>
          <w:tcPr>
            <w:tcW w:w="556" w:type="pct"/>
            <w:vAlign w:val="center"/>
          </w:tcPr>
          <w:p w14:paraId="3F8CDA52"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2,8</w:t>
            </w:r>
          </w:p>
        </w:tc>
        <w:tc>
          <w:tcPr>
            <w:tcW w:w="556" w:type="pct"/>
            <w:vAlign w:val="center"/>
          </w:tcPr>
          <w:p w14:paraId="19A04C31"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2,0</w:t>
            </w:r>
          </w:p>
        </w:tc>
        <w:tc>
          <w:tcPr>
            <w:tcW w:w="556" w:type="pct"/>
            <w:vAlign w:val="center"/>
          </w:tcPr>
          <w:p w14:paraId="3597A375"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2,1</w:t>
            </w:r>
          </w:p>
        </w:tc>
        <w:tc>
          <w:tcPr>
            <w:tcW w:w="556" w:type="pct"/>
            <w:vAlign w:val="center"/>
          </w:tcPr>
          <w:p w14:paraId="15668710"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2,1</w:t>
            </w:r>
          </w:p>
        </w:tc>
        <w:tc>
          <w:tcPr>
            <w:tcW w:w="556" w:type="pct"/>
            <w:vAlign w:val="center"/>
          </w:tcPr>
          <w:p w14:paraId="19583633"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2,1</w:t>
            </w:r>
          </w:p>
        </w:tc>
      </w:tr>
      <w:tr w:rsidR="00A73AD5" w:rsidRPr="001B41AD" w14:paraId="0F8C90B9" w14:textId="77777777" w:rsidTr="00436957">
        <w:trPr>
          <w:trHeight w:val="180"/>
        </w:trPr>
        <w:tc>
          <w:tcPr>
            <w:tcW w:w="2220" w:type="pct"/>
          </w:tcPr>
          <w:p w14:paraId="47C688D8" w14:textId="77777777" w:rsidR="00502EF3" w:rsidRPr="001B41AD" w:rsidRDefault="00502EF3" w:rsidP="00436957">
            <w:pPr>
              <w:ind w:left="615" w:hanging="180"/>
              <w:rPr>
                <w:rFonts w:ascii="Calibri" w:eastAsia="Calibri" w:hAnsi="Calibri" w:cs="Calibri"/>
                <w:color w:val="002060"/>
                <w:sz w:val="18"/>
                <w:highlight w:val="yellow"/>
                <w:lang w:val="sr-Cyrl-CS"/>
              </w:rPr>
            </w:pPr>
            <w:r w:rsidRPr="001B41AD">
              <w:rPr>
                <w:rFonts w:ascii="Calibri" w:eastAsia="Calibri" w:hAnsi="Calibri" w:cs="Calibri"/>
                <w:color w:val="002060"/>
                <w:sz w:val="18"/>
                <w:lang w:val="sr-Cyrl-CS"/>
              </w:rPr>
              <w:t>Еврозона</w:t>
            </w:r>
          </w:p>
        </w:tc>
        <w:tc>
          <w:tcPr>
            <w:tcW w:w="556" w:type="pct"/>
            <w:vAlign w:val="center"/>
          </w:tcPr>
          <w:p w14:paraId="267CA182"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0,9</w:t>
            </w:r>
          </w:p>
        </w:tc>
        <w:tc>
          <w:tcPr>
            <w:tcW w:w="556" w:type="pct"/>
            <w:vAlign w:val="center"/>
          </w:tcPr>
          <w:p w14:paraId="164CC64E"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1,2</w:t>
            </w:r>
          </w:p>
        </w:tc>
        <w:tc>
          <w:tcPr>
            <w:tcW w:w="556" w:type="pct"/>
            <w:vAlign w:val="center"/>
          </w:tcPr>
          <w:p w14:paraId="1A605C28"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1,1</w:t>
            </w:r>
          </w:p>
        </w:tc>
        <w:tc>
          <w:tcPr>
            <w:tcW w:w="556" w:type="pct"/>
            <w:vAlign w:val="center"/>
          </w:tcPr>
          <w:p w14:paraId="7DBC1862"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1,4</w:t>
            </w:r>
          </w:p>
        </w:tc>
        <w:tc>
          <w:tcPr>
            <w:tcW w:w="556" w:type="pct"/>
            <w:vAlign w:val="center"/>
          </w:tcPr>
          <w:p w14:paraId="34006E19"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1,3</w:t>
            </w:r>
          </w:p>
        </w:tc>
      </w:tr>
      <w:tr w:rsidR="00A73AD5" w:rsidRPr="001B41AD" w14:paraId="4C10B0A9" w14:textId="77777777" w:rsidTr="00436957">
        <w:trPr>
          <w:trHeight w:val="190"/>
        </w:trPr>
        <w:tc>
          <w:tcPr>
            <w:tcW w:w="2220" w:type="pct"/>
          </w:tcPr>
          <w:p w14:paraId="1E98C24E" w14:textId="77777777" w:rsidR="00502EF3" w:rsidRPr="001B41AD" w:rsidRDefault="00502EF3" w:rsidP="00436957">
            <w:pPr>
              <w:ind w:left="345" w:hanging="90"/>
              <w:rPr>
                <w:rFonts w:ascii="Calibri" w:eastAsia="Calibri" w:hAnsi="Calibri" w:cs="Calibri"/>
                <w:color w:val="002060"/>
                <w:sz w:val="18"/>
                <w:lang w:val="sr-Cyrl-CS"/>
              </w:rPr>
            </w:pPr>
            <w:r w:rsidRPr="001B41AD">
              <w:rPr>
                <w:rFonts w:ascii="Calibri" w:eastAsia="Calibri" w:hAnsi="Calibri" w:cs="Calibri"/>
                <w:color w:val="002060"/>
                <w:sz w:val="18"/>
                <w:lang w:val="sr-Cyrl-CS"/>
              </w:rPr>
              <w:t>Земље у успону</w:t>
            </w:r>
          </w:p>
        </w:tc>
        <w:tc>
          <w:tcPr>
            <w:tcW w:w="556" w:type="pct"/>
            <w:vAlign w:val="center"/>
          </w:tcPr>
          <w:p w14:paraId="6562ED8B"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4,3</w:t>
            </w:r>
          </w:p>
        </w:tc>
        <w:tc>
          <w:tcPr>
            <w:tcW w:w="556" w:type="pct"/>
            <w:vAlign w:val="center"/>
          </w:tcPr>
          <w:p w14:paraId="1F3FEB14"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4,2</w:t>
            </w:r>
          </w:p>
        </w:tc>
        <w:tc>
          <w:tcPr>
            <w:tcW w:w="556" w:type="pct"/>
            <w:vAlign w:val="center"/>
          </w:tcPr>
          <w:p w14:paraId="722A2239"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4,0</w:t>
            </w:r>
          </w:p>
        </w:tc>
        <w:tc>
          <w:tcPr>
            <w:tcW w:w="556" w:type="pct"/>
            <w:vAlign w:val="center"/>
          </w:tcPr>
          <w:p w14:paraId="556FDB3E"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4,2</w:t>
            </w:r>
          </w:p>
        </w:tc>
        <w:tc>
          <w:tcPr>
            <w:tcW w:w="556" w:type="pct"/>
            <w:vAlign w:val="center"/>
          </w:tcPr>
          <w:p w14:paraId="3F3AC126"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4,1</w:t>
            </w:r>
          </w:p>
        </w:tc>
      </w:tr>
      <w:tr w:rsidR="00A73AD5" w:rsidRPr="001B41AD" w14:paraId="4BF8EECE" w14:textId="77777777" w:rsidTr="00436957">
        <w:trPr>
          <w:trHeight w:val="180"/>
        </w:trPr>
        <w:tc>
          <w:tcPr>
            <w:tcW w:w="2220" w:type="pct"/>
          </w:tcPr>
          <w:p w14:paraId="375625C7" w14:textId="77777777" w:rsidR="00502EF3" w:rsidRPr="001B41AD" w:rsidRDefault="00502EF3" w:rsidP="00436957">
            <w:pPr>
              <w:ind w:left="615" w:hanging="180"/>
              <w:rPr>
                <w:rFonts w:ascii="Calibri" w:eastAsia="Calibri" w:hAnsi="Calibri" w:cs="Calibri"/>
                <w:color w:val="002060"/>
                <w:sz w:val="18"/>
                <w:lang w:val="sr-Cyrl-CS"/>
              </w:rPr>
            </w:pPr>
            <w:r w:rsidRPr="001B41AD">
              <w:rPr>
                <w:rFonts w:ascii="Calibri" w:eastAsia="Calibri" w:hAnsi="Calibri" w:cs="Calibri"/>
                <w:color w:val="002060"/>
                <w:sz w:val="18"/>
                <w:lang w:val="sr-Cyrl-CS"/>
              </w:rPr>
              <w:t>Кина</w:t>
            </w:r>
          </w:p>
        </w:tc>
        <w:tc>
          <w:tcPr>
            <w:tcW w:w="556" w:type="pct"/>
            <w:vAlign w:val="center"/>
          </w:tcPr>
          <w:p w14:paraId="7EF409B9"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5,0</w:t>
            </w:r>
          </w:p>
        </w:tc>
        <w:tc>
          <w:tcPr>
            <w:tcW w:w="556" w:type="pct"/>
            <w:vAlign w:val="center"/>
          </w:tcPr>
          <w:p w14:paraId="7325F484"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4,8</w:t>
            </w:r>
          </w:p>
        </w:tc>
        <w:tc>
          <w:tcPr>
            <w:tcW w:w="556" w:type="pct"/>
            <w:vAlign w:val="center"/>
          </w:tcPr>
          <w:p w14:paraId="122264F7"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4,2</w:t>
            </w:r>
          </w:p>
        </w:tc>
        <w:tc>
          <w:tcPr>
            <w:tcW w:w="556" w:type="pct"/>
            <w:vAlign w:val="center"/>
          </w:tcPr>
          <w:p w14:paraId="4C8818B1"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4,2</w:t>
            </w:r>
          </w:p>
        </w:tc>
        <w:tc>
          <w:tcPr>
            <w:tcW w:w="556" w:type="pct"/>
            <w:vAlign w:val="center"/>
          </w:tcPr>
          <w:p w14:paraId="1C282AA6"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4,0</w:t>
            </w:r>
          </w:p>
        </w:tc>
      </w:tr>
      <w:tr w:rsidR="00A73AD5" w:rsidRPr="001B41AD" w14:paraId="405EAB9C" w14:textId="77777777" w:rsidTr="00436957">
        <w:trPr>
          <w:trHeight w:val="190"/>
        </w:trPr>
        <w:tc>
          <w:tcPr>
            <w:tcW w:w="2220" w:type="pct"/>
          </w:tcPr>
          <w:p w14:paraId="27EE4023" w14:textId="77777777" w:rsidR="00502EF3" w:rsidRPr="001B41AD" w:rsidRDefault="00502EF3" w:rsidP="00436957">
            <w:pPr>
              <w:ind w:left="615" w:hanging="180"/>
              <w:rPr>
                <w:rFonts w:ascii="Calibri" w:eastAsia="Calibri" w:hAnsi="Calibri" w:cs="Calibri"/>
                <w:color w:val="002060"/>
                <w:sz w:val="18"/>
                <w:lang w:val="sr-Cyrl-CS"/>
              </w:rPr>
            </w:pPr>
            <w:r w:rsidRPr="001B41AD">
              <w:rPr>
                <w:rFonts w:ascii="Calibri" w:eastAsia="Calibri" w:hAnsi="Calibri" w:cs="Calibri"/>
                <w:color w:val="002060"/>
                <w:sz w:val="18"/>
                <w:lang w:val="sr-Cyrl-CS"/>
              </w:rPr>
              <w:t xml:space="preserve">Русија </w:t>
            </w:r>
          </w:p>
        </w:tc>
        <w:tc>
          <w:tcPr>
            <w:tcW w:w="556" w:type="pct"/>
            <w:vAlign w:val="center"/>
          </w:tcPr>
          <w:p w14:paraId="7A1F3662"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4,3</w:t>
            </w:r>
          </w:p>
        </w:tc>
        <w:tc>
          <w:tcPr>
            <w:tcW w:w="556" w:type="pct"/>
            <w:vAlign w:val="center"/>
          </w:tcPr>
          <w:p w14:paraId="1A764C3C"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0,6</w:t>
            </w:r>
          </w:p>
        </w:tc>
        <w:tc>
          <w:tcPr>
            <w:tcW w:w="556" w:type="pct"/>
            <w:vAlign w:val="center"/>
          </w:tcPr>
          <w:p w14:paraId="47574C60"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1,0</w:t>
            </w:r>
          </w:p>
        </w:tc>
        <w:tc>
          <w:tcPr>
            <w:tcW w:w="556" w:type="pct"/>
            <w:vAlign w:val="center"/>
          </w:tcPr>
          <w:p w14:paraId="7B19C9A6"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1,1</w:t>
            </w:r>
          </w:p>
        </w:tc>
        <w:tc>
          <w:tcPr>
            <w:tcW w:w="556" w:type="pct"/>
            <w:vAlign w:val="center"/>
          </w:tcPr>
          <w:p w14:paraId="2759F026"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1,1</w:t>
            </w:r>
          </w:p>
        </w:tc>
      </w:tr>
      <w:tr w:rsidR="00A73AD5" w:rsidRPr="001B41AD" w14:paraId="5E02EF78" w14:textId="77777777" w:rsidTr="00436957">
        <w:trPr>
          <w:trHeight w:val="180"/>
        </w:trPr>
        <w:tc>
          <w:tcPr>
            <w:tcW w:w="2220" w:type="pct"/>
          </w:tcPr>
          <w:p w14:paraId="0AEA564B" w14:textId="77777777" w:rsidR="00502EF3" w:rsidRPr="001B41AD" w:rsidRDefault="00502EF3" w:rsidP="00436957">
            <w:pPr>
              <w:ind w:left="345" w:hanging="90"/>
              <w:rPr>
                <w:rFonts w:ascii="Calibri" w:eastAsia="Calibri" w:hAnsi="Calibri" w:cs="Calibri"/>
                <w:color w:val="002060"/>
                <w:sz w:val="18"/>
                <w:lang w:val="sr-Cyrl-CS"/>
              </w:rPr>
            </w:pPr>
            <w:r w:rsidRPr="001B41AD">
              <w:rPr>
                <w:rFonts w:ascii="Calibri" w:eastAsia="Calibri" w:hAnsi="Calibri" w:cs="Calibri"/>
                <w:color w:val="002060"/>
                <w:sz w:val="18"/>
                <w:lang w:val="sr-Cyrl-CS"/>
              </w:rPr>
              <w:t>Раст светске трговине, %</w:t>
            </w:r>
          </w:p>
        </w:tc>
        <w:tc>
          <w:tcPr>
            <w:tcW w:w="556" w:type="pct"/>
            <w:vAlign w:val="center"/>
          </w:tcPr>
          <w:p w14:paraId="5AFD2DD2"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3,5</w:t>
            </w:r>
          </w:p>
        </w:tc>
        <w:tc>
          <w:tcPr>
            <w:tcW w:w="556" w:type="pct"/>
            <w:vAlign w:val="center"/>
          </w:tcPr>
          <w:p w14:paraId="3DD3C26E"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3,6</w:t>
            </w:r>
          </w:p>
        </w:tc>
        <w:tc>
          <w:tcPr>
            <w:tcW w:w="556" w:type="pct"/>
            <w:vAlign w:val="center"/>
          </w:tcPr>
          <w:p w14:paraId="7FD6DA70"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2,3</w:t>
            </w:r>
          </w:p>
        </w:tc>
        <w:tc>
          <w:tcPr>
            <w:tcW w:w="556" w:type="pct"/>
            <w:vAlign w:val="center"/>
          </w:tcPr>
          <w:p w14:paraId="7086EAC7"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3,1</w:t>
            </w:r>
          </w:p>
        </w:tc>
        <w:tc>
          <w:tcPr>
            <w:tcW w:w="556" w:type="pct"/>
            <w:vAlign w:val="center"/>
          </w:tcPr>
          <w:p w14:paraId="02E9CA4F"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3,2</w:t>
            </w:r>
          </w:p>
        </w:tc>
      </w:tr>
      <w:tr w:rsidR="00A73AD5" w:rsidRPr="001B41AD" w14:paraId="7BE364FD" w14:textId="77777777" w:rsidTr="00436957">
        <w:trPr>
          <w:trHeight w:val="190"/>
        </w:trPr>
        <w:tc>
          <w:tcPr>
            <w:tcW w:w="2220" w:type="pct"/>
            <w:shd w:val="clear" w:color="auto" w:fill="E7E6E6"/>
          </w:tcPr>
          <w:p w14:paraId="31A9C655" w14:textId="77777777" w:rsidR="00502EF3" w:rsidRPr="001B41AD" w:rsidRDefault="00502EF3" w:rsidP="00436957">
            <w:pPr>
              <w:rPr>
                <w:rFonts w:ascii="Calibri" w:eastAsia="Calibri" w:hAnsi="Calibri" w:cs="Calibri"/>
                <w:color w:val="002060"/>
                <w:sz w:val="18"/>
                <w:lang w:val="sr-Cyrl-CS"/>
              </w:rPr>
            </w:pPr>
            <w:r w:rsidRPr="001B41AD">
              <w:rPr>
                <w:rFonts w:ascii="Calibri" w:eastAsia="Calibri" w:hAnsi="Calibri" w:cs="Calibri"/>
                <w:color w:val="002060"/>
                <w:sz w:val="18"/>
                <w:lang w:val="sr-Cyrl-CS"/>
              </w:rPr>
              <w:t>Стопа незапослености, %</w:t>
            </w:r>
          </w:p>
        </w:tc>
        <w:tc>
          <w:tcPr>
            <w:tcW w:w="556" w:type="pct"/>
            <w:shd w:val="clear" w:color="auto" w:fill="E7E6E6"/>
          </w:tcPr>
          <w:p w14:paraId="592A7F66" w14:textId="77777777" w:rsidR="00502EF3" w:rsidRPr="001B41AD" w:rsidRDefault="00502EF3" w:rsidP="00436957">
            <w:pPr>
              <w:rPr>
                <w:rFonts w:ascii="Calibri" w:eastAsia="Calibri" w:hAnsi="Calibri" w:cs="Calibri"/>
                <w:color w:val="002060"/>
                <w:sz w:val="18"/>
                <w:szCs w:val="18"/>
                <w:lang w:val="sr-Cyrl-CS"/>
              </w:rPr>
            </w:pPr>
          </w:p>
        </w:tc>
        <w:tc>
          <w:tcPr>
            <w:tcW w:w="556" w:type="pct"/>
            <w:shd w:val="clear" w:color="auto" w:fill="E7E6E6"/>
          </w:tcPr>
          <w:p w14:paraId="4E6641B2" w14:textId="77777777" w:rsidR="00502EF3" w:rsidRPr="001B41AD" w:rsidRDefault="00502EF3" w:rsidP="00436957">
            <w:pPr>
              <w:rPr>
                <w:rFonts w:ascii="Calibri" w:eastAsia="Calibri" w:hAnsi="Calibri" w:cs="Calibri"/>
                <w:color w:val="002060"/>
                <w:sz w:val="18"/>
                <w:szCs w:val="18"/>
                <w:lang w:val="sr-Cyrl-CS"/>
              </w:rPr>
            </w:pPr>
          </w:p>
        </w:tc>
        <w:tc>
          <w:tcPr>
            <w:tcW w:w="556" w:type="pct"/>
            <w:shd w:val="clear" w:color="auto" w:fill="E7E6E6"/>
          </w:tcPr>
          <w:p w14:paraId="43F33B1B" w14:textId="77777777" w:rsidR="00502EF3" w:rsidRPr="001B41AD" w:rsidRDefault="00502EF3" w:rsidP="00436957">
            <w:pPr>
              <w:rPr>
                <w:rFonts w:ascii="Calibri" w:eastAsia="Calibri" w:hAnsi="Calibri" w:cs="Calibri"/>
                <w:color w:val="002060"/>
                <w:sz w:val="18"/>
                <w:szCs w:val="18"/>
                <w:lang w:val="sr-Cyrl-CS"/>
              </w:rPr>
            </w:pPr>
          </w:p>
        </w:tc>
        <w:tc>
          <w:tcPr>
            <w:tcW w:w="556" w:type="pct"/>
            <w:shd w:val="clear" w:color="auto" w:fill="E7E6E6"/>
          </w:tcPr>
          <w:p w14:paraId="652F54CC" w14:textId="77777777" w:rsidR="00502EF3" w:rsidRPr="001B41AD" w:rsidRDefault="00502EF3" w:rsidP="00436957">
            <w:pPr>
              <w:rPr>
                <w:rFonts w:ascii="Calibri" w:eastAsia="Calibri" w:hAnsi="Calibri" w:cs="Calibri"/>
                <w:color w:val="002060"/>
                <w:sz w:val="18"/>
                <w:szCs w:val="18"/>
                <w:lang w:val="sr-Cyrl-CS"/>
              </w:rPr>
            </w:pPr>
          </w:p>
        </w:tc>
        <w:tc>
          <w:tcPr>
            <w:tcW w:w="556" w:type="pct"/>
            <w:shd w:val="clear" w:color="auto" w:fill="E7E6E6"/>
          </w:tcPr>
          <w:p w14:paraId="63D4F5B7" w14:textId="77777777" w:rsidR="00502EF3" w:rsidRPr="001B41AD" w:rsidRDefault="00502EF3" w:rsidP="00436957">
            <w:pPr>
              <w:rPr>
                <w:rFonts w:ascii="Calibri" w:eastAsia="Calibri" w:hAnsi="Calibri" w:cs="Calibri"/>
                <w:color w:val="002060"/>
                <w:sz w:val="18"/>
                <w:szCs w:val="18"/>
                <w:lang w:val="sr-Cyrl-CS"/>
              </w:rPr>
            </w:pPr>
          </w:p>
        </w:tc>
      </w:tr>
      <w:tr w:rsidR="00A73AD5" w:rsidRPr="001B41AD" w14:paraId="1EA3587F" w14:textId="77777777" w:rsidTr="00436957">
        <w:trPr>
          <w:trHeight w:val="190"/>
        </w:trPr>
        <w:tc>
          <w:tcPr>
            <w:tcW w:w="2220" w:type="pct"/>
          </w:tcPr>
          <w:p w14:paraId="5DA6333F" w14:textId="77777777" w:rsidR="00502EF3" w:rsidRPr="001B41AD" w:rsidRDefault="00502EF3" w:rsidP="00436957">
            <w:pPr>
              <w:ind w:left="440" w:hanging="180"/>
              <w:rPr>
                <w:rFonts w:ascii="Calibri" w:eastAsia="Calibri" w:hAnsi="Calibri" w:cs="Calibri"/>
                <w:color w:val="002060"/>
                <w:sz w:val="18"/>
                <w:lang w:val="sr-Cyrl-CS"/>
              </w:rPr>
            </w:pPr>
            <w:r w:rsidRPr="001B41AD">
              <w:rPr>
                <w:rFonts w:ascii="Calibri" w:eastAsia="Calibri" w:hAnsi="Calibri" w:cs="Calibri"/>
                <w:color w:val="002060"/>
                <w:sz w:val="18"/>
                <w:lang w:val="sr-Cyrl-CS"/>
              </w:rPr>
              <w:t>Еврозона</w:t>
            </w:r>
          </w:p>
        </w:tc>
        <w:tc>
          <w:tcPr>
            <w:tcW w:w="556" w:type="pct"/>
            <w:vAlign w:val="center"/>
          </w:tcPr>
          <w:p w14:paraId="4C08E31C"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6,4</w:t>
            </w:r>
          </w:p>
        </w:tc>
        <w:tc>
          <w:tcPr>
            <w:tcW w:w="556" w:type="pct"/>
            <w:vAlign w:val="center"/>
          </w:tcPr>
          <w:p w14:paraId="0BFD803E"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6,4</w:t>
            </w:r>
          </w:p>
        </w:tc>
        <w:tc>
          <w:tcPr>
            <w:tcW w:w="556" w:type="pct"/>
            <w:vAlign w:val="center"/>
          </w:tcPr>
          <w:p w14:paraId="172D808D"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6,3</w:t>
            </w:r>
          </w:p>
        </w:tc>
        <w:tc>
          <w:tcPr>
            <w:tcW w:w="556" w:type="pct"/>
            <w:vAlign w:val="center"/>
          </w:tcPr>
          <w:p w14:paraId="47A95346"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6,2</w:t>
            </w:r>
          </w:p>
        </w:tc>
        <w:tc>
          <w:tcPr>
            <w:tcW w:w="556" w:type="pct"/>
            <w:vAlign w:val="center"/>
          </w:tcPr>
          <w:p w14:paraId="45EC8B28"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6,2</w:t>
            </w:r>
          </w:p>
        </w:tc>
      </w:tr>
      <w:tr w:rsidR="00A73AD5" w:rsidRPr="001B41AD" w14:paraId="15041B53" w14:textId="77777777" w:rsidTr="00436957">
        <w:trPr>
          <w:trHeight w:val="180"/>
        </w:trPr>
        <w:tc>
          <w:tcPr>
            <w:tcW w:w="2220" w:type="pct"/>
          </w:tcPr>
          <w:p w14:paraId="7B86C73E" w14:textId="77777777" w:rsidR="00502EF3" w:rsidRPr="001B41AD" w:rsidRDefault="00502EF3" w:rsidP="00436957">
            <w:pPr>
              <w:ind w:left="440" w:hanging="180"/>
              <w:rPr>
                <w:rFonts w:ascii="Calibri" w:eastAsia="Calibri" w:hAnsi="Calibri" w:cs="Calibri"/>
                <w:color w:val="002060"/>
                <w:sz w:val="18"/>
                <w:lang w:val="sr-Cyrl-CS"/>
              </w:rPr>
            </w:pPr>
            <w:r w:rsidRPr="001B41AD">
              <w:rPr>
                <w:rFonts w:ascii="Calibri" w:eastAsia="Calibri" w:hAnsi="Calibri" w:cs="Calibri"/>
                <w:color w:val="002060"/>
                <w:sz w:val="18"/>
                <w:lang w:val="sr-Cyrl-CS"/>
              </w:rPr>
              <w:t>САД</w:t>
            </w:r>
          </w:p>
        </w:tc>
        <w:tc>
          <w:tcPr>
            <w:tcW w:w="556" w:type="pct"/>
            <w:vAlign w:val="center"/>
          </w:tcPr>
          <w:p w14:paraId="7C967DD2"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4,0</w:t>
            </w:r>
          </w:p>
        </w:tc>
        <w:tc>
          <w:tcPr>
            <w:tcW w:w="556" w:type="pct"/>
            <w:vAlign w:val="center"/>
          </w:tcPr>
          <w:p w14:paraId="3465DB80"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4,2</w:t>
            </w:r>
          </w:p>
        </w:tc>
        <w:tc>
          <w:tcPr>
            <w:tcW w:w="556" w:type="pct"/>
            <w:vAlign w:val="center"/>
          </w:tcPr>
          <w:p w14:paraId="42A27ADE"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4,1</w:t>
            </w:r>
          </w:p>
        </w:tc>
        <w:tc>
          <w:tcPr>
            <w:tcW w:w="556" w:type="pct"/>
            <w:vAlign w:val="center"/>
          </w:tcPr>
          <w:p w14:paraId="6E50676B"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4,0</w:t>
            </w:r>
          </w:p>
        </w:tc>
        <w:tc>
          <w:tcPr>
            <w:tcW w:w="556" w:type="pct"/>
            <w:vAlign w:val="center"/>
          </w:tcPr>
          <w:p w14:paraId="1D9C6CBC"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3,9</w:t>
            </w:r>
          </w:p>
        </w:tc>
      </w:tr>
      <w:tr w:rsidR="00A73AD5" w:rsidRPr="001B41AD" w14:paraId="2E7A811C" w14:textId="77777777" w:rsidTr="00436957">
        <w:trPr>
          <w:trHeight w:val="190"/>
        </w:trPr>
        <w:tc>
          <w:tcPr>
            <w:tcW w:w="2220" w:type="pct"/>
            <w:shd w:val="clear" w:color="auto" w:fill="E7E6E6"/>
          </w:tcPr>
          <w:p w14:paraId="59990D60" w14:textId="77777777" w:rsidR="00502EF3" w:rsidRPr="001B41AD" w:rsidRDefault="00502EF3" w:rsidP="00436957">
            <w:pPr>
              <w:rPr>
                <w:rFonts w:ascii="Calibri" w:eastAsia="Calibri" w:hAnsi="Calibri" w:cs="Calibri"/>
                <w:color w:val="002060"/>
                <w:sz w:val="18"/>
                <w:highlight w:val="yellow"/>
                <w:lang w:val="sr-Cyrl-CS"/>
              </w:rPr>
            </w:pPr>
            <w:r w:rsidRPr="001B41AD">
              <w:rPr>
                <w:rFonts w:ascii="Calibri" w:eastAsia="Calibri" w:hAnsi="Calibri" w:cs="Calibri"/>
                <w:color w:val="002060"/>
                <w:sz w:val="18"/>
                <w:lang w:val="sr-Cyrl-CS"/>
              </w:rPr>
              <w:t>Потрошачке цене, просек периода, %</w:t>
            </w:r>
          </w:p>
        </w:tc>
        <w:tc>
          <w:tcPr>
            <w:tcW w:w="556" w:type="pct"/>
            <w:shd w:val="clear" w:color="auto" w:fill="E7E6E6"/>
          </w:tcPr>
          <w:p w14:paraId="5FA30DFD" w14:textId="77777777" w:rsidR="00502EF3" w:rsidRPr="001B41AD" w:rsidRDefault="00502EF3" w:rsidP="00436957">
            <w:pPr>
              <w:rPr>
                <w:rFonts w:ascii="Calibri" w:eastAsia="Calibri" w:hAnsi="Calibri" w:cs="Calibri"/>
                <w:color w:val="002060"/>
                <w:sz w:val="18"/>
                <w:szCs w:val="18"/>
                <w:highlight w:val="yellow"/>
                <w:lang w:val="sr-Cyrl-CS"/>
              </w:rPr>
            </w:pPr>
          </w:p>
        </w:tc>
        <w:tc>
          <w:tcPr>
            <w:tcW w:w="556" w:type="pct"/>
            <w:shd w:val="clear" w:color="auto" w:fill="E7E6E6"/>
          </w:tcPr>
          <w:p w14:paraId="0D5C9541" w14:textId="77777777" w:rsidR="00502EF3" w:rsidRPr="001B41AD" w:rsidRDefault="00502EF3" w:rsidP="00436957">
            <w:pPr>
              <w:rPr>
                <w:rFonts w:ascii="Calibri" w:eastAsia="Calibri" w:hAnsi="Calibri" w:cs="Calibri"/>
                <w:color w:val="002060"/>
                <w:sz w:val="18"/>
                <w:szCs w:val="18"/>
                <w:highlight w:val="yellow"/>
                <w:lang w:val="sr-Cyrl-CS"/>
              </w:rPr>
            </w:pPr>
          </w:p>
        </w:tc>
        <w:tc>
          <w:tcPr>
            <w:tcW w:w="556" w:type="pct"/>
            <w:shd w:val="clear" w:color="auto" w:fill="E7E6E6"/>
          </w:tcPr>
          <w:p w14:paraId="33D69922" w14:textId="77777777" w:rsidR="00502EF3" w:rsidRPr="001B41AD" w:rsidRDefault="00502EF3" w:rsidP="00436957">
            <w:pPr>
              <w:rPr>
                <w:rFonts w:ascii="Calibri" w:eastAsia="Calibri" w:hAnsi="Calibri" w:cs="Calibri"/>
                <w:color w:val="002060"/>
                <w:sz w:val="18"/>
                <w:szCs w:val="18"/>
                <w:highlight w:val="yellow"/>
                <w:lang w:val="sr-Cyrl-CS"/>
              </w:rPr>
            </w:pPr>
          </w:p>
        </w:tc>
        <w:tc>
          <w:tcPr>
            <w:tcW w:w="556" w:type="pct"/>
            <w:shd w:val="clear" w:color="auto" w:fill="E7E6E6"/>
          </w:tcPr>
          <w:p w14:paraId="4ABD81DF" w14:textId="77777777" w:rsidR="00502EF3" w:rsidRPr="001B41AD" w:rsidRDefault="00502EF3" w:rsidP="00436957">
            <w:pPr>
              <w:rPr>
                <w:rFonts w:ascii="Calibri" w:eastAsia="Calibri" w:hAnsi="Calibri" w:cs="Calibri"/>
                <w:color w:val="002060"/>
                <w:sz w:val="18"/>
                <w:szCs w:val="18"/>
                <w:highlight w:val="yellow"/>
                <w:lang w:val="sr-Cyrl-CS"/>
              </w:rPr>
            </w:pPr>
          </w:p>
        </w:tc>
        <w:tc>
          <w:tcPr>
            <w:tcW w:w="556" w:type="pct"/>
            <w:shd w:val="clear" w:color="auto" w:fill="E7E6E6"/>
          </w:tcPr>
          <w:p w14:paraId="632C1DA7" w14:textId="77777777" w:rsidR="00502EF3" w:rsidRPr="001B41AD" w:rsidRDefault="00502EF3" w:rsidP="00436957">
            <w:pPr>
              <w:rPr>
                <w:rFonts w:ascii="Calibri" w:eastAsia="Calibri" w:hAnsi="Calibri" w:cs="Calibri"/>
                <w:color w:val="002060"/>
                <w:sz w:val="18"/>
                <w:szCs w:val="18"/>
                <w:highlight w:val="yellow"/>
                <w:lang w:val="sr-Cyrl-CS"/>
              </w:rPr>
            </w:pPr>
          </w:p>
        </w:tc>
      </w:tr>
      <w:tr w:rsidR="00A73AD5" w:rsidRPr="001B41AD" w14:paraId="3C608DA1" w14:textId="77777777" w:rsidTr="00436957">
        <w:trPr>
          <w:trHeight w:val="180"/>
        </w:trPr>
        <w:tc>
          <w:tcPr>
            <w:tcW w:w="2220" w:type="pct"/>
          </w:tcPr>
          <w:p w14:paraId="2CB7E92A" w14:textId="77777777" w:rsidR="00502EF3" w:rsidRPr="001B41AD" w:rsidRDefault="00502EF3" w:rsidP="00436957">
            <w:pPr>
              <w:ind w:left="350" w:hanging="90"/>
              <w:rPr>
                <w:rFonts w:ascii="Calibri" w:eastAsia="Calibri" w:hAnsi="Calibri" w:cs="Calibri"/>
                <w:color w:val="002060"/>
                <w:sz w:val="18"/>
                <w:lang w:val="sr-Cyrl-CS"/>
              </w:rPr>
            </w:pPr>
            <w:r w:rsidRPr="001B41AD">
              <w:rPr>
                <w:rFonts w:ascii="Calibri" w:eastAsia="Calibri" w:hAnsi="Calibri" w:cs="Calibri"/>
                <w:color w:val="002060"/>
                <w:sz w:val="18"/>
                <w:lang w:val="sr-Cyrl-CS"/>
              </w:rPr>
              <w:t>Еврозона</w:t>
            </w:r>
          </w:p>
        </w:tc>
        <w:tc>
          <w:tcPr>
            <w:tcW w:w="556" w:type="pct"/>
            <w:vAlign w:val="center"/>
          </w:tcPr>
          <w:p w14:paraId="2678A981"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2,4</w:t>
            </w:r>
          </w:p>
        </w:tc>
        <w:tc>
          <w:tcPr>
            <w:tcW w:w="556" w:type="pct"/>
            <w:vAlign w:val="center"/>
          </w:tcPr>
          <w:p w14:paraId="7E0B8B02"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2,1</w:t>
            </w:r>
          </w:p>
        </w:tc>
        <w:tc>
          <w:tcPr>
            <w:tcW w:w="556" w:type="pct"/>
            <w:vAlign w:val="center"/>
          </w:tcPr>
          <w:p w14:paraId="1BE0C111"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1,9</w:t>
            </w:r>
          </w:p>
        </w:tc>
        <w:tc>
          <w:tcPr>
            <w:tcW w:w="556" w:type="pct"/>
            <w:vAlign w:val="center"/>
          </w:tcPr>
          <w:p w14:paraId="185B6E0A"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2,1</w:t>
            </w:r>
          </w:p>
        </w:tc>
        <w:tc>
          <w:tcPr>
            <w:tcW w:w="556" w:type="pct"/>
            <w:vAlign w:val="center"/>
          </w:tcPr>
          <w:p w14:paraId="06992657"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2,0</w:t>
            </w:r>
          </w:p>
        </w:tc>
      </w:tr>
      <w:tr w:rsidR="00A73AD5" w:rsidRPr="001B41AD" w14:paraId="66A27267" w14:textId="77777777" w:rsidTr="00436957">
        <w:trPr>
          <w:trHeight w:val="190"/>
        </w:trPr>
        <w:tc>
          <w:tcPr>
            <w:tcW w:w="2220" w:type="pct"/>
          </w:tcPr>
          <w:p w14:paraId="5F2631E7" w14:textId="77777777" w:rsidR="00502EF3" w:rsidRPr="001B41AD" w:rsidRDefault="00502EF3" w:rsidP="00436957">
            <w:pPr>
              <w:ind w:left="350" w:hanging="90"/>
              <w:rPr>
                <w:rFonts w:ascii="Calibri" w:eastAsia="Calibri" w:hAnsi="Calibri" w:cs="Calibri"/>
                <w:color w:val="002060"/>
                <w:sz w:val="18"/>
                <w:lang w:val="sr-Cyrl-CS"/>
              </w:rPr>
            </w:pPr>
            <w:r w:rsidRPr="001B41AD">
              <w:rPr>
                <w:rFonts w:ascii="Calibri" w:eastAsia="Calibri" w:hAnsi="Calibri" w:cs="Calibri"/>
                <w:color w:val="002060"/>
                <w:sz w:val="18"/>
                <w:lang w:val="sr-Cyrl-CS"/>
              </w:rPr>
              <w:t>Развијене економије</w:t>
            </w:r>
          </w:p>
        </w:tc>
        <w:tc>
          <w:tcPr>
            <w:tcW w:w="556" w:type="pct"/>
            <w:vAlign w:val="center"/>
          </w:tcPr>
          <w:p w14:paraId="575551A5"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2,6</w:t>
            </w:r>
          </w:p>
        </w:tc>
        <w:tc>
          <w:tcPr>
            <w:tcW w:w="556" w:type="pct"/>
            <w:vAlign w:val="center"/>
          </w:tcPr>
          <w:p w14:paraId="7F2A01E7"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2,5</w:t>
            </w:r>
          </w:p>
        </w:tc>
        <w:tc>
          <w:tcPr>
            <w:tcW w:w="556" w:type="pct"/>
            <w:vAlign w:val="center"/>
          </w:tcPr>
          <w:p w14:paraId="0997E864"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2,2</w:t>
            </w:r>
          </w:p>
        </w:tc>
        <w:tc>
          <w:tcPr>
            <w:tcW w:w="556" w:type="pct"/>
            <w:vAlign w:val="center"/>
          </w:tcPr>
          <w:p w14:paraId="23BB0658"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2,1</w:t>
            </w:r>
          </w:p>
        </w:tc>
        <w:tc>
          <w:tcPr>
            <w:tcW w:w="556" w:type="pct"/>
            <w:vAlign w:val="center"/>
          </w:tcPr>
          <w:p w14:paraId="58EF126B"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2,1</w:t>
            </w:r>
          </w:p>
        </w:tc>
      </w:tr>
      <w:tr w:rsidR="00A73AD5" w:rsidRPr="001B41AD" w14:paraId="27128784" w14:textId="77777777" w:rsidTr="00436957">
        <w:trPr>
          <w:trHeight w:val="70"/>
        </w:trPr>
        <w:tc>
          <w:tcPr>
            <w:tcW w:w="2220" w:type="pct"/>
          </w:tcPr>
          <w:p w14:paraId="010BC9F7" w14:textId="77777777" w:rsidR="00502EF3" w:rsidRPr="001B41AD" w:rsidRDefault="00502EF3" w:rsidP="00436957">
            <w:pPr>
              <w:ind w:left="350" w:hanging="90"/>
              <w:rPr>
                <w:rFonts w:ascii="Calibri" w:eastAsia="Calibri" w:hAnsi="Calibri" w:cs="Calibri"/>
                <w:color w:val="002060"/>
                <w:sz w:val="18"/>
                <w:lang w:val="sr-Cyrl-CS"/>
              </w:rPr>
            </w:pPr>
            <w:r w:rsidRPr="001B41AD">
              <w:rPr>
                <w:rFonts w:ascii="Calibri" w:eastAsia="Calibri" w:hAnsi="Calibri" w:cs="Calibri"/>
                <w:color w:val="002060"/>
                <w:sz w:val="18"/>
                <w:lang w:val="sr-Cyrl-CS"/>
              </w:rPr>
              <w:t>Земље у успону</w:t>
            </w:r>
          </w:p>
        </w:tc>
        <w:tc>
          <w:tcPr>
            <w:tcW w:w="556" w:type="pct"/>
            <w:vAlign w:val="center"/>
          </w:tcPr>
          <w:p w14:paraId="3C4FB577"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7,9</w:t>
            </w:r>
          </w:p>
        </w:tc>
        <w:tc>
          <w:tcPr>
            <w:tcW w:w="556" w:type="pct"/>
            <w:vAlign w:val="center"/>
          </w:tcPr>
          <w:p w14:paraId="58F15A91"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Times New Roman" w:hAnsi="Calibri" w:cs="Calibri"/>
                <w:color w:val="002060"/>
                <w:sz w:val="18"/>
                <w:szCs w:val="18"/>
                <w:lang w:val="sr-Cyrl-CS" w:eastAsia="en-GB"/>
              </w:rPr>
              <w:t>5,3</w:t>
            </w:r>
          </w:p>
        </w:tc>
        <w:tc>
          <w:tcPr>
            <w:tcW w:w="556" w:type="pct"/>
            <w:vAlign w:val="center"/>
          </w:tcPr>
          <w:p w14:paraId="3E2C44CB"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4,7</w:t>
            </w:r>
          </w:p>
        </w:tc>
        <w:tc>
          <w:tcPr>
            <w:tcW w:w="556" w:type="pct"/>
            <w:vAlign w:val="center"/>
          </w:tcPr>
          <w:p w14:paraId="4357EA99"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4,2</w:t>
            </w:r>
          </w:p>
        </w:tc>
        <w:tc>
          <w:tcPr>
            <w:tcW w:w="556" w:type="pct"/>
            <w:vAlign w:val="center"/>
          </w:tcPr>
          <w:p w14:paraId="1ECFDB08"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4,1</w:t>
            </w:r>
          </w:p>
        </w:tc>
      </w:tr>
      <w:tr w:rsidR="00A73AD5" w:rsidRPr="001B41AD" w14:paraId="06C4EDBB" w14:textId="77777777" w:rsidTr="00436957">
        <w:trPr>
          <w:trHeight w:val="20"/>
        </w:trPr>
        <w:tc>
          <w:tcPr>
            <w:tcW w:w="2220" w:type="pct"/>
          </w:tcPr>
          <w:p w14:paraId="0CE5A2FB" w14:textId="77777777" w:rsidR="00502EF3" w:rsidRPr="001B41AD" w:rsidRDefault="00502EF3" w:rsidP="00436957">
            <w:pPr>
              <w:rPr>
                <w:rFonts w:ascii="Calibri" w:eastAsia="Calibri" w:hAnsi="Calibri" w:cs="Calibri"/>
                <w:color w:val="002060"/>
                <w:sz w:val="18"/>
                <w:highlight w:val="yellow"/>
                <w:lang w:val="sr-Cyrl-CS"/>
              </w:rPr>
            </w:pPr>
          </w:p>
        </w:tc>
        <w:tc>
          <w:tcPr>
            <w:tcW w:w="556" w:type="pct"/>
            <w:vAlign w:val="center"/>
          </w:tcPr>
          <w:p w14:paraId="60AA2A5C" w14:textId="77777777" w:rsidR="00502EF3" w:rsidRPr="001B41AD" w:rsidRDefault="00502EF3" w:rsidP="00436957">
            <w:pPr>
              <w:rPr>
                <w:rFonts w:ascii="Calibri" w:eastAsia="Calibri" w:hAnsi="Calibri" w:cs="Calibri"/>
                <w:color w:val="002060"/>
                <w:sz w:val="18"/>
                <w:szCs w:val="18"/>
                <w:highlight w:val="yellow"/>
                <w:lang w:val="sr-Cyrl-CS"/>
              </w:rPr>
            </w:pPr>
          </w:p>
        </w:tc>
        <w:tc>
          <w:tcPr>
            <w:tcW w:w="556" w:type="pct"/>
            <w:vAlign w:val="center"/>
          </w:tcPr>
          <w:p w14:paraId="7B27E795" w14:textId="77777777" w:rsidR="00502EF3" w:rsidRPr="001B41AD" w:rsidRDefault="00502EF3" w:rsidP="00436957">
            <w:pPr>
              <w:rPr>
                <w:rFonts w:ascii="Calibri" w:eastAsia="Calibri" w:hAnsi="Calibri" w:cs="Calibri"/>
                <w:color w:val="002060"/>
                <w:sz w:val="18"/>
                <w:szCs w:val="18"/>
                <w:highlight w:val="yellow"/>
                <w:lang w:val="sr-Cyrl-CS"/>
              </w:rPr>
            </w:pPr>
          </w:p>
        </w:tc>
        <w:tc>
          <w:tcPr>
            <w:tcW w:w="556" w:type="pct"/>
            <w:vAlign w:val="center"/>
          </w:tcPr>
          <w:p w14:paraId="44EC2901" w14:textId="77777777" w:rsidR="00502EF3" w:rsidRPr="001B41AD" w:rsidRDefault="00502EF3" w:rsidP="00436957">
            <w:pPr>
              <w:rPr>
                <w:rFonts w:ascii="Calibri" w:eastAsia="Calibri" w:hAnsi="Calibri" w:cs="Calibri"/>
                <w:color w:val="002060"/>
                <w:sz w:val="18"/>
                <w:szCs w:val="18"/>
                <w:highlight w:val="yellow"/>
                <w:lang w:val="sr-Cyrl-CS"/>
              </w:rPr>
            </w:pPr>
          </w:p>
        </w:tc>
        <w:tc>
          <w:tcPr>
            <w:tcW w:w="556" w:type="pct"/>
            <w:vAlign w:val="center"/>
          </w:tcPr>
          <w:p w14:paraId="32EDD82A" w14:textId="77777777" w:rsidR="00502EF3" w:rsidRPr="001B41AD" w:rsidRDefault="00502EF3" w:rsidP="00436957">
            <w:pPr>
              <w:rPr>
                <w:rFonts w:ascii="Calibri" w:eastAsia="Calibri" w:hAnsi="Calibri" w:cs="Calibri"/>
                <w:color w:val="002060"/>
                <w:sz w:val="18"/>
                <w:szCs w:val="18"/>
                <w:highlight w:val="yellow"/>
                <w:lang w:val="sr-Cyrl-CS"/>
              </w:rPr>
            </w:pPr>
          </w:p>
        </w:tc>
        <w:tc>
          <w:tcPr>
            <w:tcW w:w="556" w:type="pct"/>
            <w:vAlign w:val="center"/>
          </w:tcPr>
          <w:p w14:paraId="698AA410" w14:textId="77777777" w:rsidR="00502EF3" w:rsidRPr="001B41AD" w:rsidRDefault="00502EF3" w:rsidP="00436957">
            <w:pPr>
              <w:rPr>
                <w:rFonts w:ascii="Calibri" w:eastAsia="Calibri" w:hAnsi="Calibri" w:cs="Calibri"/>
                <w:color w:val="002060"/>
                <w:sz w:val="18"/>
                <w:szCs w:val="18"/>
                <w:highlight w:val="yellow"/>
                <w:lang w:val="sr-Cyrl-CS"/>
              </w:rPr>
            </w:pPr>
          </w:p>
        </w:tc>
      </w:tr>
      <w:tr w:rsidR="00A73AD5" w:rsidRPr="001B41AD" w14:paraId="2F7B8E3D" w14:textId="77777777" w:rsidTr="00436957">
        <w:trPr>
          <w:trHeight w:val="70"/>
        </w:trPr>
        <w:tc>
          <w:tcPr>
            <w:tcW w:w="2220" w:type="pct"/>
          </w:tcPr>
          <w:p w14:paraId="4BE0D256" w14:textId="77777777" w:rsidR="00502EF3" w:rsidRPr="001B41AD" w:rsidRDefault="00502EF3" w:rsidP="00436957">
            <w:pPr>
              <w:rPr>
                <w:rFonts w:ascii="Calibri" w:eastAsia="Calibri" w:hAnsi="Calibri" w:cs="Calibri"/>
                <w:color w:val="002060"/>
                <w:sz w:val="18"/>
                <w:lang w:val="sr-Cyrl-CS"/>
              </w:rPr>
            </w:pPr>
            <w:r w:rsidRPr="001B41AD">
              <w:rPr>
                <w:rFonts w:ascii="Calibri" w:eastAsia="Calibri" w:hAnsi="Calibri" w:cs="Calibri"/>
                <w:color w:val="002060"/>
                <w:sz w:val="18"/>
                <w:lang w:val="sr-Cyrl-CS"/>
              </w:rPr>
              <w:t>Девизни курс, евро/долар, крај периода</w:t>
            </w:r>
          </w:p>
        </w:tc>
        <w:tc>
          <w:tcPr>
            <w:tcW w:w="556" w:type="pct"/>
            <w:vAlign w:val="center"/>
          </w:tcPr>
          <w:p w14:paraId="0AF1F7F3"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1,1</w:t>
            </w:r>
          </w:p>
        </w:tc>
        <w:tc>
          <w:tcPr>
            <w:tcW w:w="556" w:type="pct"/>
            <w:vAlign w:val="center"/>
          </w:tcPr>
          <w:p w14:paraId="7FC1DC6C"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1,1</w:t>
            </w:r>
          </w:p>
        </w:tc>
        <w:tc>
          <w:tcPr>
            <w:tcW w:w="556" w:type="pct"/>
            <w:vAlign w:val="center"/>
          </w:tcPr>
          <w:p w14:paraId="4B320F73"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1,2</w:t>
            </w:r>
          </w:p>
        </w:tc>
        <w:tc>
          <w:tcPr>
            <w:tcW w:w="556" w:type="pct"/>
            <w:vAlign w:val="center"/>
          </w:tcPr>
          <w:p w14:paraId="5A877E20"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w:t>
            </w:r>
          </w:p>
        </w:tc>
        <w:tc>
          <w:tcPr>
            <w:tcW w:w="556" w:type="pct"/>
            <w:vAlign w:val="center"/>
          </w:tcPr>
          <w:p w14:paraId="1AFE792E" w14:textId="77777777" w:rsidR="00502EF3" w:rsidRPr="001B41AD" w:rsidRDefault="00502EF3" w:rsidP="00436957">
            <w:pPr>
              <w:jc w:val="center"/>
              <w:rPr>
                <w:rFonts w:ascii="Calibri" w:eastAsia="Calibri" w:hAnsi="Calibri" w:cs="Calibri"/>
                <w:color w:val="002060"/>
                <w:sz w:val="18"/>
                <w:szCs w:val="18"/>
                <w:lang w:val="sr-Cyrl-CS"/>
              </w:rPr>
            </w:pPr>
            <w:r w:rsidRPr="001B41AD">
              <w:rPr>
                <w:rFonts w:ascii="Calibri" w:eastAsia="Calibri" w:hAnsi="Calibri" w:cs="Calibri"/>
                <w:color w:val="002060"/>
                <w:sz w:val="18"/>
                <w:szCs w:val="18"/>
                <w:lang w:val="sr-Cyrl-CS"/>
              </w:rPr>
              <w:t>-</w:t>
            </w:r>
          </w:p>
        </w:tc>
      </w:tr>
      <w:tr w:rsidR="00A73AD5" w:rsidRPr="001B41AD" w14:paraId="42800744" w14:textId="77777777" w:rsidTr="00436957">
        <w:trPr>
          <w:trHeight w:val="135"/>
        </w:trPr>
        <w:tc>
          <w:tcPr>
            <w:tcW w:w="2220" w:type="pct"/>
          </w:tcPr>
          <w:p w14:paraId="320C7A4D" w14:textId="77777777" w:rsidR="00502EF3" w:rsidRPr="001B41AD" w:rsidRDefault="00502EF3" w:rsidP="00436957">
            <w:pPr>
              <w:rPr>
                <w:rFonts w:ascii="Calibri" w:eastAsia="Calibri" w:hAnsi="Calibri" w:cs="Calibri"/>
                <w:color w:val="002060"/>
                <w:sz w:val="18"/>
                <w:lang w:val="sr-Cyrl-CS"/>
              </w:rPr>
            </w:pPr>
            <w:r w:rsidRPr="001B41AD">
              <w:rPr>
                <w:rFonts w:ascii="Calibri" w:eastAsia="Calibri" w:hAnsi="Calibri" w:cs="Calibri"/>
                <w:color w:val="002060"/>
                <w:sz w:val="18"/>
                <w:lang w:val="sr-Cyrl-CS"/>
              </w:rPr>
              <w:t>Цене житарица, у доларима, годишње промене</w:t>
            </w:r>
            <w:r w:rsidRPr="001B41AD">
              <w:rPr>
                <w:rFonts w:ascii="Calibri" w:eastAsia="Calibri" w:hAnsi="Calibri" w:cs="Calibri"/>
                <w:color w:val="002060"/>
                <w:sz w:val="18"/>
                <w:vertAlign w:val="superscript"/>
                <w:lang w:val="sr-Cyrl-CS"/>
              </w:rPr>
              <w:t>2</w:t>
            </w:r>
          </w:p>
        </w:tc>
        <w:tc>
          <w:tcPr>
            <w:tcW w:w="556" w:type="pct"/>
            <w:vAlign w:val="center"/>
          </w:tcPr>
          <w:p w14:paraId="23BCA208"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-20,1</w:t>
            </w:r>
          </w:p>
        </w:tc>
        <w:tc>
          <w:tcPr>
            <w:tcW w:w="556" w:type="pct"/>
            <w:vAlign w:val="center"/>
          </w:tcPr>
          <w:p w14:paraId="16A0E061"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-9,1</w:t>
            </w:r>
          </w:p>
        </w:tc>
        <w:tc>
          <w:tcPr>
            <w:tcW w:w="556" w:type="pct"/>
            <w:vAlign w:val="center"/>
          </w:tcPr>
          <w:p w14:paraId="34CCAA0D"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6,5</w:t>
            </w:r>
          </w:p>
        </w:tc>
        <w:tc>
          <w:tcPr>
            <w:tcW w:w="556" w:type="pct"/>
            <w:vAlign w:val="center"/>
          </w:tcPr>
          <w:p w14:paraId="2AA49322"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5,7</w:t>
            </w:r>
          </w:p>
        </w:tc>
        <w:tc>
          <w:tcPr>
            <w:tcW w:w="556" w:type="pct"/>
            <w:vAlign w:val="center"/>
          </w:tcPr>
          <w:p w14:paraId="06AD5419"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1,8</w:t>
            </w:r>
          </w:p>
        </w:tc>
      </w:tr>
      <w:tr w:rsidR="00A73AD5" w:rsidRPr="001B41AD" w14:paraId="5CAD29FD" w14:textId="77777777" w:rsidTr="00436957">
        <w:trPr>
          <w:trHeight w:val="167"/>
        </w:trPr>
        <w:tc>
          <w:tcPr>
            <w:tcW w:w="2220" w:type="pct"/>
          </w:tcPr>
          <w:p w14:paraId="44A3A0C8" w14:textId="77777777" w:rsidR="00502EF3" w:rsidRPr="001B41AD" w:rsidRDefault="00502EF3" w:rsidP="00436957">
            <w:pPr>
              <w:rPr>
                <w:rFonts w:ascii="Calibri" w:eastAsia="Calibri" w:hAnsi="Calibri" w:cs="Calibri"/>
                <w:color w:val="002060"/>
                <w:sz w:val="18"/>
                <w:lang w:val="sr-Cyrl-CS"/>
              </w:rPr>
            </w:pPr>
            <w:r w:rsidRPr="001B41AD">
              <w:rPr>
                <w:rFonts w:ascii="Calibri" w:eastAsia="Calibri" w:hAnsi="Calibri" w:cs="Calibri"/>
                <w:color w:val="002060"/>
                <w:sz w:val="18"/>
                <w:lang w:val="sr-Cyrl-CS"/>
              </w:rPr>
              <w:t>Цене метала, годишње промене</w:t>
            </w:r>
            <w:r w:rsidRPr="001B41AD">
              <w:rPr>
                <w:rFonts w:ascii="Calibri" w:eastAsia="Calibri" w:hAnsi="Calibri" w:cs="Calibri"/>
                <w:color w:val="002060"/>
                <w:sz w:val="18"/>
                <w:vertAlign w:val="superscript"/>
                <w:lang w:val="sr-Cyrl-CS"/>
              </w:rPr>
              <w:t>3</w:t>
            </w:r>
          </w:p>
        </w:tc>
        <w:tc>
          <w:tcPr>
            <w:tcW w:w="556" w:type="pct"/>
            <w:vAlign w:val="center"/>
          </w:tcPr>
          <w:p w14:paraId="545BF3C5"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-1,9</w:t>
            </w:r>
          </w:p>
        </w:tc>
        <w:tc>
          <w:tcPr>
            <w:tcW w:w="556" w:type="pct"/>
            <w:vAlign w:val="center"/>
          </w:tcPr>
          <w:p w14:paraId="66A3A19C"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0,3</w:t>
            </w:r>
          </w:p>
        </w:tc>
        <w:tc>
          <w:tcPr>
            <w:tcW w:w="556" w:type="pct"/>
            <w:vAlign w:val="center"/>
          </w:tcPr>
          <w:p w14:paraId="2E7BBDBB"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3,0</w:t>
            </w:r>
          </w:p>
        </w:tc>
        <w:tc>
          <w:tcPr>
            <w:tcW w:w="556" w:type="pct"/>
            <w:vAlign w:val="center"/>
          </w:tcPr>
          <w:p w14:paraId="5C2A8387"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-0,4</w:t>
            </w:r>
          </w:p>
        </w:tc>
        <w:tc>
          <w:tcPr>
            <w:tcW w:w="556" w:type="pct"/>
            <w:vAlign w:val="center"/>
          </w:tcPr>
          <w:p w14:paraId="6604AEA7"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-0,7</w:t>
            </w:r>
          </w:p>
        </w:tc>
      </w:tr>
      <w:tr w:rsidR="00A73AD5" w:rsidRPr="001B41AD" w14:paraId="33A19B72" w14:textId="77777777" w:rsidTr="00436957">
        <w:trPr>
          <w:trHeight w:val="70"/>
        </w:trPr>
        <w:tc>
          <w:tcPr>
            <w:tcW w:w="2220" w:type="pct"/>
          </w:tcPr>
          <w:p w14:paraId="7A30A945" w14:textId="77777777" w:rsidR="00502EF3" w:rsidRPr="001B41AD" w:rsidRDefault="00502EF3" w:rsidP="00436957">
            <w:pPr>
              <w:rPr>
                <w:rFonts w:ascii="Calibri" w:eastAsia="Calibri" w:hAnsi="Calibri" w:cs="Calibri"/>
                <w:color w:val="002060"/>
                <w:sz w:val="18"/>
                <w:lang w:val="sr-Cyrl-CS"/>
              </w:rPr>
            </w:pPr>
            <w:r w:rsidRPr="001B41AD">
              <w:rPr>
                <w:rFonts w:ascii="Calibri" w:eastAsia="Calibri" w:hAnsi="Calibri" w:cs="Calibri"/>
                <w:color w:val="002060"/>
                <w:sz w:val="18"/>
                <w:lang w:val="sr-Cyrl-CS"/>
              </w:rPr>
              <w:t>Цена руде гвожђа, у доларима</w:t>
            </w:r>
            <w:r w:rsidRPr="001B41AD">
              <w:rPr>
                <w:rFonts w:ascii="Calibri" w:eastAsia="Calibri" w:hAnsi="Calibri" w:cs="Calibri"/>
                <w:color w:val="002060"/>
                <w:sz w:val="18"/>
                <w:vertAlign w:val="superscript"/>
                <w:lang w:val="sr-Cyrl-CS"/>
              </w:rPr>
              <w:t>4</w:t>
            </w:r>
          </w:p>
        </w:tc>
        <w:tc>
          <w:tcPr>
            <w:tcW w:w="556" w:type="pct"/>
            <w:vAlign w:val="center"/>
          </w:tcPr>
          <w:p w14:paraId="37DABE84"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-7,7</w:t>
            </w:r>
          </w:p>
        </w:tc>
        <w:tc>
          <w:tcPr>
            <w:tcW w:w="556" w:type="pct"/>
            <w:vAlign w:val="center"/>
          </w:tcPr>
          <w:p w14:paraId="5DCBB0EF"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-7,6</w:t>
            </w:r>
          </w:p>
        </w:tc>
        <w:tc>
          <w:tcPr>
            <w:tcW w:w="556" w:type="pct"/>
            <w:vAlign w:val="center"/>
          </w:tcPr>
          <w:p w14:paraId="6A4F98A3"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-2,4</w:t>
            </w:r>
          </w:p>
        </w:tc>
        <w:tc>
          <w:tcPr>
            <w:tcW w:w="556" w:type="pct"/>
            <w:vAlign w:val="center"/>
          </w:tcPr>
          <w:p w14:paraId="0A9FA0ED"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-5,4</w:t>
            </w:r>
          </w:p>
        </w:tc>
        <w:tc>
          <w:tcPr>
            <w:tcW w:w="556" w:type="pct"/>
            <w:vAlign w:val="center"/>
          </w:tcPr>
          <w:p w14:paraId="28ED534E"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-6,2</w:t>
            </w:r>
          </w:p>
        </w:tc>
      </w:tr>
      <w:tr w:rsidR="00A73AD5" w:rsidRPr="001B41AD" w14:paraId="3F9EB566" w14:textId="77777777" w:rsidTr="00436957">
        <w:trPr>
          <w:trHeight w:val="173"/>
        </w:trPr>
        <w:tc>
          <w:tcPr>
            <w:tcW w:w="2220" w:type="pct"/>
            <w:tcBorders>
              <w:bottom w:val="single" w:sz="4" w:space="0" w:color="002060"/>
            </w:tcBorders>
          </w:tcPr>
          <w:p w14:paraId="59D54286" w14:textId="77777777" w:rsidR="00502EF3" w:rsidRPr="001B41AD" w:rsidRDefault="00502EF3" w:rsidP="00436957">
            <w:pPr>
              <w:rPr>
                <w:rFonts w:ascii="Calibri" w:eastAsia="Calibri" w:hAnsi="Calibri" w:cs="Calibri"/>
                <w:color w:val="002060"/>
                <w:sz w:val="18"/>
                <w:lang w:val="sr-Cyrl-CS"/>
              </w:rPr>
            </w:pPr>
            <w:r w:rsidRPr="001B41AD">
              <w:rPr>
                <w:rFonts w:ascii="Calibri" w:eastAsia="Calibri" w:hAnsi="Calibri" w:cs="Calibri"/>
                <w:color w:val="002060"/>
                <w:sz w:val="18"/>
                <w:lang w:val="sr-Cyrl-CS"/>
              </w:rPr>
              <w:t>Цене нафте, у доларима, годишње промене, %</w:t>
            </w:r>
          </w:p>
        </w:tc>
        <w:tc>
          <w:tcPr>
            <w:tcW w:w="556" w:type="pct"/>
            <w:tcBorders>
              <w:bottom w:val="single" w:sz="4" w:space="0" w:color="002060"/>
            </w:tcBorders>
            <w:vAlign w:val="center"/>
          </w:tcPr>
          <w:p w14:paraId="6565EDE9"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-1,8</w:t>
            </w:r>
          </w:p>
        </w:tc>
        <w:tc>
          <w:tcPr>
            <w:tcW w:w="556" w:type="pct"/>
            <w:tcBorders>
              <w:bottom w:val="single" w:sz="4" w:space="0" w:color="002060"/>
            </w:tcBorders>
            <w:vAlign w:val="center"/>
          </w:tcPr>
          <w:p w14:paraId="1264FEAE"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-12,9</w:t>
            </w:r>
          </w:p>
        </w:tc>
        <w:tc>
          <w:tcPr>
            <w:tcW w:w="556" w:type="pct"/>
            <w:tcBorders>
              <w:bottom w:val="single" w:sz="4" w:space="0" w:color="002060"/>
            </w:tcBorders>
            <w:vAlign w:val="center"/>
          </w:tcPr>
          <w:p w14:paraId="478B166D"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-4,5</w:t>
            </w:r>
          </w:p>
        </w:tc>
        <w:tc>
          <w:tcPr>
            <w:tcW w:w="556" w:type="pct"/>
            <w:tcBorders>
              <w:bottom w:val="single" w:sz="4" w:space="0" w:color="002060"/>
            </w:tcBorders>
            <w:vAlign w:val="center"/>
          </w:tcPr>
          <w:p w14:paraId="3DE83CCC"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-0,2</w:t>
            </w:r>
          </w:p>
        </w:tc>
        <w:tc>
          <w:tcPr>
            <w:tcW w:w="556" w:type="pct"/>
            <w:tcBorders>
              <w:bottom w:val="single" w:sz="4" w:space="0" w:color="002060"/>
            </w:tcBorders>
            <w:vAlign w:val="center"/>
          </w:tcPr>
          <w:p w14:paraId="117138DA" w14:textId="77777777" w:rsidR="00502EF3" w:rsidRPr="001B41AD" w:rsidRDefault="00502EF3" w:rsidP="00436957">
            <w:pPr>
              <w:jc w:val="center"/>
              <w:rPr>
                <w:rFonts w:ascii="Calibri" w:eastAsia="Times New Roman" w:hAnsi="Calibri" w:cs="Calibri"/>
                <w:color w:val="002060"/>
                <w:sz w:val="18"/>
                <w:szCs w:val="18"/>
                <w:lang w:val="sr-Cyrl-CS" w:eastAsia="en-GB"/>
              </w:rPr>
            </w:pPr>
            <w:r w:rsidRPr="001B41AD">
              <w:rPr>
                <w:rFonts w:ascii="Calibri" w:eastAsia="Times New Roman" w:hAnsi="Calibri" w:cs="Calibri"/>
                <w:color w:val="002060"/>
                <w:sz w:val="18"/>
                <w:szCs w:val="18"/>
                <w:lang w:val="sr-Cyrl-CS" w:eastAsia="en-GB"/>
              </w:rPr>
              <w:t>0,9</w:t>
            </w:r>
          </w:p>
        </w:tc>
      </w:tr>
      <w:tr w:rsidR="00502EF3" w:rsidRPr="001B41AD" w14:paraId="49F5EDC7" w14:textId="77777777" w:rsidTr="00436957">
        <w:trPr>
          <w:trHeight w:val="159"/>
        </w:trPr>
        <w:tc>
          <w:tcPr>
            <w:tcW w:w="5000" w:type="pct"/>
            <w:gridSpan w:val="6"/>
            <w:tcBorders>
              <w:top w:val="single" w:sz="4" w:space="0" w:color="002060"/>
            </w:tcBorders>
          </w:tcPr>
          <w:p w14:paraId="46A1D85B" w14:textId="77777777" w:rsidR="00502EF3" w:rsidRPr="001B41AD" w:rsidRDefault="00502EF3" w:rsidP="00436957">
            <w:pPr>
              <w:rPr>
                <w:rFonts w:ascii="Calibri" w:eastAsia="Calibri" w:hAnsi="Calibri" w:cs="Calibri"/>
                <w:bCs/>
                <w:sz w:val="16"/>
                <w:szCs w:val="72"/>
                <w:lang w:val="sr-Cyrl-CS"/>
              </w:rPr>
            </w:pPr>
            <w:r w:rsidRPr="001B41AD">
              <w:rPr>
                <w:rFonts w:ascii="Calibri" w:eastAsia="Calibri" w:hAnsi="Calibri" w:cs="Calibri"/>
                <w:bCs/>
                <w:sz w:val="16"/>
                <w:szCs w:val="72"/>
                <w:lang w:val="sr-Cyrl-CS"/>
              </w:rPr>
              <w:t xml:space="preserve">Извор: ММФ, </w:t>
            </w:r>
            <w:r w:rsidRPr="001B41AD">
              <w:rPr>
                <w:rFonts w:ascii="Calibri" w:eastAsia="Calibri" w:hAnsi="Calibri" w:cs="Calibri"/>
                <w:bCs/>
                <w:i/>
                <w:sz w:val="16"/>
                <w:szCs w:val="72"/>
                <w:lang w:val="sr-Cyrl-CS"/>
              </w:rPr>
              <w:t>World Economic Outlook</w:t>
            </w:r>
            <w:r w:rsidRPr="001B41AD">
              <w:rPr>
                <w:rFonts w:ascii="Calibri" w:eastAsia="Calibri" w:hAnsi="Calibri" w:cs="Calibri"/>
                <w:bCs/>
                <w:sz w:val="16"/>
                <w:szCs w:val="72"/>
                <w:lang w:val="sr-Cyrl-CS"/>
              </w:rPr>
              <w:t>, октобар 2025.</w:t>
            </w:r>
          </w:p>
        </w:tc>
      </w:tr>
      <w:tr w:rsidR="00502EF3" w:rsidRPr="001B41AD" w14:paraId="4ED6959A" w14:textId="77777777" w:rsidTr="00436957">
        <w:trPr>
          <w:trHeight w:val="535"/>
        </w:trPr>
        <w:tc>
          <w:tcPr>
            <w:tcW w:w="5000" w:type="pct"/>
            <w:gridSpan w:val="6"/>
          </w:tcPr>
          <w:p w14:paraId="7AAFD982" w14:textId="77777777" w:rsidR="00502EF3" w:rsidRPr="001B41AD" w:rsidRDefault="00502EF3" w:rsidP="00436957">
            <w:pPr>
              <w:rPr>
                <w:rFonts w:ascii="Calibri" w:eastAsia="Calibri" w:hAnsi="Calibri" w:cs="Calibri"/>
                <w:bCs/>
                <w:sz w:val="16"/>
                <w:szCs w:val="72"/>
                <w:lang w:val="sr-Cyrl-CS"/>
              </w:rPr>
            </w:pPr>
            <w:r w:rsidRPr="001B41AD">
              <w:rPr>
                <w:rFonts w:ascii="Calibri" w:eastAsia="Calibri" w:hAnsi="Calibri" w:cs="Calibri"/>
                <w:bCs/>
                <w:sz w:val="16"/>
                <w:szCs w:val="72"/>
                <w:vertAlign w:val="superscript"/>
                <w:lang w:val="sr-Cyrl-CS"/>
              </w:rPr>
              <w:t>1</w:t>
            </w:r>
            <w:r w:rsidRPr="001B41AD">
              <w:rPr>
                <w:rFonts w:ascii="Calibri" w:eastAsia="Calibri" w:hAnsi="Calibri" w:cs="Calibri"/>
                <w:bCs/>
                <w:sz w:val="16"/>
                <w:szCs w:val="72"/>
                <w:lang w:val="sr-Cyrl-CS"/>
              </w:rPr>
              <w:t xml:space="preserve"> Светски БДП израчунат је према паритету куповне моћи.</w:t>
            </w:r>
          </w:p>
          <w:p w14:paraId="473857D9" w14:textId="77777777" w:rsidR="00502EF3" w:rsidRPr="001B41AD" w:rsidRDefault="00502EF3" w:rsidP="00436957">
            <w:pPr>
              <w:rPr>
                <w:rFonts w:ascii="Calibri" w:eastAsia="Calibri" w:hAnsi="Calibri" w:cs="Calibri"/>
                <w:bCs/>
                <w:sz w:val="16"/>
                <w:szCs w:val="72"/>
                <w:lang w:val="sr-Cyrl-CS"/>
              </w:rPr>
            </w:pPr>
            <w:r w:rsidRPr="001B41AD">
              <w:rPr>
                <w:rFonts w:ascii="Calibri" w:eastAsia="Calibri" w:hAnsi="Calibri" w:cs="Calibri"/>
                <w:bCs/>
                <w:sz w:val="16"/>
                <w:szCs w:val="72"/>
                <w:vertAlign w:val="superscript"/>
                <w:lang w:val="sr-Cyrl-CS"/>
              </w:rPr>
              <w:t>2</w:t>
            </w:r>
            <w:r w:rsidRPr="001B41AD">
              <w:rPr>
                <w:rFonts w:ascii="Calibri" w:eastAsia="Calibri" w:hAnsi="Calibri" w:cs="Calibri"/>
                <w:bCs/>
                <w:sz w:val="16"/>
                <w:szCs w:val="72"/>
                <w:lang w:val="sr-Cyrl-CS"/>
              </w:rPr>
              <w:t xml:space="preserve"> Цена житарица добијена као пондерисани просек цена пшенице, кукуруза, соје, пиринча и јечма.</w:t>
            </w:r>
          </w:p>
          <w:p w14:paraId="578EF0FA" w14:textId="77777777" w:rsidR="00502EF3" w:rsidRPr="001B41AD" w:rsidRDefault="00502EF3" w:rsidP="00436957">
            <w:pPr>
              <w:rPr>
                <w:rFonts w:ascii="Calibri" w:eastAsia="Calibri" w:hAnsi="Calibri" w:cs="Calibri"/>
                <w:bCs/>
                <w:sz w:val="16"/>
                <w:szCs w:val="72"/>
                <w:lang w:val="sr-Cyrl-CS"/>
              </w:rPr>
            </w:pPr>
            <w:r w:rsidRPr="001B41AD">
              <w:rPr>
                <w:rFonts w:ascii="Calibri" w:eastAsia="Calibri" w:hAnsi="Calibri" w:cs="Calibri"/>
                <w:bCs/>
                <w:sz w:val="16"/>
                <w:szCs w:val="72"/>
                <w:vertAlign w:val="superscript"/>
                <w:lang w:val="sr-Cyrl-CS"/>
              </w:rPr>
              <w:t>3</w:t>
            </w:r>
            <w:r w:rsidRPr="001B41AD">
              <w:rPr>
                <w:rFonts w:ascii="Calibri" w:eastAsia="Calibri" w:hAnsi="Calibri" w:cs="Calibri"/>
                <w:bCs/>
                <w:sz w:val="16"/>
                <w:szCs w:val="72"/>
                <w:lang w:val="sr-Cyrl-CS"/>
              </w:rPr>
              <w:t xml:space="preserve"> Цена метала добијена као пондерисани просек цена бакра, алуминијума, руде гвожђа, калаја, никла, цинка, олова и уранијума.</w:t>
            </w:r>
          </w:p>
          <w:p w14:paraId="21BF9C29" w14:textId="77777777" w:rsidR="00502EF3" w:rsidRPr="001B41AD" w:rsidRDefault="00502EF3" w:rsidP="00436957">
            <w:pPr>
              <w:rPr>
                <w:rFonts w:ascii="Calibri" w:eastAsia="Calibri" w:hAnsi="Calibri" w:cs="Calibri"/>
                <w:bCs/>
                <w:sz w:val="16"/>
                <w:szCs w:val="72"/>
                <w:vertAlign w:val="superscript"/>
                <w:lang w:val="sr-Cyrl-CS"/>
              </w:rPr>
            </w:pPr>
            <w:r w:rsidRPr="001B41AD">
              <w:rPr>
                <w:rFonts w:ascii="Calibri" w:eastAsia="Calibri" w:hAnsi="Calibri" w:cs="Calibri"/>
                <w:bCs/>
                <w:sz w:val="16"/>
                <w:szCs w:val="72"/>
                <w:vertAlign w:val="superscript"/>
                <w:lang w:val="sr-Cyrl-CS"/>
              </w:rPr>
              <w:t>4</w:t>
            </w:r>
            <w:r w:rsidRPr="001B41AD">
              <w:rPr>
                <w:rFonts w:ascii="Calibri" w:eastAsia="Calibri" w:hAnsi="Calibri" w:cs="Calibri"/>
                <w:bCs/>
                <w:sz w:val="16"/>
                <w:szCs w:val="72"/>
                <w:lang w:val="sr-Cyrl-CS"/>
              </w:rPr>
              <w:t xml:space="preserve"> Цена руде гвожђа (садржај гвожђа од 62%) за увоз у Кини, лука Тиан Јан, у доларима по метричкој тони.</w:t>
            </w:r>
          </w:p>
        </w:tc>
      </w:tr>
    </w:tbl>
    <w:p w14:paraId="19362471" w14:textId="77777777" w:rsidR="00502EF3" w:rsidRPr="001B41AD" w:rsidRDefault="00502EF3" w:rsidP="00502EF3">
      <w:pPr>
        <w:spacing w:after="0" w:line="240" w:lineRule="auto"/>
        <w:rPr>
          <w:rFonts w:ascii="Calibri" w:eastAsia="Calibri" w:hAnsi="Calibri" w:cs="Calibri"/>
          <w:color w:val="FF0000"/>
          <w:highlight w:val="yellow"/>
          <w:lang w:val="sr-Cyrl-CS"/>
        </w:rPr>
      </w:pPr>
    </w:p>
    <w:p w14:paraId="4D20C151" w14:textId="77777777" w:rsidR="00502EF3" w:rsidRPr="001B41AD" w:rsidRDefault="00502EF3" w:rsidP="00502EF3">
      <w:pPr>
        <w:spacing w:after="0" w:line="240" w:lineRule="auto"/>
        <w:rPr>
          <w:rFonts w:ascii="Calibri" w:eastAsia="Calibri" w:hAnsi="Calibri" w:cs="Calibri"/>
          <w:color w:val="FF0000"/>
          <w:lang w:val="sr-Cyrl-CS"/>
        </w:rPr>
        <w:sectPr w:rsidR="00502EF3" w:rsidRPr="001B41AD" w:rsidSect="00436957">
          <w:type w:val="continuous"/>
          <w:pgSz w:w="12240" w:h="15840"/>
          <w:pgMar w:top="1440" w:right="1440" w:bottom="1440" w:left="1440" w:header="708" w:footer="708" w:gutter="0"/>
          <w:cols w:space="708"/>
          <w:docGrid w:linePitch="360"/>
        </w:sectPr>
      </w:pPr>
    </w:p>
    <w:p w14:paraId="7CA51817" w14:textId="77777777" w:rsidR="00502EF3" w:rsidRPr="001B41AD" w:rsidRDefault="00502EF3" w:rsidP="00502EF3">
      <w:pPr>
        <w:keepNext/>
        <w:spacing w:after="120"/>
        <w:rPr>
          <w:rFonts w:ascii="Calibri" w:eastAsia="Calibri" w:hAnsi="Calibri" w:cs="Calibri"/>
          <w:bCs/>
          <w:iCs/>
          <w:szCs w:val="18"/>
          <w:lang w:val="sr-Cyrl-CS"/>
        </w:rPr>
      </w:pPr>
      <w:r w:rsidRPr="001B41AD">
        <w:rPr>
          <w:rFonts w:ascii="Calibri" w:eastAsia="Calibri" w:hAnsi="Calibri" w:cs="Calibri"/>
          <w:bCs/>
          <w:iCs/>
          <w:szCs w:val="18"/>
          <w:lang w:val="sr-Cyrl-CS"/>
        </w:rPr>
        <w:t xml:space="preserve">Код развијених земаља очекује се кретање економске активности у складу са глобалним токовима: раст БДП успорава са 1,8% у 2024. години на 1,6% у 2025. години, уз стабилизацију на приближно истом нивоу током 2026. године. Раст за 2025. годину ревидиран је благо навише у односу на априлски и јулски извештај, што одражава већу отпорност привредне активности и делотворна прилагођавања компанија новим трговинским условима. Ипак, у поређењу са октобарским извештајем из 2024. године, пројекције су и даље ниже услед појачане неизвесности, виших тарифа и слабије динамике тржишта рада. У 2026. години очекује се задржавање стабилног, али релативно ниског темпа раста (1,6%), што указује на наставак процеса прилагођавања новим трговинским и финансијским условима. Истовремено, структурни фактори, као што су ограничен раст радне снаге, ниска продуктивност и </w:t>
      </w:r>
      <w:r w:rsidR="00AC4079" w:rsidRPr="001B41AD">
        <w:rPr>
          <w:rFonts w:ascii="Calibri" w:eastAsia="Calibri" w:hAnsi="Calibri" w:cs="Calibri"/>
          <w:bCs/>
          <w:iCs/>
          <w:szCs w:val="18"/>
          <w:lang w:val="sr-Cyrl-CS"/>
        </w:rPr>
        <w:t>изражени</w:t>
      </w:r>
      <w:r w:rsidRPr="001B41AD">
        <w:rPr>
          <w:rFonts w:ascii="Calibri" w:eastAsia="Calibri" w:hAnsi="Calibri" w:cs="Calibri"/>
          <w:bCs/>
          <w:iCs/>
          <w:szCs w:val="18"/>
          <w:lang w:val="sr-Cyrl-CS"/>
        </w:rPr>
        <w:t xml:space="preserve"> ефекти </w:t>
      </w:r>
      <w:r w:rsidRPr="001B41AD">
        <w:rPr>
          <w:rFonts w:ascii="Calibri" w:eastAsia="Calibri" w:hAnsi="Calibri" w:cs="Calibri"/>
          <w:bCs/>
          <w:iCs/>
          <w:szCs w:val="18"/>
          <w:lang w:val="sr-Cyrl-CS"/>
        </w:rPr>
        <w:t>трговинске фрагментације, наставиће да делују као ограничење динамичнијем расту.</w:t>
      </w:r>
    </w:p>
    <w:p w14:paraId="649A1820" w14:textId="77777777" w:rsidR="00502EF3" w:rsidRPr="001B41AD" w:rsidRDefault="00502EF3" w:rsidP="00502EF3">
      <w:pPr>
        <w:keepNext/>
        <w:rPr>
          <w:rFonts w:ascii="Calibri" w:eastAsia="Calibri" w:hAnsi="Calibri" w:cs="Calibri"/>
          <w:bCs/>
          <w:iCs/>
          <w:szCs w:val="18"/>
          <w:lang w:val="sr-Cyrl-CS"/>
        </w:rPr>
      </w:pPr>
      <w:r w:rsidRPr="001B41AD">
        <w:rPr>
          <w:rFonts w:ascii="Calibri" w:eastAsia="Calibri" w:hAnsi="Calibri" w:cs="Calibri"/>
          <w:b/>
          <w:bCs/>
          <w:iCs/>
          <w:szCs w:val="18"/>
          <w:lang w:val="sr-Cyrl-CS"/>
        </w:rPr>
        <w:t>Сједињене Америчке Државе</w:t>
      </w:r>
      <w:r w:rsidRPr="001B41AD">
        <w:rPr>
          <w:rFonts w:ascii="Calibri" w:eastAsia="Calibri" w:hAnsi="Calibri" w:cs="Calibri"/>
          <w:bCs/>
          <w:iCs/>
          <w:szCs w:val="18"/>
          <w:lang w:val="sr-Cyrl-CS"/>
        </w:rPr>
        <w:t xml:space="preserve">. Раст америчке привреде ће успорити са 2,8% у 2024. на 2,0% у 2025. години, уз благу стабилизацију на 2,1% у 2026. години. Иако су очекивања благо побољшана у односу на априлски и јулски извештај, захваљујући делимичном фискалном подстицају и нижим ефективним царинским стопама након постизања нових трговинских споразума, динамика је и даље спорија у односу на пројекције из октобра 2024. године. Док краткорочни фактори, као што су попуштање монетарне политике и солидна домаћа потрошња, настављају да подржавају економску активност, структурна ограничења, попут успоравања раста продуктивности, ограничена понуда радне снаге, трговинске баријере и висок ниво јавног дуга </w:t>
      </w:r>
      <w:r w:rsidRPr="001B41AD">
        <w:rPr>
          <w:rFonts w:ascii="Calibri" w:eastAsia="Calibri" w:hAnsi="Calibri" w:cs="Calibri"/>
          <w:bCs/>
          <w:iCs/>
          <w:szCs w:val="18"/>
          <w:lang w:val="sr-Cyrl-CS"/>
        </w:rPr>
        <w:lastRenderedPageBreak/>
        <w:t xml:space="preserve">условљавају спорију динамику привреде у односу на претходне циклусе. </w:t>
      </w:r>
    </w:p>
    <w:p w14:paraId="069C6184" w14:textId="77777777" w:rsidR="00502EF3" w:rsidRPr="001B41AD" w:rsidRDefault="00502EF3" w:rsidP="00502EF3">
      <w:pPr>
        <w:keepNext/>
        <w:rPr>
          <w:rFonts w:ascii="Calibri" w:eastAsia="Calibri" w:hAnsi="Calibri" w:cs="Calibri"/>
          <w:bCs/>
          <w:iCs/>
          <w:color w:val="FF0000"/>
          <w:szCs w:val="18"/>
          <w:lang w:val="sr-Cyrl-CS"/>
        </w:rPr>
      </w:pPr>
      <w:r w:rsidRPr="001B41AD">
        <w:rPr>
          <w:noProof/>
        </w:rPr>
        <w:drawing>
          <wp:inline distT="0" distB="0" distL="0" distR="0" wp14:anchorId="27044999" wp14:editId="48791EEA">
            <wp:extent cx="2743200" cy="1935480"/>
            <wp:effectExtent l="0" t="0" r="0" b="7620"/>
            <wp:docPr id="20" name="Chart 20">
              <a:extLst xmlns:a="http://schemas.openxmlformats.org/drawingml/2006/main">
                <a:ext uri="{FF2B5EF4-FFF2-40B4-BE49-F238E27FC236}">
                  <a16:creationId xmlns:a16="http://schemas.microsoft.com/office/drawing/2014/main" id="{00000000-0008-0000-0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855A8EB" w14:textId="77777777" w:rsidR="00502EF3" w:rsidRPr="001B41AD" w:rsidRDefault="00502EF3" w:rsidP="00502EF3">
      <w:pPr>
        <w:keepNext/>
        <w:jc w:val="center"/>
        <w:rPr>
          <w:color w:val="FF0000"/>
          <w:lang w:val="sr-Cyrl-CS"/>
        </w:rPr>
      </w:pPr>
      <w:r w:rsidRPr="001B41AD">
        <w:rPr>
          <w:noProof/>
          <w:color w:val="FF0000"/>
        </w:rPr>
        <w:drawing>
          <wp:inline distT="0" distB="0" distL="0" distR="0" wp14:anchorId="098F80EB" wp14:editId="6151770F">
            <wp:extent cx="2577266" cy="127041"/>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31125" cy="129696"/>
                    </a:xfrm>
                    <a:prstGeom prst="rect">
                      <a:avLst/>
                    </a:prstGeom>
                    <a:noFill/>
                  </pic:spPr>
                </pic:pic>
              </a:graphicData>
            </a:graphic>
          </wp:inline>
        </w:drawing>
      </w:r>
    </w:p>
    <w:p w14:paraId="493E2067" w14:textId="77777777" w:rsidR="00502EF3" w:rsidRPr="001B41AD" w:rsidRDefault="00502EF3" w:rsidP="00502EF3">
      <w:pPr>
        <w:rPr>
          <w:rFonts w:ascii="Calibri" w:eastAsia="Calibri" w:hAnsi="Calibri" w:cs="Calibri"/>
          <w:bCs/>
          <w:sz w:val="14"/>
          <w:szCs w:val="72"/>
          <w:lang w:val="sr-Cyrl-CS"/>
        </w:rPr>
      </w:pPr>
      <w:r w:rsidRPr="001B41AD">
        <w:rPr>
          <w:rFonts w:ascii="Calibri" w:eastAsia="Calibri" w:hAnsi="Calibri" w:cs="Calibri"/>
          <w:bCs/>
          <w:sz w:val="14"/>
          <w:szCs w:val="72"/>
          <w:lang w:val="sr-Cyrl-CS"/>
        </w:rPr>
        <w:t xml:space="preserve">Извор: ММФ, </w:t>
      </w:r>
      <w:r w:rsidRPr="001B41AD">
        <w:rPr>
          <w:rFonts w:ascii="Calibri" w:eastAsia="Calibri" w:hAnsi="Calibri" w:cs="Calibri"/>
          <w:bCs/>
          <w:i/>
          <w:iCs/>
          <w:sz w:val="14"/>
          <w:szCs w:val="72"/>
          <w:lang w:val="sr-Cyrl-CS"/>
        </w:rPr>
        <w:t>World Economic Outlook</w:t>
      </w:r>
      <w:r w:rsidRPr="001B41AD">
        <w:rPr>
          <w:rFonts w:ascii="Calibri" w:eastAsia="Calibri" w:hAnsi="Calibri" w:cs="Calibri"/>
          <w:bCs/>
          <w:sz w:val="14"/>
          <w:szCs w:val="72"/>
          <w:lang w:val="sr-Cyrl-CS"/>
        </w:rPr>
        <w:t>, октобар 2025.</w:t>
      </w:r>
    </w:p>
    <w:p w14:paraId="6F6DF1DF" w14:textId="77777777" w:rsidR="00502EF3" w:rsidRPr="001B41AD" w:rsidRDefault="00502EF3" w:rsidP="00502EF3">
      <w:pPr>
        <w:keepNext/>
        <w:spacing w:after="120"/>
        <w:rPr>
          <w:rFonts w:ascii="Calibri" w:eastAsia="Calibri" w:hAnsi="Calibri" w:cs="Calibri"/>
          <w:bCs/>
          <w:iCs/>
          <w:szCs w:val="18"/>
          <w:lang w:val="sr-Cyrl-CS"/>
        </w:rPr>
      </w:pPr>
      <w:r w:rsidRPr="001B41AD">
        <w:rPr>
          <w:rFonts w:ascii="Calibri" w:eastAsia="Calibri" w:hAnsi="Calibri" w:cs="Calibri"/>
          <w:b/>
          <w:bCs/>
          <w:iCs/>
          <w:szCs w:val="18"/>
          <w:lang w:val="sr-Cyrl-CS"/>
        </w:rPr>
        <w:t>Еврозона.</w:t>
      </w:r>
      <w:r w:rsidRPr="001B41AD">
        <w:rPr>
          <w:rFonts w:ascii="Calibri" w:eastAsia="Calibri" w:hAnsi="Calibri" w:cs="Calibri"/>
          <w:bCs/>
          <w:iCs/>
          <w:szCs w:val="18"/>
          <w:lang w:val="sr-Cyrl-CS"/>
        </w:rPr>
        <w:t xml:space="preserve"> Према проценама ММФ, привреда еврозоне ће постепено убрзати на 1,2% у 2025. години, уз благо успоравање на 1,1% у 2026. години. Оваква динамика указује на умерен, али још увек нестабилан опоравак након двогодишњег периода слабог раста, који остаје испод дугорочног потенцијала. Опоравак еврозоне пре свега покреће потрошња домаћинстава, подстакнута растом реалних зарада и смањењем инфлације, док је инвестициона активност и даље ограничена због високих трошкова финансирања и слабих очекивања у индустријском сектору. Истовремено, слаба спољна тражња, нарочито из Кине и појединих економија у развоју, остаје недовољно динамична. У односу на претходни извештај, пројекција раста за 2025. годину благо је ревидирана навише услед стабилизације енергетских цена и постепеног ублажавањ</w:t>
      </w:r>
      <w:r w:rsidR="00344D01" w:rsidRPr="001B41AD">
        <w:rPr>
          <w:rFonts w:ascii="Calibri" w:eastAsia="Calibri" w:hAnsi="Calibri" w:cs="Calibri"/>
          <w:bCs/>
          <w:iCs/>
          <w:szCs w:val="18"/>
          <w:lang w:val="sr-Cyrl-CS"/>
        </w:rPr>
        <w:t xml:space="preserve">а финансијских услова. За 2026. годину </w:t>
      </w:r>
      <w:r w:rsidRPr="001B41AD">
        <w:rPr>
          <w:rFonts w:ascii="Calibri" w:eastAsia="Calibri" w:hAnsi="Calibri" w:cs="Calibri"/>
          <w:bCs/>
          <w:iCs/>
          <w:szCs w:val="18"/>
          <w:lang w:val="sr-Cyrl-CS"/>
        </w:rPr>
        <w:t xml:space="preserve">очекује се задржавање умереног темпа, што одражава трајније структурне слабости: ниску продуктивност, демографске притиске и неуједначене фискалне позиције међу чланицама. Ипак, у односу на октобарски извештај из 2024. године, кумулативна ревизија наниже износи око 0,2 п.п., услед утицаја глобалних фактора. Иако се инфлација постепено приближава циљу Европске централне банке, неизвесност у погледу фискалне </w:t>
      </w:r>
      <w:r w:rsidRPr="001B41AD">
        <w:rPr>
          <w:rFonts w:ascii="Calibri" w:eastAsia="Calibri" w:hAnsi="Calibri" w:cs="Calibri"/>
          <w:bCs/>
          <w:iCs/>
          <w:szCs w:val="18"/>
          <w:lang w:val="sr-Cyrl-CS"/>
        </w:rPr>
        <w:t>консолидације остаје кључни изазов за одрживији раст у наредном периоду.</w:t>
      </w:r>
    </w:p>
    <w:p w14:paraId="67E4EBC6" w14:textId="77777777" w:rsidR="00502EF3" w:rsidRPr="001B41AD" w:rsidRDefault="00502EF3" w:rsidP="00502EF3">
      <w:pPr>
        <w:keepNext/>
        <w:rPr>
          <w:color w:val="FF0000"/>
          <w:lang w:val="sr-Cyrl-CS"/>
        </w:rPr>
      </w:pPr>
      <w:r w:rsidRPr="001B41AD">
        <w:rPr>
          <w:noProof/>
        </w:rPr>
        <w:drawing>
          <wp:inline distT="0" distB="0" distL="0" distR="0" wp14:anchorId="0D51636D" wp14:editId="5B498B30">
            <wp:extent cx="2743200" cy="1965051"/>
            <wp:effectExtent l="0" t="0" r="0" b="0"/>
            <wp:docPr id="22" name="Chart 22">
              <a:extLst xmlns:a="http://schemas.openxmlformats.org/drawingml/2006/main">
                <a:ext uri="{FF2B5EF4-FFF2-40B4-BE49-F238E27FC236}">
                  <a16:creationId xmlns:a16="http://schemas.microsoft.com/office/drawing/2014/main" id="{00000000-0008-0000-0800-00001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435FD32" w14:textId="77777777" w:rsidR="00502EF3" w:rsidRPr="001B41AD" w:rsidRDefault="00502EF3" w:rsidP="00502EF3">
      <w:pPr>
        <w:keepNext/>
        <w:jc w:val="center"/>
        <w:rPr>
          <w:color w:val="FF0000"/>
          <w:lang w:val="sr-Cyrl-CS"/>
        </w:rPr>
      </w:pPr>
      <w:r w:rsidRPr="001B41AD">
        <w:rPr>
          <w:noProof/>
          <w:color w:val="FF0000"/>
        </w:rPr>
        <w:drawing>
          <wp:inline distT="0" distB="0" distL="0" distR="0" wp14:anchorId="2EAFEAE4" wp14:editId="2DD2FA01">
            <wp:extent cx="2556084" cy="125997"/>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96907" cy="128009"/>
                    </a:xfrm>
                    <a:prstGeom prst="rect">
                      <a:avLst/>
                    </a:prstGeom>
                    <a:noFill/>
                  </pic:spPr>
                </pic:pic>
              </a:graphicData>
            </a:graphic>
          </wp:inline>
        </w:drawing>
      </w:r>
    </w:p>
    <w:p w14:paraId="363F4114" w14:textId="77777777" w:rsidR="00502EF3" w:rsidRPr="001B41AD" w:rsidRDefault="00502EF3" w:rsidP="00502EF3">
      <w:pPr>
        <w:rPr>
          <w:rFonts w:ascii="Calibri" w:eastAsia="Calibri" w:hAnsi="Calibri" w:cs="Calibri"/>
          <w:bCs/>
          <w:sz w:val="14"/>
          <w:szCs w:val="72"/>
          <w:lang w:val="sr-Cyrl-CS"/>
        </w:rPr>
      </w:pPr>
      <w:r w:rsidRPr="001B41AD">
        <w:rPr>
          <w:rFonts w:ascii="Calibri" w:eastAsia="Calibri" w:hAnsi="Calibri" w:cs="Calibri"/>
          <w:bCs/>
          <w:sz w:val="14"/>
          <w:szCs w:val="72"/>
          <w:lang w:val="sr-Cyrl-CS"/>
        </w:rPr>
        <w:t xml:space="preserve">Извор: ММФ, </w:t>
      </w:r>
      <w:r w:rsidRPr="001B41AD">
        <w:rPr>
          <w:rFonts w:ascii="Calibri" w:eastAsia="Calibri" w:hAnsi="Calibri" w:cs="Calibri"/>
          <w:bCs/>
          <w:i/>
          <w:iCs/>
          <w:sz w:val="14"/>
          <w:szCs w:val="72"/>
          <w:lang w:val="sr-Cyrl-CS"/>
        </w:rPr>
        <w:t>World Economic Outlook</w:t>
      </w:r>
      <w:r w:rsidRPr="001B41AD">
        <w:rPr>
          <w:rFonts w:ascii="Calibri" w:eastAsia="Calibri" w:hAnsi="Calibri" w:cs="Calibri"/>
          <w:bCs/>
          <w:sz w:val="14"/>
          <w:szCs w:val="72"/>
          <w:lang w:val="sr-Cyrl-CS"/>
        </w:rPr>
        <w:t>, октобар 2025.</w:t>
      </w:r>
    </w:p>
    <w:p w14:paraId="33B074E8" w14:textId="77777777" w:rsidR="00502EF3" w:rsidRPr="001B41AD" w:rsidRDefault="00502EF3" w:rsidP="00502EF3">
      <w:pPr>
        <w:spacing w:after="80"/>
        <w:rPr>
          <w:rFonts w:ascii="Calibri" w:eastAsia="Calibri" w:hAnsi="Calibri" w:cs="Calibri"/>
          <w:bCs/>
          <w:iCs/>
          <w:color w:val="FF0000"/>
          <w:szCs w:val="18"/>
          <w:lang w:val="sr-Cyrl-CS"/>
        </w:rPr>
      </w:pPr>
      <w:r w:rsidRPr="001B41AD">
        <w:rPr>
          <w:rFonts w:ascii="Calibri" w:eastAsia="Calibri" w:hAnsi="Calibri" w:cs="Calibri"/>
          <w:b/>
          <w:bCs/>
          <w:iCs/>
          <w:szCs w:val="18"/>
          <w:lang w:val="sr-Cyrl-CS"/>
        </w:rPr>
        <w:t>Немачка и Италија</w:t>
      </w:r>
      <w:r w:rsidRPr="001B41AD">
        <w:rPr>
          <w:rFonts w:ascii="Calibri" w:eastAsia="Calibri" w:hAnsi="Calibri" w:cs="Calibri"/>
          <w:bCs/>
          <w:iCs/>
          <w:szCs w:val="18"/>
          <w:lang w:val="sr-Cyrl-CS"/>
        </w:rPr>
        <w:t>. Динамика економске активности Немачке и Италије, наших најважнијих спољнотрговинских партнера из еврозоне, показује извесне знаке опоравка. Немачка, као највећа економија еврозоне, према најновијим пројекцијама ММФ, оствариће раст од 0,2% у 2025. години, што представља ревизију навише од 0,2 п.п. у односу на априлску и 0,1 п.п. у односу на јулску пројекцију. Главни фактори који су погурали раст су фискална експанзија и улагање у инфраструктурне и војне пројекте, док ће као ограничавајући фактор деловати дубока зависност индустрије од глобалних ланаца снабдевања који су нарушени растућим геополитичким тензијама и трговинским баријерама. За 2026. годину, очекује се раст од 0,9%, подстакнут благом фискалном експанзијом и умереним опоравком индустријске производње. Италијанска економија ће у 2025. години остварити раст од 0,5%, док се за 2026. годину очекује благо убрзање на 0,8%, што је практично непромењено у односу на претходна очекивања. Дугорочни структурни изазови, као што су ниска продуктивност, неповољна демографска структура и висок јавни дуг, остају ограничавајући фактори бржег раста. Укупна динамика раста</w:t>
      </w:r>
      <w:r w:rsidR="00344D01" w:rsidRPr="001B41AD">
        <w:rPr>
          <w:rFonts w:ascii="Calibri" w:eastAsia="Calibri" w:hAnsi="Calibri" w:cs="Calibri"/>
          <w:bCs/>
          <w:iCs/>
          <w:szCs w:val="18"/>
          <w:lang w:val="sr-Cyrl-CS"/>
        </w:rPr>
        <w:t xml:space="preserve"> обе економије, упркос очекивано</w:t>
      </w:r>
      <w:r w:rsidRPr="001B41AD">
        <w:rPr>
          <w:rFonts w:ascii="Calibri" w:eastAsia="Calibri" w:hAnsi="Calibri" w:cs="Calibri"/>
          <w:bCs/>
          <w:iCs/>
          <w:szCs w:val="18"/>
          <w:lang w:val="sr-Cyrl-CS"/>
        </w:rPr>
        <w:t>м благом опоравку у 2026. години, остаје знатно испод свог дугорочног потенцијала.</w:t>
      </w:r>
    </w:p>
    <w:p w14:paraId="1381BD8D" w14:textId="77777777" w:rsidR="00502EF3" w:rsidRPr="001B41AD" w:rsidRDefault="00502EF3" w:rsidP="00502EF3">
      <w:pPr>
        <w:keepNext/>
        <w:rPr>
          <w:rFonts w:ascii="Calibri" w:eastAsia="Calibri" w:hAnsi="Calibri" w:cs="Calibri"/>
          <w:bCs/>
          <w:color w:val="FF0000"/>
          <w:szCs w:val="72"/>
          <w:highlight w:val="yellow"/>
          <w:lang w:val="sr-Cyrl-CS"/>
        </w:rPr>
      </w:pPr>
      <w:r w:rsidRPr="001B41AD">
        <w:rPr>
          <w:noProof/>
        </w:rPr>
        <w:lastRenderedPageBreak/>
        <w:drawing>
          <wp:inline distT="0" distB="0" distL="0" distR="0" wp14:anchorId="11CDD5A7" wp14:editId="167DBF0B">
            <wp:extent cx="2743200" cy="1940560"/>
            <wp:effectExtent l="0" t="0" r="0" b="2540"/>
            <wp:docPr id="24" name="Chart 24">
              <a:extLst xmlns:a="http://schemas.openxmlformats.org/drawingml/2006/main">
                <a:ext uri="{FF2B5EF4-FFF2-40B4-BE49-F238E27FC236}">
                  <a16:creationId xmlns:a16="http://schemas.microsoft.com/office/drawing/2014/main" id="{00000000-0008-0000-0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35198D2" w14:textId="77777777" w:rsidR="00502EF3" w:rsidRPr="001B41AD" w:rsidRDefault="00502EF3" w:rsidP="00502EF3">
      <w:pPr>
        <w:keepNext/>
        <w:rPr>
          <w:rFonts w:ascii="Calibri" w:eastAsia="Calibri" w:hAnsi="Calibri" w:cs="Calibri"/>
          <w:bCs/>
          <w:iCs/>
          <w:color w:val="FF0000"/>
          <w:szCs w:val="18"/>
          <w:lang w:val="sr-Cyrl-CS"/>
        </w:rPr>
      </w:pPr>
      <w:r w:rsidRPr="001B41AD">
        <w:rPr>
          <w:noProof/>
        </w:rPr>
        <w:drawing>
          <wp:inline distT="0" distB="0" distL="0" distR="0" wp14:anchorId="6E1202AC" wp14:editId="305F99BB">
            <wp:extent cx="2743200" cy="1823720"/>
            <wp:effectExtent l="0" t="0" r="0" b="5080"/>
            <wp:docPr id="25" name="Chart 25">
              <a:extLst xmlns:a="http://schemas.openxmlformats.org/drawingml/2006/main">
                <a:ext uri="{FF2B5EF4-FFF2-40B4-BE49-F238E27FC236}">
                  <a16:creationId xmlns:a16="http://schemas.microsoft.com/office/drawing/2014/main" id="{00000000-0008-0000-0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C609EE3" w14:textId="77777777" w:rsidR="00502EF3" w:rsidRPr="001B41AD" w:rsidRDefault="00502EF3" w:rsidP="00502EF3">
      <w:pPr>
        <w:keepNext/>
        <w:jc w:val="center"/>
        <w:rPr>
          <w:rFonts w:ascii="Calibri" w:eastAsia="Calibri" w:hAnsi="Calibri" w:cs="Calibri"/>
          <w:bCs/>
          <w:color w:val="FF0000"/>
          <w:sz w:val="16"/>
          <w:szCs w:val="72"/>
          <w:lang w:val="sr-Cyrl-CS"/>
        </w:rPr>
      </w:pPr>
      <w:r w:rsidRPr="001B41AD">
        <w:rPr>
          <w:rFonts w:ascii="Calibri" w:eastAsia="Calibri" w:hAnsi="Calibri" w:cs="Calibri"/>
          <w:bCs/>
          <w:noProof/>
          <w:color w:val="FF0000"/>
          <w:sz w:val="16"/>
          <w:szCs w:val="72"/>
        </w:rPr>
        <w:drawing>
          <wp:inline distT="0" distB="0" distL="0" distR="0" wp14:anchorId="6A568A46" wp14:editId="15038496">
            <wp:extent cx="2587858" cy="127563"/>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23588" cy="134254"/>
                    </a:xfrm>
                    <a:prstGeom prst="rect">
                      <a:avLst/>
                    </a:prstGeom>
                    <a:noFill/>
                  </pic:spPr>
                </pic:pic>
              </a:graphicData>
            </a:graphic>
          </wp:inline>
        </w:drawing>
      </w:r>
    </w:p>
    <w:p w14:paraId="41BC21D6" w14:textId="77777777" w:rsidR="00502EF3" w:rsidRPr="001B41AD" w:rsidRDefault="00502EF3" w:rsidP="00502EF3">
      <w:pPr>
        <w:rPr>
          <w:rFonts w:ascii="Calibri" w:eastAsia="Calibri" w:hAnsi="Calibri" w:cs="Calibri"/>
          <w:bCs/>
          <w:sz w:val="14"/>
          <w:szCs w:val="72"/>
          <w:lang w:val="sr-Cyrl-CS"/>
        </w:rPr>
      </w:pPr>
      <w:r w:rsidRPr="001B41AD">
        <w:rPr>
          <w:rFonts w:ascii="Calibri" w:eastAsia="Calibri" w:hAnsi="Calibri" w:cs="Calibri"/>
          <w:bCs/>
          <w:sz w:val="14"/>
          <w:szCs w:val="72"/>
          <w:lang w:val="sr-Cyrl-CS"/>
        </w:rPr>
        <w:t xml:space="preserve">Извор: ММФ, </w:t>
      </w:r>
      <w:r w:rsidRPr="001B41AD">
        <w:rPr>
          <w:rFonts w:ascii="Calibri" w:eastAsia="Calibri" w:hAnsi="Calibri" w:cs="Calibri"/>
          <w:bCs/>
          <w:i/>
          <w:iCs/>
          <w:sz w:val="14"/>
          <w:szCs w:val="72"/>
          <w:lang w:val="sr-Cyrl-CS"/>
        </w:rPr>
        <w:t>World Economic Outlook</w:t>
      </w:r>
      <w:r w:rsidRPr="001B41AD">
        <w:rPr>
          <w:rFonts w:ascii="Calibri" w:eastAsia="Calibri" w:hAnsi="Calibri" w:cs="Calibri"/>
          <w:bCs/>
          <w:sz w:val="14"/>
          <w:szCs w:val="72"/>
          <w:lang w:val="sr-Cyrl-CS"/>
        </w:rPr>
        <w:t>, октобар 2025.</w:t>
      </w:r>
    </w:p>
    <w:p w14:paraId="696AF17F" w14:textId="77777777" w:rsidR="00502EF3" w:rsidRPr="001B41AD" w:rsidRDefault="00502EF3" w:rsidP="00502EF3">
      <w:pPr>
        <w:spacing w:after="120"/>
        <w:rPr>
          <w:rFonts w:ascii="Calibri" w:eastAsia="Calibri" w:hAnsi="Calibri" w:cs="Calibri"/>
          <w:bCs/>
          <w:iCs/>
          <w:szCs w:val="18"/>
          <w:lang w:val="sr-Cyrl-CS"/>
        </w:rPr>
      </w:pPr>
      <w:r w:rsidRPr="001B41AD">
        <w:rPr>
          <w:rFonts w:ascii="Calibri" w:eastAsia="Calibri" w:hAnsi="Calibri" w:cs="Calibri"/>
          <w:bCs/>
          <w:iCs/>
          <w:szCs w:val="18"/>
          <w:lang w:val="sr-Cyrl-CS"/>
        </w:rPr>
        <w:t xml:space="preserve">Код земаља у успону очекује се постепено успоравање раста са 4,3% у 2024. години на 4,2% у 2025. и 4,0% у 2026. години, што је практично непромењено у односу на претходно ажурирање пројекција. Међутим, ове прогнозе су и даље ниже у односу на пројекције из октобра 2024. године за укупно 0,2 п.п., услед виших трошкова финансирања, споријег опоравка у појединим великим економијама и појачане трговинске фрагментације, која све више ограничава извозне токове и прилив страних директних инвестиција (у даљем тексту: СДИ). </w:t>
      </w:r>
    </w:p>
    <w:p w14:paraId="46BF7E69" w14:textId="77777777" w:rsidR="00502EF3" w:rsidRPr="001B41AD" w:rsidRDefault="00502EF3" w:rsidP="00502EF3">
      <w:pPr>
        <w:spacing w:after="120"/>
        <w:rPr>
          <w:rFonts w:ascii="Calibri" w:eastAsia="Calibri" w:hAnsi="Calibri" w:cs="Calibri"/>
          <w:bCs/>
          <w:iCs/>
          <w:szCs w:val="18"/>
          <w:lang w:val="sr-Cyrl-CS"/>
        </w:rPr>
      </w:pPr>
      <w:r w:rsidRPr="001B41AD">
        <w:rPr>
          <w:rFonts w:ascii="Calibri" w:eastAsia="Calibri" w:hAnsi="Calibri" w:cs="Calibri"/>
          <w:b/>
          <w:bCs/>
          <w:iCs/>
          <w:szCs w:val="18"/>
          <w:lang w:val="sr-Cyrl-CS"/>
        </w:rPr>
        <w:t>Кина.</w:t>
      </w:r>
      <w:r w:rsidRPr="001B41AD">
        <w:rPr>
          <w:rFonts w:ascii="Calibri" w:eastAsia="Calibri" w:hAnsi="Calibri" w:cs="Calibri"/>
          <w:bCs/>
          <w:iCs/>
          <w:szCs w:val="18"/>
          <w:lang w:val="sr-Cyrl-CS"/>
        </w:rPr>
        <w:t xml:space="preserve"> После снажног постпандемијског замаха, раст кинеске економије се постепено ублажава. Најновије пројекције износе 4,8% за 2025. и 4,2% за 2026. годину. Кретања су и даље оптерећена слабијом спољном тражњом, изазовима у сектору некретнина и високим дугом локалних власти, делимично ам</w:t>
      </w:r>
      <w:r w:rsidR="00AC4079" w:rsidRPr="001B41AD">
        <w:rPr>
          <w:rFonts w:ascii="Calibri" w:eastAsia="Calibri" w:hAnsi="Calibri" w:cs="Calibri"/>
          <w:bCs/>
          <w:iCs/>
          <w:szCs w:val="18"/>
          <w:lang w:val="sr-Cyrl-CS"/>
        </w:rPr>
        <w:t>ортизована фискалним стимулансима</w:t>
      </w:r>
      <w:r w:rsidRPr="001B41AD">
        <w:rPr>
          <w:rFonts w:ascii="Calibri" w:eastAsia="Calibri" w:hAnsi="Calibri" w:cs="Calibri"/>
          <w:bCs/>
          <w:iCs/>
          <w:szCs w:val="18"/>
          <w:lang w:val="sr-Cyrl-CS"/>
        </w:rPr>
        <w:t xml:space="preserve"> и опоравком индустријске производње. На дужи рок, успоравање продуктивности, демографско старење и </w:t>
      </w:r>
      <w:r w:rsidRPr="001B41AD">
        <w:rPr>
          <w:rFonts w:ascii="Calibri" w:eastAsia="Calibri" w:hAnsi="Calibri" w:cs="Calibri"/>
          <w:bCs/>
          <w:iCs/>
          <w:szCs w:val="18"/>
          <w:lang w:val="sr-Cyrl-CS"/>
        </w:rPr>
        <w:t>реструктурирање тржишта некретнина ограничавају потенцијал раста.</w:t>
      </w:r>
    </w:p>
    <w:p w14:paraId="3B6163DA" w14:textId="77777777" w:rsidR="00502EF3" w:rsidRPr="001B41AD" w:rsidRDefault="00502EF3" w:rsidP="00502EF3">
      <w:pPr>
        <w:spacing w:after="120"/>
        <w:rPr>
          <w:rFonts w:ascii="Calibri" w:eastAsia="Calibri" w:hAnsi="Calibri" w:cs="Calibri"/>
          <w:bCs/>
          <w:iCs/>
          <w:szCs w:val="18"/>
          <w:lang w:val="sr-Cyrl-CS"/>
        </w:rPr>
      </w:pPr>
      <w:r w:rsidRPr="001B41AD">
        <w:rPr>
          <w:rFonts w:ascii="Calibri" w:eastAsia="Calibri" w:hAnsi="Calibri" w:cs="Calibri"/>
          <w:b/>
          <w:bCs/>
          <w:iCs/>
          <w:szCs w:val="18"/>
          <w:lang w:val="sr-Cyrl-CS"/>
        </w:rPr>
        <w:t>Русија.</w:t>
      </w:r>
      <w:r w:rsidRPr="001B41AD">
        <w:rPr>
          <w:rFonts w:ascii="Calibri" w:eastAsia="Calibri" w:hAnsi="Calibri" w:cs="Calibri"/>
          <w:bCs/>
          <w:iCs/>
          <w:szCs w:val="18"/>
          <w:lang w:val="sr-Cyrl-CS"/>
        </w:rPr>
        <w:t xml:space="preserve"> Након раста од 4,3% у 2024. години, пројектује се успоравање раста руске привреде на 0,6% у 2025. и 1,0% у 2026. години. Пројекција за 2025. годину је за 0,9 п.п. нижа у односу на април, првенствено због концентрације јавне потрошње у четвртом кварталу 2024. године (негативан базни ефекат). Ограничен приступ страним улагањима, санкције, ниска продуктивност и висока зависност од јавне потрошње остају кључна структурна ограничења.</w:t>
      </w:r>
    </w:p>
    <w:p w14:paraId="224076A4" w14:textId="77777777" w:rsidR="00502EF3" w:rsidRPr="001B41AD" w:rsidRDefault="00502EF3" w:rsidP="00502EF3">
      <w:pPr>
        <w:spacing w:after="120"/>
        <w:rPr>
          <w:rFonts w:ascii="Calibri" w:eastAsia="Calibri" w:hAnsi="Calibri" w:cs="Calibri"/>
          <w:bCs/>
          <w:iCs/>
          <w:szCs w:val="18"/>
          <w:lang w:val="sr-Cyrl-CS"/>
        </w:rPr>
      </w:pPr>
      <w:r w:rsidRPr="001B41AD">
        <w:rPr>
          <w:rFonts w:ascii="Calibri" w:eastAsia="Calibri" w:hAnsi="Calibri" w:cs="Calibri"/>
          <w:bCs/>
          <w:iCs/>
          <w:szCs w:val="18"/>
          <w:lang w:val="sr-Cyrl-CS"/>
        </w:rPr>
        <w:t>У земљама Блиског истока и Централне Азије очекује се убрзање раста услед постепеног ишчезавања поремећаја у производњи и транспорту нафте и смањења ефеката текућих сукоба. Подсахарска Африка и Латинска Америка бележе стагнацију у 2025. години, али са благом ревизијом навише у односу на претходне процене због ограниченог негативног утицаја нових тарифних мера. У земљама са ниским дохотком пројектује се убрзање раста БДП са 4,2% у 2024. години на око 5,0% у 2026. години, подстакнуто инвестицијама у инфраструктуру и стабилизацијом макроекономских услова.</w:t>
      </w:r>
    </w:p>
    <w:p w14:paraId="1E144041" w14:textId="77777777" w:rsidR="00502EF3" w:rsidRPr="001B41AD" w:rsidRDefault="00502EF3" w:rsidP="00502EF3">
      <w:pPr>
        <w:spacing w:after="80"/>
        <w:rPr>
          <w:rFonts w:ascii="Calibri" w:eastAsia="Calibri" w:hAnsi="Calibri" w:cs="Calibri"/>
          <w:bCs/>
          <w:iCs/>
          <w:color w:val="FF0000"/>
          <w:szCs w:val="18"/>
          <w:lang w:val="sr-Cyrl-CS"/>
        </w:rPr>
      </w:pPr>
      <w:r w:rsidRPr="001B41AD">
        <w:rPr>
          <w:noProof/>
        </w:rPr>
        <w:drawing>
          <wp:inline distT="0" distB="0" distL="0" distR="0" wp14:anchorId="43022A36" wp14:editId="76E55851">
            <wp:extent cx="2774950" cy="1628317"/>
            <wp:effectExtent l="0" t="0" r="6350" b="0"/>
            <wp:docPr id="27" name="Chart 27">
              <a:extLst xmlns:a="http://schemas.openxmlformats.org/drawingml/2006/main">
                <a:ext uri="{FF2B5EF4-FFF2-40B4-BE49-F238E27FC236}">
                  <a16:creationId xmlns:a16="http://schemas.microsoft.com/office/drawing/2014/main" id="{00000000-0008-0000-0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9F1CCD1" w14:textId="77777777" w:rsidR="00502EF3" w:rsidRPr="001B41AD" w:rsidRDefault="00502EF3" w:rsidP="00502EF3">
      <w:pPr>
        <w:spacing w:after="80"/>
        <w:jc w:val="center"/>
        <w:rPr>
          <w:rFonts w:ascii="Calibri" w:eastAsia="Calibri" w:hAnsi="Calibri" w:cs="Calibri"/>
          <w:bCs/>
          <w:iCs/>
          <w:color w:val="FF0000"/>
          <w:szCs w:val="18"/>
          <w:lang w:val="sr-Cyrl-CS"/>
        </w:rPr>
      </w:pPr>
      <w:r w:rsidRPr="001B41AD">
        <w:rPr>
          <w:rFonts w:ascii="Calibri" w:eastAsia="Calibri" w:hAnsi="Calibri" w:cs="Calibri"/>
          <w:bCs/>
          <w:iCs/>
          <w:noProof/>
          <w:color w:val="FF0000"/>
          <w:szCs w:val="18"/>
        </w:rPr>
        <w:drawing>
          <wp:inline distT="0" distB="0" distL="0" distR="0" wp14:anchorId="17DED091" wp14:editId="59F41BBF">
            <wp:extent cx="2549023" cy="125091"/>
            <wp:effectExtent l="0" t="0" r="0" b="8890"/>
            <wp:docPr id="833121474" name="Picture 83312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48969" cy="129996"/>
                    </a:xfrm>
                    <a:prstGeom prst="rect">
                      <a:avLst/>
                    </a:prstGeom>
                    <a:noFill/>
                  </pic:spPr>
                </pic:pic>
              </a:graphicData>
            </a:graphic>
          </wp:inline>
        </w:drawing>
      </w:r>
    </w:p>
    <w:p w14:paraId="1C4B212E" w14:textId="77777777" w:rsidR="00502EF3" w:rsidRPr="001B41AD" w:rsidRDefault="00502EF3" w:rsidP="00502EF3">
      <w:pPr>
        <w:spacing w:after="80"/>
        <w:rPr>
          <w:rFonts w:ascii="Calibri" w:eastAsia="Calibri" w:hAnsi="Calibri" w:cs="Calibri"/>
          <w:bCs/>
          <w:iCs/>
          <w:color w:val="FF0000"/>
          <w:szCs w:val="18"/>
          <w:lang w:val="sr-Cyrl-CS"/>
        </w:rPr>
      </w:pPr>
      <w:r w:rsidRPr="001B41AD">
        <w:rPr>
          <w:noProof/>
        </w:rPr>
        <w:drawing>
          <wp:inline distT="0" distB="0" distL="0" distR="0" wp14:anchorId="04D95CC3" wp14:editId="419A3520">
            <wp:extent cx="2743200" cy="1422943"/>
            <wp:effectExtent l="0" t="0" r="0" b="6350"/>
            <wp:docPr id="28" name="Chart 28">
              <a:extLst xmlns:a="http://schemas.openxmlformats.org/drawingml/2006/main">
                <a:ext uri="{FF2B5EF4-FFF2-40B4-BE49-F238E27FC236}">
                  <a16:creationId xmlns:a16="http://schemas.microsoft.com/office/drawing/2014/main" id="{00000000-0008-0000-0800-00001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9449E7B" w14:textId="77777777" w:rsidR="00502EF3" w:rsidRPr="001B41AD" w:rsidRDefault="00502EF3" w:rsidP="00502EF3">
      <w:pPr>
        <w:spacing w:after="80"/>
        <w:jc w:val="center"/>
        <w:rPr>
          <w:rFonts w:ascii="Calibri" w:eastAsia="Calibri" w:hAnsi="Calibri" w:cs="Calibri"/>
          <w:bCs/>
          <w:iCs/>
          <w:color w:val="FF0000"/>
          <w:szCs w:val="18"/>
          <w:lang w:val="sr-Cyrl-CS"/>
        </w:rPr>
      </w:pPr>
      <w:r w:rsidRPr="001B41AD">
        <w:rPr>
          <w:rFonts w:ascii="Calibri" w:eastAsia="Calibri" w:hAnsi="Calibri" w:cs="Calibri"/>
          <w:bCs/>
          <w:iCs/>
          <w:noProof/>
          <w:color w:val="FF0000"/>
          <w:szCs w:val="18"/>
        </w:rPr>
        <w:drawing>
          <wp:inline distT="0" distB="0" distL="0" distR="0" wp14:anchorId="1B646A75" wp14:editId="7654CC4A">
            <wp:extent cx="2513718" cy="123908"/>
            <wp:effectExtent l="0" t="0" r="127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73686" cy="131793"/>
                    </a:xfrm>
                    <a:prstGeom prst="rect">
                      <a:avLst/>
                    </a:prstGeom>
                    <a:noFill/>
                  </pic:spPr>
                </pic:pic>
              </a:graphicData>
            </a:graphic>
          </wp:inline>
        </w:drawing>
      </w:r>
    </w:p>
    <w:p w14:paraId="28809413" w14:textId="77777777" w:rsidR="00502EF3" w:rsidRPr="001B41AD" w:rsidRDefault="00502EF3" w:rsidP="00502EF3">
      <w:pPr>
        <w:spacing w:after="80" w:line="240" w:lineRule="auto"/>
        <w:rPr>
          <w:rFonts w:ascii="Calibri" w:eastAsia="Calibri" w:hAnsi="Calibri" w:cs="Calibri"/>
          <w:bCs/>
          <w:iCs/>
          <w:color w:val="FF0000"/>
          <w:sz w:val="14"/>
          <w:szCs w:val="14"/>
          <w:lang w:val="sr-Cyrl-CS"/>
        </w:rPr>
      </w:pPr>
      <w:r w:rsidRPr="001B41AD">
        <w:rPr>
          <w:rFonts w:ascii="Calibri" w:eastAsia="Calibri" w:hAnsi="Calibri" w:cs="Calibri"/>
          <w:bCs/>
          <w:iCs/>
          <w:sz w:val="14"/>
          <w:szCs w:val="14"/>
          <w:lang w:val="sr-Cyrl-CS"/>
        </w:rPr>
        <w:t xml:space="preserve">Извор: ММФ, </w:t>
      </w:r>
      <w:r w:rsidRPr="001B41AD">
        <w:rPr>
          <w:rFonts w:ascii="Calibri" w:eastAsia="Calibri" w:hAnsi="Calibri" w:cs="Calibri"/>
          <w:bCs/>
          <w:i/>
          <w:iCs/>
          <w:sz w:val="14"/>
          <w:szCs w:val="14"/>
          <w:lang w:val="sr-Cyrl-CS"/>
        </w:rPr>
        <w:t>World Economic Outlook</w:t>
      </w:r>
      <w:r w:rsidRPr="001B41AD">
        <w:rPr>
          <w:rFonts w:ascii="Calibri" w:eastAsia="Calibri" w:hAnsi="Calibri" w:cs="Calibri"/>
          <w:bCs/>
          <w:iCs/>
          <w:sz w:val="14"/>
          <w:szCs w:val="14"/>
          <w:lang w:val="sr-Cyrl-CS"/>
        </w:rPr>
        <w:t>, октобар 2025</w:t>
      </w:r>
      <w:r w:rsidRPr="001B41AD">
        <w:rPr>
          <w:rFonts w:ascii="Calibri" w:eastAsia="Calibri" w:hAnsi="Calibri" w:cs="Calibri"/>
          <w:bCs/>
          <w:iCs/>
          <w:color w:val="FF0000"/>
          <w:sz w:val="14"/>
          <w:szCs w:val="14"/>
          <w:lang w:val="sr-Cyrl-CS"/>
        </w:rPr>
        <w:t>.</w:t>
      </w:r>
    </w:p>
    <w:p w14:paraId="67BD6A00" w14:textId="77777777" w:rsidR="00502EF3" w:rsidRPr="001B41AD" w:rsidRDefault="00502EF3" w:rsidP="00502EF3">
      <w:pPr>
        <w:spacing w:after="120"/>
        <w:rPr>
          <w:rFonts w:ascii="Calibri" w:eastAsia="Calibri" w:hAnsi="Calibri" w:cs="Calibri"/>
          <w:bCs/>
          <w:color w:val="FF0000"/>
          <w:szCs w:val="72"/>
          <w:lang w:val="sr-Cyrl-CS"/>
        </w:rPr>
      </w:pPr>
      <w:r w:rsidRPr="001B41AD">
        <w:rPr>
          <w:rFonts w:ascii="Calibri" w:eastAsia="Calibri" w:hAnsi="Calibri" w:cs="Calibri"/>
          <w:bCs/>
          <w:iCs/>
          <w:szCs w:val="18"/>
          <w:lang w:val="sr-Cyrl-CS"/>
        </w:rPr>
        <w:lastRenderedPageBreak/>
        <w:t xml:space="preserve">Према актуелним пројекцијама ММФ, </w:t>
      </w:r>
      <w:r w:rsidRPr="001B41AD">
        <w:rPr>
          <w:rFonts w:ascii="Calibri" w:eastAsia="Calibri" w:hAnsi="Calibri" w:cs="Calibri"/>
          <w:b/>
          <w:bCs/>
          <w:iCs/>
          <w:szCs w:val="18"/>
          <w:lang w:val="sr-Cyrl-CS"/>
        </w:rPr>
        <w:t>глобална инфлација</w:t>
      </w:r>
      <w:r w:rsidRPr="001B41AD">
        <w:rPr>
          <w:rFonts w:ascii="Calibri" w:eastAsia="Calibri" w:hAnsi="Calibri" w:cs="Calibri"/>
          <w:bCs/>
          <w:iCs/>
          <w:szCs w:val="18"/>
          <w:lang w:val="sr-Cyrl-CS"/>
        </w:rPr>
        <w:t xml:space="preserve"> ће успорити са</w:t>
      </w:r>
      <w:r w:rsidRPr="001B41AD" w:rsidDel="00A75EA0">
        <w:rPr>
          <w:rFonts w:ascii="Calibri" w:eastAsia="Calibri" w:hAnsi="Calibri" w:cs="Calibri"/>
          <w:bCs/>
          <w:iCs/>
          <w:szCs w:val="18"/>
          <w:lang w:val="sr-Cyrl-CS"/>
        </w:rPr>
        <w:t xml:space="preserve"> </w:t>
      </w:r>
      <w:r w:rsidRPr="001B41AD">
        <w:rPr>
          <w:rFonts w:ascii="Calibri" w:eastAsia="Calibri" w:hAnsi="Calibri" w:cs="Calibri"/>
          <w:bCs/>
          <w:iCs/>
          <w:szCs w:val="18"/>
          <w:lang w:val="sr-Cyrl-CS"/>
        </w:rPr>
        <w:t>5,8% у 2024. години на 4,2% у 2025. години и 3,7% у 2026</w:t>
      </w:r>
      <w:r w:rsidRPr="001B41AD">
        <w:rPr>
          <w:rFonts w:ascii="Calibri" w:eastAsia="Calibri" w:hAnsi="Calibri" w:cs="Calibri"/>
          <w:bCs/>
          <w:szCs w:val="72"/>
          <w:lang w:val="sr-Cyrl-CS"/>
        </w:rPr>
        <w:t>. години. Међутим, иако су ове пројекције у складу са претходним, постоје велике разлике међу земљама и регионима. Прогнозе инфлације су ревидиране навише у већем броју економија у односу на прогнозу из октобра 2024. године, а међу развијеним економијама, најзначајније су корекције навише у САД и Уједињеном Краљевству (у даљем тексту: УК). У САД инфлација је ревидирана навише у односу на претходну прогнозу, јер се утицај нових тарифних мера све мање апсорбује кроз профитне марже предузећа, а све више преноси на крајње потрошаче. Очекивани раст цена биће привременог карактера, те ће инфлација, након пролазног пораста током друге половине 2025. године, постепено опадати и достићи циљ Федералних резерви од 2% током 2027. године. У УК је пројекција такође ревидирана навише, услед повећања регулисаних цена и одложених ефеката раста енергетских трошкова, за које се процењује да су привременог карактера. Са стабилизацијом тржишта рада и умереним растом зарада очекује се да ће инфлација постепено конвергирати ка циљу централне банке до краја 2026. године. Истовремено, дезинфлаторни процес у земљама у успону одвија се знатно спорије, што се повезује са вишим ценама хране и енергената и структурним ограничењима у снабдевању.</w:t>
      </w:r>
      <w:r w:rsidRPr="001B41AD">
        <w:rPr>
          <w:rFonts w:ascii="Calibri" w:eastAsia="Calibri" w:hAnsi="Calibri" w:cs="Calibri"/>
          <w:bCs/>
          <w:color w:val="FF0000"/>
          <w:szCs w:val="72"/>
          <w:lang w:val="sr-Cyrl-CS"/>
        </w:rPr>
        <w:t xml:space="preserve"> </w:t>
      </w:r>
      <w:r w:rsidRPr="001B41AD">
        <w:rPr>
          <w:rFonts w:ascii="Calibri" w:eastAsia="Calibri" w:hAnsi="Calibri" w:cs="Calibri"/>
          <w:bCs/>
          <w:szCs w:val="72"/>
          <w:lang w:val="sr-Cyrl-CS"/>
        </w:rPr>
        <w:t xml:space="preserve">У тим економијама се очекује да инфлација остане изнад 5% и током 2026. године, при чему ће стабилизација цена бити постепена и условљена даљим попуштањем глобалних трошковних притисака и прилагођавањем монетарне политике. Према оцени ММФ, успоравање инфлације у земљама у развоју биће кључно за ублажавање социјалних ризика и очување реалних прихода, с обзиром на висок удео потрошње на храну и енергију у укупним трошковима домаћинстава. </w:t>
      </w:r>
    </w:p>
    <w:p w14:paraId="68987EAE" w14:textId="77777777" w:rsidR="00502EF3" w:rsidRPr="001B41AD" w:rsidRDefault="00502EF3" w:rsidP="00502EF3">
      <w:pPr>
        <w:rPr>
          <w:rFonts w:ascii="Calibri" w:eastAsia="Calibri" w:hAnsi="Calibri" w:cs="Calibri"/>
          <w:bCs/>
          <w:szCs w:val="72"/>
          <w:lang w:val="sr-Cyrl-CS"/>
        </w:rPr>
      </w:pPr>
      <w:r w:rsidRPr="001B41AD">
        <w:rPr>
          <w:rFonts w:ascii="Calibri" w:eastAsia="Calibri" w:hAnsi="Calibri" w:cs="Calibri"/>
          <w:bCs/>
          <w:szCs w:val="72"/>
          <w:lang w:val="sr-Cyrl-CS"/>
        </w:rPr>
        <w:t xml:space="preserve">Очекује се наставак пада цена нафте током 2025. и 2026. године, али нешто споријим темпом него што је претходно очекивано. Након релативно умереног пада од око 1,8% у 2024. години, цене сирове нафте ће у 2025. години забележити значајнији пад од око 13%, под утицајем повећане глобалне понуде и умереније тражње водећих </w:t>
      </w:r>
      <w:r w:rsidRPr="001B41AD">
        <w:rPr>
          <w:rFonts w:ascii="Calibri" w:eastAsia="Calibri" w:hAnsi="Calibri" w:cs="Calibri"/>
          <w:bCs/>
          <w:szCs w:val="72"/>
          <w:lang w:val="sr-Cyrl-CS"/>
        </w:rPr>
        <w:t>економија. У 2026. години очекује се умеренији пад цена нафте, под утицајем повећане глобалне понуде и стабилизације тржишта енергената. Истовремено, цене осталих роба ће порасти за 7,4% у 2025. години и за 4,1% у 2026. години. Очекивани раст цена примарних производа биће нешто нижи него што је претпостављено у априлском извештају, што је пре свега последица нижих пројектованих цена хране и пића. Цене пшенице, пиринча, кафе и какаоа постепено ће се повлачити са својих историјских максимума, бржим темпом него што је претходно прогнозирано, што указује на стабилизацију тржишта пољопривредних производа. Насупрот томе, очекује се раст цена већине основних метала, подстакнут повећаном индустријском тражњом и енергетском транзицијом, док ће цена гвожђа вероватно опасти услед успоравања грађевинске активности у Кини и повећања глобалне понуде.</w:t>
      </w:r>
    </w:p>
    <w:p w14:paraId="3D40BCA4" w14:textId="77777777" w:rsidR="00502EF3" w:rsidRPr="001B41AD" w:rsidRDefault="00502EF3" w:rsidP="00502EF3">
      <w:pPr>
        <w:jc w:val="center"/>
        <w:rPr>
          <w:rFonts w:ascii="Calibri" w:eastAsia="Calibri" w:hAnsi="Calibri" w:cs="Calibri"/>
          <w:i/>
          <w:color w:val="002060"/>
          <w:lang w:val="sr-Cyrl-CS"/>
        </w:rPr>
      </w:pPr>
      <w:r w:rsidRPr="001B41AD">
        <w:rPr>
          <w:rFonts w:ascii="Calibri" w:eastAsia="Calibri" w:hAnsi="Calibri" w:cs="Calibri"/>
          <w:b/>
          <w:color w:val="002060"/>
          <w:lang w:val="sr-Cyrl-CS"/>
        </w:rPr>
        <w:t>Кретање цена, индекси, 2016=100</w:t>
      </w:r>
    </w:p>
    <w:p w14:paraId="7791BAD6" w14:textId="77777777" w:rsidR="00502EF3" w:rsidRPr="001B41AD" w:rsidRDefault="00502EF3" w:rsidP="00502EF3">
      <w:pPr>
        <w:spacing w:after="40"/>
        <w:rPr>
          <w:rFonts w:ascii="Calibri" w:eastAsia="Calibri" w:hAnsi="Calibri" w:cs="Calibri"/>
          <w:bCs/>
          <w:color w:val="FF0000"/>
          <w:sz w:val="16"/>
          <w:szCs w:val="72"/>
          <w:highlight w:val="yellow"/>
          <w:lang w:val="sr-Cyrl-CS"/>
        </w:rPr>
      </w:pPr>
      <w:r w:rsidRPr="001B41AD">
        <w:rPr>
          <w:noProof/>
        </w:rPr>
        <w:drawing>
          <wp:inline distT="0" distB="0" distL="0" distR="0" wp14:anchorId="2E2E1F28" wp14:editId="3A6E0724">
            <wp:extent cx="2806648" cy="1851193"/>
            <wp:effectExtent l="0" t="0" r="0" b="0"/>
            <wp:docPr id="40" name="Chart 40">
              <a:extLst xmlns:a="http://schemas.openxmlformats.org/drawingml/2006/main">
                <a:ext uri="{FF2B5EF4-FFF2-40B4-BE49-F238E27FC236}">
                  <a16:creationId xmlns:a16="http://schemas.microsoft.com/office/drawing/2014/main" id="{00000000-0008-0000-01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CB9AD16" w14:textId="77777777" w:rsidR="00502EF3" w:rsidRPr="001B41AD" w:rsidRDefault="00502EF3" w:rsidP="00502EF3">
      <w:pPr>
        <w:rPr>
          <w:rFonts w:ascii="Calibri" w:eastAsia="Calibri" w:hAnsi="Calibri" w:cs="Calibri"/>
          <w:szCs w:val="72"/>
          <w:lang w:val="sr-Cyrl-CS"/>
        </w:rPr>
      </w:pPr>
      <w:r w:rsidRPr="001B41AD">
        <w:rPr>
          <w:rFonts w:ascii="Calibri" w:eastAsia="Calibri" w:hAnsi="Calibri" w:cs="Calibri"/>
          <w:bCs/>
          <w:sz w:val="16"/>
          <w:szCs w:val="72"/>
          <w:lang w:val="sr-Cyrl-CS"/>
        </w:rPr>
        <w:t xml:space="preserve">Извор: ММФ, </w:t>
      </w:r>
      <w:r w:rsidRPr="001B41AD">
        <w:rPr>
          <w:rFonts w:ascii="Calibri" w:eastAsia="Calibri" w:hAnsi="Calibri" w:cs="Calibri"/>
          <w:bCs/>
          <w:i/>
          <w:sz w:val="16"/>
          <w:szCs w:val="72"/>
          <w:lang w:val="sr-Cyrl-CS"/>
        </w:rPr>
        <w:t>World Economic Outlook</w:t>
      </w:r>
      <w:r w:rsidRPr="001B41AD">
        <w:rPr>
          <w:rFonts w:ascii="Calibri" w:eastAsia="Calibri" w:hAnsi="Calibri" w:cs="Calibri"/>
          <w:bCs/>
          <w:sz w:val="16"/>
          <w:szCs w:val="72"/>
          <w:lang w:val="sr-Cyrl-CS"/>
        </w:rPr>
        <w:t>, октобар 2025.</w:t>
      </w:r>
    </w:p>
    <w:p w14:paraId="6A31FCE1" w14:textId="77777777" w:rsidR="00502EF3" w:rsidRPr="001B41AD" w:rsidRDefault="00502EF3" w:rsidP="00502EF3">
      <w:pPr>
        <w:keepNext/>
        <w:spacing w:after="0"/>
        <w:jc w:val="center"/>
        <w:rPr>
          <w:rFonts w:ascii="Calibri" w:eastAsia="Calibri" w:hAnsi="Calibri" w:cs="Calibri"/>
          <w:i/>
          <w:color w:val="FF0000"/>
          <w:highlight w:val="yellow"/>
          <w:lang w:val="sr-Cyrl-CS"/>
        </w:rPr>
      </w:pPr>
      <w:r w:rsidRPr="001B41AD">
        <w:rPr>
          <w:rFonts w:ascii="Calibri" w:eastAsia="Calibri" w:hAnsi="Calibri" w:cs="Calibri"/>
          <w:b/>
          <w:color w:val="002060"/>
          <w:lang w:val="sr-Cyrl-CS"/>
        </w:rPr>
        <w:t>Пројекција кретања цена, индекси, 2019=100</w:t>
      </w:r>
    </w:p>
    <w:p w14:paraId="1ABF466A" w14:textId="77777777" w:rsidR="00502EF3" w:rsidRPr="001B41AD" w:rsidRDefault="00502EF3" w:rsidP="00502EF3">
      <w:pPr>
        <w:spacing w:after="0"/>
        <w:rPr>
          <w:rFonts w:ascii="Calibri" w:eastAsia="Calibri" w:hAnsi="Calibri" w:cs="Times New Roman"/>
          <w:color w:val="FF0000"/>
          <w:highlight w:val="yellow"/>
          <w:lang w:val="sr-Cyrl-CS"/>
        </w:rPr>
      </w:pPr>
      <w:r w:rsidRPr="001B41AD">
        <w:rPr>
          <w:noProof/>
        </w:rPr>
        <w:drawing>
          <wp:inline distT="0" distB="0" distL="0" distR="0" wp14:anchorId="2A14C01A" wp14:editId="791A7EFB">
            <wp:extent cx="2743200" cy="2052165"/>
            <wp:effectExtent l="0" t="0" r="0" b="5715"/>
            <wp:docPr id="30" name="Chart 30">
              <a:extLst xmlns:a="http://schemas.openxmlformats.org/drawingml/2006/main">
                <a:ext uri="{FF2B5EF4-FFF2-40B4-BE49-F238E27FC236}">
                  <a16:creationId xmlns:a16="http://schemas.microsoft.com/office/drawing/2014/main" id="{00000000-0008-0000-0200-00001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6FD21F5" w14:textId="77777777" w:rsidR="00502EF3" w:rsidRPr="001B41AD" w:rsidRDefault="00502EF3" w:rsidP="00502EF3">
      <w:pPr>
        <w:rPr>
          <w:rFonts w:ascii="Calibri" w:eastAsia="Calibri" w:hAnsi="Calibri" w:cs="Calibri"/>
          <w:color w:val="FF0000"/>
          <w:szCs w:val="72"/>
          <w:lang w:val="sr-Cyrl-CS"/>
        </w:rPr>
      </w:pPr>
      <w:r w:rsidRPr="001B41AD">
        <w:rPr>
          <w:rFonts w:ascii="Calibri" w:eastAsia="Calibri" w:hAnsi="Calibri" w:cs="Calibri"/>
          <w:bCs/>
          <w:sz w:val="16"/>
          <w:szCs w:val="72"/>
          <w:lang w:val="sr-Cyrl-CS"/>
        </w:rPr>
        <w:t xml:space="preserve">Извор: ММФ, </w:t>
      </w:r>
      <w:r w:rsidRPr="001B41AD">
        <w:rPr>
          <w:rFonts w:ascii="Calibri" w:eastAsia="Calibri" w:hAnsi="Calibri" w:cs="Calibri"/>
          <w:bCs/>
          <w:i/>
          <w:sz w:val="16"/>
          <w:szCs w:val="72"/>
          <w:lang w:val="sr-Cyrl-CS"/>
        </w:rPr>
        <w:t>World Economic Outlook</w:t>
      </w:r>
      <w:r w:rsidRPr="001B41AD">
        <w:rPr>
          <w:rFonts w:ascii="Calibri" w:eastAsia="Calibri" w:hAnsi="Calibri" w:cs="Calibri"/>
          <w:bCs/>
          <w:sz w:val="16"/>
          <w:szCs w:val="72"/>
          <w:lang w:val="sr-Cyrl-CS"/>
        </w:rPr>
        <w:t>, октобар 2025.</w:t>
      </w:r>
    </w:p>
    <w:p w14:paraId="280C787D" w14:textId="77777777" w:rsidR="00502EF3" w:rsidRPr="001B41AD" w:rsidRDefault="00502EF3" w:rsidP="00502EF3">
      <w:pPr>
        <w:rPr>
          <w:rFonts w:ascii="Calibri" w:eastAsia="Calibri" w:hAnsi="Calibri" w:cs="Calibri"/>
          <w:bCs/>
          <w:szCs w:val="72"/>
          <w:lang w:val="sr-Cyrl-CS"/>
        </w:rPr>
      </w:pPr>
      <w:r w:rsidRPr="001B41AD">
        <w:rPr>
          <w:rFonts w:ascii="Calibri" w:eastAsia="Calibri" w:hAnsi="Calibri" w:cs="Calibri"/>
          <w:bCs/>
          <w:szCs w:val="72"/>
          <w:lang w:val="sr-Cyrl-CS"/>
        </w:rPr>
        <w:lastRenderedPageBreak/>
        <w:t>Америчке федералне резерве (у даљем тексту: ФЕД) су од децембра 2024. године држале референтну каматну стопу стабилном на распону 4,25% до 4,50%, да би у септембру смањиле распон за 0,25%, а даље мере монетарне политике зависиће од кретања на глобалним тржиштима и стопе инфлације.</w:t>
      </w:r>
    </w:p>
    <w:p w14:paraId="01772E01" w14:textId="77777777" w:rsidR="00502EF3" w:rsidRPr="001B41AD" w:rsidRDefault="00502EF3" w:rsidP="00502EF3">
      <w:pPr>
        <w:spacing w:after="0"/>
        <w:jc w:val="center"/>
        <w:rPr>
          <w:rFonts w:ascii="Calibri" w:eastAsia="Calibri" w:hAnsi="Calibri" w:cs="Calibri"/>
          <w:b/>
          <w:bCs/>
          <w:color w:val="FF0000"/>
          <w:szCs w:val="72"/>
          <w:highlight w:val="yellow"/>
          <w:lang w:val="sr-Cyrl-CS"/>
        </w:rPr>
      </w:pPr>
      <w:r w:rsidRPr="001B41AD">
        <w:rPr>
          <w:rFonts w:ascii="Calibri" w:eastAsia="Calibri" w:hAnsi="Calibri" w:cs="Calibri"/>
          <w:b/>
          <w:bCs/>
          <w:color w:val="002060"/>
          <w:szCs w:val="72"/>
          <w:lang w:val="sr-Cyrl-CS"/>
        </w:rPr>
        <w:t>Кретање референтне каматне стопе по изабраним земљама, %</w:t>
      </w:r>
      <w:r w:rsidRPr="001B41AD">
        <w:rPr>
          <w:noProof/>
          <w:color w:val="FF0000"/>
        </w:rPr>
        <w:drawing>
          <wp:inline distT="0" distB="0" distL="0" distR="0" wp14:anchorId="088665B6" wp14:editId="26F8BAC7">
            <wp:extent cx="2743200" cy="1591056"/>
            <wp:effectExtent l="0" t="0" r="0" b="0"/>
            <wp:docPr id="43" name="Chart 43">
              <a:extLst xmlns:a="http://schemas.openxmlformats.org/drawingml/2006/main">
                <a:ext uri="{FF2B5EF4-FFF2-40B4-BE49-F238E27FC236}">
                  <a16:creationId xmlns:a16="http://schemas.microsoft.com/office/drawing/2014/main" id="{00000000-0008-0000-07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42C80A1" w14:textId="77777777" w:rsidR="00502EF3" w:rsidRPr="001B41AD" w:rsidRDefault="00502EF3" w:rsidP="00502EF3">
      <w:pPr>
        <w:spacing w:after="0" w:line="240" w:lineRule="auto"/>
        <w:rPr>
          <w:rFonts w:ascii="Calibri" w:eastAsia="Calibri" w:hAnsi="Calibri" w:cs="Calibri"/>
          <w:bCs/>
          <w:color w:val="FF0000"/>
          <w:sz w:val="16"/>
          <w:szCs w:val="16"/>
          <w:lang w:val="sr-Cyrl-CS"/>
        </w:rPr>
      </w:pPr>
      <w:r w:rsidRPr="001B41AD">
        <w:rPr>
          <w:rFonts w:ascii="Calibri" w:eastAsia="Calibri" w:hAnsi="Calibri" w:cs="Calibri"/>
          <w:bCs/>
          <w:sz w:val="16"/>
          <w:szCs w:val="16"/>
          <w:lang w:val="sr-Cyrl-CS"/>
        </w:rPr>
        <w:t>Извор: Централне банке изабраних земаља</w:t>
      </w:r>
    </w:p>
    <w:p w14:paraId="4A4F7708" w14:textId="77777777" w:rsidR="00502EF3" w:rsidRPr="001B41AD" w:rsidRDefault="00502EF3" w:rsidP="00502EF3">
      <w:pPr>
        <w:spacing w:before="120" w:after="120"/>
        <w:rPr>
          <w:rFonts w:ascii="Calibri" w:eastAsia="Calibri" w:hAnsi="Calibri" w:cs="Calibri"/>
          <w:bCs/>
          <w:szCs w:val="72"/>
          <w:lang w:val="sr-Cyrl-CS"/>
        </w:rPr>
      </w:pPr>
      <w:r w:rsidRPr="001B41AD">
        <w:rPr>
          <w:rFonts w:ascii="Calibri" w:eastAsia="Calibri" w:hAnsi="Calibri" w:cs="Calibri"/>
          <w:bCs/>
          <w:szCs w:val="72"/>
          <w:lang w:val="sr-Cyrl-CS"/>
        </w:rPr>
        <w:t xml:space="preserve">Фискална политика остаје експанзивна у већини економија, упркос постепеном смањењу дефицита након периода пандемије. Иако су у већини земаља пројектовани примарни дефицити за 2025. годину нижи у односу на рекордне нивое из 2020–2021. године, они и даље значајно премашују вредности забележене пре пандемије, изузев у Бразилу и Индији. Стабилизација удела јавног дуга у БДП на нивоу из 2024. године захтеваће спровођење значајних мера фискалне консолидације у већини земаља, имајући у виду растуће трошкове финансирања и висок ниво структурних расхода. Раст укупних трошкова задуживања представља све израженији изазов, нарочито за економије са великим потребама за рефинансирањем, док повећано ослањање на краткорочне хартије од вредности појачава изложеност ризику рефинансирања и флуктуацијама краткорочних каматних стопа. Развијене економије ће у наредном периоду углавном задржати неутралан фискални став, што представља значајно одступање од рестриктивнијег приступа предвиђеног у априлском извештају. У 2026. години очекује се повећање фискалних дефицита, пре свега у САД, услед делимичног продужења пореских олакшица и већих издатака за инфраструктуру и одбрану, као и у еврозони, где ће дефиците додатно подићи </w:t>
      </w:r>
      <w:r w:rsidRPr="001B41AD">
        <w:rPr>
          <w:rFonts w:ascii="Calibri" w:eastAsia="Calibri" w:hAnsi="Calibri" w:cs="Calibri"/>
          <w:bCs/>
          <w:szCs w:val="72"/>
          <w:lang w:val="sr-Cyrl-CS"/>
        </w:rPr>
        <w:t>инфраструктурни и војни пројекти у Немачкој. Према пројекцијама ММФ, јавни дуг САД ће порасти са 122% БДП у 2024. години на 143% БДП у 2030. години, што је за око 15 п.п. више у односу на априлску пројекцију, док се у еврозони очекује пораст јавног дуга са 87% на 92% БДП у истом периоду.</w:t>
      </w:r>
    </w:p>
    <w:p w14:paraId="65964B57" w14:textId="77777777" w:rsidR="00502EF3" w:rsidRPr="001B41AD" w:rsidRDefault="00502EF3" w:rsidP="00502EF3">
      <w:pPr>
        <w:rPr>
          <w:rFonts w:ascii="Calibri" w:eastAsia="Calibri" w:hAnsi="Calibri" w:cs="Times New Roman"/>
          <w:bCs/>
          <w:lang w:val="sr-Cyrl-CS"/>
        </w:rPr>
      </w:pPr>
      <w:r w:rsidRPr="001B41AD">
        <w:rPr>
          <w:rFonts w:ascii="Calibri" w:eastAsia="Calibri" w:hAnsi="Calibri" w:cs="Times New Roman"/>
          <w:lang w:val="sr-Cyrl-CS"/>
        </w:rPr>
        <w:t xml:space="preserve">Ризици по основу пројекција глобалног привредног раста оцењени су као превасходно негативни. Продужена неизвесност могла би да смањи потрошњу и инвестиције, а даља ескалација протекционистичких мера, укључујући нецаринске баријере, могла би да потисне инвестиције, поремети ланце снабдевања и умањи раст продуктивности. </w:t>
      </w:r>
      <w:r w:rsidRPr="001B41AD">
        <w:rPr>
          <w:rFonts w:ascii="Calibri" w:eastAsia="Calibri" w:hAnsi="Calibri" w:cs="Times New Roman"/>
          <w:bCs/>
          <w:lang w:val="sr-Cyrl-CS"/>
        </w:rPr>
        <w:t>Изражени шокови на страни понуде рада, нарочито услед рестриктивнијих имиграционих политика, могли би додатно ограничити раст, посебно у економијама са старењем становништва и недостатком квалификација. Фискална рањивост и осетљивост финансијских тржишта појачане су растућим трошковима задуживања и већим ризицима рефинансирања, што може интензивирати макрофинансијске притиске. Потенцијално мањи ефекти примене вештачке интелигенције могли би довести до наглог преиспитивања вредности технолошких акција, што би зауставило талас инвестиција у овај сектор и изазвало поремећаје на финансијским тржиштима са ширим макрофинансијским импликацијама.</w:t>
      </w:r>
      <w:r w:rsidRPr="001B41AD">
        <w:rPr>
          <w:rFonts w:ascii="Calibri" w:eastAsia="Calibri" w:hAnsi="Calibri" w:cs="Times New Roman"/>
          <w:bCs/>
          <w:color w:val="FF0000"/>
          <w:lang w:val="sr-Cyrl-CS"/>
        </w:rPr>
        <w:t xml:space="preserve"> </w:t>
      </w:r>
      <w:r w:rsidRPr="001B41AD">
        <w:rPr>
          <w:rFonts w:ascii="Calibri" w:eastAsia="Calibri" w:hAnsi="Calibri" w:cs="Times New Roman"/>
          <w:bCs/>
          <w:lang w:val="sr-Cyrl-CS"/>
        </w:rPr>
        <w:t>Додатни ризици односе се на ценовне скокове условљене климатским шоковима или геополитичким тензијама. Са позитивне стране, напредак у трговинским преговорима могао би снизити царине и неизвесност, док би обновљени замах структурних реформи и бржи раст продуктивности под утицајем вештачке интелигенције могли оснажити средњорочни раст.</w:t>
      </w:r>
    </w:p>
    <w:p w14:paraId="51D535DA" w14:textId="77777777" w:rsidR="00502EF3" w:rsidRPr="001B41AD" w:rsidRDefault="00502EF3" w:rsidP="00502EF3">
      <w:pPr>
        <w:spacing w:after="120"/>
        <w:rPr>
          <w:b/>
          <w:color w:val="2F5496" w:themeColor="accent1" w:themeShade="BF"/>
          <w:lang w:val="sr-Cyrl-CS"/>
        </w:rPr>
      </w:pPr>
      <w:r w:rsidRPr="001B41AD">
        <w:rPr>
          <w:b/>
          <w:color w:val="2F5496" w:themeColor="accent1" w:themeShade="BF"/>
          <w:lang w:val="sr-Cyrl-CS"/>
        </w:rPr>
        <w:t>Макроекономске процене Европске централне банке (ЕЦБ) за подручје еврозоне</w:t>
      </w:r>
    </w:p>
    <w:p w14:paraId="7B7FBF96" w14:textId="77777777" w:rsidR="00502EF3" w:rsidRPr="001B41AD" w:rsidRDefault="00502EF3" w:rsidP="00502EF3">
      <w:pPr>
        <w:spacing w:after="120"/>
        <w:rPr>
          <w:rFonts w:ascii="Calibri" w:hAnsi="Calibri" w:cs="Calibri"/>
          <w:szCs w:val="20"/>
          <w:lang w:val="sr-Cyrl-CS"/>
        </w:rPr>
      </w:pPr>
      <w:r w:rsidRPr="001B41AD">
        <w:rPr>
          <w:rFonts w:ascii="Calibri" w:hAnsi="Calibri" w:cs="Calibri"/>
          <w:szCs w:val="20"/>
          <w:lang w:val="sr-Cyrl-CS"/>
        </w:rPr>
        <w:t xml:space="preserve">Током прве половине 2025. године, економску активност еврозоне обележиле су изражене флуктуације, проистекле из пооштравања трговинских тарифа и пораста неизвесности у вези са даљим смером глобалне трговинске политике. Таква кретања посебно су погодила извозно </w:t>
      </w:r>
      <w:r w:rsidRPr="001B41AD">
        <w:rPr>
          <w:rFonts w:ascii="Calibri" w:hAnsi="Calibri" w:cs="Calibri"/>
          <w:szCs w:val="20"/>
          <w:lang w:val="sr-Cyrl-CS"/>
        </w:rPr>
        <w:lastRenderedPageBreak/>
        <w:t>оријентисане индустријске секторе у појединим земљама еврозоне, као и инвестиционе токове унутар ових привреда које су снажно повезане са међународним тржиштима. Међутим,</w:t>
      </w:r>
      <w:r w:rsidRPr="001B41AD">
        <w:rPr>
          <w:szCs w:val="20"/>
          <w:lang w:val="sr-Cyrl-CS"/>
        </w:rPr>
        <w:t xml:space="preserve"> </w:t>
      </w:r>
      <w:r w:rsidRPr="001B41AD">
        <w:rPr>
          <w:rFonts w:ascii="Calibri" w:hAnsi="Calibri" w:cs="Calibri"/>
          <w:szCs w:val="20"/>
          <w:lang w:val="sr-Cyrl-CS"/>
        </w:rPr>
        <w:t>иако нови трговински споразум између САД и ЕУ подразумева веће царине на извоз еврозоне у САД, он је довео до смањења неизвесности трговинске политике, што се повољно одражава на укупне економске прилике.</w:t>
      </w:r>
    </w:p>
    <w:p w14:paraId="6EE5E410" w14:textId="77777777" w:rsidR="00502EF3" w:rsidRPr="001B41AD" w:rsidRDefault="00502EF3" w:rsidP="00502EF3">
      <w:pPr>
        <w:spacing w:after="120"/>
        <w:rPr>
          <w:rFonts w:ascii="Calibri" w:hAnsi="Calibri" w:cs="Calibri"/>
          <w:szCs w:val="20"/>
          <w:lang w:val="sr-Cyrl-CS"/>
        </w:rPr>
      </w:pPr>
      <w:r w:rsidRPr="001B41AD">
        <w:rPr>
          <w:rFonts w:ascii="Calibri" w:hAnsi="Calibri" w:cs="Calibri"/>
          <w:szCs w:val="20"/>
          <w:lang w:val="sr-Cyrl-CS"/>
        </w:rPr>
        <w:t>Према септембарским пројекцијама ЕЦБ, раст привреде еврозоне у 2025. години износиће 1,2%, што представља ревизију навише за 0,3 п.п. у односу на очекивања из јуна. Ова ревизија одражава јаче домаће факторе раста, пре свега повећање реалног дохотка становништва, стабилну запосленост и убрзане инвестиције, који су надокнадили слабију спољну тражњу и делимично ублажили ефекте неповољних спољних цена и нових трговинских ограничења.</w:t>
      </w:r>
      <w:r w:rsidRPr="001B41AD">
        <w:rPr>
          <w:szCs w:val="20"/>
          <w:lang w:val="sr-Cyrl-CS"/>
        </w:rPr>
        <w:t xml:space="preserve"> </w:t>
      </w:r>
      <w:r w:rsidRPr="001B41AD">
        <w:rPr>
          <w:rFonts w:ascii="Calibri" w:hAnsi="Calibri" w:cs="Calibri"/>
          <w:szCs w:val="20"/>
          <w:lang w:val="sr-Cyrl-CS"/>
        </w:rPr>
        <w:t xml:space="preserve">Приватна потрошња показала се знатно отпорнијом услед већег реалног дохотка и бржег пада инфлације, што је повећало куповну моћ домаћинстава. Раст зарада и стабилност тржишта рада подржале су раст потрошње, док је смањење неизвесности довело до умереног пада стопе штедње. Ови фактори су, заједно, створили израженији подстицај домаћој тражњи него што је било предвиђено претходним пројекцијама. Истовремено, инвестиције су ревидиране навише, посебно у делу пословних улагања и инвестиција у интелектуалну својину, али и ширег опоравка корпоративних инвестиција након ублажавања финансијских услова. Стамбене инвестиције такође су благо побољшане захваљујући нижим хипотекарним каматама и расту реалног дохотка. </w:t>
      </w:r>
      <w:r w:rsidRPr="001B41AD">
        <w:rPr>
          <w:rFonts w:ascii="Calibri" w:hAnsi="Calibri" w:cs="Calibri"/>
          <w:szCs w:val="20"/>
          <w:lang w:val="sr-Cyrl-CS"/>
        </w:rPr>
        <w:t>Јавна потрошња је нешто виша у односу на претходне пројекције, пре свега због већих издвајања за инфраструктуру и одбрану у појединим земљама чланицама, посебно у Немачкој и Италији. С друге стране, спољна трговина и даље има ограничен допринос расту, али су уочена нешто боља кретања у извозу услуга и смањен енергетски увоз, што је делимично ублажило негативан утицај јачег евра и нових америчких тарифа.</w:t>
      </w:r>
    </w:p>
    <w:p w14:paraId="046B1C59" w14:textId="77777777" w:rsidR="00502EF3" w:rsidRPr="001B41AD" w:rsidRDefault="00502EF3" w:rsidP="00502EF3">
      <w:pPr>
        <w:rPr>
          <w:rFonts w:ascii="Calibri" w:hAnsi="Calibri" w:cs="Calibri"/>
          <w:szCs w:val="20"/>
          <w:lang w:val="sr-Cyrl-CS"/>
        </w:rPr>
        <w:sectPr w:rsidR="00502EF3" w:rsidRPr="001B41AD" w:rsidSect="00436957">
          <w:type w:val="continuous"/>
          <w:pgSz w:w="12240" w:h="15840" w:code="1"/>
          <w:pgMar w:top="1440" w:right="1440" w:bottom="1440" w:left="1440" w:header="720" w:footer="720" w:gutter="0"/>
          <w:cols w:num="2" w:space="720"/>
          <w:docGrid w:linePitch="360"/>
        </w:sectPr>
      </w:pPr>
      <w:r w:rsidRPr="001B41AD">
        <w:rPr>
          <w:rFonts w:ascii="Calibri" w:hAnsi="Calibri" w:cs="Calibri"/>
          <w:szCs w:val="20"/>
          <w:lang w:val="sr-Cyrl-CS"/>
        </w:rPr>
        <w:t>Привредни раст еврозоне у 2026. години процењује се на 1,0%, што представља благу ревизију наниже у односу на очекивања из јуна (1,1%). Ова корекција одражава очекивано успоравање привредне активности након привремено снажнијег опоравка у 2025. години, када су привредну активност подстакли преносни ефекти, раст реалног дохотка и повећана јавна и приватна улагања. У 2026. години очекује се умереније кретање домаће тражње, јер се ефекат мање инфлације и раста реалних зарада постепено исцрпљује, док се стопа штедње стабилизује. Инвестиције настављају да расту, али споријим темпом услед смањеног утицаја фондова Next Generation EU</w:t>
      </w:r>
      <w:r w:rsidR="001D4D58" w:rsidRPr="001B41AD">
        <w:rPr>
          <w:rFonts w:ascii="Calibri" w:hAnsi="Calibri" w:cs="Calibri"/>
          <w:szCs w:val="20"/>
          <w:lang w:val="sr-Cyrl-CS"/>
        </w:rPr>
        <w:t xml:space="preserve"> (NGEU)</w:t>
      </w:r>
      <w:r w:rsidRPr="001B41AD">
        <w:rPr>
          <w:rFonts w:ascii="Calibri" w:hAnsi="Calibri" w:cs="Calibri"/>
          <w:szCs w:val="20"/>
          <w:lang w:val="sr-Cyrl-CS"/>
        </w:rPr>
        <w:t xml:space="preserve"> и мање динамике инвестиција у стамбеном сектору. Истовремено, спољна тражња остаје слаба услед успоравања глобалне трговине, јачег евра и повећаних тарифа, што ограничава извозни сектор. У целини, раст од 1,0% у 2026. години одражава прелаз ка стабилнијој, али умеренијој економској динамици, при чему домаћи фактори и даље остају кључни носиоци раста економске активности, али без додатних једнократних подстицаја из претходног периода.</w:t>
      </w:r>
    </w:p>
    <w:p w14:paraId="1C2B306A" w14:textId="77777777" w:rsidR="00502EF3" w:rsidRPr="001B41AD" w:rsidRDefault="00502EF3" w:rsidP="00502EF3">
      <w:pPr>
        <w:spacing w:after="120" w:line="240" w:lineRule="auto"/>
        <w:ind w:left="255"/>
        <w:jc w:val="center"/>
        <w:rPr>
          <w:b/>
          <w:color w:val="002060"/>
          <w:szCs w:val="20"/>
          <w:lang w:val="sr-Cyrl-CS"/>
        </w:rPr>
        <w:sectPr w:rsidR="00502EF3" w:rsidRPr="001B41AD" w:rsidSect="00436957">
          <w:type w:val="continuous"/>
          <w:pgSz w:w="12240" w:h="15840" w:code="1"/>
          <w:pgMar w:top="1440" w:right="1440" w:bottom="1440" w:left="1440" w:header="720" w:footer="720" w:gutter="0"/>
          <w:cols w:space="720"/>
          <w:docGrid w:linePitch="360"/>
        </w:sectPr>
      </w:pPr>
    </w:p>
    <w:tbl>
      <w:tblPr>
        <w:tblW w:w="5000" w:type="pct"/>
        <w:tblLook w:val="04A0" w:firstRow="1" w:lastRow="0" w:firstColumn="1" w:lastColumn="0" w:noHBand="0" w:noVBand="1"/>
      </w:tblPr>
      <w:tblGrid>
        <w:gridCol w:w="4448"/>
        <w:gridCol w:w="1228"/>
        <w:gridCol w:w="1228"/>
        <w:gridCol w:w="1228"/>
        <w:gridCol w:w="1228"/>
      </w:tblGrid>
      <w:tr w:rsidR="00502EF3" w:rsidRPr="001B41AD" w14:paraId="071ED747" w14:textId="77777777" w:rsidTr="00436957">
        <w:trPr>
          <w:trHeight w:val="300"/>
        </w:trPr>
        <w:tc>
          <w:tcPr>
            <w:tcW w:w="5000" w:type="pct"/>
            <w:gridSpan w:val="5"/>
            <w:tcBorders>
              <w:bottom w:val="single" w:sz="4" w:space="0" w:color="002060"/>
            </w:tcBorders>
            <w:noWrap/>
            <w:vAlign w:val="bottom"/>
            <w:hideMark/>
          </w:tcPr>
          <w:p w14:paraId="3FED212F" w14:textId="77777777" w:rsidR="00502EF3" w:rsidRPr="001B41AD" w:rsidRDefault="00502EF3" w:rsidP="00436957">
            <w:pPr>
              <w:spacing w:after="120" w:line="240" w:lineRule="auto"/>
              <w:ind w:left="255"/>
              <w:jc w:val="center"/>
              <w:rPr>
                <w:rFonts w:cstheme="minorHAnsi"/>
                <w:color w:val="002060"/>
                <w:sz w:val="18"/>
                <w:szCs w:val="18"/>
                <w:lang w:val="sr-Cyrl-CS"/>
              </w:rPr>
            </w:pPr>
            <w:r w:rsidRPr="001B41AD">
              <w:rPr>
                <w:rFonts w:cstheme="minorHAnsi"/>
                <w:b/>
                <w:color w:val="002060"/>
                <w:sz w:val="18"/>
                <w:szCs w:val="18"/>
                <w:lang w:val="sr-Cyrl-CS"/>
              </w:rPr>
              <w:lastRenderedPageBreak/>
              <w:t>Табела 2. Макроекономске пројекције за подручје еврозоне, %</w:t>
            </w:r>
          </w:p>
        </w:tc>
      </w:tr>
      <w:tr w:rsidR="00502EF3" w:rsidRPr="001B41AD" w14:paraId="0677820A" w14:textId="77777777" w:rsidTr="00436957">
        <w:trPr>
          <w:trHeight w:val="227"/>
        </w:trPr>
        <w:tc>
          <w:tcPr>
            <w:tcW w:w="2376" w:type="pct"/>
            <w:tcBorders>
              <w:top w:val="single" w:sz="4" w:space="0" w:color="002060"/>
            </w:tcBorders>
            <w:noWrap/>
            <w:vAlign w:val="center"/>
          </w:tcPr>
          <w:p w14:paraId="4535720B" w14:textId="77777777" w:rsidR="00502EF3" w:rsidRPr="001B41AD" w:rsidRDefault="00502EF3" w:rsidP="00436957">
            <w:pPr>
              <w:spacing w:after="0" w:line="240" w:lineRule="auto"/>
              <w:jc w:val="center"/>
              <w:rPr>
                <w:rFonts w:eastAsia="Times New Roman" w:cstheme="minorHAnsi"/>
                <w:color w:val="002060"/>
                <w:sz w:val="18"/>
                <w:szCs w:val="18"/>
                <w:lang w:val="sr-Cyrl-CS"/>
              </w:rPr>
            </w:pPr>
          </w:p>
        </w:tc>
        <w:tc>
          <w:tcPr>
            <w:tcW w:w="656" w:type="pct"/>
            <w:tcBorders>
              <w:top w:val="single" w:sz="4" w:space="0" w:color="002060"/>
              <w:bottom w:val="single" w:sz="4" w:space="0" w:color="002060"/>
            </w:tcBorders>
            <w:noWrap/>
            <w:vAlign w:val="center"/>
          </w:tcPr>
          <w:p w14:paraId="2E64F321"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2024</w:t>
            </w:r>
          </w:p>
        </w:tc>
        <w:tc>
          <w:tcPr>
            <w:tcW w:w="656" w:type="pct"/>
            <w:tcBorders>
              <w:top w:val="single" w:sz="4" w:space="0" w:color="002060"/>
              <w:bottom w:val="single" w:sz="4" w:space="0" w:color="002060"/>
            </w:tcBorders>
            <w:noWrap/>
            <w:vAlign w:val="center"/>
          </w:tcPr>
          <w:p w14:paraId="71CFF860"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2025</w:t>
            </w:r>
          </w:p>
        </w:tc>
        <w:tc>
          <w:tcPr>
            <w:tcW w:w="656" w:type="pct"/>
            <w:tcBorders>
              <w:top w:val="single" w:sz="4" w:space="0" w:color="002060"/>
              <w:bottom w:val="single" w:sz="4" w:space="0" w:color="002060"/>
            </w:tcBorders>
            <w:noWrap/>
            <w:vAlign w:val="center"/>
          </w:tcPr>
          <w:p w14:paraId="52786E57"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2026</w:t>
            </w:r>
          </w:p>
        </w:tc>
        <w:tc>
          <w:tcPr>
            <w:tcW w:w="656" w:type="pct"/>
            <w:tcBorders>
              <w:top w:val="single" w:sz="4" w:space="0" w:color="002060"/>
              <w:bottom w:val="single" w:sz="4" w:space="0" w:color="002060"/>
            </w:tcBorders>
            <w:noWrap/>
            <w:vAlign w:val="center"/>
          </w:tcPr>
          <w:p w14:paraId="712DD5FF"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2027</w:t>
            </w:r>
          </w:p>
        </w:tc>
      </w:tr>
      <w:tr w:rsidR="00502EF3" w:rsidRPr="001B41AD" w14:paraId="46FC1F4B" w14:textId="77777777" w:rsidTr="00436957">
        <w:trPr>
          <w:trHeight w:val="227"/>
        </w:trPr>
        <w:tc>
          <w:tcPr>
            <w:tcW w:w="2376" w:type="pct"/>
            <w:noWrap/>
            <w:vAlign w:val="bottom"/>
            <w:hideMark/>
          </w:tcPr>
          <w:p w14:paraId="31C46A6A" w14:textId="77777777" w:rsidR="00502EF3" w:rsidRPr="001B41AD" w:rsidRDefault="00502EF3" w:rsidP="00436957">
            <w:pPr>
              <w:spacing w:after="0" w:line="240" w:lineRule="auto"/>
              <w:ind w:left="357" w:hanging="357"/>
              <w:rPr>
                <w:rFonts w:cstheme="minorHAnsi"/>
                <w:color w:val="002060"/>
                <w:sz w:val="18"/>
                <w:szCs w:val="18"/>
                <w:lang w:val="sr-Cyrl-CS"/>
              </w:rPr>
            </w:pPr>
            <w:r w:rsidRPr="001B41AD">
              <w:rPr>
                <w:rFonts w:cstheme="minorHAnsi"/>
                <w:color w:val="002060"/>
                <w:sz w:val="18"/>
                <w:szCs w:val="18"/>
                <w:lang w:val="sr-Cyrl-CS"/>
              </w:rPr>
              <w:t>БДП</w:t>
            </w:r>
          </w:p>
        </w:tc>
        <w:tc>
          <w:tcPr>
            <w:tcW w:w="656" w:type="pct"/>
            <w:tcBorders>
              <w:top w:val="single" w:sz="4" w:space="0" w:color="002060"/>
            </w:tcBorders>
            <w:noWrap/>
            <w:vAlign w:val="center"/>
            <w:hideMark/>
          </w:tcPr>
          <w:p w14:paraId="57332180"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0,8</w:t>
            </w:r>
          </w:p>
        </w:tc>
        <w:tc>
          <w:tcPr>
            <w:tcW w:w="656" w:type="pct"/>
            <w:tcBorders>
              <w:top w:val="single" w:sz="4" w:space="0" w:color="002060"/>
            </w:tcBorders>
            <w:shd w:val="clear" w:color="auto" w:fill="FFFFFF" w:themeFill="background1"/>
            <w:noWrap/>
            <w:vAlign w:val="center"/>
            <w:hideMark/>
          </w:tcPr>
          <w:p w14:paraId="5F98FFCB"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1,2</w:t>
            </w:r>
          </w:p>
        </w:tc>
        <w:tc>
          <w:tcPr>
            <w:tcW w:w="656" w:type="pct"/>
            <w:tcBorders>
              <w:top w:val="single" w:sz="4" w:space="0" w:color="002060"/>
            </w:tcBorders>
            <w:noWrap/>
            <w:vAlign w:val="center"/>
            <w:hideMark/>
          </w:tcPr>
          <w:p w14:paraId="0B99F5DA"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1,0</w:t>
            </w:r>
          </w:p>
        </w:tc>
        <w:tc>
          <w:tcPr>
            <w:tcW w:w="656" w:type="pct"/>
            <w:tcBorders>
              <w:top w:val="single" w:sz="4" w:space="0" w:color="002060"/>
            </w:tcBorders>
            <w:noWrap/>
            <w:vAlign w:val="center"/>
          </w:tcPr>
          <w:p w14:paraId="2C795D46"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1,3</w:t>
            </w:r>
          </w:p>
        </w:tc>
      </w:tr>
      <w:tr w:rsidR="00502EF3" w:rsidRPr="001B41AD" w14:paraId="74757CF9" w14:textId="77777777" w:rsidTr="00436957">
        <w:trPr>
          <w:trHeight w:val="227"/>
        </w:trPr>
        <w:tc>
          <w:tcPr>
            <w:tcW w:w="2376" w:type="pct"/>
            <w:noWrap/>
            <w:vAlign w:val="bottom"/>
            <w:hideMark/>
          </w:tcPr>
          <w:p w14:paraId="51496A6B" w14:textId="77777777" w:rsidR="00502EF3" w:rsidRPr="001B41AD" w:rsidRDefault="00502EF3" w:rsidP="00436957">
            <w:pPr>
              <w:spacing w:after="0" w:line="240" w:lineRule="auto"/>
              <w:ind w:left="527" w:hanging="357"/>
              <w:rPr>
                <w:rFonts w:cstheme="minorHAnsi"/>
                <w:color w:val="002060"/>
                <w:sz w:val="18"/>
                <w:szCs w:val="18"/>
                <w:lang w:val="sr-Cyrl-CS"/>
              </w:rPr>
            </w:pPr>
            <w:r w:rsidRPr="001B41AD">
              <w:rPr>
                <w:rFonts w:cstheme="minorHAnsi"/>
                <w:color w:val="002060"/>
                <w:sz w:val="18"/>
                <w:szCs w:val="18"/>
                <w:lang w:val="sr-Cyrl-CS"/>
              </w:rPr>
              <w:t>Лична потрошња</w:t>
            </w:r>
          </w:p>
        </w:tc>
        <w:tc>
          <w:tcPr>
            <w:tcW w:w="656" w:type="pct"/>
            <w:noWrap/>
            <w:vAlign w:val="center"/>
            <w:hideMark/>
          </w:tcPr>
          <w:p w14:paraId="0884737A"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1,1</w:t>
            </w:r>
          </w:p>
        </w:tc>
        <w:tc>
          <w:tcPr>
            <w:tcW w:w="656" w:type="pct"/>
            <w:noWrap/>
            <w:vAlign w:val="center"/>
            <w:hideMark/>
          </w:tcPr>
          <w:p w14:paraId="5C4EB24F"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1,3</w:t>
            </w:r>
          </w:p>
        </w:tc>
        <w:tc>
          <w:tcPr>
            <w:tcW w:w="656" w:type="pct"/>
            <w:noWrap/>
            <w:vAlign w:val="center"/>
            <w:hideMark/>
          </w:tcPr>
          <w:p w14:paraId="521B7A3B"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1,3</w:t>
            </w:r>
          </w:p>
        </w:tc>
        <w:tc>
          <w:tcPr>
            <w:tcW w:w="656" w:type="pct"/>
            <w:noWrap/>
            <w:vAlign w:val="center"/>
          </w:tcPr>
          <w:p w14:paraId="032D1B1B"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1,3</w:t>
            </w:r>
          </w:p>
        </w:tc>
      </w:tr>
      <w:tr w:rsidR="00502EF3" w:rsidRPr="001B41AD" w14:paraId="09FF1FFB" w14:textId="77777777" w:rsidTr="00436957">
        <w:trPr>
          <w:trHeight w:val="227"/>
        </w:trPr>
        <w:tc>
          <w:tcPr>
            <w:tcW w:w="2376" w:type="pct"/>
            <w:noWrap/>
            <w:vAlign w:val="bottom"/>
            <w:hideMark/>
          </w:tcPr>
          <w:p w14:paraId="5A485611" w14:textId="77777777" w:rsidR="00502EF3" w:rsidRPr="001B41AD" w:rsidRDefault="00502EF3" w:rsidP="00436957">
            <w:pPr>
              <w:spacing w:after="0" w:line="240" w:lineRule="auto"/>
              <w:ind w:left="527" w:hanging="357"/>
              <w:rPr>
                <w:rFonts w:cstheme="minorHAnsi"/>
                <w:color w:val="002060"/>
                <w:sz w:val="18"/>
                <w:szCs w:val="18"/>
                <w:lang w:val="sr-Cyrl-CS"/>
              </w:rPr>
            </w:pPr>
            <w:r w:rsidRPr="001B41AD">
              <w:rPr>
                <w:rFonts w:cstheme="minorHAnsi"/>
                <w:color w:val="002060"/>
                <w:sz w:val="18"/>
                <w:szCs w:val="18"/>
                <w:lang w:val="sr-Cyrl-CS"/>
              </w:rPr>
              <w:t>Државна потрошња</w:t>
            </w:r>
          </w:p>
        </w:tc>
        <w:tc>
          <w:tcPr>
            <w:tcW w:w="656" w:type="pct"/>
            <w:noWrap/>
            <w:vAlign w:val="center"/>
            <w:hideMark/>
          </w:tcPr>
          <w:p w14:paraId="241AB374"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2,3</w:t>
            </w:r>
          </w:p>
        </w:tc>
        <w:tc>
          <w:tcPr>
            <w:tcW w:w="656" w:type="pct"/>
            <w:noWrap/>
            <w:vAlign w:val="center"/>
            <w:hideMark/>
          </w:tcPr>
          <w:p w14:paraId="2F63247C"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1,6</w:t>
            </w:r>
          </w:p>
        </w:tc>
        <w:tc>
          <w:tcPr>
            <w:tcW w:w="656" w:type="pct"/>
            <w:noWrap/>
            <w:vAlign w:val="center"/>
            <w:hideMark/>
          </w:tcPr>
          <w:p w14:paraId="097B7D7F"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1,1</w:t>
            </w:r>
          </w:p>
        </w:tc>
        <w:tc>
          <w:tcPr>
            <w:tcW w:w="656" w:type="pct"/>
            <w:noWrap/>
            <w:vAlign w:val="center"/>
          </w:tcPr>
          <w:p w14:paraId="618A1972"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1,1</w:t>
            </w:r>
          </w:p>
        </w:tc>
      </w:tr>
      <w:tr w:rsidR="00502EF3" w:rsidRPr="001B41AD" w14:paraId="3EF1FBBE" w14:textId="77777777" w:rsidTr="00436957">
        <w:trPr>
          <w:trHeight w:val="227"/>
        </w:trPr>
        <w:tc>
          <w:tcPr>
            <w:tcW w:w="2376" w:type="pct"/>
            <w:noWrap/>
            <w:vAlign w:val="bottom"/>
            <w:hideMark/>
          </w:tcPr>
          <w:p w14:paraId="1B7A9370" w14:textId="77777777" w:rsidR="00502EF3" w:rsidRPr="001B41AD" w:rsidRDefault="00502EF3" w:rsidP="00436957">
            <w:pPr>
              <w:spacing w:after="0" w:line="240" w:lineRule="auto"/>
              <w:ind w:left="527" w:hanging="357"/>
              <w:rPr>
                <w:rFonts w:cstheme="minorHAnsi"/>
                <w:color w:val="002060"/>
                <w:sz w:val="18"/>
                <w:szCs w:val="18"/>
                <w:lang w:val="sr-Cyrl-CS"/>
              </w:rPr>
            </w:pPr>
            <w:r w:rsidRPr="001B41AD">
              <w:rPr>
                <w:rFonts w:cstheme="minorHAnsi"/>
                <w:color w:val="002060"/>
                <w:sz w:val="18"/>
                <w:szCs w:val="18"/>
                <w:lang w:val="sr-Cyrl-CS"/>
              </w:rPr>
              <w:t>Бруто инвестиције у основна средства</w:t>
            </w:r>
          </w:p>
        </w:tc>
        <w:tc>
          <w:tcPr>
            <w:tcW w:w="656" w:type="pct"/>
            <w:noWrap/>
            <w:vAlign w:val="center"/>
            <w:hideMark/>
          </w:tcPr>
          <w:p w14:paraId="4876EC74"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-2,1</w:t>
            </w:r>
          </w:p>
        </w:tc>
        <w:tc>
          <w:tcPr>
            <w:tcW w:w="656" w:type="pct"/>
            <w:noWrap/>
            <w:vAlign w:val="center"/>
            <w:hideMark/>
          </w:tcPr>
          <w:p w14:paraId="155A03E5"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2,1</w:t>
            </w:r>
          </w:p>
        </w:tc>
        <w:tc>
          <w:tcPr>
            <w:tcW w:w="656" w:type="pct"/>
            <w:noWrap/>
            <w:vAlign w:val="center"/>
            <w:hideMark/>
          </w:tcPr>
          <w:p w14:paraId="3954354B"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1,7</w:t>
            </w:r>
          </w:p>
        </w:tc>
        <w:tc>
          <w:tcPr>
            <w:tcW w:w="656" w:type="pct"/>
            <w:noWrap/>
            <w:vAlign w:val="center"/>
          </w:tcPr>
          <w:p w14:paraId="6E8D5490"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1,8</w:t>
            </w:r>
          </w:p>
        </w:tc>
      </w:tr>
      <w:tr w:rsidR="00502EF3" w:rsidRPr="001B41AD" w14:paraId="09831EA0" w14:textId="77777777" w:rsidTr="00436957">
        <w:trPr>
          <w:trHeight w:val="227"/>
        </w:trPr>
        <w:tc>
          <w:tcPr>
            <w:tcW w:w="2376" w:type="pct"/>
            <w:noWrap/>
            <w:vAlign w:val="bottom"/>
            <w:hideMark/>
          </w:tcPr>
          <w:p w14:paraId="6453835C" w14:textId="77777777" w:rsidR="00502EF3" w:rsidRPr="001B41AD" w:rsidRDefault="00502EF3" w:rsidP="00436957">
            <w:pPr>
              <w:spacing w:after="0" w:line="240" w:lineRule="auto"/>
              <w:ind w:left="527" w:hanging="357"/>
              <w:rPr>
                <w:rFonts w:cstheme="minorHAnsi"/>
                <w:color w:val="002060"/>
                <w:sz w:val="18"/>
                <w:szCs w:val="18"/>
                <w:lang w:val="sr-Cyrl-CS"/>
              </w:rPr>
            </w:pPr>
            <w:r w:rsidRPr="001B41AD">
              <w:rPr>
                <w:rFonts w:cstheme="minorHAnsi"/>
                <w:color w:val="002060"/>
                <w:sz w:val="18"/>
                <w:szCs w:val="18"/>
                <w:lang w:val="sr-Cyrl-CS"/>
              </w:rPr>
              <w:t>Извоз</w:t>
            </w:r>
          </w:p>
        </w:tc>
        <w:tc>
          <w:tcPr>
            <w:tcW w:w="656" w:type="pct"/>
            <w:noWrap/>
            <w:vAlign w:val="center"/>
            <w:hideMark/>
          </w:tcPr>
          <w:p w14:paraId="72E34A5E"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0,7</w:t>
            </w:r>
          </w:p>
        </w:tc>
        <w:tc>
          <w:tcPr>
            <w:tcW w:w="656" w:type="pct"/>
            <w:noWrap/>
            <w:vAlign w:val="center"/>
            <w:hideMark/>
          </w:tcPr>
          <w:p w14:paraId="14A8F236"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1,3</w:t>
            </w:r>
          </w:p>
        </w:tc>
        <w:tc>
          <w:tcPr>
            <w:tcW w:w="656" w:type="pct"/>
            <w:noWrap/>
            <w:vAlign w:val="center"/>
            <w:hideMark/>
          </w:tcPr>
          <w:p w14:paraId="3060B10C"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1,1</w:t>
            </w:r>
          </w:p>
        </w:tc>
        <w:tc>
          <w:tcPr>
            <w:tcW w:w="656" w:type="pct"/>
            <w:noWrap/>
            <w:vAlign w:val="center"/>
          </w:tcPr>
          <w:p w14:paraId="0874F261"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2,5</w:t>
            </w:r>
          </w:p>
        </w:tc>
      </w:tr>
      <w:tr w:rsidR="00502EF3" w:rsidRPr="001B41AD" w14:paraId="2D686F70" w14:textId="77777777" w:rsidTr="00436957">
        <w:trPr>
          <w:trHeight w:val="227"/>
        </w:trPr>
        <w:tc>
          <w:tcPr>
            <w:tcW w:w="2376" w:type="pct"/>
            <w:noWrap/>
            <w:vAlign w:val="bottom"/>
            <w:hideMark/>
          </w:tcPr>
          <w:p w14:paraId="063A9A20" w14:textId="77777777" w:rsidR="00502EF3" w:rsidRPr="001B41AD" w:rsidRDefault="00502EF3" w:rsidP="00436957">
            <w:pPr>
              <w:spacing w:after="0" w:line="240" w:lineRule="auto"/>
              <w:ind w:left="527" w:hanging="357"/>
              <w:rPr>
                <w:rFonts w:cstheme="minorHAnsi"/>
                <w:color w:val="002060"/>
                <w:sz w:val="18"/>
                <w:szCs w:val="18"/>
                <w:lang w:val="sr-Cyrl-CS"/>
              </w:rPr>
            </w:pPr>
            <w:r w:rsidRPr="001B41AD">
              <w:rPr>
                <w:rFonts w:cstheme="minorHAnsi"/>
                <w:color w:val="002060"/>
                <w:sz w:val="18"/>
                <w:szCs w:val="18"/>
                <w:lang w:val="sr-Cyrl-CS"/>
              </w:rPr>
              <w:t>Увоз</w:t>
            </w:r>
          </w:p>
        </w:tc>
        <w:tc>
          <w:tcPr>
            <w:tcW w:w="656" w:type="pct"/>
            <w:noWrap/>
            <w:vAlign w:val="center"/>
            <w:hideMark/>
          </w:tcPr>
          <w:p w14:paraId="1137615E"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-0,2</w:t>
            </w:r>
          </w:p>
        </w:tc>
        <w:tc>
          <w:tcPr>
            <w:tcW w:w="656" w:type="pct"/>
            <w:noWrap/>
            <w:vAlign w:val="center"/>
            <w:hideMark/>
          </w:tcPr>
          <w:p w14:paraId="149F1F47"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2,8</w:t>
            </w:r>
          </w:p>
        </w:tc>
        <w:tc>
          <w:tcPr>
            <w:tcW w:w="656" w:type="pct"/>
            <w:noWrap/>
            <w:vAlign w:val="center"/>
            <w:hideMark/>
          </w:tcPr>
          <w:p w14:paraId="377FAF40"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2,0</w:t>
            </w:r>
          </w:p>
        </w:tc>
        <w:tc>
          <w:tcPr>
            <w:tcW w:w="656" w:type="pct"/>
            <w:noWrap/>
            <w:vAlign w:val="center"/>
          </w:tcPr>
          <w:p w14:paraId="3872F687"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2,7</w:t>
            </w:r>
          </w:p>
        </w:tc>
      </w:tr>
      <w:tr w:rsidR="00502EF3" w:rsidRPr="001B41AD" w14:paraId="220D5937" w14:textId="77777777" w:rsidTr="00436957">
        <w:trPr>
          <w:trHeight w:val="227"/>
        </w:trPr>
        <w:tc>
          <w:tcPr>
            <w:tcW w:w="2376" w:type="pct"/>
            <w:noWrap/>
            <w:vAlign w:val="bottom"/>
            <w:hideMark/>
          </w:tcPr>
          <w:p w14:paraId="1A87DFBA" w14:textId="77777777" w:rsidR="00502EF3" w:rsidRPr="001B41AD" w:rsidRDefault="00502EF3" w:rsidP="00436957">
            <w:pPr>
              <w:spacing w:after="0" w:line="240" w:lineRule="auto"/>
              <w:ind w:left="357" w:hanging="357"/>
              <w:rPr>
                <w:rFonts w:cstheme="minorHAnsi"/>
                <w:color w:val="002060"/>
                <w:sz w:val="18"/>
                <w:szCs w:val="18"/>
                <w:lang w:val="sr-Cyrl-CS"/>
              </w:rPr>
            </w:pPr>
            <w:r w:rsidRPr="001B41AD">
              <w:rPr>
                <w:rFonts w:cstheme="minorHAnsi"/>
                <w:color w:val="002060"/>
                <w:sz w:val="18"/>
                <w:szCs w:val="18"/>
                <w:lang w:val="sr-Cyrl-CS"/>
              </w:rPr>
              <w:t>Запосленост</w:t>
            </w:r>
          </w:p>
        </w:tc>
        <w:tc>
          <w:tcPr>
            <w:tcW w:w="656" w:type="pct"/>
            <w:noWrap/>
            <w:vAlign w:val="center"/>
            <w:hideMark/>
          </w:tcPr>
          <w:p w14:paraId="699E9359"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1,0</w:t>
            </w:r>
          </w:p>
        </w:tc>
        <w:tc>
          <w:tcPr>
            <w:tcW w:w="656" w:type="pct"/>
            <w:noWrap/>
            <w:vAlign w:val="center"/>
            <w:hideMark/>
          </w:tcPr>
          <w:p w14:paraId="0387A0B1"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0,6</w:t>
            </w:r>
          </w:p>
        </w:tc>
        <w:tc>
          <w:tcPr>
            <w:tcW w:w="656" w:type="pct"/>
            <w:noWrap/>
            <w:vAlign w:val="center"/>
            <w:hideMark/>
          </w:tcPr>
          <w:p w14:paraId="052C543C"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0,5</w:t>
            </w:r>
          </w:p>
        </w:tc>
        <w:tc>
          <w:tcPr>
            <w:tcW w:w="656" w:type="pct"/>
            <w:noWrap/>
            <w:vAlign w:val="center"/>
          </w:tcPr>
          <w:p w14:paraId="10A8428A"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0,5</w:t>
            </w:r>
          </w:p>
        </w:tc>
      </w:tr>
      <w:tr w:rsidR="00502EF3" w:rsidRPr="001B41AD" w14:paraId="625005BD" w14:textId="77777777" w:rsidTr="00436957">
        <w:trPr>
          <w:trHeight w:val="227"/>
        </w:trPr>
        <w:tc>
          <w:tcPr>
            <w:tcW w:w="2376" w:type="pct"/>
            <w:noWrap/>
            <w:vAlign w:val="bottom"/>
            <w:hideMark/>
          </w:tcPr>
          <w:p w14:paraId="7524457B" w14:textId="77777777" w:rsidR="00502EF3" w:rsidRPr="001B41AD" w:rsidRDefault="00502EF3" w:rsidP="00436957">
            <w:pPr>
              <w:spacing w:after="0" w:line="240" w:lineRule="auto"/>
              <w:ind w:left="357" w:hanging="357"/>
              <w:rPr>
                <w:rFonts w:cstheme="minorHAnsi"/>
                <w:color w:val="002060"/>
                <w:sz w:val="18"/>
                <w:szCs w:val="18"/>
                <w:lang w:val="sr-Cyrl-CS"/>
              </w:rPr>
            </w:pPr>
            <w:r w:rsidRPr="001B41AD">
              <w:rPr>
                <w:rFonts w:cstheme="minorHAnsi"/>
                <w:color w:val="002060"/>
                <w:sz w:val="18"/>
                <w:szCs w:val="18"/>
                <w:lang w:val="sr-Cyrl-CS"/>
              </w:rPr>
              <w:t>Стопа незапослености</w:t>
            </w:r>
          </w:p>
        </w:tc>
        <w:tc>
          <w:tcPr>
            <w:tcW w:w="656" w:type="pct"/>
            <w:noWrap/>
            <w:vAlign w:val="center"/>
            <w:hideMark/>
          </w:tcPr>
          <w:p w14:paraId="0B8A69DC"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6,4</w:t>
            </w:r>
          </w:p>
        </w:tc>
        <w:tc>
          <w:tcPr>
            <w:tcW w:w="656" w:type="pct"/>
            <w:noWrap/>
            <w:vAlign w:val="center"/>
            <w:hideMark/>
          </w:tcPr>
          <w:p w14:paraId="580BDF3B"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6,4</w:t>
            </w:r>
          </w:p>
        </w:tc>
        <w:tc>
          <w:tcPr>
            <w:tcW w:w="656" w:type="pct"/>
            <w:noWrap/>
            <w:vAlign w:val="center"/>
            <w:hideMark/>
          </w:tcPr>
          <w:p w14:paraId="5A7FD11E"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6,3</w:t>
            </w:r>
          </w:p>
        </w:tc>
        <w:tc>
          <w:tcPr>
            <w:tcW w:w="656" w:type="pct"/>
            <w:noWrap/>
            <w:vAlign w:val="center"/>
          </w:tcPr>
          <w:p w14:paraId="7486614F"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6,1</w:t>
            </w:r>
          </w:p>
        </w:tc>
      </w:tr>
      <w:tr w:rsidR="00502EF3" w:rsidRPr="001B41AD" w14:paraId="734E526C" w14:textId="77777777" w:rsidTr="00436957">
        <w:trPr>
          <w:trHeight w:val="227"/>
        </w:trPr>
        <w:tc>
          <w:tcPr>
            <w:tcW w:w="2376" w:type="pct"/>
            <w:noWrap/>
            <w:vAlign w:val="bottom"/>
            <w:hideMark/>
          </w:tcPr>
          <w:p w14:paraId="32F90F2F" w14:textId="77777777" w:rsidR="00502EF3" w:rsidRPr="001B41AD" w:rsidRDefault="00502EF3" w:rsidP="00436957">
            <w:pPr>
              <w:spacing w:after="0" w:line="240" w:lineRule="auto"/>
              <w:ind w:left="357" w:hanging="357"/>
              <w:rPr>
                <w:rFonts w:cstheme="minorHAnsi"/>
                <w:color w:val="002060"/>
                <w:sz w:val="18"/>
                <w:szCs w:val="18"/>
                <w:lang w:val="sr-Cyrl-CS"/>
              </w:rPr>
            </w:pPr>
            <w:r w:rsidRPr="001B41AD">
              <w:rPr>
                <w:rFonts w:cstheme="minorHAnsi"/>
                <w:color w:val="002060"/>
                <w:sz w:val="18"/>
                <w:szCs w:val="18"/>
                <w:lang w:val="sr-Cyrl-CS"/>
              </w:rPr>
              <w:t>Инфлација, просек периода</w:t>
            </w:r>
          </w:p>
        </w:tc>
        <w:tc>
          <w:tcPr>
            <w:tcW w:w="656" w:type="pct"/>
            <w:noWrap/>
            <w:vAlign w:val="center"/>
            <w:hideMark/>
          </w:tcPr>
          <w:p w14:paraId="17C84AA7"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2,4</w:t>
            </w:r>
          </w:p>
        </w:tc>
        <w:tc>
          <w:tcPr>
            <w:tcW w:w="656" w:type="pct"/>
            <w:noWrap/>
            <w:vAlign w:val="center"/>
            <w:hideMark/>
          </w:tcPr>
          <w:p w14:paraId="79E4B491"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2,1</w:t>
            </w:r>
          </w:p>
        </w:tc>
        <w:tc>
          <w:tcPr>
            <w:tcW w:w="656" w:type="pct"/>
            <w:noWrap/>
            <w:vAlign w:val="center"/>
            <w:hideMark/>
          </w:tcPr>
          <w:p w14:paraId="55F01EF4"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1,7</w:t>
            </w:r>
          </w:p>
        </w:tc>
        <w:tc>
          <w:tcPr>
            <w:tcW w:w="656" w:type="pct"/>
            <w:noWrap/>
            <w:vAlign w:val="center"/>
          </w:tcPr>
          <w:p w14:paraId="77E04F47"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1,9</w:t>
            </w:r>
          </w:p>
        </w:tc>
      </w:tr>
      <w:tr w:rsidR="00502EF3" w:rsidRPr="001B41AD" w14:paraId="3F1F4AE9" w14:textId="77777777" w:rsidTr="00436957">
        <w:trPr>
          <w:trHeight w:val="227"/>
        </w:trPr>
        <w:tc>
          <w:tcPr>
            <w:tcW w:w="2376" w:type="pct"/>
            <w:noWrap/>
            <w:vAlign w:val="bottom"/>
            <w:hideMark/>
          </w:tcPr>
          <w:p w14:paraId="1EBCEE5A" w14:textId="77777777" w:rsidR="00502EF3" w:rsidRPr="001B41AD" w:rsidRDefault="00502EF3" w:rsidP="00436957">
            <w:pPr>
              <w:spacing w:after="0" w:line="240" w:lineRule="auto"/>
              <w:ind w:left="357" w:hanging="357"/>
              <w:rPr>
                <w:rFonts w:cstheme="minorHAnsi"/>
                <w:color w:val="002060"/>
                <w:sz w:val="18"/>
                <w:szCs w:val="18"/>
                <w:lang w:val="sr-Cyrl-CS"/>
              </w:rPr>
            </w:pPr>
            <w:r w:rsidRPr="001B41AD">
              <w:rPr>
                <w:rFonts w:cstheme="minorHAnsi"/>
                <w:color w:val="002060"/>
                <w:sz w:val="18"/>
                <w:szCs w:val="18"/>
                <w:lang w:val="sr-Cyrl-CS"/>
              </w:rPr>
              <w:t>Јединични трошкови рада</w:t>
            </w:r>
          </w:p>
        </w:tc>
        <w:tc>
          <w:tcPr>
            <w:tcW w:w="656" w:type="pct"/>
            <w:noWrap/>
            <w:vAlign w:val="center"/>
            <w:hideMark/>
          </w:tcPr>
          <w:p w14:paraId="5110A293"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4,7</w:t>
            </w:r>
          </w:p>
        </w:tc>
        <w:tc>
          <w:tcPr>
            <w:tcW w:w="656" w:type="pct"/>
            <w:noWrap/>
            <w:vAlign w:val="center"/>
            <w:hideMark/>
          </w:tcPr>
          <w:p w14:paraId="0639BDDE"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2,8</w:t>
            </w:r>
          </w:p>
        </w:tc>
        <w:tc>
          <w:tcPr>
            <w:tcW w:w="656" w:type="pct"/>
            <w:noWrap/>
            <w:vAlign w:val="center"/>
            <w:hideMark/>
          </w:tcPr>
          <w:p w14:paraId="7035A6AB"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2,2</w:t>
            </w:r>
          </w:p>
        </w:tc>
        <w:tc>
          <w:tcPr>
            <w:tcW w:w="656" w:type="pct"/>
            <w:noWrap/>
            <w:vAlign w:val="center"/>
          </w:tcPr>
          <w:p w14:paraId="5547D0BA"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1,9</w:t>
            </w:r>
          </w:p>
        </w:tc>
      </w:tr>
      <w:tr w:rsidR="00502EF3" w:rsidRPr="001B41AD" w14:paraId="2EB286BD" w14:textId="77777777" w:rsidTr="00436957">
        <w:trPr>
          <w:trHeight w:val="227"/>
        </w:trPr>
        <w:tc>
          <w:tcPr>
            <w:tcW w:w="2376" w:type="pct"/>
            <w:noWrap/>
            <w:vAlign w:val="bottom"/>
            <w:hideMark/>
          </w:tcPr>
          <w:p w14:paraId="2E89903B" w14:textId="77777777" w:rsidR="00502EF3" w:rsidRPr="001B41AD" w:rsidRDefault="00502EF3" w:rsidP="00436957">
            <w:pPr>
              <w:spacing w:after="0" w:line="240" w:lineRule="auto"/>
              <w:ind w:left="357" w:hanging="357"/>
              <w:rPr>
                <w:rFonts w:cstheme="minorHAnsi"/>
                <w:color w:val="002060"/>
                <w:sz w:val="18"/>
                <w:szCs w:val="18"/>
                <w:lang w:val="sr-Cyrl-CS"/>
              </w:rPr>
            </w:pPr>
            <w:r w:rsidRPr="001B41AD">
              <w:rPr>
                <w:rFonts w:cstheme="minorHAnsi"/>
                <w:color w:val="002060"/>
                <w:sz w:val="18"/>
                <w:szCs w:val="18"/>
                <w:lang w:val="sr-Cyrl-CS"/>
              </w:rPr>
              <w:t>Фискални резултат опште државе, % БДП</w:t>
            </w:r>
          </w:p>
        </w:tc>
        <w:tc>
          <w:tcPr>
            <w:tcW w:w="656" w:type="pct"/>
            <w:noWrap/>
            <w:vAlign w:val="center"/>
            <w:hideMark/>
          </w:tcPr>
          <w:p w14:paraId="6E6EFB20"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-3,1</w:t>
            </w:r>
          </w:p>
        </w:tc>
        <w:tc>
          <w:tcPr>
            <w:tcW w:w="656" w:type="pct"/>
            <w:noWrap/>
            <w:vAlign w:val="center"/>
            <w:hideMark/>
          </w:tcPr>
          <w:p w14:paraId="32A4F6B5"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-2,9</w:t>
            </w:r>
          </w:p>
        </w:tc>
        <w:tc>
          <w:tcPr>
            <w:tcW w:w="656" w:type="pct"/>
            <w:noWrap/>
            <w:vAlign w:val="center"/>
            <w:hideMark/>
          </w:tcPr>
          <w:p w14:paraId="7D994FCC"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-3,2</w:t>
            </w:r>
          </w:p>
        </w:tc>
        <w:tc>
          <w:tcPr>
            <w:tcW w:w="656" w:type="pct"/>
            <w:noWrap/>
            <w:vAlign w:val="center"/>
          </w:tcPr>
          <w:p w14:paraId="7D974156"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-3,4</w:t>
            </w:r>
          </w:p>
        </w:tc>
      </w:tr>
      <w:tr w:rsidR="00502EF3" w:rsidRPr="001B41AD" w14:paraId="020D8343" w14:textId="77777777" w:rsidTr="00436957">
        <w:trPr>
          <w:trHeight w:val="227"/>
        </w:trPr>
        <w:tc>
          <w:tcPr>
            <w:tcW w:w="2376" w:type="pct"/>
            <w:noWrap/>
            <w:vAlign w:val="bottom"/>
            <w:hideMark/>
          </w:tcPr>
          <w:p w14:paraId="11E7DC4D" w14:textId="77777777" w:rsidR="00502EF3" w:rsidRPr="001B41AD" w:rsidRDefault="00502EF3" w:rsidP="00436957">
            <w:pPr>
              <w:spacing w:after="0" w:line="240" w:lineRule="auto"/>
              <w:ind w:left="357" w:hanging="357"/>
              <w:rPr>
                <w:rFonts w:cstheme="minorHAnsi"/>
                <w:color w:val="002060"/>
                <w:sz w:val="18"/>
                <w:szCs w:val="18"/>
                <w:lang w:val="sr-Cyrl-CS"/>
              </w:rPr>
            </w:pPr>
            <w:r w:rsidRPr="001B41AD">
              <w:rPr>
                <w:rFonts w:cstheme="minorHAnsi"/>
                <w:color w:val="002060"/>
                <w:sz w:val="18"/>
                <w:szCs w:val="18"/>
                <w:lang w:val="sr-Cyrl-CS"/>
              </w:rPr>
              <w:t>Бруто дуг опште државе, % БДП</w:t>
            </w:r>
          </w:p>
        </w:tc>
        <w:tc>
          <w:tcPr>
            <w:tcW w:w="656" w:type="pct"/>
            <w:noWrap/>
            <w:vAlign w:val="center"/>
            <w:hideMark/>
          </w:tcPr>
          <w:p w14:paraId="06FB2F12"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87,4</w:t>
            </w:r>
          </w:p>
        </w:tc>
        <w:tc>
          <w:tcPr>
            <w:tcW w:w="656" w:type="pct"/>
            <w:noWrap/>
            <w:vAlign w:val="center"/>
            <w:hideMark/>
          </w:tcPr>
          <w:p w14:paraId="6D4988BF"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88,0</w:t>
            </w:r>
          </w:p>
        </w:tc>
        <w:tc>
          <w:tcPr>
            <w:tcW w:w="656" w:type="pct"/>
            <w:noWrap/>
            <w:vAlign w:val="center"/>
            <w:hideMark/>
          </w:tcPr>
          <w:p w14:paraId="391004F8"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89,1</w:t>
            </w:r>
          </w:p>
        </w:tc>
        <w:tc>
          <w:tcPr>
            <w:tcW w:w="656" w:type="pct"/>
            <w:noWrap/>
            <w:vAlign w:val="center"/>
          </w:tcPr>
          <w:p w14:paraId="369B620E"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89,8</w:t>
            </w:r>
          </w:p>
        </w:tc>
      </w:tr>
      <w:tr w:rsidR="00502EF3" w:rsidRPr="001B41AD" w14:paraId="63D6B5B6" w14:textId="77777777" w:rsidTr="00436957">
        <w:trPr>
          <w:trHeight w:val="227"/>
        </w:trPr>
        <w:tc>
          <w:tcPr>
            <w:tcW w:w="2376" w:type="pct"/>
            <w:tcBorders>
              <w:bottom w:val="single" w:sz="4" w:space="0" w:color="002060"/>
            </w:tcBorders>
            <w:noWrap/>
            <w:vAlign w:val="bottom"/>
            <w:hideMark/>
          </w:tcPr>
          <w:p w14:paraId="5B716274" w14:textId="77777777" w:rsidR="00502EF3" w:rsidRPr="001B41AD" w:rsidRDefault="00502EF3" w:rsidP="00436957">
            <w:pPr>
              <w:spacing w:after="0" w:line="240" w:lineRule="auto"/>
              <w:ind w:left="357" w:hanging="357"/>
              <w:rPr>
                <w:rFonts w:cstheme="minorHAnsi"/>
                <w:color w:val="002060"/>
                <w:sz w:val="18"/>
                <w:szCs w:val="18"/>
                <w:lang w:val="sr-Cyrl-CS"/>
              </w:rPr>
            </w:pPr>
            <w:r w:rsidRPr="001B41AD">
              <w:rPr>
                <w:rFonts w:cstheme="minorHAnsi"/>
                <w:color w:val="002060"/>
                <w:sz w:val="18"/>
                <w:szCs w:val="18"/>
                <w:lang w:val="sr-Cyrl-CS"/>
              </w:rPr>
              <w:t>Салдо текућег рачуна, % БДП</w:t>
            </w:r>
          </w:p>
        </w:tc>
        <w:tc>
          <w:tcPr>
            <w:tcW w:w="656" w:type="pct"/>
            <w:tcBorders>
              <w:bottom w:val="single" w:sz="4" w:space="0" w:color="002060"/>
            </w:tcBorders>
            <w:noWrap/>
            <w:vAlign w:val="center"/>
            <w:hideMark/>
          </w:tcPr>
          <w:p w14:paraId="27DAD011"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2,6</w:t>
            </w:r>
          </w:p>
        </w:tc>
        <w:tc>
          <w:tcPr>
            <w:tcW w:w="656" w:type="pct"/>
            <w:tcBorders>
              <w:bottom w:val="single" w:sz="4" w:space="0" w:color="002060"/>
            </w:tcBorders>
            <w:noWrap/>
            <w:vAlign w:val="center"/>
            <w:hideMark/>
          </w:tcPr>
          <w:p w14:paraId="106CD114"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2,4</w:t>
            </w:r>
          </w:p>
        </w:tc>
        <w:tc>
          <w:tcPr>
            <w:tcW w:w="656" w:type="pct"/>
            <w:tcBorders>
              <w:bottom w:val="single" w:sz="4" w:space="0" w:color="002060"/>
            </w:tcBorders>
            <w:noWrap/>
            <w:vAlign w:val="center"/>
            <w:hideMark/>
          </w:tcPr>
          <w:p w14:paraId="399DA8E2"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2,5</w:t>
            </w:r>
          </w:p>
        </w:tc>
        <w:tc>
          <w:tcPr>
            <w:tcW w:w="656" w:type="pct"/>
            <w:noWrap/>
            <w:vAlign w:val="center"/>
          </w:tcPr>
          <w:p w14:paraId="7064BDEA" w14:textId="77777777" w:rsidR="00502EF3" w:rsidRPr="001B41AD" w:rsidRDefault="00502EF3" w:rsidP="00436957">
            <w:pPr>
              <w:spacing w:after="0" w:line="240" w:lineRule="auto"/>
              <w:jc w:val="center"/>
              <w:rPr>
                <w:rFonts w:cstheme="minorHAnsi"/>
                <w:color w:val="002060"/>
                <w:sz w:val="18"/>
                <w:szCs w:val="18"/>
                <w:lang w:val="sr-Cyrl-CS"/>
              </w:rPr>
            </w:pPr>
            <w:r w:rsidRPr="001B41AD">
              <w:rPr>
                <w:rFonts w:cstheme="minorHAnsi"/>
                <w:color w:val="002060"/>
                <w:sz w:val="18"/>
                <w:szCs w:val="18"/>
                <w:lang w:val="sr-Cyrl-CS"/>
              </w:rPr>
              <w:t>2,5</w:t>
            </w:r>
          </w:p>
        </w:tc>
      </w:tr>
      <w:tr w:rsidR="00502EF3" w:rsidRPr="001B41AD" w14:paraId="64B2ADB4" w14:textId="77777777" w:rsidTr="00436957">
        <w:trPr>
          <w:trHeight w:val="227"/>
        </w:trPr>
        <w:tc>
          <w:tcPr>
            <w:tcW w:w="5000" w:type="pct"/>
            <w:gridSpan w:val="5"/>
            <w:tcBorders>
              <w:top w:val="single" w:sz="4" w:space="0" w:color="002060"/>
            </w:tcBorders>
            <w:noWrap/>
            <w:vAlign w:val="bottom"/>
          </w:tcPr>
          <w:p w14:paraId="3F060320" w14:textId="77777777" w:rsidR="00502EF3" w:rsidRPr="001B41AD" w:rsidRDefault="00502EF3" w:rsidP="00436957">
            <w:pPr>
              <w:spacing w:after="0" w:line="240" w:lineRule="auto"/>
              <w:rPr>
                <w:rFonts w:cstheme="minorHAnsi"/>
                <w:sz w:val="18"/>
                <w:szCs w:val="18"/>
                <w:lang w:val="sr-Cyrl-CS"/>
              </w:rPr>
            </w:pPr>
            <w:r w:rsidRPr="001B41AD">
              <w:rPr>
                <w:rFonts w:cstheme="minorHAnsi"/>
                <w:sz w:val="18"/>
                <w:szCs w:val="18"/>
                <w:lang w:val="sr-Cyrl-CS"/>
              </w:rPr>
              <w:t>Извор: Макроекономске пројекције стручњака ЕЦБ за подручје еврозоне, септембар 2025.</w:t>
            </w:r>
          </w:p>
        </w:tc>
      </w:tr>
    </w:tbl>
    <w:p w14:paraId="35BEAC61" w14:textId="77777777" w:rsidR="00502EF3" w:rsidRPr="001B41AD" w:rsidRDefault="00502EF3" w:rsidP="00502EF3">
      <w:pPr>
        <w:spacing w:after="0" w:line="240" w:lineRule="auto"/>
        <w:rPr>
          <w:szCs w:val="20"/>
          <w:lang w:val="sr-Cyrl-CS"/>
        </w:rPr>
        <w:sectPr w:rsidR="00502EF3" w:rsidRPr="001B41AD" w:rsidSect="00436957">
          <w:pgSz w:w="12240" w:h="15840" w:code="1"/>
          <w:pgMar w:top="1440" w:right="1440" w:bottom="1440" w:left="1440" w:header="720" w:footer="720" w:gutter="0"/>
          <w:cols w:space="720"/>
          <w:docGrid w:linePitch="360"/>
        </w:sectPr>
      </w:pPr>
    </w:p>
    <w:p w14:paraId="6EE7E4D8" w14:textId="77777777" w:rsidR="00502EF3" w:rsidRPr="001B41AD" w:rsidRDefault="00502EF3" w:rsidP="00502EF3">
      <w:pPr>
        <w:spacing w:after="120"/>
        <w:rPr>
          <w:bCs/>
          <w:szCs w:val="20"/>
          <w:lang w:val="sr-Cyrl-CS"/>
        </w:rPr>
      </w:pPr>
      <w:r w:rsidRPr="001B41AD">
        <w:rPr>
          <w:bCs/>
          <w:szCs w:val="20"/>
          <w:lang w:val="sr-Cyrl-CS"/>
        </w:rPr>
        <w:t>Тржиште рада еврозоне остаје изузетно отпорно и стабилно током целог хоризонта пројекције. Иако се очекује да ће запосленост расти нешто споријим темпом него у претходном периоду, укупан број запослених наставља да се повећава, а стопа незапослености се постепено смањује са 6,4% у 2025.</w:t>
      </w:r>
      <w:r w:rsidR="00B42E9D" w:rsidRPr="001B41AD">
        <w:rPr>
          <w:bCs/>
          <w:szCs w:val="20"/>
          <w:lang w:val="sr-Cyrl-CS"/>
        </w:rPr>
        <w:t xml:space="preserve"> години</w:t>
      </w:r>
      <w:r w:rsidRPr="001B41AD">
        <w:rPr>
          <w:bCs/>
          <w:szCs w:val="20"/>
          <w:lang w:val="sr-Cyrl-CS"/>
        </w:rPr>
        <w:t xml:space="preserve"> на 6,0% до краја 2027. године, достижући историјски најнижи ниво.</w:t>
      </w:r>
      <w:r w:rsidRPr="001B41AD">
        <w:rPr>
          <w:bCs/>
          <w:color w:val="FF0000"/>
          <w:szCs w:val="20"/>
          <w:lang w:val="sr-Cyrl-CS"/>
        </w:rPr>
        <w:t xml:space="preserve"> </w:t>
      </w:r>
      <w:r w:rsidRPr="001B41AD">
        <w:rPr>
          <w:bCs/>
          <w:szCs w:val="20"/>
          <w:lang w:val="sr-Cyrl-CS"/>
        </w:rPr>
        <w:t>Пораст зарада достигао је врхунац током 2024. и 2025. године, када су се плате у великој мери опоравиле након претходног пада реалних примања изазваног високим ценама. У наредним годинама предвиђа се постепено успоравање номиналног раста зарада, са просечних 3,4% у 2025. на 2,7% у 2026. и 2027. години, што је и даље изнад дугорочног просека од 2,5%. Истовремено, реалне зараде су се вратиле на нивое пре инфлаторног таласа, али се очекује да ће њихов раст и даље благо премашивати раст продуктивности. Раст јединичних трошкова рада (ЈТР) наставиће да се смањује захваљујући комбинацији споријег раста плата и постепеног повећања продуктивности.</w:t>
      </w:r>
    </w:p>
    <w:p w14:paraId="514329FB" w14:textId="77777777" w:rsidR="00502EF3" w:rsidRPr="001B41AD" w:rsidRDefault="00502EF3" w:rsidP="00502EF3">
      <w:pPr>
        <w:spacing w:after="120"/>
        <w:rPr>
          <w:bCs/>
          <w:szCs w:val="20"/>
          <w:lang w:val="sr-Cyrl-CS"/>
        </w:rPr>
      </w:pPr>
      <w:r w:rsidRPr="001B41AD">
        <w:rPr>
          <w:bCs/>
          <w:szCs w:val="20"/>
          <w:lang w:val="sr-Cyrl-CS"/>
        </w:rPr>
        <w:t>Инфлација у еврозони постепено се приближава циљаном нивоу од 2%, уз благо ревидирану путању у односу на претходне прогнозе. Процењује се да ће укупна инфлација износити 2,1% у 2025, 1,7% у 2026, и 1,9% у 2027. години, што одражава слабљење домаћих ценовних притисака, али и очекивано благо поновно убрзање у 2027. због увођења система трговине емисијама ETS2, који ће повећати енергетске трошкове. Б</w:t>
      </w:r>
      <w:r w:rsidR="00C47DE8" w:rsidRPr="001B41AD">
        <w:rPr>
          <w:bCs/>
          <w:szCs w:val="20"/>
          <w:lang w:val="sr-Cyrl-CS"/>
        </w:rPr>
        <w:t>азна инфлација наставља да се смањује</w:t>
      </w:r>
      <w:r w:rsidRPr="001B41AD">
        <w:rPr>
          <w:bCs/>
          <w:szCs w:val="20"/>
          <w:lang w:val="sr-Cyrl-CS"/>
        </w:rPr>
        <w:t xml:space="preserve"> са 2,4% у 2025. на 1,9% у 2026. и 1,8% у </w:t>
      </w:r>
      <w:r w:rsidRPr="001B41AD">
        <w:rPr>
          <w:bCs/>
          <w:szCs w:val="20"/>
          <w:lang w:val="sr-Cyrl-CS"/>
        </w:rPr>
        <w:t xml:space="preserve">2027. години, под утицајем успоравања раста зарада, слабљења инфлације у сектору услуга и јачања евра, што обара увозне цене индустријских добара. Истовремено, раст зарада постепено успорава а раст јединичних трошкова рада се смањује, што доприноси ублажавању унутрашњих ценовних притисака и стабилизацији профитних маржи предузећа. Јачање евра додатно снижава увозне цене, чиме се робна инфлација ублажава током 2026. године, док у 2027. години </w:t>
      </w:r>
      <w:r w:rsidR="00962C6C" w:rsidRPr="001B41AD">
        <w:rPr>
          <w:bCs/>
          <w:szCs w:val="20"/>
          <w:lang w:val="sr-Cyrl-CS"/>
        </w:rPr>
        <w:t xml:space="preserve">овај </w:t>
      </w:r>
      <w:r w:rsidRPr="001B41AD">
        <w:rPr>
          <w:bCs/>
          <w:szCs w:val="20"/>
          <w:lang w:val="sr-Cyrl-CS"/>
        </w:rPr>
        <w:t xml:space="preserve">ефекат постепено слаби. </w:t>
      </w:r>
    </w:p>
    <w:p w14:paraId="18AE513C" w14:textId="77777777" w:rsidR="00ED5074" w:rsidRPr="001B41AD" w:rsidRDefault="00ED5074" w:rsidP="00ED5074">
      <w:pPr>
        <w:spacing w:after="120"/>
        <w:rPr>
          <w:bCs/>
          <w:szCs w:val="20"/>
          <w:lang w:val="sr-Cyrl-CS"/>
        </w:rPr>
      </w:pPr>
      <w:r w:rsidRPr="001B41AD">
        <w:rPr>
          <w:bCs/>
          <w:szCs w:val="20"/>
          <w:lang w:val="sr-Cyrl-CS"/>
        </w:rPr>
        <w:t>Ризици остварења пројекције проистичу пре свега из глобалне неизвесности у трговинском окружењу, условљене даљим развојем режима америчких царина. Додатну неизвесност представља потенцијално смањење извозних цена Кине као одговор на те мере, што би имало опипљиве последице по привредну активност еврозоне, укључујући и могуће појачане апрецијацијске притиске на евро са негативним импликацијама по опоравак. Продужетак геополитичких тензија и евентуална ескалација конфликата на Блиском истоку и у региону Црвеног мора могли би резултирати повећаном ценовном неизвесношћу, нарочито код енергената, са проинфлаторним ефектима. Истовремено, трајање рата у Украјини носи ризик даљег пада потрошачког поверења, што би негативно утицало на приватну потрошњу, стамбене инвестиције и штедњу домаћинстава.</w:t>
      </w:r>
    </w:p>
    <w:p w14:paraId="726F3679" w14:textId="77777777" w:rsidR="00ED5074" w:rsidRPr="001B41AD" w:rsidRDefault="00ED5074" w:rsidP="00ED5074">
      <w:pPr>
        <w:spacing w:after="120"/>
        <w:rPr>
          <w:bCs/>
          <w:szCs w:val="20"/>
          <w:lang w:val="sr-Cyrl-CS"/>
        </w:rPr>
      </w:pPr>
      <w:r w:rsidRPr="001B41AD">
        <w:rPr>
          <w:bCs/>
          <w:szCs w:val="20"/>
          <w:lang w:val="sr-Cyrl-CS"/>
        </w:rPr>
        <w:t xml:space="preserve">После израженог заоштравања фискалне политике у еврозони током 2024. године, у 2025. се очекује благо додатно пооштравање услед </w:t>
      </w:r>
      <w:r w:rsidRPr="001B41AD">
        <w:rPr>
          <w:bCs/>
          <w:szCs w:val="20"/>
          <w:lang w:val="sr-Cyrl-CS"/>
        </w:rPr>
        <w:lastRenderedPageBreak/>
        <w:t>укидања преосталих антикризних мера из периода пандемије и енергетског шока. За 2026. годину предвиђа се умерена релаксација, превасходно због већих јавних инвестиција (одбрана, инфраструктура – нарочито у Немачкој) и снажнијег улагања из</w:t>
      </w:r>
      <w:r w:rsidR="00C17BA4" w:rsidRPr="001B41AD">
        <w:rPr>
          <w:bCs/>
          <w:szCs w:val="20"/>
          <w:lang w:val="sr-Cyrl-CS"/>
        </w:rPr>
        <w:t xml:space="preserve"> </w:t>
      </w:r>
      <w:r w:rsidRPr="001B41AD">
        <w:rPr>
          <w:bCs/>
          <w:szCs w:val="20"/>
          <w:lang w:val="sr-Cyrl-CS"/>
        </w:rPr>
        <w:t>NGEU</w:t>
      </w:r>
      <w:r w:rsidR="00C17BA4" w:rsidRPr="001B41AD">
        <w:rPr>
          <w:bCs/>
          <w:lang w:val="sr-Cyrl-CS"/>
        </w:rPr>
        <w:t xml:space="preserve"> ф</w:t>
      </w:r>
      <w:r w:rsidRPr="001B41AD">
        <w:rPr>
          <w:bCs/>
          <w:szCs w:val="20"/>
          <w:lang w:val="sr-Cyrl-CS"/>
        </w:rPr>
        <w:t>ондова у осталим државама ЕУ. Насупрот томе,</w:t>
      </w:r>
      <w:r w:rsidR="00EA7551" w:rsidRPr="001B41AD">
        <w:rPr>
          <w:bCs/>
          <w:szCs w:val="20"/>
          <w:lang w:val="sr-Cyrl-CS"/>
        </w:rPr>
        <w:t xml:space="preserve"> у</w:t>
      </w:r>
      <w:r w:rsidRPr="001B41AD">
        <w:rPr>
          <w:bCs/>
          <w:szCs w:val="20"/>
          <w:lang w:val="sr-Cyrl-CS"/>
        </w:rPr>
        <w:t xml:space="preserve"> 2027. </w:t>
      </w:r>
      <w:r w:rsidR="00EA7551" w:rsidRPr="001B41AD">
        <w:rPr>
          <w:bCs/>
          <w:szCs w:val="20"/>
          <w:lang w:val="sr-Cyrl-CS"/>
        </w:rPr>
        <w:t xml:space="preserve">години </w:t>
      </w:r>
      <w:r w:rsidRPr="001B41AD">
        <w:rPr>
          <w:bCs/>
          <w:szCs w:val="20"/>
          <w:lang w:val="sr-Cyrl-CS"/>
        </w:rPr>
        <w:t>се пројектује извесно поновно пооштравање услед дискреционих мера и нижег нивоа јавне потрошње по истеку NGEU финансирања. Учешће јавног дуга еврозоне у БДП, упркос стабилном расту и умереној фискалној консолидацији, остаје на благо узлазној путањи – са 88,0% у 2025. на 89,8% у 2027.</w:t>
      </w:r>
      <w:r w:rsidR="00EA7551" w:rsidRPr="001B41AD">
        <w:rPr>
          <w:bCs/>
          <w:szCs w:val="20"/>
          <w:lang w:val="sr-Cyrl-CS"/>
        </w:rPr>
        <w:t xml:space="preserve"> години</w:t>
      </w:r>
      <w:r w:rsidRPr="001B41AD">
        <w:rPr>
          <w:bCs/>
          <w:szCs w:val="20"/>
          <w:lang w:val="sr-Cyrl-CS"/>
        </w:rPr>
        <w:t xml:space="preserve"> – првенствено због трајно негативних примарних салда и виших каматних трошкова.</w:t>
      </w:r>
    </w:p>
    <w:p w14:paraId="2F89AB55" w14:textId="77777777" w:rsidR="00ED5074" w:rsidRPr="001B41AD" w:rsidRDefault="00ED5074" w:rsidP="00ED5074">
      <w:pPr>
        <w:spacing w:after="120"/>
        <w:rPr>
          <w:bCs/>
          <w:szCs w:val="20"/>
          <w:lang w:val="sr-Cyrl-CS"/>
        </w:rPr>
      </w:pPr>
      <w:r w:rsidRPr="001B41AD">
        <w:rPr>
          <w:bCs/>
          <w:szCs w:val="20"/>
          <w:lang w:val="sr-Cyrl-CS"/>
        </w:rPr>
        <w:t>Од почетка године, Европска централна банка је у четири наврата снизила све три кључне каматне стопе по 0,25 п.п. Након пауза на седницама у јулу и септембру, референтна стопа износи 2,15%, док су стопе на кредитне и депозитне олакшице на нивоима од 2,00% и 2,40%. У наредном периоду ЕЦБ ће наставити да калибрише монетарну политику у складу са глобалним кретањима, са циљем стабилизације инфлације на 2,0% у средњем року.</w:t>
      </w:r>
    </w:p>
    <w:p w14:paraId="4F7E9A98" w14:textId="77777777" w:rsidR="00ED5074" w:rsidRPr="001B41AD" w:rsidRDefault="00ED5074" w:rsidP="00502EF3">
      <w:pPr>
        <w:spacing w:after="120"/>
        <w:rPr>
          <w:bCs/>
          <w:szCs w:val="20"/>
          <w:lang w:val="sr-Cyrl-CS"/>
        </w:rPr>
      </w:pPr>
    </w:p>
    <w:p w14:paraId="46FD9455" w14:textId="77777777" w:rsidR="00502EF3" w:rsidRPr="001B41AD" w:rsidRDefault="00502EF3" w:rsidP="00A05F80">
      <w:pPr>
        <w:spacing w:after="120"/>
        <w:rPr>
          <w:bCs/>
          <w:szCs w:val="20"/>
          <w:lang w:val="sr-Cyrl-CS"/>
        </w:rPr>
      </w:pPr>
      <w:r w:rsidRPr="001B41AD">
        <w:rPr>
          <w:bCs/>
          <w:szCs w:val="20"/>
          <w:lang w:val="sr-Cyrl-CS"/>
        </w:rPr>
        <w:br w:type="column"/>
      </w:r>
    </w:p>
    <w:p w14:paraId="093055ED" w14:textId="77777777" w:rsidR="00502EF3" w:rsidRPr="001B41AD" w:rsidRDefault="00502EF3" w:rsidP="00502EF3">
      <w:pPr>
        <w:rPr>
          <w:bCs/>
          <w:szCs w:val="20"/>
          <w:lang w:val="sr-Cyrl-CS"/>
        </w:rPr>
      </w:pPr>
      <w:r w:rsidRPr="001B41AD">
        <w:rPr>
          <w:bCs/>
          <w:szCs w:val="20"/>
          <w:lang w:val="sr-Cyrl-CS"/>
        </w:rPr>
        <w:br w:type="page"/>
      </w:r>
    </w:p>
    <w:p w14:paraId="1E5D1ECB" w14:textId="77777777" w:rsidR="00502EF3" w:rsidRPr="001B41AD" w:rsidRDefault="00502EF3" w:rsidP="00502EF3">
      <w:pPr>
        <w:jc w:val="center"/>
        <w:rPr>
          <w:rFonts w:cstheme="minorHAnsi"/>
          <w:b/>
          <w:sz w:val="24"/>
          <w:lang w:val="sr-Cyrl-CS"/>
        </w:rPr>
        <w:sectPr w:rsidR="00502EF3" w:rsidRPr="001B41AD" w:rsidSect="00436957">
          <w:headerReference w:type="default" r:id="rId35"/>
          <w:footerReference w:type="default" r:id="rId36"/>
          <w:headerReference w:type="first" r:id="rId37"/>
          <w:type w:val="continuous"/>
          <w:pgSz w:w="12240" w:h="15840" w:code="1"/>
          <w:pgMar w:top="1440" w:right="1440" w:bottom="1440" w:left="1440" w:header="720" w:footer="720" w:gutter="0"/>
          <w:cols w:num="2" w:space="720"/>
          <w:docGrid w:linePitch="360"/>
        </w:sectPr>
      </w:pPr>
      <w:bookmarkStart w:id="10" w:name="_Toc530041994"/>
      <w:bookmarkStart w:id="11" w:name="_Toc23342462"/>
      <w:bookmarkStart w:id="12" w:name="_Toc119654142"/>
      <w:bookmarkStart w:id="13" w:name="_Toc135994498"/>
      <w:bookmarkStart w:id="14" w:name="_Toc146277913"/>
      <w:bookmarkStart w:id="15" w:name="_Toc148431266"/>
      <w:bookmarkStart w:id="16" w:name="_Toc171062479"/>
    </w:p>
    <w:p w14:paraId="75732656" w14:textId="77777777" w:rsidR="00502EF3" w:rsidRPr="001B41AD" w:rsidRDefault="00502EF3" w:rsidP="00502EF3">
      <w:pPr>
        <w:jc w:val="center"/>
        <w:rPr>
          <w:rFonts w:cstheme="minorHAnsi"/>
          <w:b/>
          <w:color w:val="2F5496" w:themeColor="accent1" w:themeShade="BF"/>
          <w:sz w:val="24"/>
          <w:lang w:val="sr-Cyrl-CS"/>
        </w:rPr>
      </w:pPr>
      <w:r w:rsidRPr="001B41AD">
        <w:rPr>
          <w:rFonts w:cstheme="minorHAnsi"/>
          <w:b/>
          <w:color w:val="2F5496" w:themeColor="accent1" w:themeShade="BF"/>
          <w:sz w:val="24"/>
          <w:lang w:val="sr-Cyrl-CS"/>
        </w:rPr>
        <w:lastRenderedPageBreak/>
        <w:t>3. Текућа макроекономска кретања у Републици Србији и изгледи</w:t>
      </w:r>
      <w:r w:rsidRPr="001B41AD">
        <w:rPr>
          <w:rFonts w:cstheme="minorHAnsi"/>
          <w:b/>
          <w:color w:val="2F5496" w:themeColor="accent1" w:themeShade="BF"/>
          <w:sz w:val="24"/>
          <w:lang w:val="sr-Cyrl-CS"/>
        </w:rPr>
        <w:br w:type="textWrapping" w:clear="all"/>
        <w:t>за период 2026–2028. године</w:t>
      </w:r>
      <w:bookmarkEnd w:id="10"/>
      <w:bookmarkEnd w:id="11"/>
      <w:bookmarkEnd w:id="12"/>
      <w:bookmarkEnd w:id="13"/>
      <w:bookmarkEnd w:id="14"/>
      <w:bookmarkEnd w:id="15"/>
      <w:bookmarkEnd w:id="16"/>
    </w:p>
    <w:p w14:paraId="5D92B437" w14:textId="77777777" w:rsidR="00502EF3" w:rsidRPr="001B41AD" w:rsidRDefault="00502EF3" w:rsidP="00502EF3">
      <w:pPr>
        <w:spacing w:after="120"/>
        <w:rPr>
          <w:sz w:val="22"/>
          <w:lang w:val="sr-Cyrl-CS"/>
        </w:rPr>
      </w:pPr>
      <w:r w:rsidRPr="001B41AD">
        <w:rPr>
          <w:rFonts w:cstheme="minorHAnsi"/>
          <w:noProof/>
          <w:color w:val="FF0000"/>
          <w:sz w:val="22"/>
        </w:rPr>
        <mc:AlternateContent>
          <mc:Choice Requires="wps">
            <w:drawing>
              <wp:anchor distT="0" distB="0" distL="114300" distR="114300" simplePos="0" relativeHeight="251673600" behindDoc="1" locked="0" layoutInCell="1" allowOverlap="1" wp14:anchorId="2F223EF5" wp14:editId="4FD60E9A">
                <wp:simplePos x="0" y="0"/>
                <wp:positionH relativeFrom="margin">
                  <wp:posOffset>-99695</wp:posOffset>
                </wp:positionH>
                <wp:positionV relativeFrom="paragraph">
                  <wp:posOffset>122334</wp:posOffset>
                </wp:positionV>
                <wp:extent cx="6334760" cy="7656163"/>
                <wp:effectExtent l="0" t="0" r="8890" b="2540"/>
                <wp:wrapNone/>
                <wp:docPr id="65" name="Rectangle 65"/>
                <wp:cNvGraphicFramePr/>
                <a:graphic xmlns:a="http://schemas.openxmlformats.org/drawingml/2006/main">
                  <a:graphicData uri="http://schemas.microsoft.com/office/word/2010/wordprocessingShape">
                    <wps:wsp>
                      <wps:cNvSpPr/>
                      <wps:spPr>
                        <a:xfrm>
                          <a:off x="0" y="0"/>
                          <a:ext cx="6334760" cy="7656163"/>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92D447" id="Rectangle 65" o:spid="_x0000_s1026" style="position:absolute;margin-left:-7.85pt;margin-top:9.65pt;width:498.8pt;height:602.85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" fillcolor="#d8d8d8 [2732]" stroked="f" strokeweight="1pt">
                <v:fill r:id="rId38" o:title="" color2="white [3212]" type="pattern"/>
                <w10:wrap anchorx="margin"/>
              </v:rect>
            </w:pict>
          </mc:Fallback>
        </mc:AlternateContent>
      </w:r>
    </w:p>
    <w:p w14:paraId="60188F4D" w14:textId="77777777" w:rsidR="00502EF3" w:rsidRPr="001B41AD" w:rsidRDefault="00502EF3" w:rsidP="00502EF3">
      <w:pPr>
        <w:spacing w:after="120"/>
        <w:rPr>
          <w:sz w:val="22"/>
          <w:lang w:val="sr-Cyrl-CS"/>
        </w:rPr>
        <w:sectPr w:rsidR="00502EF3" w:rsidRPr="001B41AD" w:rsidSect="00436957">
          <w:type w:val="continuous"/>
          <w:pgSz w:w="12240" w:h="15840" w:code="1"/>
          <w:pgMar w:top="1440" w:right="1440" w:bottom="1440" w:left="1440" w:header="720" w:footer="720" w:gutter="0"/>
          <w:cols w:space="720"/>
          <w:docGrid w:linePitch="360"/>
        </w:sectPr>
      </w:pPr>
    </w:p>
    <w:p w14:paraId="293E5757" w14:textId="77777777" w:rsidR="00502EF3" w:rsidRPr="001B41AD" w:rsidRDefault="00502EF3" w:rsidP="003C6BEC">
      <w:pPr>
        <w:spacing w:after="120" w:line="242" w:lineRule="auto"/>
        <w:rPr>
          <w:rFonts w:cstheme="minorHAnsi"/>
          <w:bCs/>
          <w:color w:val="0070C0"/>
          <w:szCs w:val="72"/>
          <w:lang w:val="sr-Cyrl-CS"/>
        </w:rPr>
      </w:pPr>
      <w:r w:rsidRPr="001B41AD">
        <w:rPr>
          <w:rFonts w:cstheme="minorHAnsi"/>
          <w:bCs/>
          <w:color w:val="0070C0"/>
          <w:szCs w:val="72"/>
          <w:lang w:val="sr-Cyrl-CS"/>
        </w:rPr>
        <w:t>Током претходних неколико година Република Србија је, као мала и отворена економија, показала изузетну отпорност на изазове различитог карактера. Захваљујући одговорној фискалној и монетарној политици, континуираним инвестицијама, као и спроведеним структурним реформама</w:t>
      </w:r>
      <w:r w:rsidR="00D02EBD" w:rsidRPr="001B41AD">
        <w:rPr>
          <w:rFonts w:cstheme="minorHAnsi"/>
          <w:bCs/>
          <w:color w:val="0070C0"/>
          <w:szCs w:val="72"/>
          <w:lang w:val="sr-Cyrl-CS"/>
        </w:rPr>
        <w:t xml:space="preserve">, </w:t>
      </w:r>
      <w:r w:rsidRPr="001B41AD">
        <w:rPr>
          <w:rFonts w:cstheme="minorHAnsi"/>
          <w:bCs/>
          <w:color w:val="0070C0"/>
          <w:szCs w:val="72"/>
          <w:lang w:val="sr-Cyrl-CS"/>
        </w:rPr>
        <w:t>очувана је макроекономска стабилност, сачувано поверење инвеститора и обезбеђен континуитет у привредном расту.</w:t>
      </w:r>
      <w:r w:rsidRPr="001B41AD">
        <w:rPr>
          <w:lang w:val="sr-Cyrl-CS"/>
        </w:rPr>
        <w:t xml:space="preserve"> </w:t>
      </w:r>
    </w:p>
    <w:p w14:paraId="57A95A54" w14:textId="3692F1D4" w:rsidR="00502EF3" w:rsidRPr="001B41AD" w:rsidRDefault="00502EF3" w:rsidP="003C6BEC">
      <w:pPr>
        <w:spacing w:after="120" w:line="242" w:lineRule="auto"/>
        <w:rPr>
          <w:rFonts w:cstheme="minorHAnsi"/>
          <w:bCs/>
          <w:color w:val="0070C0"/>
          <w:szCs w:val="72"/>
          <w:lang w:val="sr-Cyrl-CS"/>
        </w:rPr>
      </w:pPr>
      <w:r w:rsidRPr="001B41AD">
        <w:rPr>
          <w:rFonts w:cstheme="minorHAnsi"/>
          <w:bCs/>
          <w:color w:val="0070C0"/>
          <w:szCs w:val="72"/>
          <w:lang w:val="sr-Cyrl-CS"/>
        </w:rPr>
        <w:t>Међутим, актуелна дешавања на глобалном и домаћем плану током 2025. године нагло су појачала економску неизвесност. На глобалном нивоу, ескалација протекционистичких мера и процеси трговинске фрагментације изнова тестирају отпорност малих и извозно оријентисаних економија, попут Републике Србије. Истовремено, на домаћем плану присутан је пораст друштвено-политичких тензија, што је кроз појачану неизвесност и опадање економског поверења негативно утицало на инвестициону и потрошачку активност. Иако су основни макроекономски показатељи остали стабилни, раст БДП у првој половини 2025. године био је испод очекивања, због чега је пројекција раста за целу годину ревидирана наниже – са 3,0% на 2,3%. Под утицајем раста реалног расположивог дохотка становништва, као и услед убрзане реализације инфраструктурних пр</w:t>
      </w:r>
      <w:r w:rsidR="00355C92" w:rsidRPr="001B41AD">
        <w:rPr>
          <w:rFonts w:cstheme="minorHAnsi"/>
          <w:bCs/>
          <w:color w:val="0070C0"/>
          <w:szCs w:val="72"/>
          <w:lang w:val="sr-Cyrl-CS"/>
        </w:rPr>
        <w:t>ојеката везаних за изложбу ЕXPO</w:t>
      </w:r>
      <w:r w:rsidRPr="001B41AD">
        <w:rPr>
          <w:rFonts w:cstheme="minorHAnsi"/>
          <w:bCs/>
          <w:color w:val="0070C0"/>
          <w:szCs w:val="72"/>
          <w:lang w:val="sr-Cyrl-CS"/>
        </w:rPr>
        <w:t>, очекује се убрзање привр</w:t>
      </w:r>
      <w:r w:rsidR="00EB6374" w:rsidRPr="001B41AD">
        <w:rPr>
          <w:rFonts w:cstheme="minorHAnsi"/>
          <w:bCs/>
          <w:color w:val="0070C0"/>
          <w:szCs w:val="72"/>
          <w:lang w:val="sr-Cyrl-CS"/>
        </w:rPr>
        <w:t>едног раста у 2026. години на 3,</w:t>
      </w:r>
      <w:r w:rsidRPr="001B41AD">
        <w:rPr>
          <w:rFonts w:cstheme="minorHAnsi"/>
          <w:bCs/>
          <w:color w:val="0070C0"/>
          <w:szCs w:val="72"/>
          <w:lang w:val="sr-Cyrl-CS"/>
        </w:rPr>
        <w:t>0%. Ова процена је ипак нижа у односу на претходна очекивања за 1,2 п.п, као последица примене конзервативног приступа у пројектовању, имајући у виду тренутни ниво ризика из домаћег и међународног окружења, као и додатну неизвесност која произилази из ограничења у обиму производње појединих индустријских делатности.</w:t>
      </w:r>
    </w:p>
    <w:p w14:paraId="16FB2B6C" w14:textId="77777777" w:rsidR="00502EF3" w:rsidRPr="001B41AD" w:rsidRDefault="00502EF3" w:rsidP="003C6BEC">
      <w:pPr>
        <w:spacing w:after="120" w:line="242" w:lineRule="auto"/>
        <w:rPr>
          <w:rFonts w:cstheme="minorHAnsi"/>
          <w:bCs/>
          <w:color w:val="FF0000"/>
          <w:szCs w:val="72"/>
          <w:lang w:val="sr-Cyrl-CS"/>
        </w:rPr>
      </w:pPr>
      <w:r w:rsidRPr="001B41AD">
        <w:rPr>
          <w:rFonts w:cstheme="minorHAnsi"/>
          <w:bCs/>
          <w:color w:val="0070C0"/>
          <w:szCs w:val="72"/>
          <w:lang w:val="sr-Cyrl-CS"/>
        </w:rPr>
        <w:t xml:space="preserve">Инфлација се током 2025. године углавном кретала око горње границе циљаног нивоа, пре свега под утицајем раста цена хране услед неповољних временских прилика. Међутим, од септембра је дошло до осетнијег успоравања инфлације, на 2,9% мг., што је пре свега резултат примене државних мера којима су привремено ограничене трговинске марже. </w:t>
      </w:r>
      <w:r w:rsidR="00FA1CC5" w:rsidRPr="001B41AD">
        <w:rPr>
          <w:rFonts w:cstheme="minorHAnsi"/>
          <w:bCs/>
          <w:color w:val="0070C0"/>
          <w:szCs w:val="72"/>
          <w:lang w:val="sr-Cyrl-CS"/>
        </w:rPr>
        <w:t xml:space="preserve">Током 2026. године очекује се наставак ублажавања </w:t>
      </w:r>
      <w:r w:rsidR="00FA1CC5" w:rsidRPr="001B41AD">
        <w:rPr>
          <w:rFonts w:cstheme="minorHAnsi"/>
          <w:bCs/>
          <w:color w:val="0070C0"/>
          <w:szCs w:val="72"/>
          <w:lang w:val="sr-Cyrl-CS"/>
        </w:rPr>
        <w:t xml:space="preserve">инфлаторних притисака из међународног окружења, услед смањења трошковних фактора и слабљења долара у односу на евро, што би уз повољнију домаћу пољопривредну сезону резултирало просечним растом инфлације од 3,7%. </w:t>
      </w:r>
      <w:r w:rsidRPr="001B41AD">
        <w:rPr>
          <w:rFonts w:cstheme="minorHAnsi"/>
          <w:bCs/>
          <w:color w:val="0070C0"/>
          <w:szCs w:val="72"/>
          <w:lang w:val="sr-Cyrl-CS"/>
        </w:rPr>
        <w:t xml:space="preserve">У </w:t>
      </w:r>
      <w:r w:rsidR="004E7815" w:rsidRPr="001B41AD">
        <w:rPr>
          <w:rFonts w:cstheme="minorHAnsi"/>
          <w:bCs/>
          <w:color w:val="0070C0"/>
          <w:szCs w:val="72"/>
          <w:lang w:val="sr-Cyrl-CS"/>
        </w:rPr>
        <w:t>првих осам месеци</w:t>
      </w:r>
      <w:r w:rsidRPr="001B41AD">
        <w:rPr>
          <w:rFonts w:cstheme="minorHAnsi"/>
          <w:bCs/>
          <w:color w:val="0070C0"/>
          <w:szCs w:val="72"/>
          <w:lang w:val="sr-Cyrl-CS"/>
        </w:rPr>
        <w:t xml:space="preserve"> 2025. године остварен је дефицит сектора државног буџета у износу од 55,8 млрд динара, што је мање од планираног, пре свега, као последица нижег извршења расхода. До краја године очекује се да ће се реализација расхода убрзати, тако да ревидирани фискални оквир за 2025. годину предвиђа непромењен ниво фискалног дефицита од 3% БДП, што је ниво који се пројектује и у 2026. години.</w:t>
      </w:r>
    </w:p>
    <w:p w14:paraId="3CBD9F15" w14:textId="77777777" w:rsidR="00502EF3" w:rsidRPr="001B41AD" w:rsidRDefault="00502EF3" w:rsidP="00630FE5">
      <w:pPr>
        <w:spacing w:after="120" w:line="242" w:lineRule="auto"/>
        <w:rPr>
          <w:rFonts w:cstheme="minorHAnsi"/>
          <w:bCs/>
          <w:color w:val="FF0000"/>
          <w:szCs w:val="72"/>
          <w:lang w:val="sr-Cyrl-CS"/>
        </w:rPr>
        <w:sectPr w:rsidR="00502EF3" w:rsidRPr="001B41AD" w:rsidSect="00436957">
          <w:type w:val="continuous"/>
          <w:pgSz w:w="12240" w:h="15840" w:code="1"/>
          <w:pgMar w:top="1440" w:right="1440" w:bottom="1440" w:left="1440" w:header="720" w:footer="720" w:gutter="0"/>
          <w:cols w:num="2" w:space="720"/>
          <w:docGrid w:linePitch="360"/>
        </w:sectPr>
      </w:pPr>
      <w:r w:rsidRPr="001B41AD">
        <w:rPr>
          <w:rFonts w:cstheme="minorHAnsi"/>
          <w:bCs/>
          <w:color w:val="0070C0"/>
          <w:szCs w:val="72"/>
          <w:lang w:val="sr-Cyrl-CS"/>
        </w:rPr>
        <w:t>Неизвесност присутна код пројекција датих у овом документу остаје значајно већа од уобичајене, пре свега због природе и обима потенцијалних шокова. Растућа фрагментација глобалног економског система и могућност заоштравања блоковских подела носе ризик успоравања међународне трговине и волатилности на светским енергетским и финансијским тржиштима, што би могло додатно погодити Републику Србију као малу и отворену економију. Унутрашњи ризици проистичу из друштвено-политичких тензија, чија би ескалација могла негативно утицати на економска очекивања и ниво поверења, док би њихово даље смиривање допринело побољшању укупног економског амбијента. Изазови са којима се суочавају нафтна индустрија и производња основних метала стварају додатну неизвесност па би њихово брзо превазилажење имало значајан позитиван утицај на укупне привредне изгледе. Имајући у виду наведене факторе, пројекције дате у овом документу, представљају само један од могућих сценарија, а економска кретања у наредном периоду могла би значајно да одступе од централне путање у зависности од материјализације ризика. У таквом окружењу, Влада наставља са применом мера усмерених на очување макроекономске стабилности, јачање отпорности привреде и ублажавање утицаја спољних шокова, при чему задржавање опадајућег тренда јавног дуга у БДП остаје главно сидро фискалне политике.</w:t>
      </w:r>
    </w:p>
    <w:p w14:paraId="518CC218" w14:textId="77777777" w:rsidR="00502EF3" w:rsidRPr="001B41AD" w:rsidRDefault="00502EF3" w:rsidP="00502EF3">
      <w:pPr>
        <w:pStyle w:val="NoSpacing"/>
        <w:jc w:val="center"/>
        <w:rPr>
          <w:rFonts w:cstheme="minorHAnsi"/>
          <w:color w:val="002060"/>
          <w:spacing w:val="-6"/>
          <w:lang w:val="sr-Cyrl-CS"/>
        </w:rPr>
      </w:pPr>
      <w:r w:rsidRPr="001B41AD">
        <w:rPr>
          <w:rFonts w:cstheme="minorHAnsi"/>
          <w:color w:val="002060"/>
          <w:spacing w:val="-6"/>
          <w:lang w:val="sr-Cyrl-CS"/>
        </w:rPr>
        <w:lastRenderedPageBreak/>
        <w:t>Ревизија кретања основних макроекономских агрегата у односу на претходну Фискалну</w:t>
      </w:r>
      <w:r w:rsidRPr="001B41AD">
        <w:rPr>
          <w:rFonts w:cstheme="minorHAnsi"/>
          <w:color w:val="FF0000"/>
          <w:spacing w:val="-6"/>
          <w:lang w:val="sr-Cyrl-CS"/>
        </w:rPr>
        <w:t xml:space="preserve"> </w:t>
      </w:r>
      <w:r w:rsidRPr="001B41AD">
        <w:rPr>
          <w:rFonts w:cstheme="minorHAnsi"/>
          <w:color w:val="002060"/>
          <w:spacing w:val="-6"/>
          <w:lang w:val="sr-Cyrl-CS"/>
        </w:rPr>
        <w:t>стратегију</w:t>
      </w:r>
    </w:p>
    <w:p w14:paraId="1FFEE7EA" w14:textId="77777777" w:rsidR="00502EF3" w:rsidRPr="001B41AD" w:rsidRDefault="00502EF3" w:rsidP="00502EF3">
      <w:pPr>
        <w:spacing w:after="0"/>
        <w:rPr>
          <w:color w:val="002060"/>
          <w:sz w:val="10"/>
          <w:lang w:val="sr-Cyrl-CS"/>
        </w:rPr>
      </w:pPr>
    </w:p>
    <w:p w14:paraId="1113C3A4" w14:textId="77777777" w:rsidR="00502EF3" w:rsidRPr="001B41AD" w:rsidRDefault="00502EF3" w:rsidP="00502EF3">
      <w:pPr>
        <w:jc w:val="center"/>
        <w:rPr>
          <w:b/>
          <w:color w:val="002060"/>
          <w:szCs w:val="21"/>
          <w:lang w:val="sr-Cyrl-CS"/>
        </w:rPr>
      </w:pPr>
      <w:r w:rsidRPr="001B41AD">
        <w:rPr>
          <w:b/>
          <w:color w:val="002060"/>
          <w:szCs w:val="21"/>
          <w:lang w:val="sr-Cyrl-CS"/>
        </w:rPr>
        <w:t>Реални раст БДП, %</w:t>
      </w:r>
    </w:p>
    <w:p w14:paraId="3E4536EE" w14:textId="77777777" w:rsidR="00502EF3" w:rsidRPr="001B41AD" w:rsidRDefault="00502EF3" w:rsidP="00502EF3">
      <w:pPr>
        <w:spacing w:after="0"/>
        <w:rPr>
          <w:lang w:val="sr-Cyrl-CS"/>
        </w:rPr>
      </w:pPr>
      <w:r w:rsidRPr="001B41AD">
        <w:rPr>
          <w:lang w:val="sr-Cyrl-CS"/>
        </w:rPr>
        <w:t xml:space="preserve">  </w:t>
      </w:r>
      <w:r w:rsidRPr="001B41AD">
        <w:rPr>
          <w:noProof/>
        </w:rPr>
        <w:drawing>
          <wp:inline distT="0" distB="0" distL="0" distR="0" wp14:anchorId="61FAFC5D" wp14:editId="74B0747E">
            <wp:extent cx="1274820" cy="1171366"/>
            <wp:effectExtent l="0" t="0" r="1905" b="0"/>
            <wp:docPr id="36" name="Chart 36">
              <a:extLst xmlns:a="http://schemas.openxmlformats.org/drawingml/2006/main">
                <a:ext uri="{FF2B5EF4-FFF2-40B4-BE49-F238E27FC236}">
                  <a16:creationId xmlns:a16="http://schemas.microsoft.com/office/drawing/2014/main" id="{00000000-0008-0000-0A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1B41AD">
        <w:rPr>
          <w:noProof/>
        </w:rPr>
        <w:drawing>
          <wp:inline distT="0" distB="0" distL="0" distR="0" wp14:anchorId="3071F784" wp14:editId="1F31529B">
            <wp:extent cx="1378892" cy="1280417"/>
            <wp:effectExtent l="0" t="0" r="0" b="0"/>
            <wp:docPr id="1232082553" name="Chart 1">
              <a:extLst xmlns:a="http://schemas.openxmlformats.org/drawingml/2006/main">
                <a:ext uri="{FF2B5EF4-FFF2-40B4-BE49-F238E27FC236}">
                  <a16:creationId xmlns:a16="http://schemas.microsoft.com/office/drawing/2014/main" id="{00000000-0008-0000-0E00-00002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05925D3" w14:textId="77777777" w:rsidR="00502EF3" w:rsidRPr="001B41AD" w:rsidRDefault="00502EF3" w:rsidP="00502EF3">
      <w:pPr>
        <w:spacing w:after="0"/>
        <w:rPr>
          <w:lang w:val="sr-Cyrl-CS"/>
        </w:rPr>
      </w:pPr>
    </w:p>
    <w:p w14:paraId="770CCF90" w14:textId="77777777" w:rsidR="00502EF3" w:rsidRPr="001B41AD" w:rsidRDefault="00502EF3" w:rsidP="00502EF3">
      <w:pPr>
        <w:jc w:val="center"/>
        <w:rPr>
          <w:b/>
          <w:color w:val="002060"/>
          <w:szCs w:val="21"/>
          <w:lang w:val="sr-Cyrl-CS"/>
        </w:rPr>
      </w:pPr>
      <w:r w:rsidRPr="001B41AD">
        <w:rPr>
          <w:b/>
          <w:color w:val="002060"/>
          <w:szCs w:val="21"/>
          <w:lang w:val="sr-Cyrl-CS"/>
        </w:rPr>
        <w:t>Салдо текућег рачуна, % БДП</w:t>
      </w:r>
    </w:p>
    <w:p w14:paraId="4183C532" w14:textId="77777777" w:rsidR="00502EF3" w:rsidRPr="001B41AD" w:rsidRDefault="00502EF3" w:rsidP="00502EF3">
      <w:pPr>
        <w:spacing w:after="0"/>
        <w:jc w:val="center"/>
        <w:rPr>
          <w:b/>
          <w:color w:val="002060"/>
          <w:szCs w:val="21"/>
          <w:lang w:val="sr-Cyrl-CS"/>
        </w:rPr>
      </w:pPr>
      <w:r w:rsidRPr="001B41AD">
        <w:rPr>
          <w:noProof/>
        </w:rPr>
        <w:drawing>
          <wp:inline distT="0" distB="0" distL="0" distR="0" wp14:anchorId="423ABB02" wp14:editId="62250621">
            <wp:extent cx="1304856" cy="1211413"/>
            <wp:effectExtent l="0" t="0" r="0" b="0"/>
            <wp:docPr id="44" name="Chart 44">
              <a:extLst xmlns:a="http://schemas.openxmlformats.org/drawingml/2006/main">
                <a:ext uri="{FF2B5EF4-FFF2-40B4-BE49-F238E27FC236}">
                  <a16:creationId xmlns:a16="http://schemas.microsoft.com/office/drawing/2014/main" id="{00000000-0008-0000-0A00-00002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1B41AD">
        <w:rPr>
          <w:noProof/>
        </w:rPr>
        <w:drawing>
          <wp:inline distT="0" distB="0" distL="0" distR="0" wp14:anchorId="416907FD" wp14:editId="7564533E">
            <wp:extent cx="1380744" cy="1289304"/>
            <wp:effectExtent l="0" t="0" r="0" b="0"/>
            <wp:docPr id="32" name="Chart 32">
              <a:extLst xmlns:a="http://schemas.openxmlformats.org/drawingml/2006/main">
                <a:ext uri="{FF2B5EF4-FFF2-40B4-BE49-F238E27FC236}">
                  <a16:creationId xmlns:a16="http://schemas.microsoft.com/office/drawing/2014/main" id="{00000000-0008-0000-0E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730D704" w14:textId="77777777" w:rsidR="00502EF3" w:rsidRPr="001B41AD" w:rsidRDefault="00502EF3" w:rsidP="00502EF3">
      <w:pPr>
        <w:spacing w:after="0"/>
        <w:jc w:val="center"/>
        <w:rPr>
          <w:b/>
          <w:color w:val="002060"/>
          <w:szCs w:val="21"/>
          <w:lang w:val="sr-Cyrl-CS"/>
        </w:rPr>
      </w:pPr>
      <w:r w:rsidRPr="001B41AD">
        <w:rPr>
          <w:b/>
          <w:color w:val="002060"/>
          <w:szCs w:val="21"/>
          <w:lang w:val="sr-Cyrl-CS"/>
        </w:rPr>
        <w:t>Инфлација, просек периода, %</w:t>
      </w:r>
    </w:p>
    <w:p w14:paraId="27B5BC13" w14:textId="77777777" w:rsidR="00502EF3" w:rsidRPr="001B41AD" w:rsidRDefault="00502EF3" w:rsidP="00502EF3">
      <w:pPr>
        <w:spacing w:after="0"/>
        <w:rPr>
          <w:lang w:val="sr-Cyrl-CS"/>
        </w:rPr>
      </w:pPr>
      <w:r w:rsidRPr="001B41AD">
        <w:rPr>
          <w:lang w:val="sr-Cyrl-CS"/>
        </w:rPr>
        <w:t xml:space="preserve">  </w:t>
      </w:r>
      <w:r w:rsidRPr="001B41AD">
        <w:rPr>
          <w:noProof/>
        </w:rPr>
        <w:drawing>
          <wp:inline distT="0" distB="0" distL="0" distR="0" wp14:anchorId="24DA65AA" wp14:editId="697AF336">
            <wp:extent cx="1291506" cy="961121"/>
            <wp:effectExtent l="0" t="0" r="0" b="0"/>
            <wp:docPr id="41" name="Chart 41">
              <a:extLst xmlns:a="http://schemas.openxmlformats.org/drawingml/2006/main">
                <a:ext uri="{FF2B5EF4-FFF2-40B4-BE49-F238E27FC236}">
                  <a16:creationId xmlns:a16="http://schemas.microsoft.com/office/drawing/2014/main" id="{00000000-0008-0000-0A00-00003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1B41AD">
        <w:rPr>
          <w:noProof/>
        </w:rPr>
        <w:drawing>
          <wp:inline distT="0" distB="0" distL="0" distR="0" wp14:anchorId="2CD15142" wp14:editId="7527275E">
            <wp:extent cx="1392555" cy="957784"/>
            <wp:effectExtent l="0" t="0" r="0" b="0"/>
            <wp:docPr id="42" name="Chart 42">
              <a:extLst xmlns:a="http://schemas.openxmlformats.org/drawingml/2006/main">
                <a:ext uri="{FF2B5EF4-FFF2-40B4-BE49-F238E27FC236}">
                  <a16:creationId xmlns:a16="http://schemas.microsoft.com/office/drawing/2014/main" id="{00000000-0008-0000-0A00-00003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1FCF60E" w14:textId="77777777" w:rsidR="00502EF3" w:rsidRPr="001B41AD" w:rsidRDefault="00502EF3" w:rsidP="00502EF3">
      <w:pPr>
        <w:spacing w:after="120"/>
        <w:rPr>
          <w:rFonts w:cstheme="minorHAnsi"/>
          <w:szCs w:val="72"/>
          <w:lang w:val="sr-Cyrl-CS"/>
        </w:rPr>
      </w:pPr>
    </w:p>
    <w:p w14:paraId="60781FB2" w14:textId="77777777" w:rsidR="00502EF3" w:rsidRPr="001B41AD" w:rsidRDefault="00502EF3" w:rsidP="00502EF3">
      <w:pPr>
        <w:spacing w:before="240" w:after="240"/>
        <w:jc w:val="center"/>
        <w:rPr>
          <w:b/>
          <w:color w:val="002060"/>
          <w:szCs w:val="21"/>
          <w:lang w:val="sr-Cyrl-CS"/>
        </w:rPr>
      </w:pPr>
      <w:r w:rsidRPr="001B41AD">
        <w:rPr>
          <w:b/>
          <w:color w:val="002060"/>
          <w:szCs w:val="21"/>
          <w:lang w:val="sr-Cyrl-CS"/>
        </w:rPr>
        <w:t>Фискални резултат, % БДП</w:t>
      </w:r>
    </w:p>
    <w:p w14:paraId="7B64DABC" w14:textId="77777777" w:rsidR="00502EF3" w:rsidRPr="001B41AD" w:rsidRDefault="00502EF3" w:rsidP="00502EF3">
      <w:pPr>
        <w:spacing w:after="0"/>
        <w:rPr>
          <w:lang w:val="sr-Cyrl-CS"/>
        </w:rPr>
      </w:pPr>
      <w:r w:rsidRPr="001B41AD">
        <w:rPr>
          <w:lang w:val="sr-Cyrl-CS" w:eastAsia="en-GB"/>
        </w:rPr>
        <w:t xml:space="preserve">  </w:t>
      </w:r>
      <w:r w:rsidRPr="001B41AD">
        <w:rPr>
          <w:noProof/>
        </w:rPr>
        <w:drawing>
          <wp:inline distT="0" distB="0" distL="0" distR="0" wp14:anchorId="7A1E2B8B" wp14:editId="72797100">
            <wp:extent cx="1288111" cy="1217930"/>
            <wp:effectExtent l="0" t="0" r="0" b="0"/>
            <wp:docPr id="46" name="Chart 46">
              <a:extLst xmlns:a="http://schemas.openxmlformats.org/drawingml/2006/main">
                <a:ext uri="{FF2B5EF4-FFF2-40B4-BE49-F238E27FC236}">
                  <a16:creationId xmlns:a16="http://schemas.microsoft.com/office/drawing/2014/main" id="{00000000-0008-0000-0A00-00003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1B41AD">
        <w:rPr>
          <w:noProof/>
        </w:rPr>
        <w:drawing>
          <wp:inline distT="0" distB="0" distL="0" distR="0" wp14:anchorId="37F0F06E" wp14:editId="3144874D">
            <wp:extent cx="1392569" cy="1218871"/>
            <wp:effectExtent l="0" t="0" r="0" b="0"/>
            <wp:docPr id="48" name="Chart 48">
              <a:extLst xmlns:a="http://schemas.openxmlformats.org/drawingml/2006/main">
                <a:ext uri="{FF2B5EF4-FFF2-40B4-BE49-F238E27FC236}">
                  <a16:creationId xmlns:a16="http://schemas.microsoft.com/office/drawing/2014/main" id="{00000000-0008-0000-0A00-00004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72864CB" w14:textId="77777777" w:rsidR="00502EF3" w:rsidRPr="001B41AD" w:rsidRDefault="00502EF3" w:rsidP="00502EF3">
      <w:pPr>
        <w:spacing w:after="0"/>
        <w:jc w:val="center"/>
        <w:rPr>
          <w:b/>
          <w:color w:val="002060"/>
          <w:szCs w:val="21"/>
          <w:lang w:val="sr-Cyrl-CS"/>
        </w:rPr>
      </w:pPr>
      <w:r w:rsidRPr="001B41AD">
        <w:rPr>
          <w:b/>
          <w:color w:val="002060"/>
          <w:szCs w:val="21"/>
          <w:lang w:val="sr-Cyrl-CS"/>
        </w:rPr>
        <w:t>Јавни дуг сектора државе, % БДП</w:t>
      </w:r>
    </w:p>
    <w:p w14:paraId="13AF9B63" w14:textId="77777777" w:rsidR="00502EF3" w:rsidRPr="001B41AD" w:rsidRDefault="00502EF3" w:rsidP="00502EF3">
      <w:pPr>
        <w:spacing w:after="0"/>
        <w:jc w:val="center"/>
        <w:rPr>
          <w:lang w:val="sr-Cyrl-CS"/>
        </w:rPr>
      </w:pPr>
      <w:r w:rsidRPr="001B41AD">
        <w:rPr>
          <w:noProof/>
        </w:rPr>
        <w:drawing>
          <wp:inline distT="0" distB="0" distL="0" distR="0" wp14:anchorId="2D07588F" wp14:editId="0DDD39A6">
            <wp:extent cx="1254797" cy="1158017"/>
            <wp:effectExtent l="0" t="0" r="0" b="0"/>
            <wp:docPr id="50" name="Chart 50">
              <a:extLst xmlns:a="http://schemas.openxmlformats.org/drawingml/2006/main">
                <a:ext uri="{FF2B5EF4-FFF2-40B4-BE49-F238E27FC236}">
                  <a16:creationId xmlns:a16="http://schemas.microsoft.com/office/drawing/2014/main" id="{00000000-0008-0000-0A00-00004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1B41AD">
        <w:rPr>
          <w:lang w:val="sr-Cyrl-CS"/>
        </w:rPr>
        <w:t xml:space="preserve"> </w:t>
      </w:r>
      <w:r w:rsidRPr="001B41AD">
        <w:rPr>
          <w:noProof/>
        </w:rPr>
        <w:drawing>
          <wp:inline distT="0" distB="0" distL="0" distR="0" wp14:anchorId="7AF944A8" wp14:editId="47CBD971">
            <wp:extent cx="1392569" cy="1218871"/>
            <wp:effectExtent l="0" t="0" r="0" b="0"/>
            <wp:docPr id="45" name="Chart 45">
              <a:extLst xmlns:a="http://schemas.openxmlformats.org/drawingml/2006/main">
                <a:ext uri="{FF2B5EF4-FFF2-40B4-BE49-F238E27FC236}">
                  <a16:creationId xmlns:a16="http://schemas.microsoft.com/office/drawing/2014/main" id="{00000000-0008-0000-0E00-00004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2E8DE0F" w14:textId="77777777" w:rsidR="00502EF3" w:rsidRPr="001B41AD" w:rsidRDefault="00502EF3" w:rsidP="00502EF3">
      <w:pPr>
        <w:spacing w:before="240"/>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Текућа кретања реалног сектора</w:t>
      </w:r>
    </w:p>
    <w:p w14:paraId="4A9BCF06" w14:textId="77777777" w:rsidR="00502EF3" w:rsidRPr="001B41AD" w:rsidRDefault="00502EF3" w:rsidP="00502EF3">
      <w:pPr>
        <w:spacing w:after="120"/>
        <w:rPr>
          <w:rFonts w:cstheme="minorHAnsi"/>
          <w:bCs/>
          <w:szCs w:val="72"/>
          <w:lang w:val="sr-Cyrl-CS"/>
        </w:rPr>
      </w:pPr>
      <w:r w:rsidRPr="001B41AD">
        <w:rPr>
          <w:rFonts w:cstheme="minorHAnsi"/>
          <w:bCs/>
          <w:szCs w:val="72"/>
          <w:lang w:val="sr-Cyrl-CS"/>
        </w:rPr>
        <w:t>Након раста БДП од 3,9% у 2024. години, почетак 2025.</w:t>
      </w:r>
      <w:r w:rsidR="004C3FEA" w:rsidRPr="001B41AD">
        <w:rPr>
          <w:rFonts w:cstheme="minorHAnsi"/>
          <w:bCs/>
          <w:szCs w:val="72"/>
          <w:lang w:val="sr-Cyrl-CS"/>
        </w:rPr>
        <w:t xml:space="preserve"> године</w:t>
      </w:r>
      <w:r w:rsidRPr="001B41AD">
        <w:rPr>
          <w:rFonts w:cstheme="minorHAnsi"/>
          <w:bCs/>
          <w:szCs w:val="72"/>
          <w:lang w:val="sr-Cyrl-CS"/>
        </w:rPr>
        <w:t xml:space="preserve"> обележило је изражено успоравање економске активности. Реални раст БДП у првом кварталу износио је 1,9%, док је у другом кварталу био 2,1%. Успоравање је пре свега последица унутрашњих друштвено-политичких тензија и повећане нестабилности, које су се постепено одразиле на привредна кретања. Поред тога, међународни фактори, пре свега растућа геополитичка неизвесност и глобална економска фрагментација, додатно су допринели слабљењу привредних токова.</w:t>
      </w:r>
    </w:p>
    <w:p w14:paraId="5661F065" w14:textId="77777777" w:rsidR="00502EF3" w:rsidRPr="001B41AD" w:rsidRDefault="00502EF3" w:rsidP="00502EF3">
      <w:pPr>
        <w:spacing w:after="120"/>
        <w:rPr>
          <w:lang w:val="sr-Cyrl-CS"/>
        </w:rPr>
      </w:pPr>
      <w:bookmarkStart w:id="17" w:name="_Hlk212276007"/>
      <w:r w:rsidRPr="001B41AD">
        <w:rPr>
          <w:rFonts w:cstheme="minorHAnsi"/>
          <w:bCs/>
          <w:szCs w:val="72"/>
          <w:lang w:val="sr-Cyrl-CS"/>
        </w:rPr>
        <w:t xml:space="preserve">Посматрано са производне стране, најизраженији негативан утицај повећане неизвесности забележен је у грађевинарству, сектору привреде који је најосетљивији на промене у општој економској клими. У првој половини 2025. године овај сектор остварио је пад БДВ од 11,3%, чиме је грађевинарство забележило најзначајнији негативан допринос расту БДП. Упркос реалном расту од 2,5%, учинак сектора услуга био је </w:t>
      </w:r>
      <w:r w:rsidR="005125C2" w:rsidRPr="001B41AD">
        <w:rPr>
          <w:rFonts w:cstheme="minorHAnsi"/>
          <w:bCs/>
          <w:szCs w:val="72"/>
          <w:lang w:val="sr-Cyrl-CS"/>
        </w:rPr>
        <w:t xml:space="preserve">нешто </w:t>
      </w:r>
      <w:r w:rsidRPr="001B41AD">
        <w:rPr>
          <w:rFonts w:cstheme="minorHAnsi"/>
          <w:bCs/>
          <w:szCs w:val="72"/>
          <w:lang w:val="sr-Cyrl-CS"/>
        </w:rPr>
        <w:t xml:space="preserve">мањи од очекиваног. Иако је у појединим сегментима, попут информационих технологија, финансијских и стручних услуга настављен релативно солидан раст, ефекат слабијих перформанси у класичним услужним гранама - туризму, трговини и саобраћају, условио је да укупан допринос сектора услуга расту БДП остане ограничен. </w:t>
      </w:r>
      <w:r w:rsidRPr="001B41AD">
        <w:rPr>
          <w:lang w:val="sr-Cyrl-CS"/>
        </w:rPr>
        <w:t>Индустријска производња је у истом периоду забележила раст од 2,5%, чиме је показала отпорност у условима још увек слабе спољне тражње. Својим позитивним резултатом индустрија је делимично ублажила негативне ефекте на раст БДП, који су проистекли из оштрог пада грађевинарства и исподпросечних резултата у сектору услуга. Ова отпорност резултат је активирања нових производних капацитета у већем броју грана, пре свега у аутомобилској и гумарској индустрији, који су обезбедили стабилан извозни и производни допринос упркос изазовном окружењу. Неповољни климатски услови током лета, посебно дуготрајни периоди високих температура и недостатак падавина, негативно су утицали на приносе најважнијих пољопривредних култура, што је имало за последицу још једну испод просечну пољопривредну сезону.</w:t>
      </w:r>
    </w:p>
    <w:bookmarkEnd w:id="17"/>
    <w:p w14:paraId="06503D05" w14:textId="77777777" w:rsidR="00502EF3" w:rsidRPr="001B41AD" w:rsidRDefault="00502EF3" w:rsidP="00502EF3">
      <w:pPr>
        <w:spacing w:after="120"/>
        <w:jc w:val="center"/>
        <w:rPr>
          <w:b/>
          <w:color w:val="002060"/>
          <w:szCs w:val="21"/>
          <w:lang w:val="sr-Cyrl-CS"/>
        </w:rPr>
      </w:pPr>
      <w:r w:rsidRPr="001B41AD">
        <w:rPr>
          <w:b/>
          <w:color w:val="002060"/>
          <w:szCs w:val="21"/>
          <w:lang w:val="sr-Cyrl-CS"/>
        </w:rPr>
        <w:lastRenderedPageBreak/>
        <w:t>Доприноси стопи реалног раста БДП, производни приступ, п.п.</w:t>
      </w:r>
    </w:p>
    <w:p w14:paraId="4F4192A0" w14:textId="77777777" w:rsidR="00502EF3" w:rsidRPr="001B41AD" w:rsidRDefault="00502EF3" w:rsidP="00502EF3">
      <w:pPr>
        <w:spacing w:after="40"/>
        <w:rPr>
          <w:rFonts w:cstheme="minorHAnsi"/>
          <w:bCs/>
          <w:szCs w:val="72"/>
          <w:lang w:val="sr-Cyrl-CS"/>
        </w:rPr>
      </w:pPr>
      <w:r w:rsidRPr="001B41AD">
        <w:rPr>
          <w:noProof/>
        </w:rPr>
        <w:drawing>
          <wp:inline distT="0" distB="0" distL="0" distR="0" wp14:anchorId="726199FE" wp14:editId="255D8C3A">
            <wp:extent cx="2743200" cy="2067339"/>
            <wp:effectExtent l="0" t="0" r="0" b="0"/>
            <wp:docPr id="54" name="Chart 54">
              <a:extLst xmlns:a="http://schemas.openxmlformats.org/drawingml/2006/main">
                <a:ext uri="{FF2B5EF4-FFF2-40B4-BE49-F238E27FC236}">
                  <a16:creationId xmlns:a16="http://schemas.microsoft.com/office/drawing/2014/main" id="{00000000-0008-0000-0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1A2EB9A" w14:textId="77777777" w:rsidR="00502EF3" w:rsidRPr="001B41AD" w:rsidRDefault="00502EF3" w:rsidP="00502EF3">
      <w:pPr>
        <w:spacing w:after="0"/>
        <w:rPr>
          <w:rFonts w:cstheme="minorHAnsi"/>
          <w:bCs/>
          <w:sz w:val="16"/>
          <w:szCs w:val="16"/>
          <w:lang w:val="sr-Cyrl-CS"/>
        </w:rPr>
      </w:pPr>
      <w:r w:rsidRPr="001B41AD">
        <w:rPr>
          <w:rFonts w:cstheme="minorHAnsi"/>
          <w:bCs/>
          <w:sz w:val="16"/>
          <w:szCs w:val="16"/>
          <w:lang w:val="sr-Cyrl-CS"/>
        </w:rPr>
        <w:t>Извор: РЗС</w:t>
      </w:r>
    </w:p>
    <w:p w14:paraId="023546DE" w14:textId="77777777" w:rsidR="00502EF3" w:rsidRPr="001B41AD" w:rsidRDefault="00502EF3" w:rsidP="00502EF3">
      <w:pPr>
        <w:spacing w:after="120" w:line="262" w:lineRule="auto"/>
        <w:rPr>
          <w:rFonts w:cstheme="minorHAnsi"/>
          <w:bCs/>
          <w:szCs w:val="72"/>
          <w:lang w:val="sr-Cyrl-CS"/>
        </w:rPr>
      </w:pPr>
    </w:p>
    <w:p w14:paraId="50EC76E8" w14:textId="77777777" w:rsidR="00502EF3" w:rsidRPr="001B41AD" w:rsidRDefault="00502EF3" w:rsidP="00502EF3">
      <w:pPr>
        <w:spacing w:after="120" w:line="262" w:lineRule="auto"/>
        <w:rPr>
          <w:rFonts w:cstheme="minorHAnsi"/>
          <w:bCs/>
          <w:szCs w:val="72"/>
          <w:lang w:val="sr-Cyrl-CS"/>
        </w:rPr>
      </w:pPr>
      <w:r w:rsidRPr="001B41AD">
        <w:rPr>
          <w:rFonts w:cstheme="minorHAnsi"/>
          <w:bCs/>
          <w:szCs w:val="72"/>
          <w:lang w:val="sr-Cyrl-CS"/>
        </w:rPr>
        <w:t>Посматрано са расходне стране, у првој половини 2025. године, повећана неизвесност услед појачаних друштвених тензија негативно је утицала пре свега на компоненте домаће тражње. Иако је раст расположивог дохотка био снажан, подстакнут повећањем реалних зарада и пензија, то се није у потпуности одразило на динамику приватне потрошње, чији је раст износио 2,4% у првој половини године. Чињеница да раст потрошње није пратио динамику расположивог дохотка указује на повећану склоност домаћинстава ка штедњи и израженији опрез у условима повишене неизвесности и забринутости у погледу будућих економских кретања. Инвестиције су у првој половини 2025. године показале слабију динамику забележивши смањење од 2,5%, што је пре свега последица пада у грађевинарству. Нето извоз је имао негативан допринос расту БДП, услед бржег раста увоза него извоза. Снажнији раст увоза детерминисан је готово подједнаким доприносом тражње домаћинстава за потрошним добрима и интензивнијег увоза инпута неопходних за потребе привреде. Овај процес додатно је подстакнут појачаним увозом добара уочи најављеног увођења тарифа почетком године и очекиваног раста цена по том основу, што је резултирало и значајним повећањем залиха у првој половини године.</w:t>
      </w:r>
    </w:p>
    <w:p w14:paraId="1A9A8E55" w14:textId="77777777" w:rsidR="00502EF3" w:rsidRPr="001B41AD" w:rsidRDefault="00502EF3" w:rsidP="00502EF3">
      <w:pPr>
        <w:spacing w:after="0"/>
        <w:jc w:val="center"/>
        <w:rPr>
          <w:b/>
          <w:color w:val="002060"/>
          <w:szCs w:val="21"/>
          <w:lang w:val="sr-Cyrl-CS"/>
        </w:rPr>
      </w:pPr>
    </w:p>
    <w:p w14:paraId="36531A83" w14:textId="77777777" w:rsidR="00502EF3" w:rsidRPr="001B41AD" w:rsidRDefault="00502EF3" w:rsidP="00502EF3">
      <w:pPr>
        <w:spacing w:after="0"/>
        <w:jc w:val="center"/>
        <w:rPr>
          <w:b/>
          <w:color w:val="002060"/>
          <w:szCs w:val="21"/>
          <w:lang w:val="sr-Cyrl-CS"/>
        </w:rPr>
      </w:pPr>
    </w:p>
    <w:p w14:paraId="2D2CDFF1" w14:textId="77777777" w:rsidR="00502EF3" w:rsidRPr="001B41AD" w:rsidRDefault="00502EF3" w:rsidP="00502EF3">
      <w:pPr>
        <w:spacing w:after="0"/>
        <w:jc w:val="center"/>
        <w:rPr>
          <w:b/>
          <w:color w:val="002060"/>
          <w:szCs w:val="21"/>
          <w:lang w:val="sr-Cyrl-CS"/>
        </w:rPr>
      </w:pPr>
      <w:r w:rsidRPr="001B41AD">
        <w:rPr>
          <w:b/>
          <w:color w:val="002060"/>
          <w:szCs w:val="21"/>
          <w:lang w:val="sr-Cyrl-CS"/>
        </w:rPr>
        <w:t xml:space="preserve">Доприноси стопи реалног раста БДП, </w:t>
      </w:r>
      <w:r w:rsidRPr="001B41AD">
        <w:rPr>
          <w:b/>
          <w:color w:val="002060"/>
          <w:szCs w:val="21"/>
          <w:lang w:val="sr-Cyrl-CS"/>
        </w:rPr>
        <w:br w:type="textWrapping" w:clear="all"/>
        <w:t>расходни приступ, п.п.</w:t>
      </w:r>
    </w:p>
    <w:p w14:paraId="2D97FDEA" w14:textId="77777777" w:rsidR="00502EF3" w:rsidRPr="001B41AD" w:rsidRDefault="00502EF3" w:rsidP="00502EF3">
      <w:pPr>
        <w:spacing w:after="40"/>
        <w:jc w:val="center"/>
        <w:rPr>
          <w:lang w:val="sr-Cyrl-CS"/>
        </w:rPr>
      </w:pPr>
      <w:r w:rsidRPr="001B41AD">
        <w:rPr>
          <w:noProof/>
        </w:rPr>
        <w:drawing>
          <wp:inline distT="0" distB="0" distL="0" distR="0" wp14:anchorId="10D956BA" wp14:editId="7CE0E63F">
            <wp:extent cx="2743200" cy="2133600"/>
            <wp:effectExtent l="0" t="0" r="0" b="0"/>
            <wp:docPr id="47" name="Chart 47">
              <a:extLst xmlns:a="http://schemas.openxmlformats.org/drawingml/2006/main">
                <a:ext uri="{FF2B5EF4-FFF2-40B4-BE49-F238E27FC236}">
                  <a16:creationId xmlns:a16="http://schemas.microsoft.com/office/drawing/2014/main" id="{00000000-0008-0000-0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AF4B9EC" w14:textId="77777777" w:rsidR="00502EF3" w:rsidRPr="001B41AD" w:rsidRDefault="00502EF3" w:rsidP="00502EF3">
      <w:pPr>
        <w:spacing w:after="120"/>
        <w:rPr>
          <w:rFonts w:cstheme="minorHAnsi"/>
          <w:bCs/>
          <w:sz w:val="16"/>
          <w:szCs w:val="16"/>
          <w:lang w:val="sr-Cyrl-CS"/>
        </w:rPr>
      </w:pPr>
      <w:r w:rsidRPr="001B41AD">
        <w:rPr>
          <w:rFonts w:cstheme="minorHAnsi"/>
          <w:bCs/>
          <w:sz w:val="16"/>
          <w:szCs w:val="16"/>
          <w:lang w:val="sr-Cyrl-CS"/>
        </w:rPr>
        <w:t>Извор: РЗС</w:t>
      </w:r>
    </w:p>
    <w:p w14:paraId="598D6A40" w14:textId="77777777" w:rsidR="00502EF3" w:rsidRPr="001B41AD" w:rsidRDefault="00502EF3" w:rsidP="00502EF3">
      <w:pPr>
        <w:spacing w:before="400" w:after="120" w:line="262" w:lineRule="auto"/>
        <w:rPr>
          <w:rFonts w:cstheme="minorHAnsi"/>
          <w:bCs/>
          <w:szCs w:val="72"/>
          <w:lang w:val="sr-Cyrl-CS"/>
        </w:rPr>
      </w:pPr>
      <w:r w:rsidRPr="001B41AD">
        <w:rPr>
          <w:rFonts w:cstheme="minorHAnsi"/>
          <w:bCs/>
          <w:szCs w:val="72"/>
          <w:lang w:val="sr-Cyrl-CS"/>
        </w:rPr>
        <w:t>Високофреквентни индикатори такође указују на успоравање економске активности током 2025. године, посебно у сектору услуга и грађевинарству.</w:t>
      </w:r>
    </w:p>
    <w:p w14:paraId="2131F916" w14:textId="77777777" w:rsidR="00502EF3" w:rsidRPr="001B41AD" w:rsidRDefault="00502EF3" w:rsidP="00502EF3">
      <w:pPr>
        <w:spacing w:after="120"/>
        <w:rPr>
          <w:rFonts w:cstheme="minorHAnsi"/>
          <w:bCs/>
          <w:szCs w:val="72"/>
          <w:lang w:val="sr-Cyrl-CS"/>
        </w:rPr>
      </w:pPr>
      <w:r w:rsidRPr="001B41AD">
        <w:rPr>
          <w:rFonts w:cstheme="minorHAnsi"/>
          <w:bCs/>
          <w:szCs w:val="72"/>
          <w:lang w:val="sr-Cyrl-CS"/>
        </w:rPr>
        <w:t>Реалан промет у трговини на мало порастао је за 2,4% у периоду јануар–август 2025. године, али је динамика раста успорила у поређењу са претходним периодом. Повећање промета остварено је у све три категорије производа: непрехрамбених за 4,5%, моторних горива за 1,8% и прехрамбених производа за 0,9%. Међутим, спорија динамика раста указује на утицај повећане неизвесности на домаћем тржишту која је довела до одлагања потрошње домаћинстава и израженију опрезност у куповини. Истовремено, дошло је до значајног успоравања туристичке активности. Број долазака туриста је смањен за 1,9%, док је број ноћења био мањи за 3,2% у првих осам месеци. Пад је пре свега последица смањене активности домаћих туриста, док је код страних туриста забележен умерен раст, који је, међутим, остао испод очекиваног нивоа и трендова из претходног периода. Поред тога, забележен је пад промета у угоститељству, при чему је у првих седам месеци био реално мањи за 2,3%. У првих осам месеци 2025. године девизни прилив од туризма је међугодишње увећан за 0,6%.</w:t>
      </w:r>
    </w:p>
    <w:p w14:paraId="152D80AF" w14:textId="77777777" w:rsidR="00502EF3" w:rsidRPr="001B41AD" w:rsidRDefault="00502EF3" w:rsidP="00502EF3">
      <w:pPr>
        <w:spacing w:after="120"/>
        <w:rPr>
          <w:rFonts w:cstheme="minorHAnsi"/>
          <w:b/>
          <w:color w:val="FF0000"/>
          <w:sz w:val="6"/>
          <w:lang w:val="sr-Cyrl-CS"/>
        </w:rPr>
        <w:sectPr w:rsidR="00502EF3" w:rsidRPr="001B41AD" w:rsidSect="00436957">
          <w:type w:val="continuous"/>
          <w:pgSz w:w="12240" w:h="15840" w:code="1"/>
          <w:pgMar w:top="1440" w:right="1440" w:bottom="1440" w:left="1440" w:header="720" w:footer="720" w:gutter="0"/>
          <w:cols w:num="2" w:space="720"/>
          <w:docGrid w:linePitch="360"/>
        </w:sectPr>
      </w:pPr>
      <w:r w:rsidRPr="001B41AD">
        <w:rPr>
          <w:rFonts w:cstheme="minorHAnsi"/>
          <w:bCs/>
          <w:szCs w:val="72"/>
          <w:lang w:val="sr-Cyrl-CS"/>
        </w:rPr>
        <w:t xml:space="preserve">Сектор информационо комуникационих технологија наставио је континуирани раст, уз све израженији значај у структури домаће привреде. У првих шест месеци 2025. године остварен је раст </w:t>
      </w:r>
      <w:r w:rsidRPr="001B41AD">
        <w:rPr>
          <w:rFonts w:cstheme="minorHAnsi"/>
          <w:bCs/>
          <w:szCs w:val="72"/>
          <w:lang w:val="sr-Cyrl-CS"/>
        </w:rPr>
        <w:lastRenderedPageBreak/>
        <w:t xml:space="preserve">БДВ од 6,9%, што потврђује улогу овог сектора као једног од кључних покретача привредног раста. Позитивна кретања у сектору информационих технологија прати раст извозне активности, која је током првих осам месеци 2025. године достигла вредност од 3,0 милијарди евра, уз међугодишње </w:t>
      </w:r>
      <w:r w:rsidRPr="001B41AD">
        <w:rPr>
          <w:rFonts w:cstheme="minorHAnsi"/>
          <w:bCs/>
          <w:szCs w:val="72"/>
          <w:lang w:val="sr-Cyrl-CS"/>
        </w:rPr>
        <w:t>повећање од 12,9%. Таквом динамиком, ИКТ сектор је достигао скоро једну трећину укупног извоза услуга, чиме се потврђује све већа конкурентност домаће ИКТ индустрије и њен значај у спољнотрговинској размени.</w:t>
      </w:r>
    </w:p>
    <w:p w14:paraId="0DAE7C30" w14:textId="77777777" w:rsidR="00502EF3" w:rsidRPr="001B41AD" w:rsidRDefault="00502EF3" w:rsidP="00502EF3">
      <w:pPr>
        <w:spacing w:before="280" w:after="80"/>
        <w:jc w:val="center"/>
        <w:rPr>
          <w:rFonts w:cstheme="minorHAnsi"/>
          <w:b/>
          <w:color w:val="FF0000"/>
          <w:lang w:val="sr-Cyrl-CS"/>
        </w:rPr>
      </w:pPr>
      <w:r w:rsidRPr="001B41AD">
        <w:rPr>
          <w:rFonts w:cstheme="minorHAnsi"/>
          <w:b/>
          <w:color w:val="002060"/>
          <w:lang w:val="sr-Cyrl-CS"/>
        </w:rPr>
        <w:t>Високофреквентни индикатори најзначајнијих услужних делатности, 2024=100</w:t>
      </w:r>
    </w:p>
    <w:tbl>
      <w:tblPr>
        <w:tblStyle w:val="TableGrid6"/>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0"/>
        <w:gridCol w:w="4680"/>
      </w:tblGrid>
      <w:tr w:rsidR="00502EF3" w:rsidRPr="001B41AD" w14:paraId="1ABC8AFB" w14:textId="77777777" w:rsidTr="00436957">
        <w:tc>
          <w:tcPr>
            <w:tcW w:w="4680" w:type="dxa"/>
          </w:tcPr>
          <w:p w14:paraId="79DF0344" w14:textId="77777777" w:rsidR="00502EF3" w:rsidRPr="001B41AD" w:rsidRDefault="00502EF3" w:rsidP="00436957">
            <w:pPr>
              <w:spacing w:before="60"/>
              <w:jc w:val="center"/>
              <w:rPr>
                <w:lang w:val="sr-Cyrl-CS"/>
              </w:rPr>
            </w:pPr>
            <w:r w:rsidRPr="001B41AD">
              <w:rPr>
                <w:lang w:val="sr-Cyrl-CS"/>
              </w:rPr>
              <w:t>Промет у трговини на мало у сталним ценама</w:t>
            </w:r>
          </w:p>
          <w:p w14:paraId="7B8D52FE" w14:textId="77777777" w:rsidR="00502EF3" w:rsidRPr="001B41AD" w:rsidRDefault="00502EF3" w:rsidP="00436957">
            <w:pPr>
              <w:spacing w:before="60"/>
              <w:jc w:val="center"/>
              <w:rPr>
                <w:lang w:val="sr-Cyrl-CS"/>
              </w:rPr>
            </w:pPr>
            <w:r w:rsidRPr="001B41AD">
              <w:rPr>
                <w:noProof/>
              </w:rPr>
              <w:drawing>
                <wp:inline distT="0" distB="0" distL="0" distR="0" wp14:anchorId="5AEE066E" wp14:editId="78799A6D">
                  <wp:extent cx="2880360" cy="1472184"/>
                  <wp:effectExtent l="0" t="0" r="0" b="0"/>
                  <wp:docPr id="49" name="Chart 49">
                    <a:extLst xmlns:a="http://schemas.openxmlformats.org/drawingml/2006/main">
                      <a:ext uri="{FF2B5EF4-FFF2-40B4-BE49-F238E27FC236}">
                        <a16:creationId xmlns:a16="http://schemas.microsoft.com/office/drawing/2014/main" id="{00000000-0008-0000-1D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c>
          <w:tcPr>
            <w:tcW w:w="4680" w:type="dxa"/>
          </w:tcPr>
          <w:p w14:paraId="77B5CDE2" w14:textId="77777777" w:rsidR="00502EF3" w:rsidRPr="001B41AD" w:rsidRDefault="00502EF3" w:rsidP="00436957">
            <w:pPr>
              <w:spacing w:before="60"/>
              <w:jc w:val="center"/>
              <w:rPr>
                <w:lang w:val="sr-Cyrl-CS"/>
              </w:rPr>
            </w:pPr>
            <w:r w:rsidRPr="001B41AD">
              <w:rPr>
                <w:lang w:val="sr-Cyrl-CS"/>
              </w:rPr>
              <w:t>Промет у угоститељству у сталним ценама</w:t>
            </w:r>
          </w:p>
          <w:p w14:paraId="14A861CC" w14:textId="77777777" w:rsidR="00502EF3" w:rsidRPr="001B41AD" w:rsidRDefault="00502EF3" w:rsidP="00436957">
            <w:pPr>
              <w:spacing w:before="60"/>
              <w:jc w:val="center"/>
              <w:rPr>
                <w:lang w:val="sr-Cyrl-CS"/>
              </w:rPr>
            </w:pPr>
            <w:r w:rsidRPr="001B41AD">
              <w:rPr>
                <w:noProof/>
              </w:rPr>
              <w:drawing>
                <wp:inline distT="0" distB="0" distL="0" distR="0" wp14:anchorId="6C263A16" wp14:editId="118F4CD0">
                  <wp:extent cx="2880360" cy="1463040"/>
                  <wp:effectExtent l="0" t="0" r="0" b="3810"/>
                  <wp:docPr id="52" name="Chart 52">
                    <a:extLst xmlns:a="http://schemas.openxmlformats.org/drawingml/2006/main">
                      <a:ext uri="{FF2B5EF4-FFF2-40B4-BE49-F238E27FC236}">
                        <a16:creationId xmlns:a16="http://schemas.microsoft.com/office/drawing/2014/main" id="{00000000-0008-0000-1D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502EF3" w:rsidRPr="001B41AD" w14:paraId="12784765" w14:textId="77777777" w:rsidTr="00436957">
        <w:tc>
          <w:tcPr>
            <w:tcW w:w="4680" w:type="dxa"/>
          </w:tcPr>
          <w:p w14:paraId="4E2C77AE" w14:textId="77777777" w:rsidR="00502EF3" w:rsidRPr="001B41AD" w:rsidRDefault="00502EF3" w:rsidP="00436957">
            <w:pPr>
              <w:spacing w:before="60"/>
              <w:jc w:val="center"/>
              <w:rPr>
                <w:rFonts w:ascii="Times New Roman" w:hAnsi="Times New Roman"/>
                <w:lang w:val="sr-Cyrl-CS"/>
              </w:rPr>
            </w:pPr>
            <w:r w:rsidRPr="001B41AD">
              <w:rPr>
                <w:lang w:val="sr-Cyrl-CS"/>
              </w:rPr>
              <w:t>Ноћења домаћих туриста</w:t>
            </w:r>
          </w:p>
          <w:p w14:paraId="1AF82667" w14:textId="77777777" w:rsidR="00502EF3" w:rsidRPr="001B41AD" w:rsidRDefault="00502EF3" w:rsidP="00436957">
            <w:pPr>
              <w:spacing w:before="60"/>
              <w:jc w:val="center"/>
              <w:rPr>
                <w:lang w:val="sr-Cyrl-CS"/>
              </w:rPr>
            </w:pPr>
            <w:r w:rsidRPr="001B41AD">
              <w:rPr>
                <w:noProof/>
              </w:rPr>
              <w:drawing>
                <wp:inline distT="0" distB="0" distL="0" distR="0" wp14:anchorId="418293EA" wp14:editId="4971555E">
                  <wp:extent cx="2880360" cy="1444752"/>
                  <wp:effectExtent l="0" t="0" r="0" b="3175"/>
                  <wp:docPr id="53" name="Chart 53">
                    <a:extLst xmlns:a="http://schemas.openxmlformats.org/drawingml/2006/main">
                      <a:ext uri="{FF2B5EF4-FFF2-40B4-BE49-F238E27FC236}">
                        <a16:creationId xmlns:a16="http://schemas.microsoft.com/office/drawing/2014/main" id="{00000000-0008-0000-1D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c>
          <w:tcPr>
            <w:tcW w:w="4680" w:type="dxa"/>
          </w:tcPr>
          <w:p w14:paraId="3CE60F3D" w14:textId="77777777" w:rsidR="00502EF3" w:rsidRPr="001B41AD" w:rsidRDefault="00502EF3" w:rsidP="00436957">
            <w:pPr>
              <w:jc w:val="center"/>
              <w:rPr>
                <w:lang w:val="sr-Cyrl-CS"/>
              </w:rPr>
            </w:pPr>
            <w:r w:rsidRPr="001B41AD">
              <w:rPr>
                <w:lang w:val="sr-Cyrl-CS"/>
              </w:rPr>
              <w:t>Ноћења страних туриста</w:t>
            </w:r>
          </w:p>
          <w:p w14:paraId="60E37E7C" w14:textId="77777777" w:rsidR="00502EF3" w:rsidRPr="001B41AD" w:rsidRDefault="00502EF3" w:rsidP="00436957">
            <w:pPr>
              <w:spacing w:before="60"/>
              <w:jc w:val="center"/>
              <w:rPr>
                <w:lang w:val="sr-Cyrl-CS"/>
              </w:rPr>
            </w:pPr>
            <w:r w:rsidRPr="001B41AD">
              <w:rPr>
                <w:noProof/>
              </w:rPr>
              <w:drawing>
                <wp:inline distT="0" distB="0" distL="0" distR="0" wp14:anchorId="1BE4DD6E" wp14:editId="360F761D">
                  <wp:extent cx="2880360" cy="1453896"/>
                  <wp:effectExtent l="0" t="0" r="0" b="0"/>
                  <wp:docPr id="19" name="Chart 19">
                    <a:extLst xmlns:a="http://schemas.openxmlformats.org/drawingml/2006/main">
                      <a:ext uri="{FF2B5EF4-FFF2-40B4-BE49-F238E27FC236}">
                        <a16:creationId xmlns:a16="http://schemas.microsoft.com/office/drawing/2014/main" id="{00000000-0008-0000-23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r w:rsidR="00502EF3" w:rsidRPr="001B41AD" w14:paraId="2D702D0D" w14:textId="77777777" w:rsidTr="00436957">
        <w:tc>
          <w:tcPr>
            <w:tcW w:w="4680" w:type="dxa"/>
          </w:tcPr>
          <w:p w14:paraId="2B57BA32" w14:textId="77777777" w:rsidR="00502EF3" w:rsidRPr="001B41AD" w:rsidRDefault="00502EF3" w:rsidP="00436957">
            <w:pPr>
              <w:jc w:val="center"/>
              <w:rPr>
                <w:color w:val="FF0000"/>
                <w:lang w:val="sr-Cyrl-CS"/>
              </w:rPr>
            </w:pPr>
            <w:r w:rsidRPr="001B41AD">
              <w:rPr>
                <w:lang w:val="sr-Cyrl-CS"/>
              </w:rPr>
              <w:t>Извоз услуга телекомуникација, компјутерских и информацијских услуга</w:t>
            </w:r>
          </w:p>
          <w:p w14:paraId="5F8ED519" w14:textId="77777777" w:rsidR="00502EF3" w:rsidRPr="001B41AD" w:rsidRDefault="00502EF3" w:rsidP="00436957">
            <w:pPr>
              <w:jc w:val="center"/>
              <w:rPr>
                <w:lang w:val="sr-Cyrl-CS"/>
              </w:rPr>
            </w:pPr>
            <w:r w:rsidRPr="001B41AD">
              <w:rPr>
                <w:noProof/>
              </w:rPr>
              <w:drawing>
                <wp:inline distT="0" distB="0" distL="0" distR="0" wp14:anchorId="0A33165F" wp14:editId="64EDFA33">
                  <wp:extent cx="2880360" cy="1554480"/>
                  <wp:effectExtent l="0" t="0" r="0" b="7620"/>
                  <wp:docPr id="1040916480" name="Chart 1040916480">
                    <a:extLst xmlns:a="http://schemas.openxmlformats.org/drawingml/2006/main">
                      <a:ext uri="{FF2B5EF4-FFF2-40B4-BE49-F238E27FC236}">
                        <a16:creationId xmlns:a16="http://schemas.microsoft.com/office/drawing/2014/main" id="{00000000-0008-0000-24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c>
          <w:tcPr>
            <w:tcW w:w="4680" w:type="dxa"/>
          </w:tcPr>
          <w:p w14:paraId="0591FE1F" w14:textId="77777777" w:rsidR="00502EF3" w:rsidRPr="001B41AD" w:rsidRDefault="00502EF3" w:rsidP="00436957">
            <w:pPr>
              <w:jc w:val="center"/>
              <w:rPr>
                <w:sz w:val="18"/>
                <w:lang w:val="sr-Cyrl-CS"/>
              </w:rPr>
            </w:pPr>
            <w:r w:rsidRPr="001B41AD">
              <w:rPr>
                <w:lang w:val="sr-Cyrl-CS"/>
              </w:rPr>
              <w:t>Извоз туристичких услуга</w:t>
            </w:r>
            <w:r w:rsidRPr="001B41AD">
              <w:rPr>
                <w:lang w:val="sr-Cyrl-CS"/>
              </w:rPr>
              <w:br w:type="textWrapping" w:clear="all"/>
            </w:r>
          </w:p>
          <w:p w14:paraId="4CCE9D2A" w14:textId="77777777" w:rsidR="00502EF3" w:rsidRPr="001B41AD" w:rsidRDefault="00502EF3" w:rsidP="00436957">
            <w:pPr>
              <w:spacing w:before="60"/>
              <w:jc w:val="center"/>
              <w:rPr>
                <w:lang w:val="sr-Cyrl-CS"/>
              </w:rPr>
            </w:pPr>
            <w:r w:rsidRPr="001B41AD">
              <w:rPr>
                <w:noProof/>
              </w:rPr>
              <w:drawing>
                <wp:inline distT="0" distB="0" distL="0" distR="0" wp14:anchorId="18A45F81" wp14:editId="74F09DB2">
                  <wp:extent cx="2880360" cy="1481328"/>
                  <wp:effectExtent l="0" t="0" r="0" b="5080"/>
                  <wp:docPr id="55" name="Chart 55">
                    <a:extLst xmlns:a="http://schemas.openxmlformats.org/drawingml/2006/main">
                      <a:ext uri="{FF2B5EF4-FFF2-40B4-BE49-F238E27FC236}">
                        <a16:creationId xmlns:a16="http://schemas.microsoft.com/office/drawing/2014/main" id="{00000000-0008-0000-24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437D0891" w14:textId="77777777" w:rsidR="00502EF3" w:rsidRPr="001B41AD" w:rsidRDefault="00502EF3" w:rsidP="00502EF3">
      <w:pPr>
        <w:spacing w:before="40" w:after="0" w:line="240" w:lineRule="auto"/>
        <w:jc w:val="center"/>
        <w:rPr>
          <w:rFonts w:cstheme="minorHAnsi"/>
          <w:b/>
          <w:sz w:val="18"/>
          <w:lang w:val="sr-Cyrl-CS"/>
        </w:rPr>
      </w:pPr>
      <w:r w:rsidRPr="001B41AD">
        <w:rPr>
          <w:noProof/>
        </w:rPr>
        <w:drawing>
          <wp:inline distT="0" distB="0" distL="0" distR="0" wp14:anchorId="4DDE9A98" wp14:editId="6FDD8678">
            <wp:extent cx="4371429" cy="219048"/>
            <wp:effectExtent l="0" t="0" r="0" b="0"/>
            <wp:docPr id="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57"/>
                    <a:stretch>
                      <a:fillRect/>
                    </a:stretch>
                  </pic:blipFill>
                  <pic:spPr>
                    <a:xfrm>
                      <a:off x="0" y="0"/>
                      <a:ext cx="4371429" cy="219048"/>
                    </a:xfrm>
                    <a:prstGeom prst="rect">
                      <a:avLst/>
                    </a:prstGeom>
                  </pic:spPr>
                </pic:pic>
              </a:graphicData>
            </a:graphic>
          </wp:inline>
        </w:drawing>
      </w:r>
    </w:p>
    <w:p w14:paraId="2EBE6909" w14:textId="77777777" w:rsidR="00502EF3" w:rsidRPr="001B41AD" w:rsidRDefault="00502EF3" w:rsidP="00502EF3">
      <w:pPr>
        <w:spacing w:after="0"/>
        <w:jc w:val="left"/>
        <w:rPr>
          <w:rFonts w:cstheme="minorHAnsi"/>
          <w:bCs/>
          <w:sz w:val="16"/>
          <w:szCs w:val="72"/>
          <w:lang w:val="sr-Cyrl-CS"/>
        </w:rPr>
      </w:pPr>
      <w:r w:rsidRPr="001B41AD">
        <w:rPr>
          <w:rFonts w:cstheme="minorHAnsi"/>
          <w:bCs/>
          <w:sz w:val="16"/>
          <w:szCs w:val="72"/>
          <w:lang w:val="sr-Cyrl-CS"/>
        </w:rPr>
        <w:t>Извор: Министарство финансија</w:t>
      </w:r>
    </w:p>
    <w:p w14:paraId="59D04740" w14:textId="77777777" w:rsidR="00502EF3" w:rsidRPr="001B41AD" w:rsidRDefault="00502EF3" w:rsidP="00502EF3">
      <w:pPr>
        <w:jc w:val="left"/>
        <w:rPr>
          <w:rFonts w:cstheme="minorHAnsi"/>
          <w:b/>
          <w:color w:val="002060"/>
          <w:lang w:val="sr-Cyrl-CS"/>
        </w:rPr>
      </w:pPr>
      <w:r w:rsidRPr="001B41AD">
        <w:rPr>
          <w:rFonts w:cstheme="minorHAnsi"/>
          <w:b/>
          <w:color w:val="002060"/>
          <w:lang w:val="sr-Cyrl-CS"/>
        </w:rPr>
        <w:br w:type="page"/>
      </w:r>
    </w:p>
    <w:p w14:paraId="264A38F2" w14:textId="77777777" w:rsidR="00502EF3" w:rsidRPr="001B41AD" w:rsidRDefault="00502EF3" w:rsidP="00502EF3">
      <w:pPr>
        <w:tabs>
          <w:tab w:val="left" w:pos="720"/>
          <w:tab w:val="left" w:pos="1440"/>
        </w:tabs>
        <w:spacing w:after="0"/>
        <w:rPr>
          <w:rFonts w:cstheme="minorHAnsi"/>
          <w:bCs/>
          <w:sz w:val="10"/>
          <w:szCs w:val="12"/>
          <w:lang w:val="sr-Cyrl-CS"/>
        </w:rPr>
        <w:sectPr w:rsidR="00502EF3" w:rsidRPr="001B41AD" w:rsidSect="00436957">
          <w:type w:val="continuous"/>
          <w:pgSz w:w="12240" w:h="15840" w:code="1"/>
          <w:pgMar w:top="1440" w:right="1440" w:bottom="1440" w:left="1440" w:header="720" w:footer="720" w:gutter="0"/>
          <w:cols w:space="720"/>
          <w:docGrid w:linePitch="360"/>
        </w:sectPr>
      </w:pPr>
    </w:p>
    <w:p w14:paraId="08775576" w14:textId="77777777" w:rsidR="00502EF3" w:rsidRPr="001B41AD" w:rsidRDefault="00502EF3" w:rsidP="00502EF3">
      <w:pPr>
        <w:spacing w:after="80"/>
        <w:rPr>
          <w:rFonts w:cstheme="minorHAnsi"/>
          <w:bCs/>
          <w:color w:val="FF0000"/>
          <w:spacing w:val="-4"/>
          <w:szCs w:val="72"/>
          <w:lang w:val="sr-Cyrl-CS"/>
        </w:rPr>
      </w:pPr>
      <w:r w:rsidRPr="001B41AD">
        <w:rPr>
          <w:rFonts w:cstheme="minorHAnsi"/>
          <w:bCs/>
          <w:spacing w:val="-4"/>
          <w:szCs w:val="72"/>
          <w:lang w:val="sr-Cyrl-CS"/>
        </w:rPr>
        <w:lastRenderedPageBreak/>
        <w:t xml:space="preserve">Грађевинска активност је </w:t>
      </w:r>
      <w:r w:rsidR="00191445" w:rsidRPr="001B41AD">
        <w:rPr>
          <w:rFonts w:cstheme="minorHAnsi"/>
          <w:bCs/>
          <w:spacing w:val="-4"/>
          <w:szCs w:val="72"/>
          <w:lang w:val="sr-Cyrl-CS"/>
        </w:rPr>
        <w:t xml:space="preserve">у </w:t>
      </w:r>
      <w:r w:rsidRPr="001B41AD">
        <w:rPr>
          <w:rFonts w:cstheme="minorHAnsi"/>
          <w:bCs/>
          <w:spacing w:val="-4"/>
          <w:szCs w:val="72"/>
          <w:lang w:val="sr-Cyrl-CS"/>
        </w:rPr>
        <w:t>првој половини 2025. године забележила реалан пад од 11,3%, при чему је укупна вредност изведених радова била мања за 11,6% у односу на исти период претходне године. Главни негативан утицај потекао је од смањења активности у нискоградњи, где је вредност изведених радова опала за 19,7%, пре свега као последица успорене реализације инфраструктурних пројеката услед појачаног административног надзора, прелазне фазе између завршетка великих и покретања нових пројеката, али и услед високе базе из прве половине 2024. године. Са друге стране, високоградња је делимично ублажила ова негативна кретања, остваривши позитиван допринос кроз раст вредности изведених радова од 5,5%.</w:t>
      </w:r>
    </w:p>
    <w:p w14:paraId="65165686" w14:textId="77777777" w:rsidR="00502EF3" w:rsidRPr="001B41AD" w:rsidRDefault="00502EF3" w:rsidP="00502EF3">
      <w:pPr>
        <w:spacing w:before="240" w:after="0" w:line="240" w:lineRule="auto"/>
        <w:jc w:val="center"/>
        <w:rPr>
          <w:rFonts w:cstheme="minorHAnsi"/>
          <w:b/>
          <w:bCs/>
          <w:iCs/>
          <w:szCs w:val="72"/>
          <w:lang w:val="sr-Cyrl-CS"/>
        </w:rPr>
      </w:pPr>
      <w:r w:rsidRPr="001B41AD">
        <w:rPr>
          <w:rFonts w:cstheme="minorHAnsi"/>
          <w:b/>
          <w:bCs/>
          <w:iCs/>
          <w:color w:val="002060"/>
          <w:szCs w:val="72"/>
          <w:lang w:val="sr-Cyrl-CS"/>
        </w:rPr>
        <w:t>Индекси вредности изведених грађевинских радова (2024=100)</w:t>
      </w:r>
    </w:p>
    <w:p w14:paraId="25023789" w14:textId="77777777" w:rsidR="00502EF3" w:rsidRPr="001B41AD" w:rsidRDefault="00502EF3" w:rsidP="00502EF3">
      <w:pPr>
        <w:spacing w:after="0" w:line="240" w:lineRule="auto"/>
        <w:rPr>
          <w:rFonts w:cstheme="minorHAnsi"/>
          <w:bCs/>
          <w:color w:val="FF0000"/>
          <w:szCs w:val="72"/>
          <w:lang w:val="sr-Cyrl-CS"/>
        </w:rPr>
      </w:pPr>
      <w:r w:rsidRPr="001B41AD">
        <w:rPr>
          <w:noProof/>
        </w:rPr>
        <w:drawing>
          <wp:inline distT="0" distB="0" distL="0" distR="0" wp14:anchorId="207C8DDA" wp14:editId="655A992B">
            <wp:extent cx="2743200" cy="1581912"/>
            <wp:effectExtent l="0" t="0" r="0" b="0"/>
            <wp:docPr id="16" name="Chart 16">
              <a:extLst xmlns:a="http://schemas.openxmlformats.org/drawingml/2006/main">
                <a:ext uri="{FF2B5EF4-FFF2-40B4-BE49-F238E27FC236}">
                  <a16:creationId xmlns:a16="http://schemas.microsoft.com/office/drawing/2014/main" id="{00000000-0008-0000-1F00-00000F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11948FA" w14:textId="77777777" w:rsidR="00502EF3" w:rsidRPr="001B41AD" w:rsidRDefault="00502EF3" w:rsidP="00502EF3">
      <w:pPr>
        <w:spacing w:after="0"/>
        <w:rPr>
          <w:rFonts w:cstheme="minorHAnsi"/>
          <w:bCs/>
          <w:iCs/>
          <w:sz w:val="14"/>
          <w:szCs w:val="72"/>
          <w:lang w:val="sr-Cyrl-CS"/>
        </w:rPr>
      </w:pPr>
      <w:r w:rsidRPr="001B41AD">
        <w:rPr>
          <w:rFonts w:cstheme="minorHAnsi"/>
          <w:bCs/>
          <w:iCs/>
          <w:sz w:val="14"/>
          <w:szCs w:val="72"/>
          <w:lang w:val="sr-Cyrl-CS"/>
        </w:rPr>
        <w:t>Извор: РЗС</w:t>
      </w:r>
    </w:p>
    <w:p w14:paraId="2211803B" w14:textId="77777777" w:rsidR="00502EF3" w:rsidRPr="001B41AD" w:rsidRDefault="00502EF3" w:rsidP="00502EF3">
      <w:pPr>
        <w:spacing w:after="0"/>
        <w:rPr>
          <w:rFonts w:cstheme="minorHAnsi"/>
          <w:bCs/>
          <w:iCs/>
          <w:color w:val="FF0000"/>
          <w:sz w:val="14"/>
          <w:szCs w:val="72"/>
          <w:lang w:val="sr-Cyrl-CS"/>
        </w:rPr>
      </w:pPr>
    </w:p>
    <w:p w14:paraId="14711002" w14:textId="77777777" w:rsidR="00502EF3" w:rsidRPr="001B41AD" w:rsidRDefault="00502EF3" w:rsidP="00502EF3">
      <w:pPr>
        <w:rPr>
          <w:rFonts w:cstheme="minorHAnsi"/>
          <w:bCs/>
          <w:iCs/>
          <w:szCs w:val="72"/>
          <w:lang w:val="sr-Cyrl-CS"/>
        </w:rPr>
      </w:pPr>
      <w:r w:rsidRPr="001B41AD">
        <w:rPr>
          <w:rFonts w:cstheme="minorHAnsi"/>
          <w:bCs/>
          <w:iCs/>
          <w:szCs w:val="72"/>
          <w:lang w:val="sr-Cyrl-CS"/>
        </w:rPr>
        <w:t>Индустријска производња је наставила позитиван тренд и током 2025. године, при чему је у првих осам месеци забележен раст физичког обима производње од 2,7%. У овом периоду раст је био вођен већим обимом производње прерађивачке индустрије од 3,0%. Истовремено, сектор рударства је остварио повећање од 5,5%, што је пре свега резултат појачане експлоатације угља (11,2%) и раста експлоатације руда метала (3,3%). С друге стране, производња електричне енергије била је мања за 0,7% у првих осам месеци и имала је благ негативан утицај на раст укупне индустријске производње. Међутим, треба истаћи да од јуна 2025. године производња електричне енергије бележи позитиван међугодишњи раст, а захваљујући покретању новоизграђеног термоблока „Б3“ у термоелектрани Костолац, очекује се да ће овај сектор и у наредним месецима наставити да даје позитиван допринос укупној индустријској производњи.</w:t>
      </w:r>
    </w:p>
    <w:p w14:paraId="507FD586" w14:textId="77777777" w:rsidR="00502EF3" w:rsidRPr="001B41AD" w:rsidRDefault="00502EF3" w:rsidP="00502EF3">
      <w:pPr>
        <w:jc w:val="center"/>
        <w:rPr>
          <w:rFonts w:cstheme="minorHAnsi"/>
          <w:b/>
          <w:bCs/>
          <w:iCs/>
          <w:color w:val="002060"/>
          <w:szCs w:val="72"/>
          <w:lang w:val="sr-Cyrl-CS"/>
        </w:rPr>
      </w:pPr>
      <w:r w:rsidRPr="001B41AD">
        <w:rPr>
          <w:rFonts w:cstheme="minorHAnsi"/>
          <w:b/>
          <w:bCs/>
          <w:iCs/>
          <w:color w:val="002060"/>
          <w:szCs w:val="72"/>
          <w:lang w:val="sr-Cyrl-CS"/>
        </w:rPr>
        <w:t>Индекс физичког обима прерађивачке индустрије, 2024=100</w:t>
      </w:r>
    </w:p>
    <w:p w14:paraId="532F4361" w14:textId="77777777" w:rsidR="00502EF3" w:rsidRPr="001B41AD" w:rsidRDefault="00502EF3" w:rsidP="00502EF3">
      <w:pPr>
        <w:rPr>
          <w:rFonts w:cstheme="minorHAnsi"/>
          <w:bCs/>
          <w:iCs/>
          <w:color w:val="FF0000"/>
          <w:szCs w:val="72"/>
          <w:lang w:val="sr-Cyrl-CS"/>
        </w:rPr>
      </w:pPr>
      <w:r w:rsidRPr="001B41AD">
        <w:rPr>
          <w:noProof/>
        </w:rPr>
        <w:drawing>
          <wp:inline distT="0" distB="0" distL="0" distR="0" wp14:anchorId="5FB2F091" wp14:editId="6EC3E4BB">
            <wp:extent cx="2743200" cy="1335024"/>
            <wp:effectExtent l="0" t="0" r="0" b="0"/>
            <wp:docPr id="1040916481" name="Chart 1040916481">
              <a:extLst xmlns:a="http://schemas.openxmlformats.org/drawingml/2006/main">
                <a:ext uri="{FF2B5EF4-FFF2-40B4-BE49-F238E27FC236}">
                  <a16:creationId xmlns:a16="http://schemas.microsoft.com/office/drawing/2014/main" id="{00000000-0008-0000-1C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738C7F0" w14:textId="77777777" w:rsidR="00502EF3" w:rsidRPr="001B41AD" w:rsidRDefault="00502EF3" w:rsidP="00502EF3">
      <w:pPr>
        <w:spacing w:after="0"/>
        <w:jc w:val="center"/>
        <w:rPr>
          <w:rFonts w:cstheme="minorHAnsi"/>
          <w:b/>
          <w:bCs/>
          <w:iCs/>
          <w:color w:val="002060"/>
          <w:szCs w:val="72"/>
          <w:lang w:val="sr-Cyrl-CS"/>
        </w:rPr>
      </w:pPr>
      <w:r w:rsidRPr="001B41AD">
        <w:rPr>
          <w:rFonts w:cstheme="minorHAnsi"/>
          <w:b/>
          <w:bCs/>
          <w:iCs/>
          <w:color w:val="002060"/>
          <w:szCs w:val="72"/>
          <w:lang w:val="sr-Cyrl-CS"/>
        </w:rPr>
        <w:t>Индекс физичког обима рударства, 2024=100</w:t>
      </w:r>
    </w:p>
    <w:p w14:paraId="385B2B03" w14:textId="77777777" w:rsidR="00502EF3" w:rsidRPr="001B41AD" w:rsidRDefault="00502EF3" w:rsidP="00502EF3">
      <w:pPr>
        <w:spacing w:after="60"/>
        <w:rPr>
          <w:rFonts w:cstheme="minorHAnsi"/>
          <w:bCs/>
          <w:iCs/>
          <w:color w:val="FF0000"/>
          <w:szCs w:val="72"/>
          <w:lang w:val="sr-Cyrl-CS"/>
        </w:rPr>
      </w:pPr>
      <w:r w:rsidRPr="001B41AD">
        <w:rPr>
          <w:noProof/>
        </w:rPr>
        <w:drawing>
          <wp:inline distT="0" distB="0" distL="0" distR="0" wp14:anchorId="6C2AD603" wp14:editId="42612980">
            <wp:extent cx="2743200" cy="1609344"/>
            <wp:effectExtent l="0" t="0" r="0" b="0"/>
            <wp:docPr id="57" name="Chart 57">
              <a:extLst xmlns:a="http://schemas.openxmlformats.org/drawingml/2006/main">
                <a:ext uri="{FF2B5EF4-FFF2-40B4-BE49-F238E27FC236}">
                  <a16:creationId xmlns:a16="http://schemas.microsoft.com/office/drawing/2014/main" id="{00000000-0008-0000-1C00-00004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C8DF05A" w14:textId="77777777" w:rsidR="00502EF3" w:rsidRPr="001B41AD" w:rsidRDefault="00502EF3" w:rsidP="00502EF3">
      <w:pPr>
        <w:spacing w:after="0"/>
        <w:jc w:val="center"/>
        <w:rPr>
          <w:rFonts w:cstheme="minorHAnsi"/>
          <w:b/>
          <w:bCs/>
          <w:iCs/>
          <w:spacing w:val="-2"/>
          <w:szCs w:val="72"/>
          <w:lang w:val="sr-Cyrl-CS"/>
        </w:rPr>
      </w:pPr>
      <w:r w:rsidRPr="001B41AD">
        <w:rPr>
          <w:rFonts w:cstheme="minorHAnsi"/>
          <w:b/>
          <w:bCs/>
          <w:iCs/>
          <w:color w:val="002060"/>
          <w:spacing w:val="-2"/>
          <w:szCs w:val="72"/>
          <w:lang w:val="sr-Cyrl-CS"/>
        </w:rPr>
        <w:t>Индекс физичког обима снабдевања електричном енергијом, гасом и паром, 2024=100</w:t>
      </w:r>
    </w:p>
    <w:p w14:paraId="0C4A7382" w14:textId="77777777" w:rsidR="00502EF3" w:rsidRPr="001B41AD" w:rsidRDefault="00502EF3" w:rsidP="00502EF3">
      <w:pPr>
        <w:spacing w:after="60"/>
        <w:jc w:val="left"/>
        <w:rPr>
          <w:rFonts w:cstheme="minorHAnsi"/>
          <w:bCs/>
          <w:iCs/>
          <w:color w:val="FF0000"/>
          <w:szCs w:val="72"/>
          <w:lang w:val="sr-Cyrl-CS"/>
        </w:rPr>
      </w:pPr>
      <w:r w:rsidRPr="001B41AD">
        <w:rPr>
          <w:noProof/>
        </w:rPr>
        <w:drawing>
          <wp:inline distT="0" distB="0" distL="0" distR="0" wp14:anchorId="2481E972" wp14:editId="26E57B01">
            <wp:extent cx="2743200" cy="1490472"/>
            <wp:effectExtent l="0" t="0" r="0" b="0"/>
            <wp:docPr id="58" name="Chart 58">
              <a:extLst xmlns:a="http://schemas.openxmlformats.org/drawingml/2006/main">
                <a:ext uri="{FF2B5EF4-FFF2-40B4-BE49-F238E27FC236}">
                  <a16:creationId xmlns:a16="http://schemas.microsoft.com/office/drawing/2014/main" id="{00000000-0008-0000-1C00-00004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1F3DE84B" w14:textId="77777777" w:rsidR="00502EF3" w:rsidRPr="001B41AD" w:rsidRDefault="00502EF3" w:rsidP="00502EF3">
      <w:pPr>
        <w:spacing w:after="0" w:line="240" w:lineRule="auto"/>
        <w:rPr>
          <w:rFonts w:cstheme="minorHAnsi"/>
          <w:bCs/>
          <w:color w:val="FF0000"/>
          <w:sz w:val="16"/>
          <w:szCs w:val="72"/>
          <w:lang w:val="sr-Cyrl-CS"/>
        </w:rPr>
      </w:pPr>
      <w:r w:rsidRPr="001B41AD">
        <w:rPr>
          <w:noProof/>
          <w:color w:val="FF0000"/>
        </w:rPr>
        <w:drawing>
          <wp:inline distT="0" distB="0" distL="0" distR="0" wp14:anchorId="4CAC9EDE" wp14:editId="15578BC2">
            <wp:extent cx="2743200" cy="137080"/>
            <wp:effectExtent l="0" t="0" r="0" b="0"/>
            <wp:docPr id="5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57"/>
                    <a:stretch>
                      <a:fillRect/>
                    </a:stretch>
                  </pic:blipFill>
                  <pic:spPr>
                    <a:xfrm>
                      <a:off x="0" y="0"/>
                      <a:ext cx="2743200" cy="137080"/>
                    </a:xfrm>
                    <a:prstGeom prst="rect">
                      <a:avLst/>
                    </a:prstGeom>
                  </pic:spPr>
                </pic:pic>
              </a:graphicData>
            </a:graphic>
          </wp:inline>
        </w:drawing>
      </w:r>
    </w:p>
    <w:p w14:paraId="25054337" w14:textId="77777777" w:rsidR="00502EF3" w:rsidRPr="001B41AD" w:rsidRDefault="00502EF3" w:rsidP="00502EF3">
      <w:pPr>
        <w:spacing w:after="0" w:line="240" w:lineRule="auto"/>
        <w:rPr>
          <w:rFonts w:cstheme="minorHAnsi"/>
          <w:bCs/>
          <w:iCs/>
          <w:szCs w:val="72"/>
          <w:lang w:val="sr-Cyrl-CS"/>
        </w:rPr>
      </w:pPr>
      <w:r w:rsidRPr="001B41AD">
        <w:rPr>
          <w:rFonts w:cstheme="minorHAnsi"/>
          <w:bCs/>
          <w:sz w:val="16"/>
          <w:szCs w:val="72"/>
          <w:lang w:val="sr-Cyrl-CS"/>
        </w:rPr>
        <w:t>Извор: Министарство финансија</w:t>
      </w:r>
    </w:p>
    <w:p w14:paraId="55F050C6" w14:textId="77777777" w:rsidR="00502EF3" w:rsidRPr="001B41AD" w:rsidRDefault="00502EF3" w:rsidP="00502EF3">
      <w:pPr>
        <w:spacing w:after="0"/>
        <w:rPr>
          <w:rFonts w:cstheme="minorHAnsi"/>
          <w:bCs/>
          <w:szCs w:val="72"/>
          <w:lang w:val="sr-Cyrl-CS"/>
        </w:rPr>
      </w:pPr>
    </w:p>
    <w:p w14:paraId="7F5793D1" w14:textId="77777777" w:rsidR="00502EF3" w:rsidRPr="001B41AD" w:rsidRDefault="00502EF3" w:rsidP="00502EF3">
      <w:pPr>
        <w:spacing w:after="0"/>
        <w:rPr>
          <w:rFonts w:cstheme="minorHAnsi"/>
          <w:bCs/>
          <w:iCs/>
          <w:color w:val="FF0000"/>
          <w:sz w:val="14"/>
          <w:szCs w:val="72"/>
          <w:lang w:val="sr-Cyrl-CS"/>
        </w:rPr>
      </w:pPr>
      <w:r w:rsidRPr="001B41AD">
        <w:rPr>
          <w:rFonts w:cstheme="minorHAnsi"/>
          <w:bCs/>
          <w:szCs w:val="72"/>
          <w:lang w:val="sr-Cyrl-CS"/>
        </w:rPr>
        <w:t xml:space="preserve">Посматрано по областима прерађивачке индустрије, у првих осам месеци забележен је диверсификован раст у 13 од 24 делатности. Најзначајнији позитиван допринос расту прерађивачке индустрије у овом периоду потиче од гумарске и аутомобилске индустрије, које </w:t>
      </w:r>
      <w:r w:rsidR="009F1929" w:rsidRPr="001B41AD">
        <w:rPr>
          <w:rFonts w:cstheme="minorHAnsi"/>
          <w:bCs/>
          <w:szCs w:val="72"/>
          <w:lang w:val="sr-Cyrl-CS"/>
        </w:rPr>
        <w:t>су забележиле повећање од 20,1%</w:t>
      </w:r>
      <w:r w:rsidRPr="001B41AD">
        <w:rPr>
          <w:rFonts w:cstheme="minorHAnsi"/>
          <w:bCs/>
          <w:szCs w:val="72"/>
          <w:lang w:val="sr-Cyrl-CS"/>
        </w:rPr>
        <w:t xml:space="preserve"> и 23,5%, респективно. Снажан међугодишњи раст ове две делатности пре свега је резултат проширења производних капацитета који се односе на производњу гума у компанији Linglong, односно производњу новог модела аутомобила у фабрици у Крагујевцу, при чему ове две делатности </w:t>
      </w:r>
      <w:r w:rsidRPr="001B41AD">
        <w:rPr>
          <w:rFonts w:cstheme="minorHAnsi"/>
          <w:bCs/>
          <w:szCs w:val="72"/>
          <w:lang w:val="sr-Cyrl-CS"/>
        </w:rPr>
        <w:lastRenderedPageBreak/>
        <w:t xml:space="preserve">опредељују око половине позитивног утицаја међу делатностима које су оствариле раст производње. Истовремено, физички обим нафтне индустрије је виши за 10,3%, чија је динамика производње у значајној мери била и под утицајем базног ефекта услед спровођења прошлогодишњег ремонта и извођења инвестиционих радова на већини процесних постројења у прерађивачком комплексу НИС. Настављен је растући тренд производње основних метала, при чему је у првих осам месеци обим активности ове делатности увећан за 9,3%, у односу на исти период претходне године. Истовремено, позитиван допринос потиче од </w:t>
      </w:r>
      <w:r w:rsidRPr="001B41AD">
        <w:rPr>
          <w:rFonts w:cstheme="minorHAnsi"/>
          <w:bCs/>
          <w:szCs w:val="72"/>
          <w:lang w:val="sr-Cyrl-CS"/>
        </w:rPr>
        <w:t>производње металних производа, као и од хемијске индустрије које су забележиле раст од 5,4% и 4,2%, респективно. С друге стране, најзначајнији негативан допринос кретању прерађивачке индустрије у првих осам месеци 2025. године потекао је од машинске индустрије смањењем производње од 15,0%. Производња одевних предмета забележила је пад од 18,7%, док је физички обим производње прехрамбене индустрије и поправка и монтажа машина и опреме опао за 1,1% и 18,7%, респективно. Остале делатности које су оствариле мањи физички обим производње имале су благ негативан утицај на кретање прерађивачке индустрије.</w:t>
      </w:r>
    </w:p>
    <w:p w14:paraId="5DCEBB99" w14:textId="77777777" w:rsidR="00502EF3" w:rsidRPr="001B41AD" w:rsidRDefault="00502EF3" w:rsidP="00502EF3">
      <w:pPr>
        <w:spacing w:after="0"/>
        <w:rPr>
          <w:rFonts w:cstheme="minorHAnsi"/>
          <w:bCs/>
          <w:iCs/>
          <w:color w:val="FF0000"/>
          <w:sz w:val="14"/>
          <w:szCs w:val="72"/>
          <w:lang w:val="sr-Cyrl-CS"/>
        </w:rPr>
        <w:sectPr w:rsidR="00502EF3" w:rsidRPr="001B41AD" w:rsidSect="00436957">
          <w:type w:val="continuous"/>
          <w:pgSz w:w="12240" w:h="15840" w:code="1"/>
          <w:pgMar w:top="1440" w:right="1440" w:bottom="1440" w:left="1440" w:header="720" w:footer="720" w:gutter="0"/>
          <w:cols w:num="2" w:space="720"/>
          <w:docGrid w:linePitch="360"/>
        </w:sectPr>
      </w:pPr>
    </w:p>
    <w:p w14:paraId="5EFFD464" w14:textId="77777777" w:rsidR="00502EF3" w:rsidRPr="001B41AD" w:rsidRDefault="00502EF3" w:rsidP="00502EF3">
      <w:pPr>
        <w:spacing w:after="60" w:line="240" w:lineRule="auto"/>
        <w:jc w:val="center"/>
        <w:rPr>
          <w:rFonts w:cstheme="minorHAnsi"/>
          <w:b/>
          <w:lang w:val="sr-Cyrl-CS"/>
        </w:rPr>
      </w:pPr>
    </w:p>
    <w:p w14:paraId="1783EB2E" w14:textId="77777777" w:rsidR="00502EF3" w:rsidRPr="001B41AD" w:rsidRDefault="00502EF3" w:rsidP="00502EF3">
      <w:pPr>
        <w:spacing w:after="60" w:line="240" w:lineRule="auto"/>
        <w:jc w:val="center"/>
        <w:rPr>
          <w:rFonts w:cstheme="minorHAnsi"/>
          <w:b/>
          <w:color w:val="002060"/>
          <w:lang w:val="sr-Cyrl-CS"/>
        </w:rPr>
      </w:pPr>
      <w:r w:rsidRPr="001B41AD">
        <w:rPr>
          <w:rFonts w:cstheme="minorHAnsi"/>
          <w:b/>
          <w:color w:val="002060"/>
          <w:lang w:val="sr-Cyrl-CS"/>
        </w:rPr>
        <w:t>Индекси физичког обима водећих делатности прерађивачке индустрије, 2024=100</w:t>
      </w:r>
    </w:p>
    <w:tbl>
      <w:tblPr>
        <w:tblStyle w:val="TableGrid5"/>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0"/>
        <w:gridCol w:w="4680"/>
      </w:tblGrid>
      <w:tr w:rsidR="00502EF3" w:rsidRPr="001B41AD" w14:paraId="5D8BD693" w14:textId="77777777" w:rsidTr="00436957">
        <w:tc>
          <w:tcPr>
            <w:tcW w:w="4680" w:type="dxa"/>
          </w:tcPr>
          <w:p w14:paraId="3AE1F7F0" w14:textId="77777777" w:rsidR="00502EF3" w:rsidRPr="001B41AD" w:rsidRDefault="00502EF3" w:rsidP="00436957">
            <w:pPr>
              <w:spacing w:before="40" w:after="20"/>
              <w:jc w:val="center"/>
              <w:rPr>
                <w:lang w:val="sr-Cyrl-CS"/>
              </w:rPr>
            </w:pPr>
            <w:r w:rsidRPr="001B41AD">
              <w:rPr>
                <w:lang w:val="sr-Cyrl-CS"/>
              </w:rPr>
              <w:t>Производња производа од гуме и пластике</w:t>
            </w:r>
          </w:p>
          <w:p w14:paraId="09F17CD2" w14:textId="77777777" w:rsidR="00502EF3" w:rsidRPr="001B41AD" w:rsidRDefault="00502EF3" w:rsidP="00436957">
            <w:pPr>
              <w:spacing w:before="40" w:after="20"/>
              <w:jc w:val="center"/>
              <w:rPr>
                <w:lang w:val="sr-Cyrl-CS"/>
              </w:rPr>
            </w:pPr>
            <w:r w:rsidRPr="001B41AD">
              <w:rPr>
                <w:noProof/>
              </w:rPr>
              <w:drawing>
                <wp:inline distT="0" distB="0" distL="0" distR="0" wp14:anchorId="5A995489" wp14:editId="474CFB6A">
                  <wp:extent cx="2880360" cy="1188720"/>
                  <wp:effectExtent l="0" t="0" r="0" b="0"/>
                  <wp:docPr id="60" name="Chart 60">
                    <a:extLst xmlns:a="http://schemas.openxmlformats.org/drawingml/2006/main">
                      <a:ext uri="{FF2B5EF4-FFF2-40B4-BE49-F238E27FC236}">
                        <a16:creationId xmlns:a16="http://schemas.microsoft.com/office/drawing/2014/main" id="{00000000-0008-0000-1C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c>
          <w:tcPr>
            <w:tcW w:w="4680" w:type="dxa"/>
          </w:tcPr>
          <w:p w14:paraId="104E3479" w14:textId="77777777" w:rsidR="00502EF3" w:rsidRPr="001B41AD" w:rsidRDefault="00502EF3" w:rsidP="00436957">
            <w:pPr>
              <w:spacing w:before="40" w:after="20"/>
              <w:jc w:val="center"/>
              <w:rPr>
                <w:lang w:val="sr-Cyrl-CS"/>
              </w:rPr>
            </w:pPr>
            <w:r w:rsidRPr="001B41AD">
              <w:rPr>
                <w:lang w:val="sr-Cyrl-CS"/>
              </w:rPr>
              <w:t>Производња моторних возила и приколица</w:t>
            </w:r>
          </w:p>
          <w:p w14:paraId="233FB191" w14:textId="77777777" w:rsidR="00502EF3" w:rsidRPr="001B41AD" w:rsidRDefault="00502EF3" w:rsidP="00436957">
            <w:pPr>
              <w:spacing w:before="40" w:after="20"/>
              <w:jc w:val="center"/>
              <w:rPr>
                <w:lang w:val="sr-Cyrl-CS"/>
              </w:rPr>
            </w:pPr>
            <w:r w:rsidRPr="001B41AD">
              <w:rPr>
                <w:noProof/>
              </w:rPr>
              <w:drawing>
                <wp:inline distT="0" distB="0" distL="0" distR="0" wp14:anchorId="6F55DDB5" wp14:editId="4C275E8A">
                  <wp:extent cx="2880360" cy="1188720"/>
                  <wp:effectExtent l="0" t="0" r="0" b="6350"/>
                  <wp:docPr id="61" name="Chart 61">
                    <a:extLst xmlns:a="http://schemas.openxmlformats.org/drawingml/2006/main">
                      <a:ext uri="{FF2B5EF4-FFF2-40B4-BE49-F238E27FC236}">
                        <a16:creationId xmlns:a16="http://schemas.microsoft.com/office/drawing/2014/main" id="{00000000-0008-0000-1C00-00002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502EF3" w:rsidRPr="001B41AD" w14:paraId="5208B3BD" w14:textId="77777777" w:rsidTr="00436957">
        <w:tc>
          <w:tcPr>
            <w:tcW w:w="4680" w:type="dxa"/>
          </w:tcPr>
          <w:p w14:paraId="58B3A981" w14:textId="77777777" w:rsidR="00502EF3" w:rsidRPr="001B41AD" w:rsidRDefault="00502EF3" w:rsidP="00436957">
            <w:pPr>
              <w:spacing w:before="40" w:after="20"/>
              <w:jc w:val="center"/>
              <w:rPr>
                <w:rFonts w:ascii="Times New Roman" w:hAnsi="Times New Roman"/>
                <w:lang w:val="sr-Cyrl-CS"/>
              </w:rPr>
            </w:pPr>
            <w:r w:rsidRPr="001B41AD">
              <w:rPr>
                <w:lang w:val="sr-Cyrl-CS"/>
              </w:rPr>
              <w:t>Производња кокса и деривата нафте</w:t>
            </w:r>
          </w:p>
          <w:p w14:paraId="7F7AAD79" w14:textId="77777777" w:rsidR="00502EF3" w:rsidRPr="001B41AD" w:rsidRDefault="00502EF3" w:rsidP="00436957">
            <w:pPr>
              <w:spacing w:before="40" w:after="20"/>
              <w:jc w:val="center"/>
              <w:rPr>
                <w:lang w:val="sr-Cyrl-CS"/>
              </w:rPr>
            </w:pPr>
            <w:r w:rsidRPr="001B41AD">
              <w:rPr>
                <w:noProof/>
              </w:rPr>
              <w:drawing>
                <wp:inline distT="0" distB="0" distL="0" distR="0" wp14:anchorId="1D62C2A8" wp14:editId="70D2576F">
                  <wp:extent cx="2880360" cy="1188720"/>
                  <wp:effectExtent l="0" t="0" r="0" b="0"/>
                  <wp:docPr id="62" name="Chart 62">
                    <a:extLst xmlns:a="http://schemas.openxmlformats.org/drawingml/2006/main">
                      <a:ext uri="{FF2B5EF4-FFF2-40B4-BE49-F238E27FC236}">
                        <a16:creationId xmlns:a16="http://schemas.microsoft.com/office/drawing/2014/main" id="{00000000-0008-0000-1C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c>
          <w:tcPr>
            <w:tcW w:w="4680" w:type="dxa"/>
          </w:tcPr>
          <w:p w14:paraId="205E0594" w14:textId="77777777" w:rsidR="00502EF3" w:rsidRPr="001B41AD" w:rsidRDefault="00502EF3" w:rsidP="00436957">
            <w:pPr>
              <w:spacing w:before="40" w:after="20"/>
              <w:jc w:val="center"/>
              <w:rPr>
                <w:lang w:val="sr-Cyrl-CS"/>
              </w:rPr>
            </w:pPr>
            <w:r w:rsidRPr="001B41AD">
              <w:rPr>
                <w:lang w:val="sr-Cyrl-CS"/>
              </w:rPr>
              <w:t>Производња основних метала</w:t>
            </w:r>
            <w:r w:rsidRPr="001B41AD">
              <w:rPr>
                <w:noProof/>
              </w:rPr>
              <w:drawing>
                <wp:inline distT="0" distB="0" distL="0" distR="0" wp14:anchorId="50712433" wp14:editId="1F86A181">
                  <wp:extent cx="3011482" cy="1279706"/>
                  <wp:effectExtent l="0" t="0" r="0" b="0"/>
                  <wp:docPr id="31" name="Chart 31">
                    <a:extLst xmlns:a="http://schemas.openxmlformats.org/drawingml/2006/main">
                      <a:ext uri="{FF2B5EF4-FFF2-40B4-BE49-F238E27FC236}">
                        <a16:creationId xmlns:a16="http://schemas.microsoft.com/office/drawing/2014/main" id="{00000000-0008-0000-1C00-00001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502EF3" w:rsidRPr="001B41AD" w14:paraId="3E6FBA88" w14:textId="77777777" w:rsidTr="00436957">
        <w:tc>
          <w:tcPr>
            <w:tcW w:w="4680" w:type="dxa"/>
          </w:tcPr>
          <w:p w14:paraId="32E4439C" w14:textId="77777777" w:rsidR="00502EF3" w:rsidRPr="001B41AD" w:rsidRDefault="00502EF3" w:rsidP="00436957">
            <w:pPr>
              <w:spacing w:before="40" w:after="20"/>
              <w:jc w:val="center"/>
              <w:rPr>
                <w:lang w:val="sr-Cyrl-CS"/>
              </w:rPr>
            </w:pPr>
            <w:r w:rsidRPr="001B41AD">
              <w:rPr>
                <w:lang w:val="sr-Cyrl-CS"/>
              </w:rPr>
              <w:t>Производња металних производа, осим машина</w:t>
            </w:r>
          </w:p>
          <w:p w14:paraId="7A028B5D" w14:textId="77777777" w:rsidR="00502EF3" w:rsidRPr="001B41AD" w:rsidRDefault="00502EF3" w:rsidP="00436957">
            <w:pPr>
              <w:spacing w:before="40" w:after="20"/>
              <w:jc w:val="center"/>
              <w:rPr>
                <w:lang w:val="sr-Cyrl-CS"/>
              </w:rPr>
            </w:pPr>
            <w:r w:rsidRPr="001B41AD">
              <w:rPr>
                <w:noProof/>
              </w:rPr>
              <w:drawing>
                <wp:inline distT="0" distB="0" distL="0" distR="0" wp14:anchorId="0AEE97B3" wp14:editId="7E3E6C97">
                  <wp:extent cx="3011482" cy="1188720"/>
                  <wp:effectExtent l="0" t="0" r="0" b="0"/>
                  <wp:docPr id="33" name="Chart 33">
                    <a:extLst xmlns:a="http://schemas.openxmlformats.org/drawingml/2006/main">
                      <a:ext uri="{FF2B5EF4-FFF2-40B4-BE49-F238E27FC236}">
                        <a16:creationId xmlns:a16="http://schemas.microsoft.com/office/drawing/2014/main" id="{00000000-0008-0000-1C00-00003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c>
          <w:tcPr>
            <w:tcW w:w="4680" w:type="dxa"/>
          </w:tcPr>
          <w:p w14:paraId="4EA96ADE" w14:textId="77777777" w:rsidR="00502EF3" w:rsidRPr="001B41AD" w:rsidRDefault="00502EF3" w:rsidP="00436957">
            <w:pPr>
              <w:spacing w:before="40" w:after="20"/>
              <w:jc w:val="center"/>
              <w:rPr>
                <w:lang w:val="sr-Cyrl-CS"/>
              </w:rPr>
            </w:pPr>
            <w:r w:rsidRPr="001B41AD">
              <w:rPr>
                <w:lang w:val="sr-Cyrl-CS"/>
              </w:rPr>
              <w:t>Производња прехрамбених производа</w:t>
            </w:r>
          </w:p>
          <w:p w14:paraId="547598B2" w14:textId="77777777" w:rsidR="00502EF3" w:rsidRPr="001B41AD" w:rsidRDefault="00502EF3" w:rsidP="00436957">
            <w:pPr>
              <w:spacing w:before="40" w:after="20"/>
              <w:jc w:val="center"/>
              <w:rPr>
                <w:lang w:val="sr-Cyrl-CS"/>
              </w:rPr>
            </w:pPr>
            <w:r w:rsidRPr="001B41AD">
              <w:rPr>
                <w:noProof/>
              </w:rPr>
              <w:drawing>
                <wp:inline distT="0" distB="0" distL="0" distR="0" wp14:anchorId="3BD8D065" wp14:editId="07BF9021">
                  <wp:extent cx="3011482" cy="1188720"/>
                  <wp:effectExtent l="0" t="0" r="0" b="0"/>
                  <wp:docPr id="1040916482" name="Chart 1040916482">
                    <a:extLst xmlns:a="http://schemas.openxmlformats.org/drawingml/2006/main">
                      <a:ext uri="{FF2B5EF4-FFF2-40B4-BE49-F238E27FC236}">
                        <a16:creationId xmlns:a16="http://schemas.microsoft.com/office/drawing/2014/main" id="{00000000-0008-0000-1C00-00001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5F53D363" w14:textId="77777777" w:rsidR="00502EF3" w:rsidRPr="001B41AD" w:rsidRDefault="00502EF3" w:rsidP="00502EF3">
      <w:pPr>
        <w:spacing w:before="40" w:after="20"/>
        <w:jc w:val="center"/>
        <w:rPr>
          <w:spacing w:val="-6"/>
          <w:lang w:val="sr-Cyrl-CS"/>
        </w:rPr>
        <w:sectPr w:rsidR="00502EF3" w:rsidRPr="001B41AD" w:rsidSect="00436957">
          <w:type w:val="continuous"/>
          <w:pgSz w:w="12240" w:h="15840" w:code="1"/>
          <w:pgMar w:top="1440" w:right="1440" w:bottom="1440" w:left="1440" w:header="720" w:footer="720" w:gutter="0"/>
          <w:cols w:space="720"/>
          <w:docGrid w:linePitch="360"/>
        </w:sectPr>
      </w:pPr>
    </w:p>
    <w:tbl>
      <w:tblPr>
        <w:tblStyle w:val="TableGrid5"/>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0"/>
        <w:gridCol w:w="4680"/>
      </w:tblGrid>
      <w:tr w:rsidR="00502EF3" w:rsidRPr="001B41AD" w14:paraId="593EAAA8" w14:textId="77777777" w:rsidTr="00436957">
        <w:tc>
          <w:tcPr>
            <w:tcW w:w="4680" w:type="dxa"/>
          </w:tcPr>
          <w:p w14:paraId="2DE170F5" w14:textId="77777777" w:rsidR="00502EF3" w:rsidRPr="001B41AD" w:rsidRDefault="00502EF3" w:rsidP="00436957">
            <w:pPr>
              <w:spacing w:before="40" w:after="20"/>
              <w:jc w:val="center"/>
              <w:rPr>
                <w:lang w:val="sr-Cyrl-CS"/>
              </w:rPr>
            </w:pPr>
            <w:r w:rsidRPr="001B41AD">
              <w:rPr>
                <w:lang w:val="sr-Cyrl-CS"/>
              </w:rPr>
              <w:lastRenderedPageBreak/>
              <w:t>Производња машина и опреме на другом месту непоменуте</w:t>
            </w:r>
          </w:p>
          <w:p w14:paraId="3CB72160" w14:textId="77777777" w:rsidR="00502EF3" w:rsidRPr="001B41AD" w:rsidRDefault="00502EF3" w:rsidP="00436957">
            <w:pPr>
              <w:spacing w:before="40" w:after="20"/>
              <w:jc w:val="center"/>
              <w:rPr>
                <w:lang w:val="sr-Cyrl-CS"/>
              </w:rPr>
            </w:pPr>
            <w:r w:rsidRPr="001B41AD">
              <w:rPr>
                <w:noProof/>
              </w:rPr>
              <w:drawing>
                <wp:inline distT="0" distB="0" distL="0" distR="0" wp14:anchorId="5B0908DE" wp14:editId="04A62669">
                  <wp:extent cx="2880360" cy="1188720"/>
                  <wp:effectExtent l="0" t="0" r="0" b="0"/>
                  <wp:docPr id="35" name="Chart 35">
                    <a:extLst xmlns:a="http://schemas.openxmlformats.org/drawingml/2006/main">
                      <a:ext uri="{FF2B5EF4-FFF2-40B4-BE49-F238E27FC236}">
                        <a16:creationId xmlns:a16="http://schemas.microsoft.com/office/drawing/2014/main" id="{00000000-0008-0000-1C00-00003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c>
          <w:tcPr>
            <w:tcW w:w="4680" w:type="dxa"/>
          </w:tcPr>
          <w:p w14:paraId="58882675" w14:textId="77777777" w:rsidR="00502EF3" w:rsidRPr="001B41AD" w:rsidRDefault="00502EF3" w:rsidP="00436957">
            <w:pPr>
              <w:spacing w:before="40" w:after="20"/>
              <w:jc w:val="center"/>
              <w:rPr>
                <w:lang w:val="sr-Cyrl-CS"/>
              </w:rPr>
            </w:pPr>
            <w:r w:rsidRPr="001B41AD">
              <w:rPr>
                <w:lang w:val="sr-Cyrl-CS"/>
              </w:rPr>
              <w:t>Производња производа од неметалних минерала</w:t>
            </w:r>
          </w:p>
          <w:p w14:paraId="7A383463" w14:textId="77777777" w:rsidR="00502EF3" w:rsidRPr="001B41AD" w:rsidRDefault="00502EF3" w:rsidP="00436957">
            <w:pPr>
              <w:spacing w:before="40" w:after="20"/>
              <w:jc w:val="center"/>
              <w:rPr>
                <w:lang w:val="sr-Cyrl-CS"/>
              </w:rPr>
            </w:pPr>
            <w:r w:rsidRPr="001B41AD">
              <w:rPr>
                <w:noProof/>
              </w:rPr>
              <w:drawing>
                <wp:inline distT="0" distB="0" distL="0" distR="0" wp14:anchorId="751C43FC" wp14:editId="58692371">
                  <wp:extent cx="2880360" cy="1188720"/>
                  <wp:effectExtent l="0" t="0" r="0" b="0"/>
                  <wp:docPr id="833121472" name="Chart 833121472">
                    <a:extLst xmlns:a="http://schemas.openxmlformats.org/drawingml/2006/main">
                      <a:ext uri="{FF2B5EF4-FFF2-40B4-BE49-F238E27FC236}">
                        <a16:creationId xmlns:a16="http://schemas.microsoft.com/office/drawing/2014/main" id="{00000000-0008-0000-1C00-00003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502EF3" w:rsidRPr="001B41AD" w14:paraId="4043736C" w14:textId="77777777" w:rsidTr="00436957">
        <w:tc>
          <w:tcPr>
            <w:tcW w:w="4680" w:type="dxa"/>
          </w:tcPr>
          <w:p w14:paraId="5425D010" w14:textId="77777777" w:rsidR="00502EF3" w:rsidRPr="001B41AD" w:rsidRDefault="00502EF3" w:rsidP="00436957">
            <w:pPr>
              <w:spacing w:before="40" w:after="20"/>
              <w:jc w:val="center"/>
              <w:rPr>
                <w:lang w:val="sr-Cyrl-CS"/>
              </w:rPr>
            </w:pPr>
            <w:r w:rsidRPr="001B41AD">
              <w:rPr>
                <w:lang w:val="sr-Cyrl-CS"/>
              </w:rPr>
              <w:t>Производња електричне опреме</w:t>
            </w:r>
          </w:p>
          <w:p w14:paraId="49ABD845" w14:textId="77777777" w:rsidR="00502EF3" w:rsidRPr="001B41AD" w:rsidRDefault="00502EF3" w:rsidP="00436957">
            <w:pPr>
              <w:spacing w:before="40" w:after="20"/>
              <w:jc w:val="center"/>
              <w:rPr>
                <w:lang w:val="sr-Cyrl-CS"/>
              </w:rPr>
            </w:pPr>
            <w:r w:rsidRPr="001B41AD">
              <w:rPr>
                <w:noProof/>
              </w:rPr>
              <w:drawing>
                <wp:inline distT="0" distB="0" distL="0" distR="0" wp14:anchorId="54817A7E" wp14:editId="064528D1">
                  <wp:extent cx="2880360" cy="1188720"/>
                  <wp:effectExtent l="0" t="0" r="0" b="0"/>
                  <wp:docPr id="833121473" name="Chart 833121473">
                    <a:extLst xmlns:a="http://schemas.openxmlformats.org/drawingml/2006/main">
                      <a:ext uri="{FF2B5EF4-FFF2-40B4-BE49-F238E27FC236}">
                        <a16:creationId xmlns:a16="http://schemas.microsoft.com/office/drawing/2014/main" id="{00000000-0008-0000-1C00-00003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c>
          <w:tcPr>
            <w:tcW w:w="4680" w:type="dxa"/>
          </w:tcPr>
          <w:p w14:paraId="60949C77" w14:textId="77777777" w:rsidR="00502EF3" w:rsidRPr="001B41AD" w:rsidRDefault="00502EF3" w:rsidP="00436957">
            <w:pPr>
              <w:spacing w:before="40" w:after="20"/>
              <w:jc w:val="center"/>
              <w:rPr>
                <w:lang w:val="sr-Cyrl-CS"/>
              </w:rPr>
            </w:pPr>
            <w:r w:rsidRPr="001B41AD">
              <w:rPr>
                <w:lang w:val="sr-Cyrl-CS"/>
              </w:rPr>
              <w:t xml:space="preserve">Производња основних фармацеутских производа и препарата </w:t>
            </w:r>
            <w:r w:rsidRPr="001B41AD">
              <w:rPr>
                <w:noProof/>
              </w:rPr>
              <w:drawing>
                <wp:inline distT="0" distB="0" distL="0" distR="0" wp14:anchorId="263B82C3" wp14:editId="54144C74">
                  <wp:extent cx="2880360" cy="1188720"/>
                  <wp:effectExtent l="0" t="0" r="0" b="0"/>
                  <wp:docPr id="833121475" name="Chart 833121475">
                    <a:extLst xmlns:a="http://schemas.openxmlformats.org/drawingml/2006/main">
                      <a:ext uri="{FF2B5EF4-FFF2-40B4-BE49-F238E27FC236}">
                        <a16:creationId xmlns:a16="http://schemas.microsoft.com/office/drawing/2014/main" id="{00000000-0008-0000-1C00-00001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76AFC92D" w14:textId="77777777" w:rsidR="00502EF3" w:rsidRPr="001B41AD" w:rsidRDefault="00502EF3" w:rsidP="00502EF3">
      <w:pPr>
        <w:spacing w:after="0" w:line="240" w:lineRule="auto"/>
        <w:jc w:val="center"/>
        <w:rPr>
          <w:rFonts w:cstheme="minorHAnsi"/>
          <w:b/>
          <w:bCs/>
          <w:sz w:val="18"/>
          <w:szCs w:val="72"/>
          <w:lang w:val="sr-Cyrl-CS"/>
        </w:rPr>
      </w:pPr>
      <w:r w:rsidRPr="001B41AD">
        <w:rPr>
          <w:noProof/>
          <w:color w:val="FF0000"/>
        </w:rPr>
        <w:drawing>
          <wp:inline distT="0" distB="0" distL="0" distR="0" wp14:anchorId="29C5E146" wp14:editId="275FF9D2">
            <wp:extent cx="3516380" cy="170812"/>
            <wp:effectExtent l="0" t="0" r="0" b="1270"/>
            <wp:docPr id="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57"/>
                    <a:stretch>
                      <a:fillRect/>
                    </a:stretch>
                  </pic:blipFill>
                  <pic:spPr>
                    <a:xfrm>
                      <a:off x="0" y="0"/>
                      <a:ext cx="3765056" cy="182892"/>
                    </a:xfrm>
                    <a:prstGeom prst="rect">
                      <a:avLst/>
                    </a:prstGeom>
                  </pic:spPr>
                </pic:pic>
              </a:graphicData>
            </a:graphic>
          </wp:inline>
        </w:drawing>
      </w:r>
    </w:p>
    <w:p w14:paraId="50C5C679" w14:textId="77777777" w:rsidR="00502EF3" w:rsidRPr="001B41AD" w:rsidRDefault="00502EF3" w:rsidP="00502EF3">
      <w:pPr>
        <w:spacing w:after="240" w:line="240" w:lineRule="auto"/>
        <w:jc w:val="left"/>
        <w:rPr>
          <w:rFonts w:cstheme="minorHAnsi"/>
          <w:b/>
          <w:bCs/>
          <w:sz w:val="14"/>
          <w:szCs w:val="72"/>
          <w:lang w:val="sr-Cyrl-CS"/>
        </w:rPr>
      </w:pPr>
      <w:r w:rsidRPr="001B41AD">
        <w:rPr>
          <w:rFonts w:cstheme="minorHAnsi"/>
          <w:bCs/>
          <w:sz w:val="16"/>
          <w:szCs w:val="72"/>
          <w:lang w:val="sr-Cyrl-CS"/>
        </w:rPr>
        <w:t>Извор: Министарство финансија</w:t>
      </w:r>
    </w:p>
    <w:p w14:paraId="4E5BE500" w14:textId="77777777" w:rsidR="00502EF3" w:rsidRPr="001B41AD" w:rsidRDefault="00502EF3" w:rsidP="00502EF3">
      <w:pPr>
        <w:spacing w:after="0"/>
        <w:rPr>
          <w:rFonts w:cstheme="minorHAnsi"/>
          <w:bCs/>
          <w:szCs w:val="72"/>
          <w:lang w:val="sr-Cyrl-CS"/>
        </w:rPr>
        <w:sectPr w:rsidR="00502EF3" w:rsidRPr="001B41AD" w:rsidSect="00436957">
          <w:pgSz w:w="12240" w:h="15840" w:code="1"/>
          <w:pgMar w:top="1440" w:right="1440" w:bottom="1440" w:left="1440" w:header="720" w:footer="720" w:gutter="0"/>
          <w:cols w:space="720"/>
          <w:docGrid w:linePitch="360"/>
        </w:sectPr>
      </w:pPr>
    </w:p>
    <w:p w14:paraId="366D110F" w14:textId="77777777" w:rsidR="00502EF3" w:rsidRPr="001B41AD" w:rsidRDefault="00502EF3" w:rsidP="00502EF3">
      <w:pPr>
        <w:spacing w:after="120"/>
        <w:rPr>
          <w:rFonts w:cstheme="minorHAnsi"/>
          <w:bCs/>
          <w:spacing w:val="-4"/>
          <w:szCs w:val="72"/>
          <w:lang w:val="sr-Cyrl-CS"/>
        </w:rPr>
      </w:pPr>
      <w:r w:rsidRPr="001B41AD">
        <w:rPr>
          <w:rFonts w:cstheme="minorHAnsi"/>
          <w:bCs/>
          <w:szCs w:val="72"/>
          <w:lang w:val="sr-Cyrl-CS"/>
        </w:rPr>
        <w:t>Узимајући у обзир кретања у првој половини године, као и динамику високофреквентних индикатора у јулу и августу, пројекција раста БДП за 2025. годину ревидирана је наниже, са претходних 3,0% на 2,3%. Матрицу ризика у овом тренутку оцењујемо као симетричну, што значи да су изгледи за одступања привредног раста у позитивном и негативном смеру приближно подједнако вероватни.</w:t>
      </w:r>
    </w:p>
    <w:p w14:paraId="1134410C" w14:textId="77777777" w:rsidR="00502EF3" w:rsidRPr="001B41AD" w:rsidRDefault="00502EF3" w:rsidP="00502EF3">
      <w:pPr>
        <w:tabs>
          <w:tab w:val="left" w:pos="720"/>
          <w:tab w:val="left" w:pos="1440"/>
        </w:tabs>
        <w:spacing w:after="0"/>
        <w:jc w:val="center"/>
        <w:rPr>
          <w:rFonts w:cstheme="minorHAnsi"/>
          <w:b/>
          <w:color w:val="FF0000"/>
          <w:spacing w:val="-4"/>
          <w:lang w:val="sr-Cyrl-CS"/>
        </w:rPr>
      </w:pPr>
      <w:r w:rsidRPr="001B41AD">
        <w:rPr>
          <w:rFonts w:cstheme="minorHAnsi"/>
          <w:b/>
          <w:color w:val="002060"/>
          <w:spacing w:val="-4"/>
          <w:lang w:val="sr-Cyrl-CS"/>
        </w:rPr>
        <w:t>Пројекција динамике кварталног БДП (%, мг) у 2025. години</w:t>
      </w:r>
    </w:p>
    <w:p w14:paraId="1CB01F9C" w14:textId="77777777" w:rsidR="00502EF3" w:rsidRPr="001B41AD" w:rsidRDefault="00502EF3" w:rsidP="00502EF3">
      <w:pPr>
        <w:tabs>
          <w:tab w:val="left" w:pos="720"/>
          <w:tab w:val="left" w:pos="1440"/>
        </w:tabs>
        <w:spacing w:after="0"/>
        <w:rPr>
          <w:rFonts w:cstheme="minorHAnsi"/>
          <w:bCs/>
          <w:szCs w:val="72"/>
          <w:lang w:val="sr-Cyrl-CS"/>
        </w:rPr>
      </w:pPr>
      <w:r w:rsidRPr="001B41AD">
        <w:rPr>
          <w:noProof/>
        </w:rPr>
        <w:drawing>
          <wp:inline distT="0" distB="0" distL="0" distR="0" wp14:anchorId="27FFBA64" wp14:editId="189E64A6">
            <wp:extent cx="2743200" cy="1403011"/>
            <wp:effectExtent l="0" t="0" r="0" b="6985"/>
            <wp:docPr id="34" name="Chart 34">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2BB96AA1" w14:textId="77777777" w:rsidR="00502EF3" w:rsidRPr="001B41AD" w:rsidRDefault="00502EF3" w:rsidP="00502EF3">
      <w:pPr>
        <w:tabs>
          <w:tab w:val="left" w:pos="720"/>
          <w:tab w:val="left" w:pos="1440"/>
        </w:tabs>
        <w:spacing w:after="0"/>
        <w:rPr>
          <w:rFonts w:cstheme="minorHAnsi"/>
          <w:bCs/>
          <w:sz w:val="16"/>
          <w:szCs w:val="16"/>
          <w:lang w:val="sr-Cyrl-CS"/>
        </w:rPr>
      </w:pPr>
      <w:r w:rsidRPr="001B41AD">
        <w:rPr>
          <w:rFonts w:cstheme="minorHAnsi"/>
          <w:bCs/>
          <w:sz w:val="16"/>
          <w:szCs w:val="16"/>
          <w:lang w:val="sr-Cyrl-CS"/>
        </w:rPr>
        <w:t>Извор: Министарство финансија</w:t>
      </w:r>
    </w:p>
    <w:p w14:paraId="033C7CDB" w14:textId="77777777" w:rsidR="00502EF3" w:rsidRPr="001B41AD" w:rsidRDefault="00502EF3" w:rsidP="00502EF3">
      <w:pPr>
        <w:tabs>
          <w:tab w:val="left" w:pos="720"/>
          <w:tab w:val="left" w:pos="1440"/>
        </w:tabs>
        <w:spacing w:after="0"/>
        <w:rPr>
          <w:rFonts w:cstheme="minorHAnsi"/>
          <w:bCs/>
          <w:sz w:val="16"/>
          <w:szCs w:val="16"/>
          <w:lang w:val="sr-Cyrl-CS"/>
        </w:rPr>
      </w:pPr>
    </w:p>
    <w:p w14:paraId="428E9348" w14:textId="77777777" w:rsidR="00502EF3" w:rsidRPr="001B41AD" w:rsidRDefault="00502EF3" w:rsidP="00191445">
      <w:pPr>
        <w:tabs>
          <w:tab w:val="left" w:pos="720"/>
          <w:tab w:val="left" w:pos="1440"/>
        </w:tabs>
        <w:spacing w:after="0"/>
        <w:rPr>
          <w:lang w:val="sr-Cyrl-CS"/>
        </w:rPr>
        <w:sectPr w:rsidR="00502EF3" w:rsidRPr="001B41AD" w:rsidSect="00436957">
          <w:type w:val="continuous"/>
          <w:pgSz w:w="12240" w:h="15840" w:code="1"/>
          <w:pgMar w:top="1440" w:right="1440" w:bottom="1440" w:left="1440" w:header="720" w:footer="720" w:gutter="0"/>
          <w:cols w:num="2" w:space="720"/>
          <w:docGrid w:linePitch="360"/>
        </w:sectPr>
      </w:pPr>
      <w:r w:rsidRPr="001B41AD">
        <w:rPr>
          <w:rFonts w:cstheme="minorHAnsi"/>
          <w:bCs/>
          <w:szCs w:val="72"/>
          <w:lang w:val="sr-Cyrl-CS"/>
        </w:rPr>
        <w:t xml:space="preserve">И у ревидираном оквиру, раст БДП у 2025. години биће опредељен домаћом тражњом, али у мањој мери него што је претходно очекивано, док ће допринос нето извоза остати негативан. Најзначајнија ревизија односи се на инвестиције, које су показале слабију динамику од очекиване. </w:t>
      </w:r>
      <w:r w:rsidRPr="001B41AD">
        <w:rPr>
          <w:rFonts w:cstheme="minorHAnsi"/>
          <w:bCs/>
          <w:szCs w:val="72"/>
          <w:lang w:val="sr-Cyrl-CS"/>
        </w:rPr>
        <w:t>Инвестициона активност била је под снажним притиском како домаћих, тако и међународних извора неизвесности. Унутрашњи фактори у виду повећаних друштвено-политичких тензија ограничили су укупни инвестициони замах, док су спољни ризици, попут нестабилног глобалног окружења, геополитичких тензија и појачане фрагментације међународне трговине, успорили прилив страних директних инвестиција.</w:t>
      </w:r>
      <w:r w:rsidRPr="001B41AD">
        <w:rPr>
          <w:rFonts w:cstheme="minorHAnsi"/>
          <w:bCs/>
          <w:color w:val="FF0000"/>
          <w:szCs w:val="72"/>
          <w:lang w:val="sr-Cyrl-CS"/>
        </w:rPr>
        <w:t xml:space="preserve"> </w:t>
      </w:r>
      <w:r w:rsidRPr="001B41AD">
        <w:rPr>
          <w:rFonts w:cstheme="minorHAnsi"/>
          <w:bCs/>
          <w:szCs w:val="72"/>
          <w:lang w:val="sr-Cyrl-CS"/>
        </w:rPr>
        <w:t xml:space="preserve">Као последица тога, раст инвестиција је ревидиран наниже, са првобитно очекиваних 4,2% на 1,6%, што представља главни разлог корекције раста БДП у 2025. години. </w:t>
      </w:r>
      <w:r w:rsidRPr="001B41AD">
        <w:rPr>
          <w:lang w:val="sr-Cyrl-CS"/>
        </w:rPr>
        <w:t xml:space="preserve">Код осталих агрегата употребе корекције су биле минималне и нису битније утицале на ревизију укупног раста БДП. Посматрано по производним секторима, највећа корекција односи се на грађевинарство, с обзиром на то да се уместо првобитно очекиваног раста од 1,9%, сада пројектује пад од око 5%. Значајнија корекција извршена је у пољопривреди, док су код осталих сектора измене биле минималне и нису битније утицале на укупну ревизију. </w:t>
      </w:r>
      <w:r w:rsidR="00191445" w:rsidRPr="001B41AD">
        <w:rPr>
          <w:lang w:val="sr-Cyrl-CS"/>
        </w:rPr>
        <w:t>Процена дефлатора БДП за 2025. годину није мењана у односу на претходну пројекцију и остаје на нивоу од 4,1%, будући да је динамика дефлатора појединачних компоненти у складу са очекиваном.</w:t>
      </w:r>
    </w:p>
    <w:p w14:paraId="72B51410" w14:textId="77777777" w:rsidR="00502EF3" w:rsidRPr="001B41AD" w:rsidRDefault="00502EF3" w:rsidP="00502EF3">
      <w:pPr>
        <w:tabs>
          <w:tab w:val="left" w:pos="720"/>
          <w:tab w:val="left" w:pos="1440"/>
        </w:tabs>
        <w:spacing w:before="120" w:after="0"/>
        <w:rPr>
          <w:rFonts w:cstheme="minorHAnsi"/>
          <w:bCs/>
          <w:szCs w:val="72"/>
          <w:lang w:val="sr-Cyrl-CS"/>
        </w:rPr>
        <w:sectPr w:rsidR="00502EF3" w:rsidRPr="001B41AD" w:rsidSect="00436957">
          <w:type w:val="continuous"/>
          <w:pgSz w:w="12240" w:h="15840" w:code="1"/>
          <w:pgMar w:top="1440" w:right="1440" w:bottom="1440" w:left="1440" w:header="720" w:footer="720" w:gutter="0"/>
          <w:cols w:num="2" w:space="720"/>
          <w:docGrid w:linePitch="360"/>
        </w:sectPr>
      </w:pPr>
    </w:p>
    <w:p w14:paraId="27CF91AA" w14:textId="77777777" w:rsidR="00502EF3" w:rsidRPr="001B41AD" w:rsidRDefault="00502EF3" w:rsidP="00502EF3">
      <w:pPr>
        <w:spacing w:after="40"/>
        <w:jc w:val="center"/>
        <w:rPr>
          <w:rFonts w:ascii="Calibri" w:eastAsia="Calibri" w:hAnsi="Calibri" w:cs="Calibri"/>
          <w:b/>
          <w:color w:val="002060"/>
          <w:lang w:val="sr-Cyrl-CS"/>
        </w:rPr>
      </w:pPr>
      <w:r w:rsidRPr="001B41AD">
        <w:rPr>
          <w:rFonts w:ascii="Calibri" w:eastAsia="Calibri" w:hAnsi="Calibri" w:cs="Calibri"/>
          <w:b/>
          <w:color w:val="002060"/>
          <w:lang w:val="sr-Cyrl-CS"/>
        </w:rPr>
        <w:lastRenderedPageBreak/>
        <w:t>Табела 3. БДП, стопе реалног раста, %</w:t>
      </w:r>
    </w:p>
    <w:tbl>
      <w:tblPr>
        <w:tblStyle w:val="TableGrid"/>
        <w:tblW w:w="499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0"/>
        <w:gridCol w:w="1302"/>
        <w:gridCol w:w="1300"/>
        <w:gridCol w:w="1300"/>
        <w:gridCol w:w="1300"/>
        <w:gridCol w:w="1300"/>
      </w:tblGrid>
      <w:tr w:rsidR="00502EF3" w:rsidRPr="001B41AD" w14:paraId="5CF4F840" w14:textId="77777777" w:rsidTr="00436957">
        <w:trPr>
          <w:jc w:val="center"/>
        </w:trPr>
        <w:tc>
          <w:tcPr>
            <w:tcW w:w="1522" w:type="pct"/>
            <w:tcBorders>
              <w:top w:val="single" w:sz="4" w:space="0" w:color="002060"/>
              <w:left w:val="single" w:sz="2" w:space="0" w:color="FFFFFF"/>
              <w:bottom w:val="single" w:sz="2" w:space="0" w:color="FFFFFF"/>
              <w:right w:val="single" w:sz="2" w:space="0" w:color="FFFFFF"/>
            </w:tcBorders>
          </w:tcPr>
          <w:p w14:paraId="6113F74E" w14:textId="77777777" w:rsidR="00502EF3" w:rsidRPr="001B41AD" w:rsidRDefault="00502EF3" w:rsidP="00436957">
            <w:pPr>
              <w:rPr>
                <w:rFonts w:ascii="Calibri" w:eastAsia="Calibri" w:hAnsi="Calibri" w:cs="Calibri"/>
                <w:color w:val="002060"/>
                <w:sz w:val="18"/>
                <w:lang w:val="sr-Cyrl-CS"/>
              </w:rPr>
            </w:pPr>
          </w:p>
        </w:tc>
        <w:tc>
          <w:tcPr>
            <w:tcW w:w="696" w:type="pct"/>
            <w:tcBorders>
              <w:top w:val="single" w:sz="4" w:space="0" w:color="002060"/>
              <w:left w:val="single" w:sz="2" w:space="0" w:color="FFFFFF"/>
              <w:bottom w:val="single" w:sz="4" w:space="0" w:color="auto"/>
              <w:right w:val="single" w:sz="2" w:space="0" w:color="FFFFFF"/>
            </w:tcBorders>
            <w:vAlign w:val="center"/>
          </w:tcPr>
          <w:p w14:paraId="56034F4A" w14:textId="77777777" w:rsidR="00502EF3" w:rsidRPr="001B41AD" w:rsidRDefault="00502EF3" w:rsidP="00436957">
            <w:pPr>
              <w:jc w:val="center"/>
              <w:rPr>
                <w:rFonts w:ascii="Calibri" w:eastAsia="Calibri" w:hAnsi="Calibri" w:cs="Calibri"/>
                <w:color w:val="002060"/>
                <w:sz w:val="18"/>
                <w:lang w:val="sr-Cyrl-CS"/>
              </w:rPr>
            </w:pPr>
            <w:r w:rsidRPr="001B41AD">
              <w:rPr>
                <w:rFonts w:ascii="Calibri" w:eastAsia="Calibri" w:hAnsi="Calibri" w:cs="Calibri"/>
                <w:color w:val="002060"/>
                <w:sz w:val="18"/>
                <w:lang w:val="sr-Cyrl-CS"/>
              </w:rPr>
              <w:t>2024</w:t>
            </w:r>
          </w:p>
        </w:tc>
        <w:tc>
          <w:tcPr>
            <w:tcW w:w="695" w:type="pct"/>
            <w:tcBorders>
              <w:top w:val="single" w:sz="4" w:space="0" w:color="002060"/>
              <w:left w:val="single" w:sz="2" w:space="0" w:color="FFFFFF"/>
              <w:bottom w:val="single" w:sz="4" w:space="0" w:color="auto"/>
              <w:right w:val="single" w:sz="2" w:space="0" w:color="FFFFFF"/>
            </w:tcBorders>
            <w:vAlign w:val="center"/>
          </w:tcPr>
          <w:p w14:paraId="5805AF8F" w14:textId="77777777" w:rsidR="00502EF3" w:rsidRPr="001B41AD" w:rsidRDefault="00502EF3" w:rsidP="00436957">
            <w:pPr>
              <w:jc w:val="center"/>
              <w:rPr>
                <w:rFonts w:ascii="Calibri" w:eastAsia="Calibri" w:hAnsi="Calibri" w:cs="Calibri"/>
                <w:color w:val="002060"/>
                <w:sz w:val="18"/>
                <w:lang w:val="sr-Cyrl-CS"/>
              </w:rPr>
            </w:pPr>
            <w:r w:rsidRPr="001B41AD">
              <w:rPr>
                <w:rFonts w:ascii="Calibri" w:eastAsia="Calibri" w:hAnsi="Calibri" w:cs="Calibri"/>
                <w:color w:val="002060"/>
                <w:sz w:val="18"/>
                <w:lang w:val="sr-Cyrl-CS"/>
              </w:rPr>
              <w:t>Q1 2025</w:t>
            </w:r>
          </w:p>
        </w:tc>
        <w:tc>
          <w:tcPr>
            <w:tcW w:w="695" w:type="pct"/>
            <w:tcBorders>
              <w:top w:val="single" w:sz="4" w:space="0" w:color="002060"/>
              <w:left w:val="single" w:sz="2" w:space="0" w:color="FFFFFF"/>
              <w:bottom w:val="single" w:sz="4" w:space="0" w:color="auto"/>
              <w:right w:val="single" w:sz="2" w:space="0" w:color="FFFFFF"/>
            </w:tcBorders>
          </w:tcPr>
          <w:p w14:paraId="6D2CED71" w14:textId="77777777" w:rsidR="00502EF3" w:rsidRPr="001B41AD" w:rsidRDefault="00502EF3" w:rsidP="00436957">
            <w:pPr>
              <w:jc w:val="center"/>
              <w:rPr>
                <w:rFonts w:ascii="Calibri" w:eastAsia="Calibri" w:hAnsi="Calibri" w:cs="Calibri"/>
                <w:color w:val="002060"/>
                <w:sz w:val="18"/>
                <w:lang w:val="sr-Cyrl-CS"/>
              </w:rPr>
            </w:pPr>
          </w:p>
          <w:p w14:paraId="6F9E08DA" w14:textId="77777777" w:rsidR="00502EF3" w:rsidRPr="001B41AD" w:rsidRDefault="00502EF3" w:rsidP="00436957">
            <w:pPr>
              <w:rPr>
                <w:rFonts w:ascii="Calibri" w:eastAsia="Calibri" w:hAnsi="Calibri" w:cs="Calibri"/>
                <w:color w:val="002060"/>
                <w:sz w:val="18"/>
                <w:lang w:val="sr-Cyrl-CS"/>
              </w:rPr>
            </w:pPr>
            <w:r w:rsidRPr="001B41AD">
              <w:rPr>
                <w:rFonts w:ascii="Calibri" w:eastAsia="Calibri" w:hAnsi="Calibri" w:cs="Calibri"/>
                <w:color w:val="002060"/>
                <w:sz w:val="18"/>
                <w:lang w:val="sr-Cyrl-CS"/>
              </w:rPr>
              <w:t>Q2 2025</w:t>
            </w:r>
          </w:p>
        </w:tc>
        <w:tc>
          <w:tcPr>
            <w:tcW w:w="695" w:type="pct"/>
            <w:tcBorders>
              <w:top w:val="single" w:sz="4" w:space="0" w:color="002060"/>
              <w:left w:val="single" w:sz="2" w:space="0" w:color="FFFFFF"/>
              <w:bottom w:val="single" w:sz="4" w:space="0" w:color="auto"/>
              <w:right w:val="single" w:sz="2" w:space="0" w:color="FFFFFF"/>
            </w:tcBorders>
            <w:vAlign w:val="center"/>
          </w:tcPr>
          <w:p w14:paraId="1CC67654" w14:textId="77777777" w:rsidR="00502EF3" w:rsidRPr="001B41AD" w:rsidRDefault="00502EF3" w:rsidP="00436957">
            <w:pPr>
              <w:jc w:val="center"/>
              <w:rPr>
                <w:rFonts w:ascii="Calibri" w:eastAsia="Calibri" w:hAnsi="Calibri" w:cs="Calibri"/>
                <w:color w:val="002060"/>
                <w:sz w:val="18"/>
                <w:lang w:val="sr-Cyrl-CS"/>
              </w:rPr>
            </w:pPr>
            <w:r w:rsidRPr="001B41AD">
              <w:rPr>
                <w:rFonts w:ascii="Calibri" w:eastAsia="Calibri" w:hAnsi="Calibri" w:cs="Calibri"/>
                <w:color w:val="002060"/>
                <w:sz w:val="18"/>
                <w:lang w:val="sr-Cyrl-CS"/>
              </w:rPr>
              <w:t>2025* (ревидирана процена)</w:t>
            </w:r>
          </w:p>
        </w:tc>
        <w:tc>
          <w:tcPr>
            <w:tcW w:w="695" w:type="pct"/>
            <w:tcBorders>
              <w:top w:val="single" w:sz="4" w:space="0" w:color="002060"/>
              <w:left w:val="single" w:sz="2" w:space="0" w:color="FFFFFF"/>
              <w:bottom w:val="single" w:sz="4" w:space="0" w:color="auto"/>
              <w:right w:val="single" w:sz="2" w:space="0" w:color="FFFFFF"/>
            </w:tcBorders>
            <w:vAlign w:val="center"/>
          </w:tcPr>
          <w:p w14:paraId="04B633FC" w14:textId="77777777" w:rsidR="00502EF3" w:rsidRPr="001B41AD" w:rsidRDefault="00502EF3" w:rsidP="00436957">
            <w:pPr>
              <w:jc w:val="center"/>
              <w:rPr>
                <w:rFonts w:ascii="Calibri" w:eastAsia="Calibri" w:hAnsi="Calibri" w:cs="Calibri"/>
                <w:color w:val="002060"/>
                <w:sz w:val="18"/>
                <w:lang w:val="sr-Cyrl-CS"/>
              </w:rPr>
            </w:pPr>
            <w:r w:rsidRPr="001B41AD">
              <w:rPr>
                <w:rFonts w:ascii="Calibri" w:eastAsia="Calibri" w:hAnsi="Calibri" w:cs="Calibri"/>
                <w:color w:val="002060"/>
                <w:sz w:val="18"/>
                <w:lang w:val="sr-Cyrl-CS"/>
              </w:rPr>
              <w:t>2025*</w:t>
            </w:r>
            <w:r w:rsidRPr="001B41AD">
              <w:rPr>
                <w:rFonts w:ascii="Calibri" w:eastAsia="Calibri" w:hAnsi="Calibri" w:cs="Calibri"/>
                <w:color w:val="002060"/>
                <w:sz w:val="18"/>
                <w:lang w:val="sr-Cyrl-CS"/>
              </w:rPr>
              <w:br w:type="textWrapping" w:clear="all"/>
              <w:t>(претходна процена)</w:t>
            </w:r>
          </w:p>
        </w:tc>
      </w:tr>
      <w:tr w:rsidR="00502EF3" w:rsidRPr="001B41AD" w14:paraId="79B8BAB0" w14:textId="77777777" w:rsidTr="00436957">
        <w:trPr>
          <w:jc w:val="center"/>
        </w:trPr>
        <w:tc>
          <w:tcPr>
            <w:tcW w:w="1522" w:type="pct"/>
            <w:tcBorders>
              <w:top w:val="single" w:sz="2" w:space="0" w:color="FFFFFF"/>
            </w:tcBorders>
          </w:tcPr>
          <w:p w14:paraId="3CE4A7CF"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БДП</w:t>
            </w:r>
          </w:p>
        </w:tc>
        <w:tc>
          <w:tcPr>
            <w:tcW w:w="696" w:type="pct"/>
            <w:tcBorders>
              <w:top w:val="single" w:sz="4" w:space="0" w:color="auto"/>
            </w:tcBorders>
          </w:tcPr>
          <w:p w14:paraId="2B069401"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3,9</w:t>
            </w:r>
          </w:p>
        </w:tc>
        <w:tc>
          <w:tcPr>
            <w:tcW w:w="695" w:type="pct"/>
            <w:tcBorders>
              <w:top w:val="single" w:sz="4" w:space="0" w:color="auto"/>
              <w:left w:val="nil"/>
              <w:right w:val="nil"/>
            </w:tcBorders>
            <w:vAlign w:val="center"/>
          </w:tcPr>
          <w:p w14:paraId="3668C21B"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1,9</w:t>
            </w:r>
          </w:p>
        </w:tc>
        <w:tc>
          <w:tcPr>
            <w:tcW w:w="695" w:type="pct"/>
            <w:tcBorders>
              <w:top w:val="single" w:sz="4" w:space="0" w:color="auto"/>
            </w:tcBorders>
          </w:tcPr>
          <w:p w14:paraId="6BEB542E"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2,1</w:t>
            </w:r>
          </w:p>
        </w:tc>
        <w:tc>
          <w:tcPr>
            <w:tcW w:w="695" w:type="pct"/>
            <w:tcBorders>
              <w:top w:val="single" w:sz="4" w:space="0" w:color="auto"/>
            </w:tcBorders>
          </w:tcPr>
          <w:p w14:paraId="3E0968C4"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2,3</w:t>
            </w:r>
          </w:p>
        </w:tc>
        <w:tc>
          <w:tcPr>
            <w:tcW w:w="695" w:type="pct"/>
            <w:tcBorders>
              <w:top w:val="single" w:sz="4" w:space="0" w:color="auto"/>
              <w:left w:val="nil"/>
              <w:right w:val="nil"/>
            </w:tcBorders>
            <w:vAlign w:val="center"/>
          </w:tcPr>
          <w:p w14:paraId="0A04EB04"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3,0</w:t>
            </w:r>
          </w:p>
        </w:tc>
      </w:tr>
      <w:tr w:rsidR="00502EF3" w:rsidRPr="001B41AD" w14:paraId="739B0EAF" w14:textId="77777777" w:rsidTr="00436957">
        <w:trPr>
          <w:jc w:val="center"/>
        </w:trPr>
        <w:tc>
          <w:tcPr>
            <w:tcW w:w="1522" w:type="pct"/>
            <w:tcBorders>
              <w:top w:val="single" w:sz="2" w:space="0" w:color="FFFFFF"/>
            </w:tcBorders>
          </w:tcPr>
          <w:p w14:paraId="3EDEE1A8" w14:textId="77777777" w:rsidR="00502EF3" w:rsidRPr="001B41AD" w:rsidRDefault="00502EF3" w:rsidP="00436957">
            <w:pPr>
              <w:ind w:left="-15"/>
              <w:rPr>
                <w:rFonts w:ascii="Calibri" w:eastAsia="Calibri" w:hAnsi="Calibri" w:cs="Calibri"/>
                <w:color w:val="FF0000"/>
                <w:sz w:val="18"/>
                <w:lang w:val="sr-Cyrl-CS"/>
              </w:rPr>
            </w:pPr>
            <w:r w:rsidRPr="001B41AD">
              <w:rPr>
                <w:rFonts w:ascii="Calibri" w:eastAsia="Calibri" w:hAnsi="Calibri" w:cs="Calibri"/>
                <w:color w:val="002060"/>
                <w:sz w:val="18"/>
                <w:lang w:val="sr-Cyrl-CS"/>
              </w:rPr>
              <w:t>Дефлатор БДП, %</w:t>
            </w:r>
          </w:p>
        </w:tc>
        <w:tc>
          <w:tcPr>
            <w:tcW w:w="696" w:type="pct"/>
          </w:tcPr>
          <w:p w14:paraId="0783BD48"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6,3</w:t>
            </w:r>
          </w:p>
        </w:tc>
        <w:tc>
          <w:tcPr>
            <w:tcW w:w="695" w:type="pct"/>
            <w:tcBorders>
              <w:left w:val="nil"/>
              <w:bottom w:val="nil"/>
              <w:right w:val="nil"/>
            </w:tcBorders>
            <w:vAlign w:val="center"/>
          </w:tcPr>
          <w:p w14:paraId="64011F10"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4,8</w:t>
            </w:r>
          </w:p>
        </w:tc>
        <w:tc>
          <w:tcPr>
            <w:tcW w:w="695" w:type="pct"/>
          </w:tcPr>
          <w:p w14:paraId="1A119397"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4,2</w:t>
            </w:r>
          </w:p>
        </w:tc>
        <w:tc>
          <w:tcPr>
            <w:tcW w:w="695" w:type="pct"/>
          </w:tcPr>
          <w:p w14:paraId="2F57B51D"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4,1</w:t>
            </w:r>
          </w:p>
        </w:tc>
        <w:tc>
          <w:tcPr>
            <w:tcW w:w="695" w:type="pct"/>
            <w:tcBorders>
              <w:left w:val="nil"/>
              <w:bottom w:val="nil"/>
              <w:right w:val="nil"/>
            </w:tcBorders>
            <w:vAlign w:val="center"/>
          </w:tcPr>
          <w:p w14:paraId="52CBE849"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4,1</w:t>
            </w:r>
          </w:p>
        </w:tc>
      </w:tr>
      <w:tr w:rsidR="00502EF3" w:rsidRPr="001B41AD" w14:paraId="04B93CA2" w14:textId="77777777" w:rsidTr="00436957">
        <w:trPr>
          <w:jc w:val="center"/>
        </w:trPr>
        <w:tc>
          <w:tcPr>
            <w:tcW w:w="1522" w:type="pct"/>
            <w:tcBorders>
              <w:top w:val="single" w:sz="2" w:space="0" w:color="FFFFFF"/>
            </w:tcBorders>
            <w:shd w:val="clear" w:color="auto" w:fill="E7E6E6"/>
          </w:tcPr>
          <w:p w14:paraId="1E8F4B6F" w14:textId="77777777" w:rsidR="00502EF3" w:rsidRPr="001B41AD" w:rsidRDefault="00502EF3" w:rsidP="00436957">
            <w:pPr>
              <w:jc w:val="right"/>
              <w:rPr>
                <w:rFonts w:ascii="Calibri" w:eastAsia="Calibri" w:hAnsi="Calibri" w:cs="Calibri"/>
                <w:color w:val="002060"/>
                <w:sz w:val="18"/>
                <w:lang w:val="sr-Cyrl-CS"/>
              </w:rPr>
            </w:pPr>
          </w:p>
        </w:tc>
        <w:tc>
          <w:tcPr>
            <w:tcW w:w="696" w:type="pct"/>
            <w:tcBorders>
              <w:top w:val="single" w:sz="2" w:space="0" w:color="FFFFFF"/>
            </w:tcBorders>
            <w:shd w:val="clear" w:color="auto" w:fill="E7E6E6"/>
          </w:tcPr>
          <w:p w14:paraId="7A4D9E8A" w14:textId="77777777" w:rsidR="00502EF3" w:rsidRPr="001B41AD" w:rsidRDefault="00502EF3" w:rsidP="00436957">
            <w:pPr>
              <w:ind w:right="397"/>
              <w:jc w:val="right"/>
              <w:rPr>
                <w:rFonts w:ascii="Calibri" w:eastAsia="Calibri" w:hAnsi="Calibri" w:cs="Calibri"/>
                <w:color w:val="002060"/>
                <w:sz w:val="18"/>
                <w:lang w:val="sr-Cyrl-CS"/>
              </w:rPr>
            </w:pPr>
          </w:p>
        </w:tc>
        <w:tc>
          <w:tcPr>
            <w:tcW w:w="695" w:type="pct"/>
            <w:tcBorders>
              <w:top w:val="single" w:sz="8" w:space="0" w:color="FFFFFF"/>
              <w:left w:val="nil"/>
              <w:bottom w:val="nil"/>
              <w:right w:val="nil"/>
            </w:tcBorders>
            <w:shd w:val="clear" w:color="000000" w:fill="E7E6E6"/>
            <w:vAlign w:val="center"/>
          </w:tcPr>
          <w:p w14:paraId="0EC7FD56" w14:textId="77777777" w:rsidR="00502EF3" w:rsidRPr="001B41AD" w:rsidRDefault="00502EF3" w:rsidP="00436957">
            <w:pPr>
              <w:ind w:right="397"/>
              <w:jc w:val="right"/>
              <w:rPr>
                <w:rFonts w:ascii="Calibri" w:eastAsia="Calibri" w:hAnsi="Calibri" w:cs="Calibri"/>
                <w:color w:val="002060"/>
                <w:sz w:val="18"/>
                <w:lang w:val="sr-Cyrl-CS"/>
              </w:rPr>
            </w:pPr>
          </w:p>
        </w:tc>
        <w:tc>
          <w:tcPr>
            <w:tcW w:w="695" w:type="pct"/>
            <w:tcBorders>
              <w:top w:val="single" w:sz="2" w:space="0" w:color="FFFFFF"/>
            </w:tcBorders>
            <w:shd w:val="clear" w:color="auto" w:fill="E7E6E6"/>
          </w:tcPr>
          <w:p w14:paraId="294E809E" w14:textId="77777777" w:rsidR="00502EF3" w:rsidRPr="001B41AD" w:rsidRDefault="00502EF3" w:rsidP="00436957">
            <w:pPr>
              <w:ind w:right="397"/>
              <w:jc w:val="right"/>
              <w:rPr>
                <w:rFonts w:ascii="Calibri" w:eastAsia="Calibri" w:hAnsi="Calibri" w:cs="Calibri"/>
                <w:color w:val="002060"/>
                <w:sz w:val="18"/>
                <w:lang w:val="sr-Cyrl-CS"/>
              </w:rPr>
            </w:pPr>
          </w:p>
        </w:tc>
        <w:tc>
          <w:tcPr>
            <w:tcW w:w="695" w:type="pct"/>
            <w:tcBorders>
              <w:top w:val="single" w:sz="2" w:space="0" w:color="FFFFFF"/>
            </w:tcBorders>
            <w:shd w:val="clear" w:color="auto" w:fill="E7E6E6"/>
          </w:tcPr>
          <w:p w14:paraId="43A905F7" w14:textId="77777777" w:rsidR="00502EF3" w:rsidRPr="001B41AD" w:rsidRDefault="00502EF3" w:rsidP="00436957">
            <w:pPr>
              <w:ind w:right="397"/>
              <w:jc w:val="right"/>
              <w:rPr>
                <w:rFonts w:ascii="Calibri" w:eastAsia="Calibri" w:hAnsi="Calibri" w:cs="Calibri"/>
                <w:color w:val="002060"/>
                <w:sz w:val="18"/>
                <w:lang w:val="sr-Cyrl-CS"/>
              </w:rPr>
            </w:pPr>
          </w:p>
        </w:tc>
        <w:tc>
          <w:tcPr>
            <w:tcW w:w="695" w:type="pct"/>
            <w:tcBorders>
              <w:top w:val="single" w:sz="8" w:space="0" w:color="FFFFFF"/>
              <w:left w:val="nil"/>
              <w:bottom w:val="nil"/>
              <w:right w:val="nil"/>
            </w:tcBorders>
            <w:shd w:val="clear" w:color="000000" w:fill="E7E6E6"/>
            <w:vAlign w:val="center"/>
          </w:tcPr>
          <w:p w14:paraId="4656A308" w14:textId="77777777" w:rsidR="00502EF3" w:rsidRPr="001B41AD" w:rsidRDefault="00502EF3" w:rsidP="00436957">
            <w:pPr>
              <w:ind w:right="397"/>
              <w:jc w:val="right"/>
              <w:rPr>
                <w:rFonts w:ascii="Calibri" w:eastAsia="Calibri" w:hAnsi="Calibri" w:cs="Calibri"/>
                <w:color w:val="002060"/>
                <w:sz w:val="18"/>
                <w:lang w:val="sr-Cyrl-CS"/>
              </w:rPr>
            </w:pPr>
          </w:p>
        </w:tc>
      </w:tr>
      <w:tr w:rsidR="00502EF3" w:rsidRPr="001B41AD" w14:paraId="04B98188" w14:textId="77777777" w:rsidTr="00436957">
        <w:trPr>
          <w:jc w:val="center"/>
        </w:trPr>
        <w:tc>
          <w:tcPr>
            <w:tcW w:w="1522" w:type="pct"/>
          </w:tcPr>
          <w:p w14:paraId="5157B458"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Приватна потрошња</w:t>
            </w:r>
          </w:p>
        </w:tc>
        <w:tc>
          <w:tcPr>
            <w:tcW w:w="696" w:type="pct"/>
          </w:tcPr>
          <w:p w14:paraId="2CAE753A"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5,2</w:t>
            </w:r>
          </w:p>
        </w:tc>
        <w:tc>
          <w:tcPr>
            <w:tcW w:w="695" w:type="pct"/>
            <w:tcBorders>
              <w:top w:val="nil"/>
              <w:left w:val="nil"/>
              <w:bottom w:val="nil"/>
              <w:right w:val="nil"/>
            </w:tcBorders>
            <w:vAlign w:val="center"/>
          </w:tcPr>
          <w:p w14:paraId="3BD40312"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1,7</w:t>
            </w:r>
          </w:p>
        </w:tc>
        <w:tc>
          <w:tcPr>
            <w:tcW w:w="695" w:type="pct"/>
          </w:tcPr>
          <w:p w14:paraId="4F868A94"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3,0</w:t>
            </w:r>
          </w:p>
        </w:tc>
        <w:tc>
          <w:tcPr>
            <w:tcW w:w="695" w:type="pct"/>
          </w:tcPr>
          <w:p w14:paraId="777F1CB7"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2,8</w:t>
            </w:r>
          </w:p>
        </w:tc>
        <w:tc>
          <w:tcPr>
            <w:tcW w:w="695" w:type="pct"/>
            <w:tcBorders>
              <w:top w:val="nil"/>
              <w:left w:val="nil"/>
              <w:bottom w:val="nil"/>
              <w:right w:val="nil"/>
            </w:tcBorders>
            <w:vAlign w:val="center"/>
          </w:tcPr>
          <w:p w14:paraId="627D8739"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3,1</w:t>
            </w:r>
          </w:p>
        </w:tc>
      </w:tr>
      <w:tr w:rsidR="00502EF3" w:rsidRPr="001B41AD" w14:paraId="0744A570" w14:textId="77777777" w:rsidTr="00436957">
        <w:trPr>
          <w:jc w:val="center"/>
        </w:trPr>
        <w:tc>
          <w:tcPr>
            <w:tcW w:w="1522" w:type="pct"/>
          </w:tcPr>
          <w:p w14:paraId="5BAB007E"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Државна потрошња</w:t>
            </w:r>
          </w:p>
        </w:tc>
        <w:tc>
          <w:tcPr>
            <w:tcW w:w="696" w:type="pct"/>
          </w:tcPr>
          <w:p w14:paraId="4A3EC38E"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4,0</w:t>
            </w:r>
          </w:p>
        </w:tc>
        <w:tc>
          <w:tcPr>
            <w:tcW w:w="695" w:type="pct"/>
            <w:tcBorders>
              <w:top w:val="nil"/>
              <w:left w:val="nil"/>
              <w:bottom w:val="nil"/>
              <w:right w:val="nil"/>
            </w:tcBorders>
            <w:vAlign w:val="center"/>
          </w:tcPr>
          <w:p w14:paraId="64E0F9FF"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0,5</w:t>
            </w:r>
          </w:p>
        </w:tc>
        <w:tc>
          <w:tcPr>
            <w:tcW w:w="695" w:type="pct"/>
          </w:tcPr>
          <w:p w14:paraId="25E39C8E"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3,7</w:t>
            </w:r>
          </w:p>
        </w:tc>
        <w:tc>
          <w:tcPr>
            <w:tcW w:w="695" w:type="pct"/>
          </w:tcPr>
          <w:p w14:paraId="27F9C329"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2,6</w:t>
            </w:r>
          </w:p>
        </w:tc>
        <w:tc>
          <w:tcPr>
            <w:tcW w:w="695" w:type="pct"/>
            <w:tcBorders>
              <w:top w:val="nil"/>
              <w:left w:val="nil"/>
              <w:bottom w:val="nil"/>
              <w:right w:val="nil"/>
            </w:tcBorders>
            <w:vAlign w:val="center"/>
          </w:tcPr>
          <w:p w14:paraId="33C0D1FD"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3,7</w:t>
            </w:r>
          </w:p>
        </w:tc>
      </w:tr>
      <w:tr w:rsidR="00502EF3" w:rsidRPr="001B41AD" w14:paraId="0C209C82" w14:textId="77777777" w:rsidTr="00436957">
        <w:trPr>
          <w:jc w:val="center"/>
        </w:trPr>
        <w:tc>
          <w:tcPr>
            <w:tcW w:w="1522" w:type="pct"/>
          </w:tcPr>
          <w:p w14:paraId="6F8B7AF3"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Инвестиције у основна средства</w:t>
            </w:r>
          </w:p>
        </w:tc>
        <w:tc>
          <w:tcPr>
            <w:tcW w:w="696" w:type="pct"/>
          </w:tcPr>
          <w:p w14:paraId="54F89E22"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7,7</w:t>
            </w:r>
          </w:p>
        </w:tc>
        <w:tc>
          <w:tcPr>
            <w:tcW w:w="695" w:type="pct"/>
            <w:tcBorders>
              <w:top w:val="nil"/>
              <w:left w:val="nil"/>
              <w:bottom w:val="nil"/>
              <w:right w:val="nil"/>
            </w:tcBorders>
            <w:vAlign w:val="center"/>
          </w:tcPr>
          <w:p w14:paraId="60D760E1"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-0,8</w:t>
            </w:r>
          </w:p>
        </w:tc>
        <w:tc>
          <w:tcPr>
            <w:tcW w:w="695" w:type="pct"/>
          </w:tcPr>
          <w:p w14:paraId="41AC9279"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-4,0</w:t>
            </w:r>
          </w:p>
        </w:tc>
        <w:tc>
          <w:tcPr>
            <w:tcW w:w="695" w:type="pct"/>
          </w:tcPr>
          <w:p w14:paraId="147BF3AB"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1,6</w:t>
            </w:r>
          </w:p>
        </w:tc>
        <w:tc>
          <w:tcPr>
            <w:tcW w:w="695" w:type="pct"/>
            <w:tcBorders>
              <w:top w:val="nil"/>
              <w:left w:val="nil"/>
              <w:bottom w:val="nil"/>
              <w:right w:val="nil"/>
            </w:tcBorders>
            <w:vAlign w:val="center"/>
          </w:tcPr>
          <w:p w14:paraId="723F9413"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4,2</w:t>
            </w:r>
          </w:p>
        </w:tc>
      </w:tr>
      <w:tr w:rsidR="00502EF3" w:rsidRPr="001B41AD" w14:paraId="6C2FBE8A" w14:textId="77777777" w:rsidTr="00436957">
        <w:trPr>
          <w:jc w:val="center"/>
        </w:trPr>
        <w:tc>
          <w:tcPr>
            <w:tcW w:w="1522" w:type="pct"/>
          </w:tcPr>
          <w:p w14:paraId="5A20E797"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Извоз робе и услуга</w:t>
            </w:r>
          </w:p>
        </w:tc>
        <w:tc>
          <w:tcPr>
            <w:tcW w:w="696" w:type="pct"/>
          </w:tcPr>
          <w:p w14:paraId="3B6166D2"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5,2</w:t>
            </w:r>
          </w:p>
        </w:tc>
        <w:tc>
          <w:tcPr>
            <w:tcW w:w="695" w:type="pct"/>
            <w:tcBorders>
              <w:top w:val="nil"/>
              <w:left w:val="nil"/>
              <w:bottom w:val="nil"/>
              <w:right w:val="nil"/>
            </w:tcBorders>
            <w:vAlign w:val="center"/>
          </w:tcPr>
          <w:p w14:paraId="22B24D66"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8,6</w:t>
            </w:r>
          </w:p>
        </w:tc>
        <w:tc>
          <w:tcPr>
            <w:tcW w:w="695" w:type="pct"/>
          </w:tcPr>
          <w:p w14:paraId="2D5003FE"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4,6</w:t>
            </w:r>
          </w:p>
        </w:tc>
        <w:tc>
          <w:tcPr>
            <w:tcW w:w="695" w:type="pct"/>
          </w:tcPr>
          <w:p w14:paraId="71B5FB1E"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4,3</w:t>
            </w:r>
          </w:p>
        </w:tc>
        <w:tc>
          <w:tcPr>
            <w:tcW w:w="695" w:type="pct"/>
            <w:tcBorders>
              <w:top w:val="nil"/>
              <w:left w:val="nil"/>
              <w:bottom w:val="nil"/>
              <w:right w:val="nil"/>
            </w:tcBorders>
            <w:vAlign w:val="center"/>
          </w:tcPr>
          <w:p w14:paraId="6D6F918D"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4,5</w:t>
            </w:r>
          </w:p>
        </w:tc>
      </w:tr>
      <w:tr w:rsidR="00502EF3" w:rsidRPr="001B41AD" w14:paraId="47306614" w14:textId="77777777" w:rsidTr="00436957">
        <w:trPr>
          <w:jc w:val="center"/>
        </w:trPr>
        <w:tc>
          <w:tcPr>
            <w:tcW w:w="1522" w:type="pct"/>
          </w:tcPr>
          <w:p w14:paraId="7EAD98C2"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Увоз робе и услуга</w:t>
            </w:r>
          </w:p>
        </w:tc>
        <w:tc>
          <w:tcPr>
            <w:tcW w:w="696" w:type="pct"/>
          </w:tcPr>
          <w:p w14:paraId="64CA4894"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8,0</w:t>
            </w:r>
          </w:p>
        </w:tc>
        <w:tc>
          <w:tcPr>
            <w:tcW w:w="695" w:type="pct"/>
            <w:tcBorders>
              <w:top w:val="nil"/>
              <w:left w:val="nil"/>
              <w:bottom w:val="nil"/>
              <w:right w:val="nil"/>
            </w:tcBorders>
            <w:vAlign w:val="center"/>
          </w:tcPr>
          <w:p w14:paraId="3F4F4A94"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11,3</w:t>
            </w:r>
          </w:p>
        </w:tc>
        <w:tc>
          <w:tcPr>
            <w:tcW w:w="695" w:type="pct"/>
          </w:tcPr>
          <w:p w14:paraId="5FECF06C"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9,8</w:t>
            </w:r>
          </w:p>
        </w:tc>
        <w:tc>
          <w:tcPr>
            <w:tcW w:w="695" w:type="pct"/>
          </w:tcPr>
          <w:p w14:paraId="1FD04537"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5,5</w:t>
            </w:r>
          </w:p>
        </w:tc>
        <w:tc>
          <w:tcPr>
            <w:tcW w:w="695" w:type="pct"/>
            <w:tcBorders>
              <w:top w:val="nil"/>
              <w:left w:val="nil"/>
              <w:bottom w:val="nil"/>
              <w:right w:val="nil"/>
            </w:tcBorders>
            <w:vAlign w:val="center"/>
          </w:tcPr>
          <w:p w14:paraId="13FC0AA0"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5,4</w:t>
            </w:r>
          </w:p>
        </w:tc>
      </w:tr>
      <w:tr w:rsidR="00502EF3" w:rsidRPr="001B41AD" w14:paraId="06D5DFF9" w14:textId="77777777" w:rsidTr="00436957">
        <w:trPr>
          <w:trHeight w:val="144"/>
          <w:jc w:val="center"/>
        </w:trPr>
        <w:tc>
          <w:tcPr>
            <w:tcW w:w="1522" w:type="pct"/>
            <w:shd w:val="clear" w:color="auto" w:fill="E7E6E6"/>
          </w:tcPr>
          <w:p w14:paraId="26C8F1D2" w14:textId="77777777" w:rsidR="00502EF3" w:rsidRPr="001B41AD" w:rsidRDefault="00502EF3" w:rsidP="00436957">
            <w:pPr>
              <w:ind w:left="-15"/>
              <w:jc w:val="right"/>
              <w:rPr>
                <w:rFonts w:ascii="Calibri" w:eastAsia="Calibri" w:hAnsi="Calibri" w:cs="Calibri"/>
                <w:color w:val="002060"/>
                <w:sz w:val="18"/>
                <w:lang w:val="sr-Cyrl-CS"/>
              </w:rPr>
            </w:pPr>
          </w:p>
        </w:tc>
        <w:tc>
          <w:tcPr>
            <w:tcW w:w="696" w:type="pct"/>
            <w:shd w:val="clear" w:color="auto" w:fill="E7E6E6"/>
          </w:tcPr>
          <w:p w14:paraId="05F1D5FE" w14:textId="77777777" w:rsidR="00502EF3" w:rsidRPr="001B41AD" w:rsidRDefault="00502EF3" w:rsidP="00436957">
            <w:pPr>
              <w:ind w:left="-15" w:right="397"/>
              <w:jc w:val="right"/>
              <w:rPr>
                <w:rFonts w:ascii="Calibri" w:eastAsia="Calibri" w:hAnsi="Calibri" w:cs="Calibri"/>
                <w:color w:val="002060"/>
                <w:sz w:val="18"/>
                <w:lang w:val="sr-Cyrl-CS"/>
              </w:rPr>
            </w:pPr>
          </w:p>
        </w:tc>
        <w:tc>
          <w:tcPr>
            <w:tcW w:w="695" w:type="pct"/>
            <w:tcBorders>
              <w:top w:val="nil"/>
              <w:left w:val="nil"/>
              <w:bottom w:val="nil"/>
              <w:right w:val="nil"/>
            </w:tcBorders>
            <w:shd w:val="clear" w:color="000000" w:fill="E7E6E6"/>
            <w:vAlign w:val="center"/>
          </w:tcPr>
          <w:p w14:paraId="29AB1671" w14:textId="77777777" w:rsidR="00502EF3" w:rsidRPr="001B41AD" w:rsidRDefault="00502EF3" w:rsidP="00436957">
            <w:pPr>
              <w:ind w:left="-15" w:right="397"/>
              <w:jc w:val="right"/>
              <w:rPr>
                <w:rFonts w:ascii="Calibri" w:eastAsia="Calibri" w:hAnsi="Calibri" w:cs="Calibri"/>
                <w:color w:val="002060"/>
                <w:sz w:val="18"/>
                <w:lang w:val="sr-Cyrl-CS"/>
              </w:rPr>
            </w:pPr>
          </w:p>
        </w:tc>
        <w:tc>
          <w:tcPr>
            <w:tcW w:w="695" w:type="pct"/>
            <w:shd w:val="clear" w:color="auto" w:fill="E7E6E6"/>
          </w:tcPr>
          <w:p w14:paraId="2388A420" w14:textId="77777777" w:rsidR="00502EF3" w:rsidRPr="001B41AD" w:rsidRDefault="00502EF3" w:rsidP="00436957">
            <w:pPr>
              <w:ind w:left="-15" w:right="397"/>
              <w:jc w:val="right"/>
              <w:rPr>
                <w:rFonts w:ascii="Calibri" w:eastAsia="Calibri" w:hAnsi="Calibri" w:cs="Calibri"/>
                <w:color w:val="002060"/>
                <w:sz w:val="18"/>
                <w:lang w:val="sr-Cyrl-CS"/>
              </w:rPr>
            </w:pPr>
          </w:p>
        </w:tc>
        <w:tc>
          <w:tcPr>
            <w:tcW w:w="695" w:type="pct"/>
            <w:shd w:val="clear" w:color="auto" w:fill="E7E6E6"/>
          </w:tcPr>
          <w:p w14:paraId="4C0D2682" w14:textId="77777777" w:rsidR="00502EF3" w:rsidRPr="001B41AD" w:rsidRDefault="00502EF3" w:rsidP="00436957">
            <w:pPr>
              <w:ind w:left="-15" w:right="397"/>
              <w:jc w:val="right"/>
              <w:rPr>
                <w:rFonts w:ascii="Calibri" w:eastAsia="Calibri" w:hAnsi="Calibri" w:cs="Calibri"/>
                <w:color w:val="002060"/>
                <w:sz w:val="18"/>
                <w:lang w:val="sr-Cyrl-CS"/>
              </w:rPr>
            </w:pPr>
          </w:p>
        </w:tc>
        <w:tc>
          <w:tcPr>
            <w:tcW w:w="695" w:type="pct"/>
            <w:tcBorders>
              <w:top w:val="nil"/>
              <w:left w:val="nil"/>
              <w:bottom w:val="nil"/>
              <w:right w:val="nil"/>
            </w:tcBorders>
            <w:shd w:val="clear" w:color="000000" w:fill="E7E6E6"/>
            <w:vAlign w:val="center"/>
          </w:tcPr>
          <w:p w14:paraId="2F8B1CA0" w14:textId="77777777" w:rsidR="00502EF3" w:rsidRPr="001B41AD" w:rsidRDefault="00502EF3" w:rsidP="00436957">
            <w:pPr>
              <w:ind w:left="-15" w:right="397"/>
              <w:jc w:val="right"/>
              <w:rPr>
                <w:rFonts w:ascii="Calibri" w:eastAsia="Calibri" w:hAnsi="Calibri" w:cs="Calibri"/>
                <w:color w:val="FF0000"/>
                <w:sz w:val="18"/>
                <w:lang w:val="sr-Cyrl-CS"/>
              </w:rPr>
            </w:pPr>
          </w:p>
        </w:tc>
      </w:tr>
      <w:tr w:rsidR="00502EF3" w:rsidRPr="001B41AD" w14:paraId="4AD5F781" w14:textId="77777777" w:rsidTr="00436957">
        <w:trPr>
          <w:jc w:val="center"/>
        </w:trPr>
        <w:tc>
          <w:tcPr>
            <w:tcW w:w="1522" w:type="pct"/>
          </w:tcPr>
          <w:p w14:paraId="55FE0FA0"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Пољопривреда</w:t>
            </w:r>
          </w:p>
        </w:tc>
        <w:tc>
          <w:tcPr>
            <w:tcW w:w="696" w:type="pct"/>
          </w:tcPr>
          <w:p w14:paraId="0EAA417F"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-7,0</w:t>
            </w:r>
          </w:p>
        </w:tc>
        <w:tc>
          <w:tcPr>
            <w:tcW w:w="695" w:type="pct"/>
            <w:tcBorders>
              <w:top w:val="nil"/>
              <w:left w:val="nil"/>
              <w:bottom w:val="nil"/>
              <w:right w:val="nil"/>
            </w:tcBorders>
            <w:vAlign w:val="center"/>
          </w:tcPr>
          <w:p w14:paraId="349F6CD8"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2,0</w:t>
            </w:r>
          </w:p>
        </w:tc>
        <w:tc>
          <w:tcPr>
            <w:tcW w:w="695" w:type="pct"/>
          </w:tcPr>
          <w:p w14:paraId="631F6DCA"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3,0</w:t>
            </w:r>
          </w:p>
        </w:tc>
        <w:tc>
          <w:tcPr>
            <w:tcW w:w="695" w:type="pct"/>
          </w:tcPr>
          <w:p w14:paraId="47C3B79F"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2,0</w:t>
            </w:r>
          </w:p>
        </w:tc>
        <w:tc>
          <w:tcPr>
            <w:tcW w:w="695" w:type="pct"/>
            <w:tcBorders>
              <w:top w:val="nil"/>
              <w:left w:val="nil"/>
              <w:bottom w:val="nil"/>
              <w:right w:val="nil"/>
            </w:tcBorders>
            <w:vAlign w:val="center"/>
          </w:tcPr>
          <w:p w14:paraId="3A68356A"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6,3</w:t>
            </w:r>
          </w:p>
        </w:tc>
      </w:tr>
      <w:tr w:rsidR="00502EF3" w:rsidRPr="001B41AD" w14:paraId="03AF0678" w14:textId="77777777" w:rsidTr="00436957">
        <w:trPr>
          <w:jc w:val="center"/>
        </w:trPr>
        <w:tc>
          <w:tcPr>
            <w:tcW w:w="1522" w:type="pct"/>
          </w:tcPr>
          <w:p w14:paraId="0D84DB18"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Индустрија</w:t>
            </w:r>
          </w:p>
        </w:tc>
        <w:tc>
          <w:tcPr>
            <w:tcW w:w="696" w:type="pct"/>
          </w:tcPr>
          <w:p w14:paraId="3CD5E948"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4,1</w:t>
            </w:r>
          </w:p>
        </w:tc>
        <w:tc>
          <w:tcPr>
            <w:tcW w:w="695" w:type="pct"/>
            <w:tcBorders>
              <w:top w:val="nil"/>
              <w:left w:val="nil"/>
              <w:bottom w:val="nil"/>
              <w:right w:val="nil"/>
            </w:tcBorders>
            <w:vAlign w:val="center"/>
          </w:tcPr>
          <w:p w14:paraId="75634685"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2,0</w:t>
            </w:r>
          </w:p>
        </w:tc>
        <w:tc>
          <w:tcPr>
            <w:tcW w:w="695" w:type="pct"/>
          </w:tcPr>
          <w:p w14:paraId="7C955493"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3,0</w:t>
            </w:r>
          </w:p>
        </w:tc>
        <w:tc>
          <w:tcPr>
            <w:tcW w:w="695" w:type="pct"/>
          </w:tcPr>
          <w:p w14:paraId="07DA79C7"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2,8</w:t>
            </w:r>
          </w:p>
        </w:tc>
        <w:tc>
          <w:tcPr>
            <w:tcW w:w="695" w:type="pct"/>
            <w:tcBorders>
              <w:top w:val="nil"/>
              <w:left w:val="nil"/>
              <w:bottom w:val="nil"/>
              <w:right w:val="nil"/>
            </w:tcBorders>
            <w:vAlign w:val="center"/>
          </w:tcPr>
          <w:p w14:paraId="637E69D5"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2,9</w:t>
            </w:r>
          </w:p>
        </w:tc>
      </w:tr>
      <w:tr w:rsidR="00502EF3" w:rsidRPr="001B41AD" w14:paraId="4CE802BF" w14:textId="77777777" w:rsidTr="00436957">
        <w:trPr>
          <w:jc w:val="center"/>
        </w:trPr>
        <w:tc>
          <w:tcPr>
            <w:tcW w:w="1522" w:type="pct"/>
          </w:tcPr>
          <w:p w14:paraId="6C97E742"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Грађевинарство</w:t>
            </w:r>
          </w:p>
        </w:tc>
        <w:tc>
          <w:tcPr>
            <w:tcW w:w="696" w:type="pct"/>
          </w:tcPr>
          <w:p w14:paraId="1A8FBBA0"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4,0</w:t>
            </w:r>
          </w:p>
        </w:tc>
        <w:tc>
          <w:tcPr>
            <w:tcW w:w="695" w:type="pct"/>
            <w:tcBorders>
              <w:top w:val="nil"/>
              <w:left w:val="nil"/>
              <w:bottom w:val="nil"/>
              <w:right w:val="nil"/>
            </w:tcBorders>
            <w:vAlign w:val="center"/>
          </w:tcPr>
          <w:p w14:paraId="171DAB4A"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-5,3</w:t>
            </w:r>
          </w:p>
        </w:tc>
        <w:tc>
          <w:tcPr>
            <w:tcW w:w="695" w:type="pct"/>
          </w:tcPr>
          <w:p w14:paraId="6840F844"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-16,1</w:t>
            </w:r>
          </w:p>
        </w:tc>
        <w:tc>
          <w:tcPr>
            <w:tcW w:w="695" w:type="pct"/>
          </w:tcPr>
          <w:p w14:paraId="1F81465C"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-5,1</w:t>
            </w:r>
          </w:p>
        </w:tc>
        <w:tc>
          <w:tcPr>
            <w:tcW w:w="695" w:type="pct"/>
            <w:tcBorders>
              <w:top w:val="nil"/>
              <w:left w:val="nil"/>
              <w:bottom w:val="nil"/>
              <w:right w:val="nil"/>
            </w:tcBorders>
            <w:vAlign w:val="center"/>
          </w:tcPr>
          <w:p w14:paraId="3D75025A"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1,9</w:t>
            </w:r>
          </w:p>
        </w:tc>
      </w:tr>
      <w:tr w:rsidR="00502EF3" w:rsidRPr="001B41AD" w14:paraId="0EF05D2A" w14:textId="77777777" w:rsidTr="00436957">
        <w:trPr>
          <w:trHeight w:val="163"/>
          <w:jc w:val="center"/>
        </w:trPr>
        <w:tc>
          <w:tcPr>
            <w:tcW w:w="1522" w:type="pct"/>
          </w:tcPr>
          <w:p w14:paraId="7BBE413C"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Услуге</w:t>
            </w:r>
          </w:p>
        </w:tc>
        <w:tc>
          <w:tcPr>
            <w:tcW w:w="696" w:type="pct"/>
          </w:tcPr>
          <w:p w14:paraId="4CD9918F" w14:textId="77777777" w:rsidR="00502EF3" w:rsidRPr="001B41AD" w:rsidRDefault="00502EF3" w:rsidP="00436957">
            <w:pPr>
              <w:tabs>
                <w:tab w:val="left" w:pos="420"/>
                <w:tab w:val="center" w:pos="586"/>
              </w:tabs>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4,5</w:t>
            </w:r>
          </w:p>
        </w:tc>
        <w:tc>
          <w:tcPr>
            <w:tcW w:w="695" w:type="pct"/>
            <w:tcBorders>
              <w:top w:val="nil"/>
              <w:left w:val="nil"/>
              <w:right w:val="nil"/>
            </w:tcBorders>
            <w:vAlign w:val="center"/>
          </w:tcPr>
          <w:p w14:paraId="51B1F10B"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2,1</w:t>
            </w:r>
          </w:p>
        </w:tc>
        <w:tc>
          <w:tcPr>
            <w:tcW w:w="695" w:type="pct"/>
          </w:tcPr>
          <w:p w14:paraId="32790186"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2,9</w:t>
            </w:r>
          </w:p>
        </w:tc>
        <w:tc>
          <w:tcPr>
            <w:tcW w:w="695" w:type="pct"/>
          </w:tcPr>
          <w:p w14:paraId="673C32F1"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2,8</w:t>
            </w:r>
          </w:p>
        </w:tc>
        <w:tc>
          <w:tcPr>
            <w:tcW w:w="695" w:type="pct"/>
            <w:tcBorders>
              <w:top w:val="nil"/>
              <w:left w:val="nil"/>
              <w:right w:val="nil"/>
            </w:tcBorders>
            <w:vAlign w:val="center"/>
          </w:tcPr>
          <w:p w14:paraId="0B7B2969"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3,1</w:t>
            </w:r>
          </w:p>
        </w:tc>
      </w:tr>
      <w:tr w:rsidR="00502EF3" w:rsidRPr="001B41AD" w14:paraId="713F30AE" w14:textId="77777777" w:rsidTr="00436957">
        <w:trPr>
          <w:trHeight w:val="163"/>
          <w:jc w:val="center"/>
        </w:trPr>
        <w:tc>
          <w:tcPr>
            <w:tcW w:w="1522" w:type="pct"/>
            <w:tcBorders>
              <w:bottom w:val="single" w:sz="4" w:space="0" w:color="002060"/>
            </w:tcBorders>
          </w:tcPr>
          <w:p w14:paraId="3632DAB1" w14:textId="77777777" w:rsidR="00502EF3" w:rsidRPr="001B41AD" w:rsidRDefault="00502EF3" w:rsidP="00436957">
            <w:pPr>
              <w:ind w:left="-15"/>
              <w:rPr>
                <w:rFonts w:ascii="Calibri" w:eastAsia="Calibri" w:hAnsi="Calibri" w:cs="Calibri"/>
                <w:color w:val="002060"/>
                <w:sz w:val="18"/>
                <w:lang w:val="sr-Cyrl-CS"/>
              </w:rPr>
            </w:pPr>
            <w:r w:rsidRPr="001B41AD">
              <w:rPr>
                <w:rFonts w:ascii="Calibri" w:eastAsia="Calibri" w:hAnsi="Calibri" w:cs="Calibri"/>
                <w:color w:val="002060"/>
                <w:sz w:val="18"/>
                <w:lang w:val="sr-Cyrl-CS"/>
              </w:rPr>
              <w:t>Нето порези</w:t>
            </w:r>
          </w:p>
        </w:tc>
        <w:tc>
          <w:tcPr>
            <w:tcW w:w="696" w:type="pct"/>
            <w:tcBorders>
              <w:bottom w:val="single" w:sz="4" w:space="0" w:color="002060"/>
            </w:tcBorders>
          </w:tcPr>
          <w:p w14:paraId="57FC8840" w14:textId="77777777" w:rsidR="00502EF3" w:rsidRPr="001B41AD" w:rsidRDefault="00502EF3" w:rsidP="00436957">
            <w:pPr>
              <w:tabs>
                <w:tab w:val="left" w:pos="420"/>
                <w:tab w:val="center" w:pos="586"/>
              </w:tabs>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4,4</w:t>
            </w:r>
          </w:p>
        </w:tc>
        <w:tc>
          <w:tcPr>
            <w:tcW w:w="695" w:type="pct"/>
            <w:tcBorders>
              <w:top w:val="nil"/>
              <w:left w:val="nil"/>
              <w:bottom w:val="single" w:sz="4" w:space="0" w:color="002060"/>
              <w:right w:val="nil"/>
            </w:tcBorders>
            <w:vAlign w:val="center"/>
          </w:tcPr>
          <w:p w14:paraId="0E03D1D3"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2,3</w:t>
            </w:r>
          </w:p>
        </w:tc>
        <w:tc>
          <w:tcPr>
            <w:tcW w:w="695" w:type="pct"/>
            <w:tcBorders>
              <w:bottom w:val="single" w:sz="4" w:space="0" w:color="002060"/>
            </w:tcBorders>
          </w:tcPr>
          <w:p w14:paraId="43954592"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3,4</w:t>
            </w:r>
          </w:p>
        </w:tc>
        <w:tc>
          <w:tcPr>
            <w:tcW w:w="695" w:type="pct"/>
            <w:tcBorders>
              <w:bottom w:val="single" w:sz="4" w:space="0" w:color="002060"/>
            </w:tcBorders>
          </w:tcPr>
          <w:p w14:paraId="509ADB8A"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2,8</w:t>
            </w:r>
          </w:p>
        </w:tc>
        <w:tc>
          <w:tcPr>
            <w:tcW w:w="695" w:type="pct"/>
            <w:tcBorders>
              <w:top w:val="nil"/>
              <w:left w:val="nil"/>
              <w:bottom w:val="single" w:sz="4" w:space="0" w:color="002060"/>
              <w:right w:val="nil"/>
            </w:tcBorders>
            <w:vAlign w:val="center"/>
          </w:tcPr>
          <w:p w14:paraId="5FE50D61" w14:textId="77777777" w:rsidR="00502EF3" w:rsidRPr="001B41AD" w:rsidRDefault="00502EF3" w:rsidP="00436957">
            <w:pPr>
              <w:ind w:right="397"/>
              <w:jc w:val="right"/>
              <w:rPr>
                <w:rFonts w:ascii="Calibri" w:eastAsia="Calibri" w:hAnsi="Calibri" w:cs="Calibri"/>
                <w:color w:val="002060"/>
                <w:sz w:val="18"/>
                <w:lang w:val="sr-Cyrl-CS"/>
              </w:rPr>
            </w:pPr>
            <w:r w:rsidRPr="001B41AD">
              <w:rPr>
                <w:rFonts w:ascii="Calibri" w:eastAsia="Calibri" w:hAnsi="Calibri" w:cs="Calibri"/>
                <w:color w:val="002060"/>
                <w:sz w:val="18"/>
                <w:lang w:val="sr-Cyrl-CS"/>
              </w:rPr>
              <w:t>2,6</w:t>
            </w:r>
          </w:p>
        </w:tc>
      </w:tr>
    </w:tbl>
    <w:p w14:paraId="203B7960" w14:textId="77777777" w:rsidR="00502EF3" w:rsidRPr="001B41AD" w:rsidRDefault="00502EF3" w:rsidP="00502EF3">
      <w:pPr>
        <w:spacing w:before="40" w:after="0"/>
        <w:jc w:val="left"/>
        <w:rPr>
          <w:rFonts w:ascii="Calibri" w:eastAsia="Calibri" w:hAnsi="Calibri" w:cs="Calibri"/>
          <w:bCs/>
          <w:sz w:val="16"/>
          <w:szCs w:val="72"/>
          <w:lang w:val="sr-Cyrl-CS"/>
        </w:rPr>
      </w:pPr>
      <w:r w:rsidRPr="001B41AD">
        <w:rPr>
          <w:rFonts w:ascii="Calibri" w:eastAsia="Calibri" w:hAnsi="Calibri" w:cs="Calibri"/>
          <w:bCs/>
          <w:sz w:val="16"/>
          <w:szCs w:val="72"/>
          <w:lang w:val="sr-Cyrl-CS"/>
        </w:rPr>
        <w:t>Извор: РЗС</w:t>
      </w:r>
    </w:p>
    <w:p w14:paraId="24AC1C96" w14:textId="77777777" w:rsidR="00502EF3" w:rsidRPr="001B41AD" w:rsidRDefault="00502EF3" w:rsidP="00502EF3">
      <w:pPr>
        <w:spacing w:before="40" w:after="40"/>
        <w:jc w:val="left"/>
        <w:rPr>
          <w:rFonts w:ascii="Calibri" w:eastAsia="Calibri" w:hAnsi="Calibri" w:cs="Calibri"/>
          <w:bCs/>
          <w:sz w:val="16"/>
          <w:szCs w:val="72"/>
          <w:lang w:val="sr-Cyrl-CS"/>
        </w:rPr>
      </w:pPr>
      <w:r w:rsidRPr="001B41AD">
        <w:rPr>
          <w:rFonts w:ascii="Calibri" w:eastAsia="Calibri" w:hAnsi="Calibri" w:cs="Calibri"/>
          <w:bCs/>
          <w:sz w:val="16"/>
          <w:szCs w:val="72"/>
          <w:lang w:val="sr-Cyrl-CS"/>
        </w:rPr>
        <w:t>* Министарство финансија</w:t>
      </w:r>
    </w:p>
    <w:p w14:paraId="79D16F9E" w14:textId="77777777" w:rsidR="00502EF3" w:rsidRPr="001B41AD" w:rsidRDefault="00502EF3" w:rsidP="00502EF3">
      <w:pPr>
        <w:spacing w:after="120"/>
        <w:jc w:val="left"/>
        <w:rPr>
          <w:rFonts w:cstheme="minorHAnsi"/>
          <w:b/>
          <w:color w:val="2F5496" w:themeColor="accent1" w:themeShade="BF"/>
          <w:sz w:val="22"/>
          <w:lang w:val="sr-Cyrl-CS"/>
        </w:rPr>
        <w:sectPr w:rsidR="00502EF3" w:rsidRPr="001B41AD" w:rsidSect="00436957">
          <w:type w:val="continuous"/>
          <w:pgSz w:w="12240" w:h="15840" w:code="1"/>
          <w:pgMar w:top="1440" w:right="1440" w:bottom="1440" w:left="1440" w:header="720" w:footer="720" w:gutter="0"/>
          <w:cols w:space="720"/>
          <w:docGrid w:linePitch="360"/>
        </w:sectPr>
      </w:pPr>
    </w:p>
    <w:p w14:paraId="72B40B63" w14:textId="77777777" w:rsidR="00502EF3" w:rsidRPr="001B41AD" w:rsidRDefault="00502EF3" w:rsidP="00502EF3">
      <w:pPr>
        <w:spacing w:before="240"/>
        <w:jc w:val="left"/>
        <w:rPr>
          <w:lang w:val="sr-Cyrl-CS"/>
        </w:rPr>
      </w:pPr>
      <w:r w:rsidRPr="001B41AD">
        <w:rPr>
          <w:rFonts w:cstheme="minorHAnsi"/>
          <w:b/>
          <w:color w:val="2F5496" w:themeColor="accent1" w:themeShade="BF"/>
          <w:sz w:val="22"/>
          <w:lang w:val="sr-Cyrl-CS"/>
        </w:rPr>
        <w:t>Пројекције кретања реалног сектора у периоду 2026–2028. године</w:t>
      </w:r>
    </w:p>
    <w:p w14:paraId="0025D313" w14:textId="77777777" w:rsidR="00502EF3" w:rsidRPr="001B41AD" w:rsidRDefault="00502EF3" w:rsidP="00502EF3">
      <w:pPr>
        <w:spacing w:after="120"/>
        <w:rPr>
          <w:rFonts w:cstheme="minorHAnsi"/>
          <w:bCs/>
          <w:spacing w:val="-2"/>
          <w:szCs w:val="72"/>
          <w:lang w:val="sr-Cyrl-CS"/>
        </w:rPr>
      </w:pPr>
      <w:r w:rsidRPr="001B41AD">
        <w:rPr>
          <w:rFonts w:cstheme="minorHAnsi"/>
          <w:bCs/>
          <w:spacing w:val="-2"/>
          <w:szCs w:val="72"/>
          <w:lang w:val="sr-Cyrl-CS"/>
        </w:rPr>
        <w:t xml:space="preserve">У динамичном глобалном окружењу, Република Србија наставља да гради одржив и конкурентан привредни модел ослањајући се на стратешке инвестиције, макроекономску стабилност и иновације као главне стубове дугорочног развоја. Отвореност према страним инвестицијама остаје важан ослонац развоја, нарочито због преноса знања и технологија, али држава све већу пажњу усмерава на оснаживање домаћих инвеститора. Кроз пореска растерећења, унапређен приступ изворима финансирања и поједностављење административних процедура, отварају се нове могућности за раст. Паралелно са тим, нови стратешки циклус индустријске политике фокусира се на јачање сектора са високом додатом вредношћу, подстицање трансфера технологија и развој иновационог екосистема. Инструменти политике укључују субвенције за набавку опреме, пореске олакшице за истраживање и развој, као и проширење мреже научно-технолошких паркова у свим већим градовима Републике Србије. Тимe се креира институционални оквир за убрзану структурну трансформацију домаће привреде. Посебно је значајан напредак остварен добијањем инвестиционог рејтинга, који не само да смањује трошкове задуживања државе, већ и отвара додатни простор за приступ приватног сектора међународним тржиштима капитала. </w:t>
      </w:r>
    </w:p>
    <w:p w14:paraId="461F27FD" w14:textId="77777777" w:rsidR="00502EF3" w:rsidRPr="001B41AD" w:rsidRDefault="00502EF3" w:rsidP="00502EF3">
      <w:pPr>
        <w:spacing w:after="120"/>
        <w:rPr>
          <w:rFonts w:cstheme="minorHAnsi"/>
          <w:bCs/>
          <w:spacing w:val="-2"/>
          <w:szCs w:val="72"/>
          <w:lang w:val="sr-Cyrl-CS"/>
        </w:rPr>
      </w:pPr>
      <w:r w:rsidRPr="001B41AD">
        <w:rPr>
          <w:rFonts w:cstheme="minorHAnsi"/>
          <w:bCs/>
          <w:spacing w:val="-2"/>
          <w:szCs w:val="72"/>
          <w:lang w:val="sr-Cyrl-CS"/>
        </w:rPr>
        <w:t xml:space="preserve">Јавна улагања у транспортну, енергетску и комуналну инфраструктуру имају вишеструке ефекте, будући да не само да директно доприносе расту БДП, већ стварају и стимулативан амбијент за ширење приватног сектора. Модернизација инфраструктуре омогућава ефикаснију интеграцију домаћих компанија у европске ланце вредности, истовремено унапређујући квалитет живота грађана. Програм „Скок у будућност – EXPO Србија 2027“ представља интегрисани стратешки оквир који обједињује инфраструктуру, иновације и међународну промоцију Републике Србије. Планиране инвестиције обухватају изградњу саобраћајне и енергетске мреже, метро система, културних и спортских објеката, као и образовних и иновационих центара. Инфраструктурне инвестиције у дигиталне магистрале, образовне хабове и одрживе урбане системе већ данас стварају синергију између државе и приватног сектора, чиме се убрзава конвергенција Републике Србије ка развијеним европским економијама. Наставиће се са модернизацијом и дигитализацијом која ће се огледати у даљем развоју и примени вештачке интелигенције и ширењу система суперкомпјутера, као и ширењу капацитета Државног дата центра. Истовремено, наставља се са активностима које имају за циљ убрзани развој иновационог екосистема кроз проширење постојећих научно-технолошких паркова и изградњу нових, као и унапређење услова за отварање истраживачко-развојних </w:t>
      </w:r>
      <w:r w:rsidRPr="001B41AD">
        <w:rPr>
          <w:rFonts w:cstheme="minorHAnsi"/>
          <w:bCs/>
          <w:spacing w:val="-2"/>
          <w:szCs w:val="72"/>
          <w:lang w:val="sr-Cyrl-CS"/>
        </w:rPr>
        <w:lastRenderedPageBreak/>
        <w:t xml:space="preserve">центара познатих светских ИТ и других компанија. Посебан акценат стављен је на унапређење људског капитала кроз програме за запошљавање младих, дуално образовање и подршку рањивим друштвеним групама, чиме се обезбеђује инклузиван развој. Агенда раста, усклађена са стратешким смерницама Европске уније, јасно поставља приоритете развоја, од улагања у енергетику, дигитализацију и развој 5G мреже, преко реформе образовног система, па све до јачања владавине права, чиме се гради стабилна основа за дугорочну отпорност и одрживост економије. </w:t>
      </w:r>
    </w:p>
    <w:p w14:paraId="344DF592" w14:textId="77777777" w:rsidR="00502EF3" w:rsidRPr="001B41AD" w:rsidRDefault="00502EF3" w:rsidP="00502EF3">
      <w:pPr>
        <w:spacing w:after="120"/>
        <w:rPr>
          <w:rFonts w:cstheme="minorHAnsi"/>
          <w:bCs/>
          <w:color w:val="44546A"/>
          <w:spacing w:val="-2"/>
          <w:szCs w:val="72"/>
          <w:lang w:val="sr-Cyrl-CS"/>
        </w:rPr>
      </w:pPr>
      <w:r w:rsidRPr="001B41AD">
        <w:rPr>
          <w:rFonts w:cstheme="minorHAnsi"/>
          <w:bCs/>
          <w:color w:val="44546A"/>
          <w:spacing w:val="-2"/>
          <w:szCs w:val="72"/>
          <w:lang w:val="sr-Cyrl-CS"/>
        </w:rPr>
        <w:t xml:space="preserve">Обезбеђивање енергетске безбедности и одрживих извора енергије ће бити примарни циљ енергетске стратегије и процеса декарбонизације. Република Србија се обавезала на постепено увођење одрживих извора енергије, повећање енергетске ефикасности и смањење емисије угљен-диоксида, што је суштински предуслов за економску и еколошку отпорност у дугом року. Увођење механизма за прилагођавање угљеника на границама (CBAM) у Европској унији од 2026. године представља важну прекретницу у трговинским и климатским политикама, која може имати значајне макроекономске ефекте по Републику Србију. Према овом механизму, увозници у ЕУ биће обавезни да плаћају CBAM сертификате, чија вредност зависи од количине емисија CO₂ насталих током производње увезених добара као што су цемент, гвожђе, челик, алуминијум, вештачка ђубрива, водоник и електрична енергија. Ефекти увођења CBAM и пратећих климатских политика биће </w:t>
      </w:r>
      <w:r w:rsidR="00A83B13" w:rsidRPr="001B41AD">
        <w:rPr>
          <w:rFonts w:cstheme="minorHAnsi"/>
          <w:bCs/>
          <w:color w:val="44546A"/>
          <w:spacing w:val="-2"/>
          <w:szCs w:val="72"/>
          <w:lang w:val="sr-Cyrl-CS"/>
        </w:rPr>
        <w:t xml:space="preserve">приказани </w:t>
      </w:r>
      <w:r w:rsidRPr="001B41AD">
        <w:rPr>
          <w:rFonts w:cstheme="minorHAnsi"/>
          <w:bCs/>
          <w:color w:val="44546A"/>
          <w:spacing w:val="-2"/>
          <w:szCs w:val="72"/>
          <w:lang w:val="sr-Cyrl-CS"/>
        </w:rPr>
        <w:t xml:space="preserve">у Фискалној стратегији за 2027. годину, са пројекцијама за 2028. и 2029. </w:t>
      </w:r>
      <w:r w:rsidR="00176F1F" w:rsidRPr="001B41AD">
        <w:rPr>
          <w:rFonts w:cstheme="minorHAnsi"/>
          <w:bCs/>
          <w:color w:val="44546A"/>
          <w:spacing w:val="-2"/>
          <w:szCs w:val="72"/>
          <w:lang w:val="sr-Cyrl-CS"/>
        </w:rPr>
        <w:t>г</w:t>
      </w:r>
      <w:r w:rsidRPr="001B41AD">
        <w:rPr>
          <w:rFonts w:cstheme="minorHAnsi"/>
          <w:bCs/>
          <w:color w:val="44546A"/>
          <w:spacing w:val="-2"/>
          <w:szCs w:val="72"/>
          <w:lang w:val="sr-Cyrl-CS"/>
        </w:rPr>
        <w:t>одину</w:t>
      </w:r>
      <w:r w:rsidR="00A83B13" w:rsidRPr="001B41AD">
        <w:rPr>
          <w:rFonts w:cstheme="minorHAnsi"/>
          <w:bCs/>
          <w:color w:val="44546A"/>
          <w:spacing w:val="-2"/>
          <w:szCs w:val="72"/>
          <w:lang w:val="sr-Cyrl-CS"/>
        </w:rPr>
        <w:t>.</w:t>
      </w:r>
    </w:p>
    <w:p w14:paraId="2DD2B00A" w14:textId="77777777" w:rsidR="00502EF3" w:rsidRPr="001B41AD" w:rsidRDefault="00502EF3" w:rsidP="00502EF3">
      <w:pPr>
        <w:spacing w:after="0"/>
        <w:rPr>
          <w:rFonts w:cstheme="minorHAnsi"/>
          <w:bCs/>
          <w:color w:val="1F3864" w:themeColor="accent1" w:themeShade="80"/>
          <w:spacing w:val="-2"/>
          <w:szCs w:val="72"/>
          <w:lang w:val="sr-Cyrl-CS"/>
        </w:rPr>
        <w:sectPr w:rsidR="00502EF3" w:rsidRPr="001B41AD" w:rsidSect="00436957">
          <w:footerReference w:type="default" r:id="rId73"/>
          <w:headerReference w:type="first" r:id="rId74"/>
          <w:type w:val="continuous"/>
          <w:pgSz w:w="12240" w:h="15840" w:code="1"/>
          <w:pgMar w:top="1440" w:right="1440" w:bottom="1440" w:left="1440" w:header="720" w:footer="720" w:gutter="0"/>
          <w:cols w:num="2" w:space="720"/>
          <w:docGrid w:linePitch="360"/>
        </w:sectPr>
      </w:pPr>
      <w:r w:rsidRPr="001B41AD">
        <w:rPr>
          <w:rFonts w:cstheme="minorHAnsi"/>
          <w:bCs/>
          <w:color w:val="44546A"/>
          <w:spacing w:val="-2"/>
          <w:szCs w:val="72"/>
          <w:lang w:val="sr-Cyrl-CS"/>
        </w:rPr>
        <w:t xml:space="preserve">Очекивана средњорочна кретања реалног сектора заснивају се на актуелним економским трендовима и изгледима за Републику Србију и међународно окружење, уз уважавање донетих мера економске политике. Истовремено, пројекције су оптерећене израженим степеном неизвесности услед глобалних дешавања и повишених друштвено-политичких тензија у земљи, као и високе неизвесности у погледу динамике економске активности у појединим индустријским гранама које су осетљиве на промене у међународном пословном окружењу. Такви ризици могу значајно </w:t>
      </w:r>
      <w:r w:rsidRPr="001B41AD">
        <w:rPr>
          <w:rFonts w:cstheme="minorHAnsi"/>
          <w:bCs/>
          <w:color w:val="44546A"/>
          <w:spacing w:val="-2"/>
          <w:szCs w:val="72"/>
          <w:lang w:val="sr-Cyrl-CS"/>
        </w:rPr>
        <w:t>утицати на економска очекивања, поверење привредних субјеката и инвестициону активност у наредном периоду.</w:t>
      </w:r>
      <w:r w:rsidRPr="001B41AD">
        <w:rPr>
          <w:color w:val="44546A"/>
          <w:lang w:val="sr-Cyrl-CS"/>
        </w:rPr>
        <w:t xml:space="preserve"> Стога, </w:t>
      </w:r>
      <w:r w:rsidRPr="001B41AD">
        <w:rPr>
          <w:rFonts w:cstheme="minorHAnsi"/>
          <w:bCs/>
          <w:color w:val="44546A"/>
          <w:spacing w:val="-2"/>
          <w:szCs w:val="72"/>
          <w:lang w:val="sr-Cyrl-CS"/>
        </w:rPr>
        <w:t>пројекције дате у овом документу, представљају само један од могућих сценарија, а економска кретања у наредном периоду могла би значајно да одступе од централне путање у зависности од материјализације ризика.</w:t>
      </w:r>
    </w:p>
    <w:p w14:paraId="06B84CD9" w14:textId="77777777" w:rsidR="00502EF3" w:rsidRPr="001B41AD" w:rsidRDefault="00502EF3" w:rsidP="00502EF3">
      <w:pPr>
        <w:spacing w:after="0"/>
        <w:rPr>
          <w:rFonts w:cstheme="minorHAnsi"/>
          <w:bCs/>
          <w:szCs w:val="72"/>
          <w:lang w:val="sr-Cyrl-CS"/>
        </w:rPr>
        <w:sectPr w:rsidR="00502EF3" w:rsidRPr="001B41AD" w:rsidSect="00436957">
          <w:pgSz w:w="12240" w:h="15840" w:code="1"/>
          <w:pgMar w:top="1440" w:right="1440" w:bottom="1440" w:left="1440" w:header="720" w:footer="720" w:gutter="0"/>
          <w:cols w:num="2" w:space="720"/>
          <w:docGrid w:linePitch="360"/>
        </w:sectPr>
      </w:pPr>
    </w:p>
    <w:tbl>
      <w:tblPr>
        <w:tblStyle w:val="TableGrid"/>
        <w:tblW w:w="4954" w:type="pct"/>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3"/>
        <w:gridCol w:w="923"/>
        <w:gridCol w:w="924"/>
        <w:gridCol w:w="939"/>
        <w:gridCol w:w="939"/>
        <w:gridCol w:w="946"/>
      </w:tblGrid>
      <w:tr w:rsidR="00502EF3" w:rsidRPr="001B41AD" w14:paraId="3B6C2EF5" w14:textId="77777777" w:rsidTr="00436957">
        <w:trPr>
          <w:trHeight w:val="349"/>
        </w:trPr>
        <w:tc>
          <w:tcPr>
            <w:tcW w:w="5000" w:type="pct"/>
            <w:gridSpan w:val="6"/>
            <w:tcBorders>
              <w:bottom w:val="single" w:sz="4" w:space="0" w:color="002060"/>
            </w:tcBorders>
            <w:vAlign w:val="center"/>
          </w:tcPr>
          <w:p w14:paraId="6768D2CF" w14:textId="77777777" w:rsidR="00502EF3" w:rsidRPr="001B41AD" w:rsidRDefault="00502EF3" w:rsidP="00436957">
            <w:pPr>
              <w:jc w:val="center"/>
              <w:rPr>
                <w:rFonts w:cstheme="minorHAnsi"/>
                <w:b/>
                <w:color w:val="002060"/>
                <w:sz w:val="16"/>
                <w:lang w:val="sr-Cyrl-CS"/>
              </w:rPr>
            </w:pPr>
            <w:r w:rsidRPr="001B41AD">
              <w:rPr>
                <w:rFonts w:cstheme="minorHAnsi"/>
                <w:b/>
                <w:color w:val="002060"/>
                <w:lang w:val="sr-Cyrl-CS"/>
              </w:rPr>
              <w:t>Табела 4. Пројекција основних макроекономских показатеља Републике Србије</w:t>
            </w:r>
          </w:p>
        </w:tc>
      </w:tr>
      <w:tr w:rsidR="00502EF3" w:rsidRPr="001B41AD" w14:paraId="14FBF0E0" w14:textId="77777777" w:rsidTr="00436957">
        <w:tc>
          <w:tcPr>
            <w:tcW w:w="2482" w:type="pct"/>
            <w:tcBorders>
              <w:top w:val="single" w:sz="4" w:space="0" w:color="002060"/>
              <w:bottom w:val="single" w:sz="2" w:space="0" w:color="FFFFFF" w:themeColor="background1"/>
            </w:tcBorders>
          </w:tcPr>
          <w:p w14:paraId="40524C17" w14:textId="77777777" w:rsidR="00502EF3" w:rsidRPr="001B41AD" w:rsidRDefault="00502EF3" w:rsidP="00436957">
            <w:pPr>
              <w:rPr>
                <w:rFonts w:cstheme="minorHAnsi"/>
                <w:color w:val="002060"/>
                <w:sz w:val="18"/>
                <w:lang w:val="sr-Cyrl-CS"/>
              </w:rPr>
            </w:pPr>
          </w:p>
        </w:tc>
        <w:tc>
          <w:tcPr>
            <w:tcW w:w="498" w:type="pct"/>
            <w:tcBorders>
              <w:top w:val="single" w:sz="4" w:space="0" w:color="002060"/>
              <w:bottom w:val="single" w:sz="4" w:space="0" w:color="FFFFFF" w:themeColor="background1"/>
            </w:tcBorders>
          </w:tcPr>
          <w:p w14:paraId="303DD517" w14:textId="77777777" w:rsidR="00502EF3" w:rsidRPr="001B41AD" w:rsidRDefault="00502EF3" w:rsidP="00436957">
            <w:pPr>
              <w:jc w:val="center"/>
              <w:rPr>
                <w:rFonts w:cstheme="minorHAnsi"/>
                <w:color w:val="002060"/>
                <w:sz w:val="18"/>
                <w:lang w:val="sr-Cyrl-CS"/>
              </w:rPr>
            </w:pPr>
            <w:r w:rsidRPr="001B41AD">
              <w:rPr>
                <w:rFonts w:cstheme="minorHAnsi"/>
                <w:color w:val="002060"/>
                <w:sz w:val="18"/>
                <w:lang w:val="sr-Cyrl-CS"/>
              </w:rPr>
              <w:t>Процена</w:t>
            </w:r>
          </w:p>
        </w:tc>
        <w:tc>
          <w:tcPr>
            <w:tcW w:w="498" w:type="pct"/>
            <w:tcBorders>
              <w:top w:val="single" w:sz="4" w:space="0" w:color="002060"/>
              <w:bottom w:val="single" w:sz="2" w:space="0" w:color="FFFFFF" w:themeColor="background1"/>
            </w:tcBorders>
          </w:tcPr>
          <w:p w14:paraId="4F2498D0" w14:textId="77777777" w:rsidR="00502EF3" w:rsidRPr="001B41AD" w:rsidRDefault="00502EF3" w:rsidP="00436957">
            <w:pPr>
              <w:jc w:val="center"/>
              <w:rPr>
                <w:rFonts w:cstheme="minorHAnsi"/>
                <w:color w:val="002060"/>
                <w:sz w:val="18"/>
                <w:lang w:val="sr-Cyrl-CS"/>
              </w:rPr>
            </w:pPr>
          </w:p>
        </w:tc>
        <w:tc>
          <w:tcPr>
            <w:tcW w:w="1523" w:type="pct"/>
            <w:gridSpan w:val="3"/>
            <w:tcBorders>
              <w:top w:val="single" w:sz="4" w:space="0" w:color="002060"/>
              <w:bottom w:val="single" w:sz="4" w:space="0" w:color="FFFFFF" w:themeColor="background1"/>
            </w:tcBorders>
          </w:tcPr>
          <w:p w14:paraId="4A074C03" w14:textId="77777777" w:rsidR="00502EF3" w:rsidRPr="001B41AD" w:rsidRDefault="00502EF3" w:rsidP="00436957">
            <w:pPr>
              <w:jc w:val="center"/>
              <w:rPr>
                <w:rFonts w:cstheme="minorHAnsi"/>
                <w:color w:val="002060"/>
                <w:sz w:val="18"/>
                <w:lang w:val="sr-Cyrl-CS"/>
              </w:rPr>
            </w:pPr>
            <w:r w:rsidRPr="001B41AD">
              <w:rPr>
                <w:rFonts w:cstheme="minorHAnsi"/>
                <w:color w:val="002060"/>
                <w:sz w:val="18"/>
                <w:lang w:val="sr-Cyrl-CS"/>
              </w:rPr>
              <w:t>Пројекције</w:t>
            </w:r>
          </w:p>
        </w:tc>
      </w:tr>
      <w:tr w:rsidR="00502EF3" w:rsidRPr="001B41AD" w14:paraId="78F954C6" w14:textId="77777777" w:rsidTr="00436957">
        <w:tc>
          <w:tcPr>
            <w:tcW w:w="2482" w:type="pct"/>
            <w:tcBorders>
              <w:top w:val="single" w:sz="2" w:space="0" w:color="FFFFFF" w:themeColor="background1"/>
            </w:tcBorders>
          </w:tcPr>
          <w:p w14:paraId="2054766D" w14:textId="77777777" w:rsidR="00502EF3" w:rsidRPr="001B41AD" w:rsidRDefault="00502EF3" w:rsidP="00436957">
            <w:pPr>
              <w:ind w:left="-15"/>
              <w:rPr>
                <w:rFonts w:cstheme="minorHAnsi"/>
                <w:color w:val="002060"/>
                <w:sz w:val="18"/>
                <w:szCs w:val="18"/>
                <w:lang w:val="sr-Cyrl-CS"/>
              </w:rPr>
            </w:pPr>
          </w:p>
        </w:tc>
        <w:tc>
          <w:tcPr>
            <w:tcW w:w="498" w:type="pct"/>
            <w:tcBorders>
              <w:top w:val="single" w:sz="4" w:space="0" w:color="FFFFFF" w:themeColor="background1"/>
              <w:bottom w:val="single" w:sz="4" w:space="0" w:color="auto"/>
            </w:tcBorders>
          </w:tcPr>
          <w:p w14:paraId="634FFE26"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lang w:val="sr-Cyrl-CS"/>
              </w:rPr>
              <w:t>2025</w:t>
            </w:r>
          </w:p>
        </w:tc>
        <w:tc>
          <w:tcPr>
            <w:tcW w:w="498" w:type="pct"/>
            <w:tcBorders>
              <w:top w:val="single" w:sz="2" w:space="0" w:color="FFFFFF" w:themeColor="background1"/>
            </w:tcBorders>
          </w:tcPr>
          <w:p w14:paraId="0ED5EDBF" w14:textId="77777777" w:rsidR="00502EF3" w:rsidRPr="001B41AD" w:rsidRDefault="00502EF3" w:rsidP="00436957">
            <w:pPr>
              <w:jc w:val="center"/>
              <w:rPr>
                <w:rFonts w:cstheme="minorHAnsi"/>
                <w:color w:val="002060"/>
                <w:sz w:val="18"/>
                <w:szCs w:val="18"/>
                <w:lang w:val="sr-Cyrl-CS"/>
              </w:rPr>
            </w:pPr>
          </w:p>
        </w:tc>
        <w:tc>
          <w:tcPr>
            <w:tcW w:w="506" w:type="pct"/>
            <w:tcBorders>
              <w:top w:val="single" w:sz="4" w:space="0" w:color="FFFFFF" w:themeColor="background1"/>
              <w:bottom w:val="single" w:sz="4" w:space="0" w:color="auto"/>
            </w:tcBorders>
          </w:tcPr>
          <w:p w14:paraId="400E681E"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lang w:val="sr-Cyrl-CS"/>
              </w:rPr>
              <w:t>2026</w:t>
            </w:r>
          </w:p>
        </w:tc>
        <w:tc>
          <w:tcPr>
            <w:tcW w:w="506" w:type="pct"/>
            <w:tcBorders>
              <w:top w:val="single" w:sz="4" w:space="0" w:color="FFFFFF" w:themeColor="background1"/>
              <w:bottom w:val="single" w:sz="4" w:space="0" w:color="auto"/>
            </w:tcBorders>
          </w:tcPr>
          <w:p w14:paraId="03BD156D"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lang w:val="sr-Cyrl-CS"/>
              </w:rPr>
              <w:t>2027</w:t>
            </w:r>
          </w:p>
        </w:tc>
        <w:tc>
          <w:tcPr>
            <w:tcW w:w="510" w:type="pct"/>
            <w:tcBorders>
              <w:top w:val="single" w:sz="4" w:space="0" w:color="FFFFFF" w:themeColor="background1"/>
              <w:bottom w:val="single" w:sz="4" w:space="0" w:color="auto"/>
            </w:tcBorders>
          </w:tcPr>
          <w:p w14:paraId="07EBB7DD"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lang w:val="sr-Cyrl-CS"/>
              </w:rPr>
              <w:t>2028</w:t>
            </w:r>
          </w:p>
        </w:tc>
      </w:tr>
      <w:tr w:rsidR="00502EF3" w:rsidRPr="001B41AD" w14:paraId="79873014" w14:textId="77777777" w:rsidTr="00436957">
        <w:tc>
          <w:tcPr>
            <w:tcW w:w="2482" w:type="pct"/>
            <w:tcBorders>
              <w:top w:val="single" w:sz="2" w:space="0" w:color="FFFFFF" w:themeColor="background1"/>
            </w:tcBorders>
          </w:tcPr>
          <w:p w14:paraId="103638AD" w14:textId="77777777" w:rsidR="00502EF3" w:rsidRPr="001B41AD" w:rsidRDefault="00502EF3" w:rsidP="00436957">
            <w:pPr>
              <w:ind w:left="-15"/>
              <w:rPr>
                <w:rFonts w:cstheme="minorHAnsi"/>
                <w:color w:val="002060"/>
                <w:sz w:val="18"/>
                <w:szCs w:val="18"/>
                <w:lang w:val="sr-Cyrl-CS"/>
              </w:rPr>
            </w:pPr>
            <w:r w:rsidRPr="001B41AD">
              <w:rPr>
                <w:rFonts w:cstheme="minorHAnsi"/>
                <w:color w:val="002060"/>
                <w:sz w:val="18"/>
                <w:szCs w:val="18"/>
                <w:lang w:val="sr-Cyrl-CS"/>
              </w:rPr>
              <w:t>БДП, млрд динара (текуће цене)</w:t>
            </w:r>
          </w:p>
        </w:tc>
        <w:tc>
          <w:tcPr>
            <w:tcW w:w="498" w:type="pct"/>
            <w:tcBorders>
              <w:top w:val="single" w:sz="4" w:space="0" w:color="auto"/>
            </w:tcBorders>
          </w:tcPr>
          <w:p w14:paraId="0B290B5C"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10.377,9</w:t>
            </w:r>
          </w:p>
        </w:tc>
        <w:tc>
          <w:tcPr>
            <w:tcW w:w="498" w:type="pct"/>
            <w:tcBorders>
              <w:top w:val="single" w:sz="2" w:space="0" w:color="FFFFFF" w:themeColor="background1"/>
            </w:tcBorders>
          </w:tcPr>
          <w:p w14:paraId="40A578FA" w14:textId="77777777" w:rsidR="00502EF3" w:rsidRPr="001B41AD" w:rsidRDefault="00502EF3" w:rsidP="00436957">
            <w:pPr>
              <w:jc w:val="center"/>
              <w:rPr>
                <w:rFonts w:cstheme="minorHAnsi"/>
                <w:color w:val="002060"/>
                <w:sz w:val="18"/>
                <w:szCs w:val="18"/>
                <w:lang w:val="sr-Cyrl-CS"/>
              </w:rPr>
            </w:pPr>
          </w:p>
        </w:tc>
        <w:tc>
          <w:tcPr>
            <w:tcW w:w="506" w:type="pct"/>
            <w:tcBorders>
              <w:top w:val="nil"/>
              <w:left w:val="nil"/>
              <w:bottom w:val="nil"/>
              <w:right w:val="nil"/>
            </w:tcBorders>
            <w:vAlign w:val="center"/>
          </w:tcPr>
          <w:p w14:paraId="271EDD46"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11.085,1</w:t>
            </w:r>
          </w:p>
        </w:tc>
        <w:tc>
          <w:tcPr>
            <w:tcW w:w="506" w:type="pct"/>
            <w:tcBorders>
              <w:top w:val="nil"/>
              <w:left w:val="nil"/>
              <w:bottom w:val="nil"/>
              <w:right w:val="nil"/>
            </w:tcBorders>
            <w:vAlign w:val="center"/>
          </w:tcPr>
          <w:p w14:paraId="661B80B9"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12.034,3</w:t>
            </w:r>
          </w:p>
        </w:tc>
        <w:tc>
          <w:tcPr>
            <w:tcW w:w="510" w:type="pct"/>
            <w:tcBorders>
              <w:top w:val="nil"/>
              <w:left w:val="nil"/>
              <w:bottom w:val="nil"/>
              <w:right w:val="nil"/>
            </w:tcBorders>
            <w:vAlign w:val="center"/>
          </w:tcPr>
          <w:p w14:paraId="48261F2F"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12.807,2</w:t>
            </w:r>
          </w:p>
        </w:tc>
      </w:tr>
      <w:tr w:rsidR="00502EF3" w:rsidRPr="001B41AD" w14:paraId="346A8D21" w14:textId="77777777" w:rsidTr="00436957">
        <w:tc>
          <w:tcPr>
            <w:tcW w:w="2482" w:type="pct"/>
          </w:tcPr>
          <w:p w14:paraId="524C5F95" w14:textId="77777777" w:rsidR="00502EF3" w:rsidRPr="001B41AD" w:rsidRDefault="00502EF3" w:rsidP="00436957">
            <w:pPr>
              <w:ind w:left="-15"/>
              <w:rPr>
                <w:rFonts w:cstheme="minorHAnsi"/>
                <w:color w:val="002060"/>
                <w:sz w:val="18"/>
                <w:szCs w:val="18"/>
                <w:lang w:val="sr-Cyrl-CS"/>
              </w:rPr>
            </w:pPr>
            <w:r w:rsidRPr="001B41AD">
              <w:rPr>
                <w:rFonts w:cstheme="minorHAnsi"/>
                <w:color w:val="002060"/>
                <w:sz w:val="18"/>
                <w:szCs w:val="18"/>
                <w:lang w:val="sr-Cyrl-CS"/>
              </w:rPr>
              <w:t>Реални раст БДП, %</w:t>
            </w:r>
          </w:p>
        </w:tc>
        <w:tc>
          <w:tcPr>
            <w:tcW w:w="498" w:type="pct"/>
          </w:tcPr>
          <w:p w14:paraId="56FBBBC2"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2,3</w:t>
            </w:r>
          </w:p>
        </w:tc>
        <w:tc>
          <w:tcPr>
            <w:tcW w:w="498" w:type="pct"/>
          </w:tcPr>
          <w:p w14:paraId="125ED925" w14:textId="77777777" w:rsidR="00502EF3" w:rsidRPr="001B41AD" w:rsidRDefault="00502EF3" w:rsidP="00436957">
            <w:pPr>
              <w:jc w:val="center"/>
              <w:rPr>
                <w:rFonts w:cstheme="minorHAnsi"/>
                <w:color w:val="002060"/>
                <w:sz w:val="18"/>
                <w:szCs w:val="18"/>
                <w:lang w:val="sr-Cyrl-CS"/>
              </w:rPr>
            </w:pPr>
          </w:p>
        </w:tc>
        <w:tc>
          <w:tcPr>
            <w:tcW w:w="506" w:type="pct"/>
            <w:vAlign w:val="center"/>
          </w:tcPr>
          <w:p w14:paraId="5BBD27D9"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3,0</w:t>
            </w:r>
          </w:p>
        </w:tc>
        <w:tc>
          <w:tcPr>
            <w:tcW w:w="506" w:type="pct"/>
            <w:vAlign w:val="center"/>
          </w:tcPr>
          <w:p w14:paraId="02AE8DA5"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5,0</w:t>
            </w:r>
          </w:p>
        </w:tc>
        <w:tc>
          <w:tcPr>
            <w:tcW w:w="510" w:type="pct"/>
            <w:vAlign w:val="center"/>
          </w:tcPr>
          <w:p w14:paraId="7D7CB64C"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3,5</w:t>
            </w:r>
          </w:p>
        </w:tc>
      </w:tr>
      <w:tr w:rsidR="00502EF3" w:rsidRPr="001B41AD" w14:paraId="747F0635" w14:textId="77777777" w:rsidTr="00436957">
        <w:tc>
          <w:tcPr>
            <w:tcW w:w="2482" w:type="pct"/>
          </w:tcPr>
          <w:p w14:paraId="76B4FDC8" w14:textId="77777777" w:rsidR="00502EF3" w:rsidRPr="001B41AD" w:rsidRDefault="00502EF3" w:rsidP="00436957">
            <w:pPr>
              <w:ind w:left="-15"/>
              <w:rPr>
                <w:rFonts w:cstheme="minorHAnsi"/>
                <w:color w:val="002060"/>
                <w:sz w:val="18"/>
                <w:szCs w:val="18"/>
                <w:lang w:val="sr-Cyrl-CS"/>
              </w:rPr>
            </w:pPr>
            <w:r w:rsidRPr="001B41AD">
              <w:rPr>
                <w:rFonts w:cstheme="minorHAnsi"/>
                <w:color w:val="002060"/>
                <w:sz w:val="18"/>
                <w:szCs w:val="18"/>
                <w:lang w:val="sr-Cyrl-CS"/>
              </w:rPr>
              <w:t>Дефлатор БДП, %</w:t>
            </w:r>
          </w:p>
        </w:tc>
        <w:tc>
          <w:tcPr>
            <w:tcW w:w="498" w:type="pct"/>
          </w:tcPr>
          <w:p w14:paraId="1878D6D9"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4,1</w:t>
            </w:r>
          </w:p>
        </w:tc>
        <w:tc>
          <w:tcPr>
            <w:tcW w:w="498" w:type="pct"/>
          </w:tcPr>
          <w:p w14:paraId="6ED6F99A" w14:textId="77777777" w:rsidR="00502EF3" w:rsidRPr="001B41AD" w:rsidRDefault="00502EF3" w:rsidP="00436957">
            <w:pPr>
              <w:jc w:val="center"/>
              <w:rPr>
                <w:rFonts w:cstheme="minorHAnsi"/>
                <w:color w:val="002060"/>
                <w:sz w:val="18"/>
                <w:szCs w:val="18"/>
                <w:lang w:val="sr-Cyrl-CS"/>
              </w:rPr>
            </w:pPr>
          </w:p>
        </w:tc>
        <w:tc>
          <w:tcPr>
            <w:tcW w:w="506" w:type="pct"/>
            <w:tcBorders>
              <w:top w:val="nil"/>
              <w:left w:val="nil"/>
              <w:bottom w:val="nil"/>
              <w:right w:val="nil"/>
            </w:tcBorders>
            <w:vAlign w:val="bottom"/>
          </w:tcPr>
          <w:p w14:paraId="483280AE"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3,7</w:t>
            </w:r>
          </w:p>
        </w:tc>
        <w:tc>
          <w:tcPr>
            <w:tcW w:w="506" w:type="pct"/>
            <w:tcBorders>
              <w:top w:val="nil"/>
              <w:left w:val="nil"/>
              <w:bottom w:val="nil"/>
              <w:right w:val="nil"/>
            </w:tcBorders>
            <w:vAlign w:val="bottom"/>
          </w:tcPr>
          <w:p w14:paraId="547F773D"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3,4</w:t>
            </w:r>
          </w:p>
        </w:tc>
        <w:tc>
          <w:tcPr>
            <w:tcW w:w="510" w:type="pct"/>
            <w:tcBorders>
              <w:top w:val="nil"/>
              <w:left w:val="nil"/>
              <w:bottom w:val="nil"/>
              <w:right w:val="nil"/>
            </w:tcBorders>
            <w:vAlign w:val="bottom"/>
          </w:tcPr>
          <w:p w14:paraId="390E4BCF"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2,9</w:t>
            </w:r>
          </w:p>
        </w:tc>
      </w:tr>
      <w:tr w:rsidR="00502EF3" w:rsidRPr="001B41AD" w14:paraId="0429ECAF" w14:textId="77777777" w:rsidTr="00436957">
        <w:tc>
          <w:tcPr>
            <w:tcW w:w="2482" w:type="pct"/>
            <w:shd w:val="clear" w:color="auto" w:fill="E7E6E6" w:themeFill="background2"/>
          </w:tcPr>
          <w:p w14:paraId="481E206E" w14:textId="77777777" w:rsidR="00502EF3" w:rsidRPr="001B41AD" w:rsidRDefault="00502EF3" w:rsidP="00436957">
            <w:pPr>
              <w:jc w:val="center"/>
              <w:rPr>
                <w:rFonts w:cstheme="minorHAnsi"/>
                <w:color w:val="002060"/>
                <w:sz w:val="18"/>
                <w:szCs w:val="18"/>
                <w:lang w:val="sr-Cyrl-CS"/>
              </w:rPr>
            </w:pPr>
          </w:p>
        </w:tc>
        <w:tc>
          <w:tcPr>
            <w:tcW w:w="498" w:type="pct"/>
            <w:shd w:val="clear" w:color="auto" w:fill="E7E6E6" w:themeFill="background2"/>
          </w:tcPr>
          <w:p w14:paraId="46CEFB7F" w14:textId="77777777" w:rsidR="00502EF3" w:rsidRPr="001B41AD" w:rsidRDefault="00502EF3" w:rsidP="00436957">
            <w:pPr>
              <w:jc w:val="center"/>
              <w:rPr>
                <w:rFonts w:cstheme="minorHAnsi"/>
                <w:color w:val="002060"/>
                <w:sz w:val="18"/>
                <w:szCs w:val="18"/>
                <w:lang w:val="sr-Cyrl-CS"/>
              </w:rPr>
            </w:pPr>
          </w:p>
        </w:tc>
        <w:tc>
          <w:tcPr>
            <w:tcW w:w="498" w:type="pct"/>
            <w:shd w:val="clear" w:color="auto" w:fill="E7E6E6" w:themeFill="background2"/>
          </w:tcPr>
          <w:p w14:paraId="0D930152" w14:textId="77777777" w:rsidR="00502EF3" w:rsidRPr="001B41AD" w:rsidRDefault="00502EF3" w:rsidP="00436957">
            <w:pPr>
              <w:jc w:val="center"/>
              <w:rPr>
                <w:rFonts w:cstheme="minorHAnsi"/>
                <w:color w:val="002060"/>
                <w:sz w:val="18"/>
                <w:szCs w:val="18"/>
                <w:lang w:val="sr-Cyrl-CS"/>
              </w:rPr>
            </w:pPr>
          </w:p>
        </w:tc>
        <w:tc>
          <w:tcPr>
            <w:tcW w:w="506" w:type="pct"/>
            <w:shd w:val="clear" w:color="auto" w:fill="E7E6E6" w:themeFill="background2"/>
          </w:tcPr>
          <w:p w14:paraId="5BA65385" w14:textId="77777777" w:rsidR="00502EF3" w:rsidRPr="001B41AD" w:rsidRDefault="00502EF3" w:rsidP="00436957">
            <w:pPr>
              <w:jc w:val="center"/>
              <w:rPr>
                <w:rFonts w:cstheme="minorHAnsi"/>
                <w:color w:val="002060"/>
                <w:sz w:val="18"/>
                <w:szCs w:val="18"/>
                <w:lang w:val="sr-Cyrl-CS"/>
              </w:rPr>
            </w:pPr>
          </w:p>
        </w:tc>
        <w:tc>
          <w:tcPr>
            <w:tcW w:w="506" w:type="pct"/>
            <w:shd w:val="clear" w:color="auto" w:fill="E7E6E6" w:themeFill="background2"/>
          </w:tcPr>
          <w:p w14:paraId="16DF0004" w14:textId="77777777" w:rsidR="00502EF3" w:rsidRPr="001B41AD" w:rsidRDefault="00502EF3" w:rsidP="00436957">
            <w:pPr>
              <w:jc w:val="center"/>
              <w:rPr>
                <w:rFonts w:cstheme="minorHAnsi"/>
                <w:color w:val="002060"/>
                <w:sz w:val="18"/>
                <w:szCs w:val="18"/>
                <w:lang w:val="sr-Cyrl-CS"/>
              </w:rPr>
            </w:pPr>
          </w:p>
        </w:tc>
        <w:tc>
          <w:tcPr>
            <w:tcW w:w="510" w:type="pct"/>
            <w:shd w:val="clear" w:color="auto" w:fill="E7E6E6" w:themeFill="background2"/>
          </w:tcPr>
          <w:p w14:paraId="0410661C" w14:textId="77777777" w:rsidR="00502EF3" w:rsidRPr="001B41AD" w:rsidRDefault="00502EF3" w:rsidP="00436957">
            <w:pPr>
              <w:jc w:val="center"/>
              <w:rPr>
                <w:rFonts w:cstheme="minorHAnsi"/>
                <w:color w:val="002060"/>
                <w:sz w:val="18"/>
                <w:szCs w:val="18"/>
                <w:lang w:val="sr-Cyrl-CS"/>
              </w:rPr>
            </w:pPr>
          </w:p>
        </w:tc>
      </w:tr>
      <w:tr w:rsidR="00502EF3" w:rsidRPr="001B41AD" w14:paraId="47DF922D" w14:textId="77777777" w:rsidTr="00436957">
        <w:tc>
          <w:tcPr>
            <w:tcW w:w="2482" w:type="pct"/>
          </w:tcPr>
          <w:p w14:paraId="5769A501" w14:textId="77777777" w:rsidR="00502EF3" w:rsidRPr="001B41AD" w:rsidRDefault="00502EF3" w:rsidP="00436957">
            <w:pPr>
              <w:ind w:left="256"/>
              <w:rPr>
                <w:rFonts w:cstheme="minorHAnsi"/>
                <w:color w:val="002060"/>
                <w:sz w:val="18"/>
                <w:szCs w:val="18"/>
                <w:lang w:val="sr-Cyrl-CS"/>
              </w:rPr>
            </w:pPr>
            <w:r w:rsidRPr="001B41AD">
              <w:rPr>
                <w:rFonts w:cstheme="minorHAnsi"/>
                <w:color w:val="002060"/>
                <w:sz w:val="18"/>
                <w:szCs w:val="18"/>
                <w:lang w:val="sr-Cyrl-CS"/>
              </w:rPr>
              <w:t>Лична потрошња</w:t>
            </w:r>
          </w:p>
        </w:tc>
        <w:tc>
          <w:tcPr>
            <w:tcW w:w="498" w:type="pct"/>
          </w:tcPr>
          <w:p w14:paraId="0AEBF062"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2,8</w:t>
            </w:r>
          </w:p>
        </w:tc>
        <w:tc>
          <w:tcPr>
            <w:tcW w:w="498" w:type="pct"/>
          </w:tcPr>
          <w:p w14:paraId="18718AFD" w14:textId="77777777" w:rsidR="00502EF3" w:rsidRPr="001B41AD" w:rsidRDefault="00502EF3" w:rsidP="00436957">
            <w:pPr>
              <w:jc w:val="center"/>
              <w:rPr>
                <w:rFonts w:cstheme="minorHAnsi"/>
                <w:color w:val="002060"/>
                <w:sz w:val="18"/>
                <w:szCs w:val="18"/>
                <w:lang w:val="sr-Cyrl-CS"/>
              </w:rPr>
            </w:pPr>
          </w:p>
        </w:tc>
        <w:tc>
          <w:tcPr>
            <w:tcW w:w="506" w:type="pct"/>
            <w:tcBorders>
              <w:top w:val="nil"/>
              <w:left w:val="nil"/>
              <w:bottom w:val="nil"/>
              <w:right w:val="nil"/>
            </w:tcBorders>
            <w:vAlign w:val="bottom"/>
          </w:tcPr>
          <w:p w14:paraId="56EDC5E7"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4,6</w:t>
            </w:r>
          </w:p>
        </w:tc>
        <w:tc>
          <w:tcPr>
            <w:tcW w:w="506" w:type="pct"/>
            <w:tcBorders>
              <w:top w:val="nil"/>
              <w:left w:val="nil"/>
              <w:bottom w:val="nil"/>
              <w:right w:val="nil"/>
            </w:tcBorders>
            <w:vAlign w:val="bottom"/>
          </w:tcPr>
          <w:p w14:paraId="7ACE1F62"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3,5</w:t>
            </w:r>
          </w:p>
        </w:tc>
        <w:tc>
          <w:tcPr>
            <w:tcW w:w="510" w:type="pct"/>
            <w:tcBorders>
              <w:top w:val="nil"/>
              <w:left w:val="nil"/>
              <w:bottom w:val="nil"/>
              <w:right w:val="nil"/>
            </w:tcBorders>
            <w:vAlign w:val="bottom"/>
          </w:tcPr>
          <w:p w14:paraId="5096E517"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3,4</w:t>
            </w:r>
          </w:p>
        </w:tc>
      </w:tr>
      <w:tr w:rsidR="00502EF3" w:rsidRPr="001B41AD" w14:paraId="59536CDE" w14:textId="77777777" w:rsidTr="00436957">
        <w:tc>
          <w:tcPr>
            <w:tcW w:w="2482" w:type="pct"/>
          </w:tcPr>
          <w:p w14:paraId="66F7949F" w14:textId="77777777" w:rsidR="00502EF3" w:rsidRPr="001B41AD" w:rsidRDefault="00502EF3" w:rsidP="00436957">
            <w:pPr>
              <w:ind w:left="256"/>
              <w:rPr>
                <w:rFonts w:cstheme="minorHAnsi"/>
                <w:color w:val="002060"/>
                <w:sz w:val="18"/>
                <w:szCs w:val="18"/>
                <w:lang w:val="sr-Cyrl-CS"/>
              </w:rPr>
            </w:pPr>
            <w:r w:rsidRPr="001B41AD">
              <w:rPr>
                <w:rFonts w:cstheme="minorHAnsi"/>
                <w:color w:val="002060"/>
                <w:sz w:val="18"/>
                <w:szCs w:val="18"/>
                <w:lang w:val="sr-Cyrl-CS"/>
              </w:rPr>
              <w:t>Државна потрошња</w:t>
            </w:r>
          </w:p>
        </w:tc>
        <w:tc>
          <w:tcPr>
            <w:tcW w:w="498" w:type="pct"/>
          </w:tcPr>
          <w:p w14:paraId="430D9484"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2,6</w:t>
            </w:r>
          </w:p>
        </w:tc>
        <w:tc>
          <w:tcPr>
            <w:tcW w:w="498" w:type="pct"/>
          </w:tcPr>
          <w:p w14:paraId="7B077659" w14:textId="77777777" w:rsidR="00502EF3" w:rsidRPr="001B41AD" w:rsidRDefault="00502EF3" w:rsidP="00436957">
            <w:pPr>
              <w:jc w:val="center"/>
              <w:rPr>
                <w:rFonts w:cstheme="minorHAnsi"/>
                <w:color w:val="002060"/>
                <w:sz w:val="18"/>
                <w:szCs w:val="18"/>
                <w:lang w:val="sr-Cyrl-CS"/>
              </w:rPr>
            </w:pPr>
          </w:p>
        </w:tc>
        <w:tc>
          <w:tcPr>
            <w:tcW w:w="506" w:type="pct"/>
            <w:tcBorders>
              <w:top w:val="nil"/>
              <w:left w:val="nil"/>
              <w:bottom w:val="nil"/>
              <w:right w:val="nil"/>
            </w:tcBorders>
            <w:vAlign w:val="bottom"/>
          </w:tcPr>
          <w:p w14:paraId="685431D6"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2,9</w:t>
            </w:r>
          </w:p>
        </w:tc>
        <w:tc>
          <w:tcPr>
            <w:tcW w:w="506" w:type="pct"/>
            <w:tcBorders>
              <w:top w:val="nil"/>
              <w:left w:val="nil"/>
              <w:bottom w:val="nil"/>
              <w:right w:val="nil"/>
            </w:tcBorders>
            <w:vAlign w:val="bottom"/>
          </w:tcPr>
          <w:p w14:paraId="0108C22D"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2,0</w:t>
            </w:r>
          </w:p>
        </w:tc>
        <w:tc>
          <w:tcPr>
            <w:tcW w:w="510" w:type="pct"/>
            <w:tcBorders>
              <w:top w:val="nil"/>
              <w:left w:val="nil"/>
              <w:bottom w:val="nil"/>
              <w:right w:val="nil"/>
            </w:tcBorders>
            <w:vAlign w:val="bottom"/>
          </w:tcPr>
          <w:p w14:paraId="480DED3F"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2,4</w:t>
            </w:r>
          </w:p>
        </w:tc>
      </w:tr>
      <w:tr w:rsidR="00502EF3" w:rsidRPr="001B41AD" w14:paraId="656D0F8D" w14:textId="77777777" w:rsidTr="00436957">
        <w:tc>
          <w:tcPr>
            <w:tcW w:w="2482" w:type="pct"/>
          </w:tcPr>
          <w:p w14:paraId="708463ED" w14:textId="77777777" w:rsidR="00502EF3" w:rsidRPr="001B41AD" w:rsidRDefault="00502EF3" w:rsidP="00436957">
            <w:pPr>
              <w:ind w:left="256"/>
              <w:rPr>
                <w:rFonts w:cstheme="minorHAnsi"/>
                <w:color w:val="002060"/>
                <w:sz w:val="18"/>
                <w:szCs w:val="18"/>
                <w:lang w:val="sr-Cyrl-CS"/>
              </w:rPr>
            </w:pPr>
            <w:r w:rsidRPr="001B41AD">
              <w:rPr>
                <w:rFonts w:cstheme="minorHAnsi"/>
                <w:color w:val="002060"/>
                <w:sz w:val="18"/>
                <w:szCs w:val="18"/>
                <w:lang w:val="sr-Cyrl-CS"/>
              </w:rPr>
              <w:t>Бруто инвестиције у основна средства</w:t>
            </w:r>
          </w:p>
        </w:tc>
        <w:tc>
          <w:tcPr>
            <w:tcW w:w="498" w:type="pct"/>
          </w:tcPr>
          <w:p w14:paraId="21FA6ECA"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1,6</w:t>
            </w:r>
          </w:p>
        </w:tc>
        <w:tc>
          <w:tcPr>
            <w:tcW w:w="498" w:type="pct"/>
          </w:tcPr>
          <w:p w14:paraId="1F79003F" w14:textId="77777777" w:rsidR="00502EF3" w:rsidRPr="001B41AD" w:rsidRDefault="00502EF3" w:rsidP="00436957">
            <w:pPr>
              <w:jc w:val="center"/>
              <w:rPr>
                <w:rFonts w:cstheme="minorHAnsi"/>
                <w:color w:val="002060"/>
                <w:sz w:val="18"/>
                <w:szCs w:val="18"/>
                <w:lang w:val="sr-Cyrl-CS"/>
              </w:rPr>
            </w:pPr>
          </w:p>
        </w:tc>
        <w:tc>
          <w:tcPr>
            <w:tcW w:w="506" w:type="pct"/>
            <w:tcBorders>
              <w:top w:val="nil"/>
              <w:left w:val="nil"/>
              <w:bottom w:val="nil"/>
              <w:right w:val="nil"/>
            </w:tcBorders>
            <w:vAlign w:val="bottom"/>
          </w:tcPr>
          <w:p w14:paraId="000B2198"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6,9</w:t>
            </w:r>
          </w:p>
        </w:tc>
        <w:tc>
          <w:tcPr>
            <w:tcW w:w="506" w:type="pct"/>
            <w:tcBorders>
              <w:top w:val="nil"/>
              <w:left w:val="nil"/>
              <w:bottom w:val="nil"/>
              <w:right w:val="nil"/>
            </w:tcBorders>
            <w:vAlign w:val="bottom"/>
          </w:tcPr>
          <w:p w14:paraId="46147A3E"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5,9</w:t>
            </w:r>
          </w:p>
        </w:tc>
        <w:tc>
          <w:tcPr>
            <w:tcW w:w="510" w:type="pct"/>
            <w:tcBorders>
              <w:top w:val="nil"/>
              <w:left w:val="nil"/>
              <w:bottom w:val="nil"/>
              <w:right w:val="nil"/>
            </w:tcBorders>
            <w:vAlign w:val="bottom"/>
          </w:tcPr>
          <w:p w14:paraId="1AA274F1"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4,5</w:t>
            </w:r>
          </w:p>
        </w:tc>
      </w:tr>
      <w:tr w:rsidR="00502EF3" w:rsidRPr="001B41AD" w14:paraId="39AA8EC2" w14:textId="77777777" w:rsidTr="00436957">
        <w:tc>
          <w:tcPr>
            <w:tcW w:w="2482" w:type="pct"/>
          </w:tcPr>
          <w:p w14:paraId="23FA716F" w14:textId="77777777" w:rsidR="00502EF3" w:rsidRPr="001B41AD" w:rsidRDefault="00502EF3" w:rsidP="00436957">
            <w:pPr>
              <w:ind w:left="256"/>
              <w:rPr>
                <w:rFonts w:cstheme="minorHAnsi"/>
                <w:color w:val="002060"/>
                <w:sz w:val="18"/>
                <w:szCs w:val="18"/>
                <w:lang w:val="sr-Cyrl-CS"/>
              </w:rPr>
            </w:pPr>
            <w:r w:rsidRPr="001B41AD">
              <w:rPr>
                <w:rFonts w:cstheme="minorHAnsi"/>
                <w:color w:val="002060"/>
                <w:sz w:val="18"/>
                <w:szCs w:val="18"/>
                <w:lang w:val="sr-Cyrl-CS"/>
              </w:rPr>
              <w:t>Извоз робе и услуга</w:t>
            </w:r>
          </w:p>
        </w:tc>
        <w:tc>
          <w:tcPr>
            <w:tcW w:w="498" w:type="pct"/>
          </w:tcPr>
          <w:p w14:paraId="59DE87AA"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4,3</w:t>
            </w:r>
          </w:p>
        </w:tc>
        <w:tc>
          <w:tcPr>
            <w:tcW w:w="498" w:type="pct"/>
          </w:tcPr>
          <w:p w14:paraId="49076484" w14:textId="77777777" w:rsidR="00502EF3" w:rsidRPr="001B41AD" w:rsidRDefault="00502EF3" w:rsidP="00436957">
            <w:pPr>
              <w:jc w:val="center"/>
              <w:rPr>
                <w:rFonts w:cstheme="minorHAnsi"/>
                <w:color w:val="002060"/>
                <w:sz w:val="18"/>
                <w:szCs w:val="18"/>
                <w:lang w:val="sr-Cyrl-CS"/>
              </w:rPr>
            </w:pPr>
          </w:p>
        </w:tc>
        <w:tc>
          <w:tcPr>
            <w:tcW w:w="506" w:type="pct"/>
            <w:tcBorders>
              <w:top w:val="nil"/>
              <w:left w:val="nil"/>
              <w:bottom w:val="nil"/>
              <w:right w:val="nil"/>
            </w:tcBorders>
            <w:vAlign w:val="bottom"/>
          </w:tcPr>
          <w:p w14:paraId="3BA7FB0A"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4,7</w:t>
            </w:r>
          </w:p>
        </w:tc>
        <w:tc>
          <w:tcPr>
            <w:tcW w:w="506" w:type="pct"/>
            <w:tcBorders>
              <w:top w:val="nil"/>
              <w:left w:val="nil"/>
              <w:bottom w:val="nil"/>
              <w:right w:val="nil"/>
            </w:tcBorders>
            <w:vAlign w:val="bottom"/>
          </w:tcPr>
          <w:p w14:paraId="3656755E"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8,4</w:t>
            </w:r>
          </w:p>
        </w:tc>
        <w:tc>
          <w:tcPr>
            <w:tcW w:w="510" w:type="pct"/>
            <w:tcBorders>
              <w:top w:val="nil"/>
              <w:left w:val="nil"/>
              <w:bottom w:val="nil"/>
              <w:right w:val="nil"/>
            </w:tcBorders>
            <w:vAlign w:val="bottom"/>
          </w:tcPr>
          <w:p w14:paraId="2DE15C9C"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5,6</w:t>
            </w:r>
          </w:p>
        </w:tc>
      </w:tr>
      <w:tr w:rsidR="00502EF3" w:rsidRPr="001B41AD" w14:paraId="08693989" w14:textId="77777777" w:rsidTr="00436957">
        <w:tc>
          <w:tcPr>
            <w:tcW w:w="2482" w:type="pct"/>
          </w:tcPr>
          <w:p w14:paraId="5F338A42" w14:textId="77777777" w:rsidR="00502EF3" w:rsidRPr="001B41AD" w:rsidRDefault="00502EF3" w:rsidP="00436957">
            <w:pPr>
              <w:ind w:left="256"/>
              <w:rPr>
                <w:rFonts w:cstheme="minorHAnsi"/>
                <w:color w:val="002060"/>
                <w:sz w:val="18"/>
                <w:szCs w:val="18"/>
                <w:lang w:val="sr-Cyrl-CS"/>
              </w:rPr>
            </w:pPr>
            <w:r w:rsidRPr="001B41AD">
              <w:rPr>
                <w:rFonts w:cstheme="minorHAnsi"/>
                <w:color w:val="002060"/>
                <w:sz w:val="18"/>
                <w:szCs w:val="18"/>
                <w:lang w:val="sr-Cyrl-CS"/>
              </w:rPr>
              <w:t>Увоз робе и услуга</w:t>
            </w:r>
          </w:p>
        </w:tc>
        <w:tc>
          <w:tcPr>
            <w:tcW w:w="498" w:type="pct"/>
          </w:tcPr>
          <w:p w14:paraId="574BE163"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5,5</w:t>
            </w:r>
          </w:p>
        </w:tc>
        <w:tc>
          <w:tcPr>
            <w:tcW w:w="498" w:type="pct"/>
          </w:tcPr>
          <w:p w14:paraId="151283E2" w14:textId="77777777" w:rsidR="00502EF3" w:rsidRPr="001B41AD" w:rsidRDefault="00502EF3" w:rsidP="00436957">
            <w:pPr>
              <w:jc w:val="center"/>
              <w:rPr>
                <w:rFonts w:cstheme="minorHAnsi"/>
                <w:color w:val="002060"/>
                <w:sz w:val="18"/>
                <w:szCs w:val="18"/>
                <w:lang w:val="sr-Cyrl-CS"/>
              </w:rPr>
            </w:pPr>
          </w:p>
        </w:tc>
        <w:tc>
          <w:tcPr>
            <w:tcW w:w="506" w:type="pct"/>
            <w:tcBorders>
              <w:top w:val="nil"/>
              <w:left w:val="nil"/>
              <w:bottom w:val="nil"/>
              <w:right w:val="nil"/>
            </w:tcBorders>
            <w:vAlign w:val="bottom"/>
          </w:tcPr>
          <w:p w14:paraId="025A44AE"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6,5</w:t>
            </w:r>
          </w:p>
        </w:tc>
        <w:tc>
          <w:tcPr>
            <w:tcW w:w="506" w:type="pct"/>
            <w:tcBorders>
              <w:top w:val="nil"/>
              <w:left w:val="nil"/>
              <w:bottom w:val="nil"/>
              <w:right w:val="nil"/>
            </w:tcBorders>
            <w:vAlign w:val="bottom"/>
          </w:tcPr>
          <w:p w14:paraId="5C0976F0"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6,0</w:t>
            </w:r>
          </w:p>
        </w:tc>
        <w:tc>
          <w:tcPr>
            <w:tcW w:w="510" w:type="pct"/>
            <w:tcBorders>
              <w:top w:val="nil"/>
              <w:left w:val="nil"/>
              <w:bottom w:val="nil"/>
              <w:right w:val="nil"/>
            </w:tcBorders>
            <w:vAlign w:val="bottom"/>
          </w:tcPr>
          <w:p w14:paraId="7224CA13"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5,5</w:t>
            </w:r>
          </w:p>
        </w:tc>
      </w:tr>
      <w:tr w:rsidR="00502EF3" w:rsidRPr="001B41AD" w14:paraId="322FAC8C" w14:textId="77777777" w:rsidTr="00436957">
        <w:tc>
          <w:tcPr>
            <w:tcW w:w="2482" w:type="pct"/>
          </w:tcPr>
          <w:p w14:paraId="47D0EF59" w14:textId="77777777" w:rsidR="00502EF3" w:rsidRPr="001B41AD" w:rsidRDefault="00502EF3" w:rsidP="00436957">
            <w:pPr>
              <w:ind w:left="-15"/>
              <w:rPr>
                <w:rFonts w:cstheme="minorHAnsi"/>
                <w:color w:val="002060"/>
                <w:sz w:val="18"/>
                <w:szCs w:val="18"/>
                <w:lang w:val="sr-Cyrl-CS"/>
              </w:rPr>
            </w:pPr>
            <w:r w:rsidRPr="001B41AD">
              <w:rPr>
                <w:rFonts w:cstheme="minorHAnsi"/>
                <w:color w:val="002060"/>
                <w:sz w:val="18"/>
                <w:szCs w:val="18"/>
                <w:lang w:val="sr-Cyrl-CS"/>
              </w:rPr>
              <w:t>Салдо текућег рачуна, у ЕУР, % БДП</w:t>
            </w:r>
          </w:p>
        </w:tc>
        <w:tc>
          <w:tcPr>
            <w:tcW w:w="498" w:type="pct"/>
          </w:tcPr>
          <w:p w14:paraId="357AF41D"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-5,3</w:t>
            </w:r>
          </w:p>
        </w:tc>
        <w:tc>
          <w:tcPr>
            <w:tcW w:w="498" w:type="pct"/>
          </w:tcPr>
          <w:p w14:paraId="48F3BAA7" w14:textId="77777777" w:rsidR="00502EF3" w:rsidRPr="001B41AD" w:rsidRDefault="00502EF3" w:rsidP="00436957">
            <w:pPr>
              <w:jc w:val="center"/>
              <w:rPr>
                <w:rFonts w:cstheme="minorHAnsi"/>
                <w:color w:val="002060"/>
                <w:sz w:val="18"/>
                <w:szCs w:val="18"/>
                <w:lang w:val="sr-Cyrl-CS"/>
              </w:rPr>
            </w:pPr>
          </w:p>
        </w:tc>
        <w:tc>
          <w:tcPr>
            <w:tcW w:w="506" w:type="pct"/>
            <w:tcBorders>
              <w:top w:val="nil"/>
              <w:left w:val="nil"/>
              <w:bottom w:val="nil"/>
              <w:right w:val="nil"/>
            </w:tcBorders>
            <w:vAlign w:val="bottom"/>
          </w:tcPr>
          <w:p w14:paraId="494C6266"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-6,0</w:t>
            </w:r>
          </w:p>
        </w:tc>
        <w:tc>
          <w:tcPr>
            <w:tcW w:w="506" w:type="pct"/>
            <w:tcBorders>
              <w:top w:val="nil"/>
              <w:left w:val="nil"/>
              <w:bottom w:val="nil"/>
              <w:right w:val="nil"/>
            </w:tcBorders>
            <w:vAlign w:val="bottom"/>
          </w:tcPr>
          <w:p w14:paraId="1267B2B5"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-4,9</w:t>
            </w:r>
          </w:p>
        </w:tc>
        <w:tc>
          <w:tcPr>
            <w:tcW w:w="510" w:type="pct"/>
            <w:tcBorders>
              <w:top w:val="nil"/>
              <w:left w:val="nil"/>
              <w:bottom w:val="nil"/>
              <w:right w:val="nil"/>
            </w:tcBorders>
            <w:vAlign w:val="bottom"/>
          </w:tcPr>
          <w:p w14:paraId="2F3F8074"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-5,1</w:t>
            </w:r>
          </w:p>
        </w:tc>
      </w:tr>
      <w:tr w:rsidR="00502EF3" w:rsidRPr="001B41AD" w14:paraId="7CBFE7D5" w14:textId="77777777" w:rsidTr="00436957">
        <w:trPr>
          <w:trHeight w:val="193"/>
        </w:trPr>
        <w:tc>
          <w:tcPr>
            <w:tcW w:w="2482" w:type="pct"/>
            <w:tcBorders>
              <w:bottom w:val="single" w:sz="4" w:space="0" w:color="002060"/>
            </w:tcBorders>
          </w:tcPr>
          <w:p w14:paraId="69FB387F" w14:textId="77777777" w:rsidR="00502EF3" w:rsidRPr="001B41AD" w:rsidRDefault="00502EF3" w:rsidP="00436957">
            <w:pPr>
              <w:rPr>
                <w:rFonts w:cstheme="minorHAnsi"/>
                <w:color w:val="002060"/>
                <w:sz w:val="18"/>
                <w:szCs w:val="18"/>
                <w:lang w:val="sr-Cyrl-CS"/>
              </w:rPr>
            </w:pPr>
            <w:r w:rsidRPr="001B41AD">
              <w:rPr>
                <w:rFonts w:cstheme="minorHAnsi"/>
                <w:color w:val="002060"/>
                <w:sz w:val="18"/>
                <w:szCs w:val="18"/>
                <w:lang w:val="sr-Cyrl-CS"/>
              </w:rPr>
              <w:t>Инфлација, просек периода, %</w:t>
            </w:r>
          </w:p>
        </w:tc>
        <w:tc>
          <w:tcPr>
            <w:tcW w:w="498" w:type="pct"/>
            <w:tcBorders>
              <w:bottom w:val="single" w:sz="4" w:space="0" w:color="002060"/>
            </w:tcBorders>
          </w:tcPr>
          <w:p w14:paraId="65B33E78" w14:textId="77777777" w:rsidR="00502EF3" w:rsidRPr="001B41AD" w:rsidRDefault="00502EF3" w:rsidP="00436957">
            <w:pPr>
              <w:jc w:val="center"/>
              <w:rPr>
                <w:rFonts w:cstheme="minorHAnsi"/>
                <w:color w:val="002060"/>
                <w:sz w:val="18"/>
                <w:szCs w:val="18"/>
                <w:lang w:val="sr-Cyrl-CS"/>
              </w:rPr>
            </w:pPr>
            <w:r w:rsidRPr="001B41AD">
              <w:rPr>
                <w:rFonts w:cstheme="minorHAnsi"/>
                <w:color w:val="002060"/>
                <w:sz w:val="18"/>
                <w:szCs w:val="18"/>
                <w:lang w:val="sr-Cyrl-CS"/>
              </w:rPr>
              <w:t>3,9</w:t>
            </w:r>
          </w:p>
        </w:tc>
        <w:tc>
          <w:tcPr>
            <w:tcW w:w="498" w:type="pct"/>
            <w:tcBorders>
              <w:top w:val="nil"/>
              <w:left w:val="nil"/>
              <w:bottom w:val="nil"/>
              <w:right w:val="nil"/>
            </w:tcBorders>
          </w:tcPr>
          <w:p w14:paraId="287075BC" w14:textId="77777777" w:rsidR="00502EF3" w:rsidRPr="001B41AD" w:rsidRDefault="00502EF3" w:rsidP="00436957">
            <w:pPr>
              <w:jc w:val="center"/>
              <w:rPr>
                <w:rFonts w:cstheme="minorHAnsi"/>
                <w:color w:val="002060"/>
                <w:sz w:val="18"/>
                <w:szCs w:val="18"/>
                <w:lang w:val="sr-Cyrl-CS"/>
              </w:rPr>
            </w:pPr>
          </w:p>
        </w:tc>
        <w:tc>
          <w:tcPr>
            <w:tcW w:w="506" w:type="pct"/>
            <w:tcBorders>
              <w:top w:val="nil"/>
              <w:left w:val="nil"/>
              <w:bottom w:val="nil"/>
              <w:right w:val="nil"/>
            </w:tcBorders>
          </w:tcPr>
          <w:p w14:paraId="7D617599" w14:textId="77777777" w:rsidR="00502EF3" w:rsidRPr="001B41AD" w:rsidRDefault="00502EF3" w:rsidP="00436957">
            <w:pPr>
              <w:jc w:val="center"/>
              <w:rPr>
                <w:color w:val="002060"/>
                <w:sz w:val="18"/>
                <w:lang w:val="sr-Cyrl-CS"/>
              </w:rPr>
            </w:pPr>
            <w:r w:rsidRPr="001B41AD">
              <w:rPr>
                <w:color w:val="002060"/>
                <w:sz w:val="18"/>
                <w:lang w:val="sr-Cyrl-CS"/>
              </w:rPr>
              <w:t>3,7</w:t>
            </w:r>
          </w:p>
        </w:tc>
        <w:tc>
          <w:tcPr>
            <w:tcW w:w="506" w:type="pct"/>
            <w:tcBorders>
              <w:top w:val="nil"/>
              <w:left w:val="nil"/>
              <w:bottom w:val="nil"/>
              <w:right w:val="nil"/>
            </w:tcBorders>
          </w:tcPr>
          <w:p w14:paraId="1EE979A7" w14:textId="77777777" w:rsidR="00502EF3" w:rsidRPr="001B41AD" w:rsidRDefault="00502EF3" w:rsidP="00436957">
            <w:pPr>
              <w:jc w:val="center"/>
              <w:rPr>
                <w:color w:val="002060"/>
                <w:sz w:val="18"/>
                <w:lang w:val="sr-Cyrl-CS"/>
              </w:rPr>
            </w:pPr>
            <w:r w:rsidRPr="001B41AD">
              <w:rPr>
                <w:color w:val="002060"/>
                <w:sz w:val="18"/>
                <w:lang w:val="sr-Cyrl-CS"/>
              </w:rPr>
              <w:t>3,5</w:t>
            </w:r>
          </w:p>
        </w:tc>
        <w:tc>
          <w:tcPr>
            <w:tcW w:w="510" w:type="pct"/>
            <w:tcBorders>
              <w:top w:val="nil"/>
              <w:left w:val="nil"/>
              <w:bottom w:val="nil"/>
              <w:right w:val="nil"/>
            </w:tcBorders>
          </w:tcPr>
          <w:p w14:paraId="7DECB3F0" w14:textId="77777777" w:rsidR="00502EF3" w:rsidRPr="001B41AD" w:rsidRDefault="00502EF3" w:rsidP="00436957">
            <w:pPr>
              <w:jc w:val="center"/>
              <w:rPr>
                <w:color w:val="002060"/>
                <w:sz w:val="18"/>
                <w:lang w:val="sr-Cyrl-CS"/>
              </w:rPr>
            </w:pPr>
            <w:r w:rsidRPr="001B41AD">
              <w:rPr>
                <w:color w:val="002060"/>
                <w:sz w:val="18"/>
                <w:lang w:val="sr-Cyrl-CS"/>
              </w:rPr>
              <w:t>3,0</w:t>
            </w:r>
          </w:p>
        </w:tc>
      </w:tr>
      <w:tr w:rsidR="00502EF3" w:rsidRPr="001B41AD" w14:paraId="085258F9" w14:textId="77777777" w:rsidTr="00436957">
        <w:trPr>
          <w:trHeight w:val="60"/>
        </w:trPr>
        <w:tc>
          <w:tcPr>
            <w:tcW w:w="2482" w:type="pct"/>
            <w:tcBorders>
              <w:top w:val="single" w:sz="4" w:space="0" w:color="002060"/>
            </w:tcBorders>
          </w:tcPr>
          <w:p w14:paraId="692DDB13" w14:textId="77777777" w:rsidR="00502EF3" w:rsidRPr="001B41AD" w:rsidRDefault="00502EF3" w:rsidP="00436957">
            <w:pPr>
              <w:rPr>
                <w:rFonts w:cstheme="minorHAnsi"/>
                <w:sz w:val="16"/>
                <w:lang w:val="sr-Cyrl-CS"/>
              </w:rPr>
            </w:pPr>
            <w:r w:rsidRPr="001B41AD">
              <w:rPr>
                <w:rFonts w:cstheme="minorHAnsi"/>
                <w:sz w:val="16"/>
                <w:lang w:val="sr-Cyrl-CS"/>
              </w:rPr>
              <w:t>Извор: Министарство финансија</w:t>
            </w:r>
          </w:p>
        </w:tc>
        <w:tc>
          <w:tcPr>
            <w:tcW w:w="498" w:type="pct"/>
            <w:tcBorders>
              <w:top w:val="single" w:sz="4" w:space="0" w:color="002060"/>
            </w:tcBorders>
          </w:tcPr>
          <w:p w14:paraId="1F3A5C1E" w14:textId="77777777" w:rsidR="00502EF3" w:rsidRPr="001B41AD" w:rsidRDefault="00502EF3" w:rsidP="00436957">
            <w:pPr>
              <w:jc w:val="center"/>
              <w:rPr>
                <w:rFonts w:cstheme="minorHAnsi"/>
                <w:sz w:val="16"/>
                <w:lang w:val="sr-Cyrl-CS"/>
              </w:rPr>
            </w:pPr>
          </w:p>
        </w:tc>
        <w:tc>
          <w:tcPr>
            <w:tcW w:w="498" w:type="pct"/>
            <w:tcBorders>
              <w:top w:val="single" w:sz="4" w:space="0" w:color="002060"/>
            </w:tcBorders>
          </w:tcPr>
          <w:p w14:paraId="1CECBA2D" w14:textId="77777777" w:rsidR="00502EF3" w:rsidRPr="001B41AD" w:rsidRDefault="00502EF3" w:rsidP="00436957">
            <w:pPr>
              <w:jc w:val="center"/>
              <w:rPr>
                <w:rFonts w:cstheme="minorHAnsi"/>
                <w:sz w:val="16"/>
                <w:lang w:val="sr-Cyrl-CS"/>
              </w:rPr>
            </w:pPr>
          </w:p>
        </w:tc>
        <w:tc>
          <w:tcPr>
            <w:tcW w:w="506" w:type="pct"/>
            <w:tcBorders>
              <w:top w:val="single" w:sz="4" w:space="0" w:color="002060"/>
            </w:tcBorders>
          </w:tcPr>
          <w:p w14:paraId="40AF0A91" w14:textId="77777777" w:rsidR="00502EF3" w:rsidRPr="001B41AD" w:rsidRDefault="00502EF3" w:rsidP="00436957">
            <w:pPr>
              <w:jc w:val="center"/>
              <w:rPr>
                <w:rFonts w:cstheme="minorHAnsi"/>
                <w:sz w:val="16"/>
                <w:lang w:val="sr-Cyrl-CS"/>
              </w:rPr>
            </w:pPr>
          </w:p>
        </w:tc>
        <w:tc>
          <w:tcPr>
            <w:tcW w:w="506" w:type="pct"/>
            <w:tcBorders>
              <w:top w:val="single" w:sz="4" w:space="0" w:color="002060"/>
            </w:tcBorders>
          </w:tcPr>
          <w:p w14:paraId="16353BB0" w14:textId="77777777" w:rsidR="00502EF3" w:rsidRPr="001B41AD" w:rsidRDefault="00502EF3" w:rsidP="00436957">
            <w:pPr>
              <w:jc w:val="center"/>
              <w:rPr>
                <w:rFonts w:cstheme="minorHAnsi"/>
                <w:sz w:val="16"/>
                <w:lang w:val="sr-Cyrl-CS"/>
              </w:rPr>
            </w:pPr>
          </w:p>
        </w:tc>
        <w:tc>
          <w:tcPr>
            <w:tcW w:w="510" w:type="pct"/>
            <w:tcBorders>
              <w:top w:val="single" w:sz="4" w:space="0" w:color="002060"/>
            </w:tcBorders>
          </w:tcPr>
          <w:p w14:paraId="133F8EB4" w14:textId="77777777" w:rsidR="00502EF3" w:rsidRPr="001B41AD" w:rsidRDefault="00502EF3" w:rsidP="00436957">
            <w:pPr>
              <w:jc w:val="center"/>
              <w:rPr>
                <w:rFonts w:cstheme="minorHAnsi"/>
                <w:sz w:val="16"/>
                <w:lang w:val="sr-Cyrl-CS"/>
              </w:rPr>
            </w:pPr>
          </w:p>
        </w:tc>
      </w:tr>
    </w:tbl>
    <w:p w14:paraId="5A2C0A2B" w14:textId="77777777" w:rsidR="00502EF3" w:rsidRPr="001B41AD" w:rsidRDefault="00502EF3" w:rsidP="00502EF3">
      <w:pPr>
        <w:spacing w:after="0"/>
        <w:rPr>
          <w:rFonts w:cstheme="minorHAnsi"/>
          <w:bCs/>
          <w:sz w:val="16"/>
          <w:szCs w:val="72"/>
          <w:lang w:val="sr-Cyrl-CS"/>
        </w:rPr>
        <w:sectPr w:rsidR="00502EF3" w:rsidRPr="001B41AD" w:rsidSect="00436957">
          <w:type w:val="continuous"/>
          <w:pgSz w:w="12240" w:h="15840" w:code="1"/>
          <w:pgMar w:top="1440" w:right="1440" w:bottom="1440" w:left="1440" w:header="720" w:footer="720" w:gutter="0"/>
          <w:cols w:space="720"/>
          <w:docGrid w:linePitch="360"/>
        </w:sectPr>
      </w:pPr>
    </w:p>
    <w:p w14:paraId="668EF8EC" w14:textId="77777777" w:rsidR="00502EF3" w:rsidRPr="001B41AD" w:rsidRDefault="00502EF3" w:rsidP="00502EF3">
      <w:pPr>
        <w:spacing w:after="120"/>
        <w:rPr>
          <w:rFonts w:cstheme="minorHAnsi"/>
          <w:bCs/>
          <w:spacing w:val="-2"/>
          <w:szCs w:val="72"/>
          <w:lang w:val="sr-Cyrl-CS"/>
        </w:rPr>
      </w:pPr>
      <w:r w:rsidRPr="001B41AD">
        <w:rPr>
          <w:rFonts w:cstheme="minorHAnsi"/>
          <w:bCs/>
          <w:spacing w:val="-2"/>
          <w:szCs w:val="72"/>
          <w:lang w:val="sr-Cyrl-CS"/>
        </w:rPr>
        <w:t>У ревидираном оквиру за 2026. годину пројектује се раст БДП од 3,0%, што је за 1,2 п.п. мање у односу на претходна очекивања. Ова ревизија одражава примену конзервативног приступа у пројектовању, имајући у виду тренутни ниво ризика из домаћег и међународног окружења, као и додатну неизвесност која произилази из ограничења у обиму производње појединих индустријских делатности.</w:t>
      </w:r>
    </w:p>
    <w:p w14:paraId="15F065C1" w14:textId="6C2B1776" w:rsidR="00502EF3" w:rsidRPr="001B41AD" w:rsidRDefault="00A80666" w:rsidP="00502EF3">
      <w:pPr>
        <w:spacing w:after="120"/>
        <w:rPr>
          <w:rFonts w:cstheme="minorHAnsi"/>
          <w:bCs/>
          <w:spacing w:val="-2"/>
          <w:szCs w:val="72"/>
          <w:lang w:val="sr-Cyrl-CS"/>
        </w:rPr>
      </w:pPr>
      <w:r w:rsidRPr="001B41AD">
        <w:rPr>
          <w:rFonts w:cstheme="minorHAnsi"/>
          <w:bCs/>
          <w:spacing w:val="-2"/>
          <w:szCs w:val="72"/>
          <w:lang w:val="sr-Cyrl-CS"/>
        </w:rPr>
        <w:t xml:space="preserve">Посматрано по агрегатима употребе, разлози ревизије раста БДП у 2026. години налазе се како на страни домаће тражње, тако и на страни нето извоза. У оквиру домаће тражње дошло је до измена у структури, при чему је код приватне потрошње ревизија извршена навише, док су државна потрошња и инвестиције кориговане наниже, у односу на претходна очекивања. </w:t>
      </w:r>
      <w:r w:rsidR="00502EF3" w:rsidRPr="001B41AD">
        <w:rPr>
          <w:rFonts w:cstheme="minorHAnsi"/>
          <w:bCs/>
          <w:spacing w:val="-2"/>
          <w:szCs w:val="72"/>
          <w:lang w:val="sr-Cyrl-CS"/>
        </w:rPr>
        <w:t>Опоравак потрошачког поверења, у комбинацији са снажним растом реалног расположивог дохотка становништва, пре свега услед повећања зарада и пензија, представљаће један од кључних покретача економске активности у наредном периоду. Под утицајем ових фактора, раст приватне потрошње требало би да убрза на 4,6% са претходно пројектованих 3,9%.</w:t>
      </w:r>
      <w:r w:rsidR="00502EF3" w:rsidRPr="001B41AD">
        <w:rPr>
          <w:rFonts w:cstheme="minorHAnsi"/>
          <w:bCs/>
          <w:color w:val="FF0000"/>
          <w:szCs w:val="72"/>
          <w:lang w:val="sr-Cyrl-CS"/>
        </w:rPr>
        <w:t xml:space="preserve"> </w:t>
      </w:r>
      <w:r w:rsidR="00502EF3" w:rsidRPr="001B41AD">
        <w:rPr>
          <w:rFonts w:cstheme="minorHAnsi"/>
          <w:bCs/>
          <w:spacing w:val="-2"/>
          <w:szCs w:val="72"/>
          <w:lang w:val="sr-Cyrl-CS"/>
        </w:rPr>
        <w:t xml:space="preserve">Ова позитивна кретања биће подстакнута постепеним попуштањем привремених ограничења која су током 2025. године успоравала потрошњу, а која су проистекла из наглог пораста друштвено-политичких тензија, као што су штедња из предострожности и одлагање куповина. Са постепеним побољшањем потрошачког расположења очекује се оживљавање тражње, посебно у сегменту трајних добара и </w:t>
      </w:r>
      <w:r w:rsidR="00502EF3" w:rsidRPr="001B41AD">
        <w:rPr>
          <w:rFonts w:cstheme="minorHAnsi"/>
          <w:bCs/>
          <w:spacing w:val="-2"/>
          <w:szCs w:val="72"/>
          <w:lang w:val="sr-Cyrl-CS"/>
        </w:rPr>
        <w:t>услуга. Позитиван допринос расту БДП у 2026. години доћи ће и од државне потрошње за коју се очекује повећање од 2,9%</w:t>
      </w:r>
      <w:r w:rsidRPr="001B41AD">
        <w:rPr>
          <w:lang w:val="sr-Cyrl-CS"/>
        </w:rPr>
        <w:t xml:space="preserve"> </w:t>
      </w:r>
      <w:r w:rsidRPr="001B41AD">
        <w:rPr>
          <w:rFonts w:cstheme="minorHAnsi"/>
          <w:bCs/>
          <w:spacing w:val="-2"/>
          <w:szCs w:val="72"/>
          <w:lang w:val="sr-Cyrl-CS"/>
        </w:rPr>
        <w:t>што је за 0,4 п.п. мање у односу на претходну пројекцију</w:t>
      </w:r>
      <w:r w:rsidR="00502EF3" w:rsidRPr="001B41AD">
        <w:rPr>
          <w:rFonts w:cstheme="minorHAnsi"/>
          <w:bCs/>
          <w:spacing w:val="-2"/>
          <w:szCs w:val="72"/>
          <w:lang w:val="sr-Cyrl-CS"/>
        </w:rPr>
        <w:t>. Убрзање реализације капиталних инфраструктурних пројеката, уз очувану профитабилност домаће привреде из претходног периода и очекивани прилив страних директних инвестиција, требало би да резултира растом инвестиционе активности од 6,9% у 2026. години, што је ипак мање у односу на претходно пројектованих 8,8%. Такав исход делимично је последица појачане опрезности инвеститора услед повећане неизвесности у домаћем и међународном окружењу. Ипак, завршна фаза реализације пројеката</w:t>
      </w:r>
      <w:r w:rsidR="00355C92" w:rsidRPr="001B41AD">
        <w:rPr>
          <w:rFonts w:cstheme="minorHAnsi"/>
          <w:bCs/>
          <w:spacing w:val="-2"/>
          <w:szCs w:val="72"/>
          <w:lang w:val="sr-Cyrl-CS"/>
        </w:rPr>
        <w:t xml:space="preserve"> повезаних са ЕXPO</w:t>
      </w:r>
      <w:r w:rsidR="00502EF3" w:rsidRPr="001B41AD">
        <w:rPr>
          <w:rFonts w:cstheme="minorHAnsi"/>
          <w:bCs/>
          <w:spacing w:val="-2"/>
          <w:szCs w:val="72"/>
          <w:lang w:val="sr-Cyrl-CS"/>
        </w:rPr>
        <w:t xml:space="preserve">, укључујући кључне инфраструктурне објекте и приступне путеве, наставиће да подстиче грађевинску активност и представљаће значајан ослонац инвестиционог циклуса у наредној години. </w:t>
      </w:r>
      <w:r w:rsidR="00BD40ED" w:rsidRPr="001B41AD">
        <w:rPr>
          <w:rFonts w:cstheme="minorHAnsi"/>
          <w:bCs/>
          <w:spacing w:val="-2"/>
          <w:szCs w:val="72"/>
          <w:lang w:val="sr-Cyrl-CS"/>
        </w:rPr>
        <w:t>Снажна акумулација залиха у 2025. години обезбедила је чврсту полазну основу за 2026</w:t>
      </w:r>
      <w:r w:rsidR="009F6CF2" w:rsidRPr="001B41AD">
        <w:rPr>
          <w:rFonts w:cstheme="minorHAnsi"/>
          <w:bCs/>
          <w:spacing w:val="-2"/>
          <w:szCs w:val="72"/>
          <w:lang w:val="sr-Cyrl-CS"/>
        </w:rPr>
        <w:t>. годину</w:t>
      </w:r>
      <w:r w:rsidR="00BD40ED" w:rsidRPr="001B41AD">
        <w:rPr>
          <w:rFonts w:cstheme="minorHAnsi"/>
          <w:bCs/>
          <w:spacing w:val="-2"/>
          <w:szCs w:val="72"/>
          <w:lang w:val="sr-Cyrl-CS"/>
        </w:rPr>
        <w:t>, када се очекује њихово постепено смањење, сходно томе, допринос залиха је конзервативно ревидиран наниже. Истовремено, након две узастопно слабије пољопривредне сезоне, у 2026.</w:t>
      </w:r>
      <w:r w:rsidR="009F6CF2" w:rsidRPr="001B41AD">
        <w:rPr>
          <w:rFonts w:cstheme="minorHAnsi"/>
          <w:bCs/>
          <w:spacing w:val="-2"/>
          <w:szCs w:val="72"/>
          <w:lang w:val="sr-Cyrl-CS"/>
        </w:rPr>
        <w:t xml:space="preserve"> години</w:t>
      </w:r>
      <w:r w:rsidR="00BD40ED" w:rsidRPr="001B41AD">
        <w:rPr>
          <w:rFonts w:cstheme="minorHAnsi"/>
          <w:bCs/>
          <w:spacing w:val="-2"/>
          <w:szCs w:val="72"/>
          <w:lang w:val="sr-Cyrl-CS"/>
        </w:rPr>
        <w:t xml:space="preserve"> се очекује нормализација приноса и корекција пољопривредних залиха, што ће додатно обликовати динамику краткорочних токова. Уз опоравак домаће тражње и појачану набавку стратешких ин</w:t>
      </w:r>
      <w:r w:rsidR="00B54C4D" w:rsidRPr="001B41AD">
        <w:rPr>
          <w:rFonts w:cstheme="minorHAnsi"/>
          <w:bCs/>
          <w:spacing w:val="-2"/>
          <w:szCs w:val="72"/>
          <w:lang w:val="sr-Cyrl-CS"/>
        </w:rPr>
        <w:t xml:space="preserve">пута, нето извоз ће привремено </w:t>
      </w:r>
      <w:r w:rsidR="00BD40ED" w:rsidRPr="001B41AD">
        <w:rPr>
          <w:rFonts w:cstheme="minorHAnsi"/>
          <w:bCs/>
          <w:spacing w:val="-2"/>
          <w:szCs w:val="72"/>
          <w:lang w:val="sr-Cyrl-CS"/>
        </w:rPr>
        <w:t xml:space="preserve">остварити израженији негативан допринос (-1,6 п.п. у односу на раније пројектованих -1,1 п.п.), при чему се ова динамика посматра као увод у снажније извозне ефекте у </w:t>
      </w:r>
      <w:r w:rsidR="00BD40ED" w:rsidRPr="001B41AD">
        <w:rPr>
          <w:rFonts w:cstheme="minorHAnsi"/>
          <w:bCs/>
          <w:spacing w:val="-2"/>
          <w:szCs w:val="72"/>
          <w:lang w:val="sr-Cyrl-CS"/>
        </w:rPr>
        <w:lastRenderedPageBreak/>
        <w:t xml:space="preserve">наставку хоризонта. </w:t>
      </w:r>
      <w:r w:rsidR="00502EF3" w:rsidRPr="001B41AD">
        <w:rPr>
          <w:rFonts w:cstheme="minorHAnsi"/>
          <w:bCs/>
          <w:spacing w:val="-2"/>
          <w:szCs w:val="72"/>
          <w:lang w:val="sr-Cyrl-CS"/>
        </w:rPr>
        <w:t xml:space="preserve">У овом конзервативном сценарију </w:t>
      </w:r>
      <w:r w:rsidRPr="001B41AD">
        <w:rPr>
          <w:rFonts w:cstheme="minorHAnsi"/>
          <w:bCs/>
          <w:spacing w:val="-2"/>
          <w:szCs w:val="72"/>
          <w:lang w:val="sr-Cyrl-CS"/>
        </w:rPr>
        <w:t xml:space="preserve">пројектује </w:t>
      </w:r>
      <w:r w:rsidR="00502EF3" w:rsidRPr="001B41AD">
        <w:rPr>
          <w:rFonts w:cstheme="minorHAnsi"/>
          <w:bCs/>
          <w:spacing w:val="-2"/>
          <w:szCs w:val="72"/>
          <w:lang w:val="sr-Cyrl-CS"/>
        </w:rPr>
        <w:t>се нешто спорија динамика извозних активности у нафтној и металној индустрији, с обзиром на изражену неизвесност у овим секторима услед глобалне фрагментације, заоштравања тарифне и царинске политике ЕУ и промена у глобалној енергетској политици. Ради обезбеђивања енергетске стабилности, може се очекивати повећан увоз енергената и</w:t>
      </w:r>
      <w:r w:rsidR="00125881" w:rsidRPr="001B41AD">
        <w:rPr>
          <w:rFonts w:cstheme="minorHAnsi"/>
          <w:bCs/>
          <w:spacing w:val="-2"/>
          <w:szCs w:val="72"/>
          <w:lang w:val="sr-Cyrl-CS"/>
        </w:rPr>
        <w:t xml:space="preserve"> </w:t>
      </w:r>
      <w:r w:rsidR="00F02824" w:rsidRPr="001B41AD">
        <w:rPr>
          <w:rFonts w:cstheme="minorHAnsi"/>
          <w:bCs/>
          <w:spacing w:val="-2"/>
          <w:szCs w:val="72"/>
          <w:lang w:val="sr-Cyrl-CS"/>
        </w:rPr>
        <w:t>одржавање</w:t>
      </w:r>
      <w:r w:rsidR="00502EF3" w:rsidRPr="001B41AD">
        <w:rPr>
          <w:rFonts w:cstheme="minorHAnsi"/>
          <w:bCs/>
          <w:spacing w:val="-2"/>
          <w:szCs w:val="72"/>
          <w:lang w:val="sr-Cyrl-CS"/>
        </w:rPr>
        <w:t xml:space="preserve"> сигурносних залиха, како би се обезбедило стабилно снабдевање домаћег тржишта и подмирење растућих потреба привреде и становништва.</w:t>
      </w:r>
      <w:r w:rsidR="00502EF3" w:rsidRPr="001B41AD">
        <w:rPr>
          <w:rFonts w:cstheme="minorHAnsi"/>
          <w:bCs/>
          <w:color w:val="FF0000"/>
          <w:spacing w:val="-2"/>
          <w:szCs w:val="72"/>
          <w:lang w:val="sr-Cyrl-CS"/>
        </w:rPr>
        <w:t xml:space="preserve"> </w:t>
      </w:r>
      <w:r w:rsidR="00502EF3" w:rsidRPr="001B41AD">
        <w:rPr>
          <w:rFonts w:cstheme="minorHAnsi"/>
          <w:bCs/>
          <w:spacing w:val="-2"/>
          <w:szCs w:val="72"/>
          <w:lang w:val="sr-Cyrl-CS"/>
        </w:rPr>
        <w:t>Иако ће извоз у појединим гранама прерађивачке индустрије, као и ИКТ сектору и туристичким услугама, наставити да бележи позитивна кретања, очекује се да ти ефекти неће бити довољни да надоместе повећани увозни притисак, па ће нето извоз у наредној години имати негативан утицај на раст БДП.</w:t>
      </w:r>
    </w:p>
    <w:p w14:paraId="427C65CB" w14:textId="76CDD7EB" w:rsidR="00502EF3" w:rsidRPr="001B41AD" w:rsidRDefault="00502EF3" w:rsidP="00502EF3">
      <w:pPr>
        <w:spacing w:after="120"/>
        <w:rPr>
          <w:rFonts w:cstheme="minorHAnsi"/>
          <w:bCs/>
          <w:spacing w:val="-2"/>
          <w:szCs w:val="72"/>
          <w:lang w:val="sr-Cyrl-CS"/>
        </w:rPr>
      </w:pPr>
      <w:r w:rsidRPr="001B41AD">
        <w:rPr>
          <w:rFonts w:cstheme="minorHAnsi"/>
          <w:bCs/>
          <w:spacing w:val="-2"/>
          <w:szCs w:val="72"/>
          <w:lang w:val="sr-Cyrl-CS"/>
        </w:rPr>
        <w:t>Посматрано са производне стране, ревизија пројекције раста БДП за 2026. годину превасходно је условљена опрезнијом проценом кретања индустријске производње. У тренутним околностима и уз изражену неизвесност у међународном окружењу, процењује се умерен раст индустријске производње. Корекција пре свега одражава очекивано спорију динамику у појединим сегментима прерађивачке индустрије, на које утичу процеси глобалне фрагментације и преобликовање енергетских ланаца снабдевања — односно „подизање завеса“ у енергетици — што условљава умеренију динамику производње и извоза. Уз претпоставку постепене нормализације услова спољне трговине, очекује се да се индустријска активност у наставку хоризонта постепено опоравља. Сектор услуга остаће главни носилац привредног раста, са очекиваним повећањем од 3,5% пре свега као резултат снажног раста трговине, саобраћаја и туризма, као и наставка повољних кретања у ИКТ, финансијским и стручно-техничким услугама. Грађевинарство ће у 2026. години остварити раст од око 8,5%, захваљујући наставку реализације инфраструктурних пројеката, уласку у завршну фазу грађевинских активн</w:t>
      </w:r>
      <w:r w:rsidR="00355C92" w:rsidRPr="001B41AD">
        <w:rPr>
          <w:rFonts w:cstheme="minorHAnsi"/>
          <w:bCs/>
          <w:spacing w:val="-2"/>
          <w:szCs w:val="72"/>
          <w:lang w:val="sr-Cyrl-CS"/>
        </w:rPr>
        <w:t xml:space="preserve">ости повезаних са </w:t>
      </w:r>
      <w:r w:rsidR="00355C92" w:rsidRPr="001B41AD">
        <w:rPr>
          <w:rFonts w:cstheme="minorHAnsi"/>
          <w:bCs/>
          <w:i/>
          <w:spacing w:val="-2"/>
          <w:szCs w:val="72"/>
          <w:lang w:val="sr-Cyrl-CS"/>
        </w:rPr>
        <w:t>EXPO</w:t>
      </w:r>
      <w:r w:rsidR="002410C0" w:rsidRPr="001B41AD">
        <w:rPr>
          <w:rFonts w:cstheme="minorHAnsi"/>
          <w:bCs/>
          <w:i/>
          <w:spacing w:val="-2"/>
          <w:szCs w:val="72"/>
          <w:lang w:val="sr-Cyrl-CS"/>
        </w:rPr>
        <w:t xml:space="preserve"> 2027</w:t>
      </w:r>
      <w:r w:rsidRPr="001B41AD">
        <w:rPr>
          <w:rFonts w:cstheme="minorHAnsi"/>
          <w:bCs/>
          <w:spacing w:val="-2"/>
          <w:szCs w:val="72"/>
          <w:lang w:val="sr-Cyrl-CS"/>
        </w:rPr>
        <w:t>, као и ефекту ниске базе из 2025. године. За пољопривреду, под претпоставком просечне сезоне, пројектован раст износи 3,1%.</w:t>
      </w:r>
    </w:p>
    <w:p w14:paraId="3959FDEE" w14:textId="77777777" w:rsidR="00502EF3" w:rsidRPr="001B41AD" w:rsidRDefault="00502EF3" w:rsidP="00502EF3">
      <w:pPr>
        <w:jc w:val="center"/>
        <w:rPr>
          <w:rFonts w:cstheme="minorHAnsi"/>
          <w:bCs/>
          <w:color w:val="002060"/>
          <w:szCs w:val="72"/>
          <w:lang w:val="sr-Cyrl-CS"/>
        </w:rPr>
      </w:pPr>
      <w:r w:rsidRPr="001B41AD">
        <w:rPr>
          <w:rFonts w:cstheme="minorHAnsi"/>
          <w:b/>
          <w:bCs/>
          <w:color w:val="002060"/>
          <w:szCs w:val="72"/>
          <w:lang w:val="sr-Cyrl-CS"/>
        </w:rPr>
        <w:t xml:space="preserve">Доприноси стопи реалног раста БДП, </w:t>
      </w:r>
      <w:r w:rsidRPr="001B41AD">
        <w:rPr>
          <w:rFonts w:cstheme="minorHAnsi"/>
          <w:b/>
          <w:bCs/>
          <w:color w:val="002060"/>
          <w:szCs w:val="72"/>
          <w:lang w:val="sr-Cyrl-CS"/>
        </w:rPr>
        <w:br/>
        <w:t>расходни</w:t>
      </w:r>
      <w:r w:rsidR="00A80666" w:rsidRPr="001B41AD">
        <w:rPr>
          <w:rFonts w:cstheme="minorHAnsi"/>
          <w:b/>
          <w:bCs/>
          <w:color w:val="002060"/>
          <w:szCs w:val="72"/>
          <w:lang w:val="sr-Cyrl-CS"/>
        </w:rPr>
        <w:t xml:space="preserve"> и производни</w:t>
      </w:r>
      <w:r w:rsidRPr="001B41AD">
        <w:rPr>
          <w:rFonts w:cstheme="minorHAnsi"/>
          <w:b/>
          <w:bCs/>
          <w:color w:val="002060"/>
          <w:szCs w:val="72"/>
          <w:lang w:val="sr-Cyrl-CS"/>
        </w:rPr>
        <w:t xml:space="preserve"> приступ, п.п.</w:t>
      </w:r>
    </w:p>
    <w:p w14:paraId="4C6F5D7D" w14:textId="77777777" w:rsidR="00502EF3" w:rsidRPr="001B41AD" w:rsidRDefault="00502EF3" w:rsidP="00502EF3">
      <w:pPr>
        <w:spacing w:after="120"/>
        <w:rPr>
          <w:rFonts w:cstheme="minorHAnsi"/>
          <w:b/>
          <w:bCs/>
          <w:szCs w:val="72"/>
          <w:lang w:val="sr-Cyrl-CS"/>
        </w:rPr>
      </w:pPr>
      <w:r w:rsidRPr="001B41AD">
        <w:rPr>
          <w:noProof/>
        </w:rPr>
        <w:drawing>
          <wp:inline distT="0" distB="0" distL="0" distR="0" wp14:anchorId="0F87F160" wp14:editId="6D43A4C6">
            <wp:extent cx="2743200" cy="1645920"/>
            <wp:effectExtent l="0" t="0" r="0" b="0"/>
            <wp:docPr id="1040916483" name="Chart 1040916483">
              <a:extLst xmlns:a="http://schemas.openxmlformats.org/drawingml/2006/main">
                <a:ext uri="{FF2B5EF4-FFF2-40B4-BE49-F238E27FC236}">
                  <a16:creationId xmlns:a16="http://schemas.microsoft.com/office/drawing/2014/main" id="{00000000-0008-0000-0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7626FEE" w14:textId="77777777" w:rsidR="00502EF3" w:rsidRPr="001B41AD" w:rsidRDefault="00502EF3" w:rsidP="00502EF3">
      <w:pPr>
        <w:spacing w:after="120"/>
        <w:rPr>
          <w:rFonts w:cstheme="minorHAnsi"/>
          <w:b/>
          <w:bCs/>
          <w:szCs w:val="72"/>
          <w:lang w:val="sr-Cyrl-CS"/>
        </w:rPr>
      </w:pPr>
    </w:p>
    <w:p w14:paraId="466CF067" w14:textId="77777777" w:rsidR="00502EF3" w:rsidRPr="001B41AD" w:rsidRDefault="00502EF3" w:rsidP="00502EF3">
      <w:pPr>
        <w:spacing w:after="0"/>
        <w:rPr>
          <w:rFonts w:cstheme="minorHAnsi"/>
          <w:bCs/>
          <w:szCs w:val="72"/>
          <w:lang w:val="sr-Cyrl-CS"/>
        </w:rPr>
      </w:pPr>
      <w:r w:rsidRPr="001B41AD">
        <w:rPr>
          <w:noProof/>
        </w:rPr>
        <w:drawing>
          <wp:inline distT="0" distB="0" distL="0" distR="0" wp14:anchorId="571522E9" wp14:editId="60E91C89">
            <wp:extent cx="2743200" cy="1643456"/>
            <wp:effectExtent l="0" t="0" r="0" b="0"/>
            <wp:docPr id="1040916484" name="Chart 1040916484">
              <a:extLst xmlns:a="http://schemas.openxmlformats.org/drawingml/2006/main">
                <a:ext uri="{FF2B5EF4-FFF2-40B4-BE49-F238E27FC236}">
                  <a16:creationId xmlns:a16="http://schemas.microsoft.com/office/drawing/2014/main" id="{00000000-0008-0000-0F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5C4F6B52" w14:textId="77777777" w:rsidR="00502EF3" w:rsidRPr="001B41AD" w:rsidRDefault="00502EF3" w:rsidP="00502EF3">
      <w:pPr>
        <w:spacing w:after="0" w:line="240" w:lineRule="auto"/>
        <w:rPr>
          <w:rFonts w:cstheme="minorHAnsi"/>
          <w:sz w:val="16"/>
          <w:lang w:val="sr-Cyrl-CS"/>
        </w:rPr>
      </w:pPr>
      <w:r w:rsidRPr="001B41AD">
        <w:rPr>
          <w:rFonts w:cstheme="minorHAnsi"/>
          <w:sz w:val="16"/>
          <w:lang w:val="sr-Cyrl-CS"/>
        </w:rPr>
        <w:t>Извор: Министарство финансија</w:t>
      </w:r>
    </w:p>
    <w:p w14:paraId="6DD502B3" w14:textId="64B63C79" w:rsidR="00502EF3" w:rsidRPr="001B41AD" w:rsidRDefault="00502EF3" w:rsidP="00502EF3">
      <w:pPr>
        <w:spacing w:before="240"/>
        <w:rPr>
          <w:rFonts w:cstheme="minorHAnsi"/>
          <w:bCs/>
          <w:spacing w:val="-2"/>
          <w:szCs w:val="72"/>
          <w:lang w:val="sr-Cyrl-CS"/>
        </w:rPr>
      </w:pPr>
      <w:r w:rsidRPr="001B41AD">
        <w:rPr>
          <w:rFonts w:cstheme="minorHAnsi"/>
          <w:bCs/>
          <w:spacing w:val="-2"/>
          <w:szCs w:val="72"/>
          <w:lang w:val="sr-Cyrl-CS"/>
        </w:rPr>
        <w:t>Према средњорочној макроекономској пројекцији кумулативна стопа раста у периоду од 2026. до 2028. године износиће 11,9% и биће опредељена растом домаће тражње, уз благо негативан допринос нето извоза. Овај извор раста детерминисан је, како снажним наставком инвестиционог циклуса и растом инвестиционе активности, тако и повећањем приватне потрошње домаћинстава услед раста реалног расположивог дохотка. Уз очекивани опоравак спољне тражње, убрзање раста на 5,0% у 2027. години биће пре свега резултат реализације ак</w:t>
      </w:r>
      <w:r w:rsidR="00355C92" w:rsidRPr="001B41AD">
        <w:rPr>
          <w:rFonts w:cstheme="minorHAnsi"/>
          <w:bCs/>
          <w:spacing w:val="-2"/>
          <w:szCs w:val="72"/>
          <w:lang w:val="sr-Cyrl-CS"/>
        </w:rPr>
        <w:t>тивности у оквиру пројекта ЕXPO</w:t>
      </w:r>
      <w:r w:rsidRPr="001B41AD">
        <w:rPr>
          <w:rFonts w:cstheme="minorHAnsi"/>
          <w:bCs/>
          <w:spacing w:val="-2"/>
          <w:szCs w:val="72"/>
          <w:lang w:val="sr-Cyrl-CS"/>
        </w:rPr>
        <w:t>, чија ће организација генерисати снажне инфраструктурне, грађевинске и логистичке активности током 2026. године, а свој пуни ефекат оствариће управо током 2027. године. Одржавање самог догађаја довешће до значајног повећања страних долазака, потрошње и инвестиција, посебно у секторима туризма, угоститељс</w:t>
      </w:r>
      <w:r w:rsidR="00355C92" w:rsidRPr="001B41AD">
        <w:rPr>
          <w:rFonts w:cstheme="minorHAnsi"/>
          <w:bCs/>
          <w:spacing w:val="-2"/>
          <w:szCs w:val="72"/>
          <w:lang w:val="sr-Cyrl-CS"/>
        </w:rPr>
        <w:t>тва и услуга. Истовремено, ЕXPO</w:t>
      </w:r>
      <w:r w:rsidRPr="001B41AD">
        <w:rPr>
          <w:rFonts w:cstheme="minorHAnsi"/>
          <w:bCs/>
          <w:spacing w:val="-2"/>
          <w:szCs w:val="72"/>
          <w:lang w:val="sr-Cyrl-CS"/>
        </w:rPr>
        <w:t xml:space="preserve"> ће додатно подстаћи промоцију до</w:t>
      </w:r>
      <w:r w:rsidR="00025758" w:rsidRPr="001B41AD">
        <w:rPr>
          <w:rFonts w:cstheme="minorHAnsi"/>
          <w:bCs/>
          <w:spacing w:val="-2"/>
          <w:szCs w:val="72"/>
          <w:lang w:val="sr-Cyrl-CS"/>
        </w:rPr>
        <w:t>маће привреде, довешће до јачања</w:t>
      </w:r>
      <w:r w:rsidRPr="001B41AD">
        <w:rPr>
          <w:rFonts w:cstheme="minorHAnsi"/>
          <w:bCs/>
          <w:spacing w:val="-2"/>
          <w:szCs w:val="72"/>
          <w:lang w:val="sr-Cyrl-CS"/>
        </w:rPr>
        <w:t xml:space="preserve"> извозног потенцијала и привлачење директних страних инвестиција, чиме ће бити обезбеђен </w:t>
      </w:r>
      <w:r w:rsidRPr="001B41AD">
        <w:rPr>
          <w:rFonts w:cstheme="minorHAnsi"/>
          <w:bCs/>
          <w:spacing w:val="-2"/>
          <w:szCs w:val="72"/>
          <w:lang w:val="sr-Cyrl-CS"/>
        </w:rPr>
        <w:lastRenderedPageBreak/>
        <w:t>снажан допринос укупном расту БДП у 2027. години. Успоравање привредног раста у 2028. години на 3,5% у великој мери ће бити последица израженог базног ефекта, будући да ће реали</w:t>
      </w:r>
      <w:r w:rsidR="00355C92" w:rsidRPr="001B41AD">
        <w:rPr>
          <w:rFonts w:cstheme="minorHAnsi"/>
          <w:bCs/>
          <w:spacing w:val="-2"/>
          <w:szCs w:val="72"/>
          <w:lang w:val="sr-Cyrl-CS"/>
        </w:rPr>
        <w:t>зација међународне изложбе ЕXPO</w:t>
      </w:r>
      <w:r w:rsidRPr="001B41AD">
        <w:rPr>
          <w:rFonts w:cstheme="minorHAnsi"/>
          <w:bCs/>
          <w:spacing w:val="-2"/>
          <w:szCs w:val="72"/>
          <w:lang w:val="sr-Cyrl-CS"/>
        </w:rPr>
        <w:t xml:space="preserve"> у 2027. години довести до привременог, али изузетно снажног раста у појединим сегментима економије. С обзиром на то да ће ти ефекти бити временски ограничени и доминантно концентрисани у години одржавања догађаја, њихов утицај ће у 2028. години постепено изостати, што ће довести до враћања стопе раста БДП на умеренију путању. Овакво успоравање не представља сигнал слабљења економских фундамената, већ пре свега одраз поређења са годином у којој су били присутни једнократни и изузетно интензивни подстицаји економској активности.</w:t>
      </w:r>
    </w:p>
    <w:p w14:paraId="1FD58C08" w14:textId="77777777" w:rsidR="00502EF3" w:rsidRPr="001B41AD" w:rsidRDefault="00502EF3" w:rsidP="00502EF3">
      <w:pPr>
        <w:rPr>
          <w:rFonts w:cstheme="minorHAnsi"/>
          <w:bCs/>
          <w:spacing w:val="-2"/>
          <w:szCs w:val="72"/>
          <w:lang w:val="sr-Cyrl-CS"/>
        </w:rPr>
      </w:pPr>
      <w:r w:rsidRPr="001B41AD">
        <w:rPr>
          <w:rFonts w:cstheme="minorHAnsi"/>
          <w:bCs/>
          <w:spacing w:val="-2"/>
          <w:szCs w:val="72"/>
          <w:lang w:val="sr-Cyrl-CS"/>
        </w:rPr>
        <w:t>Просечно годишње, српска привреда ће у периоду од 2026</w:t>
      </w:r>
      <w:r w:rsidR="00863A5F" w:rsidRPr="001B41AD">
        <w:rPr>
          <w:rFonts w:cstheme="minorHAnsi"/>
          <w:bCs/>
          <w:spacing w:val="-2"/>
          <w:szCs w:val="72"/>
          <w:lang w:val="sr-Cyrl-CS"/>
        </w:rPr>
        <w:t>.</w:t>
      </w:r>
      <w:r w:rsidRPr="001B41AD">
        <w:rPr>
          <w:rFonts w:cstheme="minorHAnsi"/>
          <w:bCs/>
          <w:spacing w:val="-2"/>
          <w:szCs w:val="72"/>
          <w:lang w:val="sr-Cyrl-CS"/>
        </w:rPr>
        <w:t xml:space="preserve"> до 2028. године расти по стопи од 3,8%. Повећање реалне потрошње становништва ће пратити раст економске активности и у просеку ће износити 3,8%. Очекује се стабилан раст фиксних инвестиција који ће у просеку износити 5,8% годишње. Висок ниво јавних инвестиција биће праћен и растом приватних инвестиција, тако да се на крају пројекцијског периода очекује учешће фиксних инвестиција у БДП од 24,3%. Са активирањем нових производних капацитета и опоравком спољне тражње повећаваће се и обим спољнотрговинске размене. Поред тога, ефектуирање СДИ из претходног периода допринеће повећању конкуренције и утица</w:t>
      </w:r>
      <w:r w:rsidR="00E84FAB" w:rsidRPr="001B41AD">
        <w:rPr>
          <w:rFonts w:cstheme="minorHAnsi"/>
          <w:bCs/>
          <w:spacing w:val="-2"/>
          <w:szCs w:val="72"/>
          <w:lang w:val="sr-Cyrl-CS"/>
        </w:rPr>
        <w:t>ће</w:t>
      </w:r>
      <w:r w:rsidRPr="001B41AD">
        <w:rPr>
          <w:rFonts w:cstheme="minorHAnsi"/>
          <w:bCs/>
          <w:spacing w:val="-2"/>
          <w:szCs w:val="72"/>
          <w:lang w:val="sr-Cyrl-CS"/>
        </w:rPr>
        <w:t xml:space="preserve"> на ефикасност домаћих произвођача, док ће са друге стране бити активирани нови канали продаје и отворене нове тржишне нише. Извоз ће у просеку годишње расти по стопи од 6,2% што је брже од очекиваног годишњег раста увоза који ће у просеку износити 6,0%, али ће због већег учешћа увоза, допринос нето извоза расту БДП бити благо негативан. Посматрано на страни понуде, услужни сектор и индустрија ће, следствено највећем учешћу у БДП, задржати улогу доминантних извора раста и повећавати креирану БДВ са просечним годишњим растом од 4,2% и 3,0%, респективно. Значајан позитиван допринос имаће и грађевинарство које ће у просеку забележити раст од 5,3% као резултат убрзања реализације инфраструктурних пројеката, али и убрзања </w:t>
      </w:r>
      <w:r w:rsidRPr="001B41AD">
        <w:rPr>
          <w:rFonts w:cstheme="minorHAnsi"/>
          <w:bCs/>
          <w:spacing w:val="-2"/>
          <w:szCs w:val="72"/>
          <w:lang w:val="sr-Cyrl-CS"/>
        </w:rPr>
        <w:t>приватних инвестиција. Достизање европских стандарда и подизање конкурентности у пољопривреди, смањиће варијабилност производње овог сектора изазвану агрометеоролошким условима, али је и у овом макроекономском оквиру задржана претпоставка просечне пољопривредне сезоне.</w:t>
      </w:r>
    </w:p>
    <w:p w14:paraId="5E69E43F" w14:textId="77777777" w:rsidR="00502EF3" w:rsidRPr="001B41AD" w:rsidRDefault="00502EF3" w:rsidP="00502EF3">
      <w:pPr>
        <w:rPr>
          <w:rFonts w:cstheme="minorHAnsi"/>
          <w:bCs/>
          <w:color w:val="2F5496" w:themeColor="accent1" w:themeShade="BF"/>
          <w:spacing w:val="-2"/>
          <w:szCs w:val="72"/>
          <w:lang w:val="sr-Cyrl-CS"/>
        </w:rPr>
      </w:pPr>
      <w:r w:rsidRPr="001B41AD">
        <w:rPr>
          <w:rFonts w:cstheme="minorHAnsi"/>
          <w:b/>
          <w:bCs/>
          <w:color w:val="2F5496" w:themeColor="accent1" w:themeShade="BF"/>
          <w:spacing w:val="-2"/>
          <w:szCs w:val="72"/>
          <w:lang w:val="sr-Cyrl-CS"/>
        </w:rPr>
        <w:t>Макроекономски ризици</w:t>
      </w:r>
    </w:p>
    <w:p w14:paraId="1F6640D2" w14:textId="77777777" w:rsidR="00502EF3" w:rsidRPr="001B41AD" w:rsidRDefault="00502EF3" w:rsidP="00502EF3">
      <w:pPr>
        <w:spacing w:after="120"/>
        <w:rPr>
          <w:rFonts w:cstheme="minorHAnsi"/>
          <w:bCs/>
          <w:spacing w:val="-2"/>
          <w:szCs w:val="72"/>
          <w:lang w:val="sr-Cyrl-CS"/>
        </w:rPr>
      </w:pPr>
      <w:r w:rsidRPr="001B41AD">
        <w:rPr>
          <w:rFonts w:cstheme="minorHAnsi"/>
          <w:bCs/>
          <w:spacing w:val="-2"/>
          <w:szCs w:val="72"/>
          <w:lang w:val="sr-Cyrl-CS"/>
        </w:rPr>
        <w:t>Средњорочни сценарио кретања привредне активности Републике Србије и даље је под утицајем бројних и комплексних ризика који долазе из међународног окружења, али и унутрашњих ризика везаних за друштвено-политичке тензије.</w:t>
      </w:r>
    </w:p>
    <w:p w14:paraId="30D17C66" w14:textId="77777777" w:rsidR="00502EF3" w:rsidRPr="001B41AD" w:rsidRDefault="00502EF3" w:rsidP="00502EF3">
      <w:pPr>
        <w:spacing w:after="120"/>
        <w:rPr>
          <w:rFonts w:cstheme="minorHAnsi"/>
          <w:bCs/>
          <w:spacing w:val="-2"/>
          <w:szCs w:val="72"/>
          <w:lang w:val="sr-Cyrl-CS"/>
        </w:rPr>
      </w:pPr>
      <w:r w:rsidRPr="001B41AD">
        <w:rPr>
          <w:rFonts w:cstheme="minorHAnsi"/>
          <w:bCs/>
          <w:spacing w:val="-2"/>
          <w:szCs w:val="72"/>
          <w:lang w:val="sr-Cyrl-CS"/>
        </w:rPr>
        <w:t xml:space="preserve">Најизраженији ризици из међународног окружења потичу од нестабилних глобалних економских и политичких односа. Иако су неки трговински споразуми који ублажавају најекстремније сценарије већ постигнути, ризици од нових рестриктивних мера, као што су нове тарифе, квоте, контратарифе или субвенције у стратешким индустријама, и даље су присутни. Те мере могу нарушити глобалне ланце снабдевања и ослабити међународну трговину и инвестиције. Поред тога, непостојање јасне координације међу водећим економијама света по питању трговинске политике, као и све учесталији примери селективног протекционизма, остављају висок степен неизвесности у погледу даљег развоја трговинских односа и могућности да се ситуација додатно погорша уколико дође до новог таласа ограничења и сегментације глобалног тржишта. Ово отежава прогнозирање и планирање како за националне институције, тако и за приватни сектор и стране инвеститоре. Такве мере, посебно када долазе од стране водећих глобалних економија, имају потенцијал да преусмере токове капитала и робе, смање доступност кључних сировина и компоненти, и негативно утичу на привреде извозно оријентисаних земаља попут Републике Србије. Иако су мировне иницијативе у вези са ситуацијама у Украјини и на Блиском истоку у току, ризици по глобални макроекономски оквир и даље су изражени. И поред изгледа за постепену деескалацију, нестабилност у овим регионима и даље може утицати на тржишта енергената и хране, глобалне логистичке токове и инфлаторне притиске, што одржава повишен ниво </w:t>
      </w:r>
      <w:r w:rsidRPr="001B41AD">
        <w:rPr>
          <w:rFonts w:cstheme="minorHAnsi"/>
          <w:bCs/>
          <w:spacing w:val="-2"/>
          <w:szCs w:val="72"/>
          <w:lang w:val="sr-Cyrl-CS"/>
        </w:rPr>
        <w:lastRenderedPageBreak/>
        <w:t>неизвесности у међународном економском окружењу. Могући скокови цена енергената и хране, као и потенцијални поремећаји у логистичким токовима и тржишту рада, могли би довести до појачаних инфлаторних притисака, смањења реалне куповне моћи становништва и негативног утицаја на инвеститорску сигурност. Услед повезаности глобалних финансијских и робних тржишта, ти ефекти би се врло брзо прелили на земље попут Републике Србије, преко канала извоза, увозних цена, страних директних инвестиција и осталих финансијских токова. С друге стране, потенцијална деескалација глобалних напетости и ублажавање трговинских баријера могла би имати снажан позитиван ефекат на међународне економске токове, што би се синергетски прелило и на домаћу економију кроз раст извоза, инвестиција и повољнији приступ технологијама и капиталу.</w:t>
      </w:r>
    </w:p>
    <w:p w14:paraId="6F9E3329" w14:textId="77777777" w:rsidR="00502EF3" w:rsidRPr="001B41AD" w:rsidRDefault="00502EF3" w:rsidP="00502EF3">
      <w:pPr>
        <w:spacing w:after="120"/>
        <w:rPr>
          <w:rFonts w:cstheme="minorHAnsi"/>
          <w:bCs/>
          <w:spacing w:val="-2"/>
          <w:szCs w:val="72"/>
          <w:lang w:val="sr-Cyrl-CS"/>
        </w:rPr>
      </w:pPr>
      <w:r w:rsidRPr="001B41AD">
        <w:rPr>
          <w:rFonts w:cstheme="minorHAnsi"/>
          <w:bCs/>
          <w:spacing w:val="-2"/>
          <w:szCs w:val="72"/>
          <w:lang w:val="sr-Cyrl-CS"/>
        </w:rPr>
        <w:t>Унутрашњи ризици превасходно проистичу из повећаних друштвено-политичких тензија. Уколико би ови притисци били израженији, могуће је да би се одразили у већој мери на економска очекивања, поверење потрошача и инвеститора, као и на спремност привредних субјеката за нове инвестиције. У таквом случају, повећана неизвесност могла би подстаћи већи степен опрезности у доношењу економских одлука и довести до умеренијег темпа раста потрошње и инвестиција у кратком року. С друге стране, постепено разрешење друштвено-политичких тензија могло би имати позитиван утицај на привредна кретања, кроз јачање поверења потрошача и инвеститора и смањење перцепције ризика. Такав развој догађаја допринео би већој предвидивости пословног окружења и подстицању инвестиционе активности, што би се позитивно одразило на укупан економски раст. Висок степен неизвесности постоји и у погледу динамике економске активности у појединим гранама индустрије које су осетљиве на промене у међународном пословном окружењу. Уколико би утицај ових фактора био снажнији од тренутно процењеног, то би се могло негативно одразити на укупан привредни раст, док би, с друге стране, бржа стабилизација услова пословања имала потенцијал да значајно побољша средњорочне изгледе економске активности.</w:t>
      </w:r>
    </w:p>
    <w:p w14:paraId="231DB17E" w14:textId="77777777" w:rsidR="00C4414F" w:rsidRPr="001B41AD" w:rsidRDefault="00502EF3" w:rsidP="00C4414F">
      <w:pPr>
        <w:spacing w:after="120"/>
        <w:rPr>
          <w:rFonts w:cstheme="minorHAnsi"/>
          <w:bCs/>
          <w:spacing w:val="-2"/>
          <w:szCs w:val="72"/>
          <w:lang w:val="sr-Cyrl-CS"/>
        </w:rPr>
      </w:pPr>
      <w:r w:rsidRPr="001B41AD">
        <w:rPr>
          <w:rFonts w:cstheme="minorHAnsi"/>
          <w:bCs/>
          <w:spacing w:val="-2"/>
          <w:szCs w:val="72"/>
          <w:lang w:val="sr-Cyrl-CS"/>
        </w:rPr>
        <w:t xml:space="preserve">Укупан ефекат спољних и домаћих ризика указује на потребу да се сви сценарији и пројекције за наредни период анализирају уз изражен опрез, укључујући редовно ажурирање ризика и развој алтернативних политика које могу ублажити ефекте евентуалних спољних и домаћих шокова. </w:t>
      </w:r>
    </w:p>
    <w:p w14:paraId="452F0384" w14:textId="77777777" w:rsidR="00502EF3" w:rsidRPr="001B41AD" w:rsidRDefault="00502EF3" w:rsidP="00DC4A23">
      <w:pPr>
        <w:spacing w:after="120"/>
        <w:jc w:val="center"/>
        <w:rPr>
          <w:b/>
          <w:color w:val="002060"/>
          <w:lang w:val="sr-Cyrl-CS"/>
        </w:rPr>
      </w:pPr>
      <w:r w:rsidRPr="001B41AD">
        <w:rPr>
          <w:b/>
          <w:color w:val="002060"/>
          <w:lang w:val="sr-Cyrl-CS"/>
        </w:rPr>
        <w:t>Пројекција кретања БДП са матрицом ризика, стопе раста, %</w:t>
      </w:r>
    </w:p>
    <w:p w14:paraId="37A6C981" w14:textId="77777777" w:rsidR="00502EF3" w:rsidRPr="001B41AD" w:rsidRDefault="00502EF3" w:rsidP="00502EF3">
      <w:pPr>
        <w:spacing w:after="0"/>
        <w:rPr>
          <w:b/>
          <w:lang w:val="sr-Cyrl-CS"/>
        </w:rPr>
      </w:pPr>
      <w:r w:rsidRPr="001B41AD">
        <w:rPr>
          <w:noProof/>
        </w:rPr>
        <w:drawing>
          <wp:inline distT="0" distB="0" distL="0" distR="0" wp14:anchorId="69F89014" wp14:editId="7FBC4713">
            <wp:extent cx="2743200" cy="1417320"/>
            <wp:effectExtent l="0" t="0" r="0" b="0"/>
            <wp:docPr id="1040916485" name="Chart 1040916485">
              <a:extLst xmlns:a="http://schemas.openxmlformats.org/drawingml/2006/main">
                <a:ext uri="{FF2B5EF4-FFF2-40B4-BE49-F238E27FC236}">
                  <a16:creationId xmlns:a16="http://schemas.microsoft.com/office/drawing/2014/main" id="{00000000-0008-0000-06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48D1895" w14:textId="77777777" w:rsidR="00502EF3" w:rsidRPr="001B41AD" w:rsidRDefault="00502EF3" w:rsidP="00502EF3">
      <w:pPr>
        <w:spacing w:before="120" w:after="120"/>
        <w:rPr>
          <w:rFonts w:cstheme="minorHAnsi"/>
          <w:bCs/>
          <w:spacing w:val="-2"/>
          <w:sz w:val="16"/>
          <w:szCs w:val="52"/>
          <w:lang w:val="sr-Cyrl-CS"/>
        </w:rPr>
      </w:pPr>
      <w:r w:rsidRPr="001B41AD">
        <w:rPr>
          <w:rFonts w:cstheme="minorHAnsi"/>
          <w:bCs/>
          <w:spacing w:val="-2"/>
          <w:sz w:val="16"/>
          <w:szCs w:val="52"/>
          <w:lang w:val="sr-Cyrl-CS"/>
        </w:rPr>
        <w:t>Извор: Министарство финансија</w:t>
      </w:r>
    </w:p>
    <w:p w14:paraId="03F4C0E2" w14:textId="39D41D1F" w:rsidR="00502EF3" w:rsidRPr="001B41AD" w:rsidRDefault="00502EF3" w:rsidP="00502EF3">
      <w:pPr>
        <w:spacing w:before="120" w:after="120"/>
        <w:rPr>
          <w:rFonts w:cstheme="minorHAnsi"/>
          <w:bCs/>
          <w:spacing w:val="-2"/>
          <w:szCs w:val="72"/>
          <w:lang w:val="sr-Cyrl-CS"/>
        </w:rPr>
        <w:sectPr w:rsidR="00502EF3" w:rsidRPr="001B41AD" w:rsidSect="00436957">
          <w:type w:val="continuous"/>
          <w:pgSz w:w="12240" w:h="15840" w:code="1"/>
          <w:pgMar w:top="1440" w:right="1440" w:bottom="1440" w:left="1440" w:header="720" w:footer="720" w:gutter="0"/>
          <w:cols w:num="2" w:space="720"/>
          <w:titlePg/>
          <w:docGrid w:linePitch="360"/>
        </w:sectPr>
      </w:pPr>
      <w:r w:rsidRPr="001B41AD">
        <w:rPr>
          <w:rFonts w:cstheme="minorHAnsi"/>
          <w:bCs/>
          <w:spacing w:val="-2"/>
          <w:szCs w:val="72"/>
          <w:lang w:val="sr-Cyrl-CS"/>
        </w:rPr>
        <w:t>У том контексту, развијена су два додатна сценарија, песимистични и оптимистични, који илуструју амплитуду потенцијалних одступања од основне прогнозе. Песимистични сценарио заснива се на претпоставци материјализације негативних спољних ризика, као што су имплементација тарифа у обиму већим од тренутног, продужени војни конфликти и смањење тражње у ЕУ.</w:t>
      </w:r>
      <w:r w:rsidRPr="001B41AD">
        <w:rPr>
          <w:lang w:val="sr-Cyrl-CS"/>
        </w:rPr>
        <w:t xml:space="preserve"> </w:t>
      </w:r>
      <w:r w:rsidRPr="001B41AD">
        <w:rPr>
          <w:rFonts w:cstheme="minorHAnsi"/>
          <w:bCs/>
          <w:spacing w:val="-2"/>
          <w:szCs w:val="72"/>
          <w:lang w:val="sr-Cyrl-CS"/>
        </w:rPr>
        <w:t>У том случају, дошло би до слабијег извоза, већих инфлаторних притисака, смањења реалног расположивог дохотка и успореног темпа приватних инвестиција. Као последица, средњорочна стопа раста БДП у периоду 2026–2028. године била би за 1,5 п.п. нижа у односу на основни сценарио и изн</w:t>
      </w:r>
      <w:r w:rsidR="00455201" w:rsidRPr="001B41AD">
        <w:rPr>
          <w:rFonts w:cstheme="minorHAnsi"/>
          <w:bCs/>
          <w:spacing w:val="-2"/>
          <w:szCs w:val="72"/>
          <w:lang w:val="sr-Cyrl-CS"/>
        </w:rPr>
        <w:t>осила би 2,3% просечно годишње. Продужено важење</w:t>
      </w:r>
      <w:r w:rsidR="00455201" w:rsidRPr="001B41AD">
        <w:rPr>
          <w:lang w:val="sr-Cyrl-CS"/>
        </w:rPr>
        <w:t xml:space="preserve"> санкција које се односе на НИС, као и евентуални изостанак потписивања новог гасног аранжмана са Русијом, могли би довести у питање  остварење чак и стопе раста предвиђене у песимистичном сценарију. </w:t>
      </w:r>
      <w:r w:rsidRPr="001B41AD">
        <w:rPr>
          <w:rFonts w:cstheme="minorHAnsi"/>
          <w:bCs/>
          <w:spacing w:val="-2"/>
          <w:szCs w:val="72"/>
          <w:lang w:val="sr-Cyrl-CS"/>
        </w:rPr>
        <w:t xml:space="preserve">Оптимистични сценарио, насупрот томе, полази од претпоставке стабилизације глобалних односа, смањења трговинских баријера и раста поверења инвеститора. Истовремено, брже разрешавање неизвесности у погледу кретања у појединим индустријским гранама могло би допринети снажнијем расту индустријске производње и укупне економске активности, чиме би се средњорочни изгледи раста побољшали у односу на основни сценарио. У том оквиру би дошло до </w:t>
      </w:r>
      <w:r w:rsidRPr="001B41AD">
        <w:rPr>
          <w:rFonts w:cstheme="minorHAnsi"/>
          <w:bCs/>
          <w:spacing w:val="-2"/>
          <w:szCs w:val="72"/>
          <w:lang w:val="sr-Cyrl-CS"/>
        </w:rPr>
        <w:lastRenderedPageBreak/>
        <w:t xml:space="preserve">снажнијег раста извоза и инвестиција, као и </w:t>
      </w:r>
      <w:r w:rsidR="00C334A2" w:rsidRPr="001B41AD">
        <w:rPr>
          <w:rFonts w:cstheme="minorHAnsi"/>
          <w:bCs/>
          <w:spacing w:val="-2"/>
          <w:szCs w:val="72"/>
          <w:lang w:val="sr-Cyrl-CS"/>
        </w:rPr>
        <w:t>приватне</w:t>
      </w:r>
      <w:r w:rsidRPr="001B41AD">
        <w:rPr>
          <w:rFonts w:cstheme="minorHAnsi"/>
          <w:bCs/>
          <w:spacing w:val="-2"/>
          <w:szCs w:val="72"/>
          <w:lang w:val="sr-Cyrl-CS"/>
        </w:rPr>
        <w:t xml:space="preserve"> потрошње. Средњорочна стопа раста БДП у овом сценарију износила би 5,3% просечно </w:t>
      </w:r>
      <w:r w:rsidRPr="001B41AD">
        <w:rPr>
          <w:rFonts w:cstheme="minorHAnsi"/>
          <w:bCs/>
          <w:spacing w:val="-2"/>
          <w:szCs w:val="72"/>
          <w:lang w:val="sr-Cyrl-CS"/>
        </w:rPr>
        <w:t>годишње, односно за 1,5 п.п. више од основног сценарија.</w:t>
      </w:r>
    </w:p>
    <w:p w14:paraId="5F984CC8" w14:textId="77777777" w:rsidR="00502EF3" w:rsidRPr="001B41AD" w:rsidRDefault="00502EF3" w:rsidP="00502EF3">
      <w:pPr>
        <w:spacing w:after="60"/>
        <w:jc w:val="center"/>
        <w:rPr>
          <w:rFonts w:cstheme="minorHAnsi"/>
          <w:b/>
          <w:color w:val="002060"/>
          <w:lang w:val="sr-Cyrl-CS"/>
        </w:rPr>
      </w:pPr>
      <w:r w:rsidRPr="001B41AD">
        <w:rPr>
          <w:rFonts w:cstheme="minorHAnsi"/>
          <w:b/>
          <w:color w:val="002060"/>
          <w:lang w:val="sr-Cyrl-CS"/>
        </w:rPr>
        <w:t>Табела 5. Просечне стопе раста (%) у периоду 2026</w:t>
      </w:r>
      <w:r w:rsidR="004A4FF1" w:rsidRPr="001B41AD">
        <w:rPr>
          <w:rFonts w:cstheme="minorHAnsi"/>
          <w:b/>
          <w:color w:val="002060"/>
          <w:lang w:val="sr-Cyrl-CS"/>
        </w:rPr>
        <w:t xml:space="preserve"> </w:t>
      </w:r>
      <w:r w:rsidRPr="001B41AD">
        <w:rPr>
          <w:rFonts w:cstheme="minorHAnsi"/>
          <w:b/>
          <w:color w:val="002060"/>
          <w:lang w:val="sr-Cyrl-CS"/>
        </w:rPr>
        <w:t>–</w:t>
      </w:r>
      <w:r w:rsidR="004A4FF1" w:rsidRPr="001B41AD">
        <w:rPr>
          <w:rFonts w:cstheme="minorHAnsi"/>
          <w:b/>
          <w:color w:val="002060"/>
          <w:lang w:val="sr-Cyrl-CS"/>
        </w:rPr>
        <w:t xml:space="preserve"> </w:t>
      </w:r>
      <w:r w:rsidRPr="001B41AD">
        <w:rPr>
          <w:rFonts w:cstheme="minorHAnsi"/>
          <w:b/>
          <w:color w:val="002060"/>
          <w:lang w:val="sr-Cyrl-CS"/>
        </w:rPr>
        <w:t>2028</w:t>
      </w:r>
      <w:r w:rsidR="004A4FF1" w:rsidRPr="001B41AD">
        <w:rPr>
          <w:rFonts w:cstheme="minorHAnsi"/>
          <w:b/>
          <w:color w:val="002060"/>
          <w:lang w:val="sr-Cyrl-CS"/>
        </w:rPr>
        <w:t>.</w:t>
      </w:r>
      <w:r w:rsidRPr="001B41AD">
        <w:rPr>
          <w:rFonts w:cstheme="minorHAnsi"/>
          <w:b/>
          <w:color w:val="002060"/>
          <w:lang w:val="sr-Cyrl-CS"/>
        </w:rPr>
        <w:t xml:space="preserve"> у зависности од сценарија</w:t>
      </w:r>
    </w:p>
    <w:tbl>
      <w:tblPr>
        <w:tblW w:w="4395" w:type="dxa"/>
        <w:tblCellMar>
          <w:left w:w="0" w:type="dxa"/>
          <w:right w:w="0" w:type="dxa"/>
        </w:tblCellMar>
        <w:tblLook w:val="04A0" w:firstRow="1" w:lastRow="0" w:firstColumn="1" w:lastColumn="0" w:noHBand="0" w:noVBand="1"/>
      </w:tblPr>
      <w:tblGrid>
        <w:gridCol w:w="1380"/>
        <w:gridCol w:w="888"/>
        <w:gridCol w:w="1060"/>
        <w:gridCol w:w="1067"/>
      </w:tblGrid>
      <w:tr w:rsidR="00502EF3" w:rsidRPr="001B41AD" w14:paraId="0DCA6698" w14:textId="77777777" w:rsidTr="00436957">
        <w:trPr>
          <w:trHeight w:val="227"/>
        </w:trPr>
        <w:tc>
          <w:tcPr>
            <w:tcW w:w="1380" w:type="dxa"/>
            <w:tcBorders>
              <w:top w:val="single" w:sz="4" w:space="0" w:color="002060"/>
              <w:left w:val="nil"/>
              <w:bottom w:val="single" w:sz="8" w:space="0" w:color="FFFFFF"/>
              <w:right w:val="nil"/>
            </w:tcBorders>
            <w:vAlign w:val="center"/>
            <w:hideMark/>
          </w:tcPr>
          <w:p w14:paraId="70C674B6"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p>
        </w:tc>
        <w:tc>
          <w:tcPr>
            <w:tcW w:w="3015" w:type="dxa"/>
            <w:gridSpan w:val="3"/>
            <w:tcBorders>
              <w:top w:val="single" w:sz="4" w:space="0" w:color="002060"/>
              <w:left w:val="nil"/>
              <w:bottom w:val="single" w:sz="4" w:space="0" w:color="002060"/>
              <w:right w:val="nil"/>
            </w:tcBorders>
            <w:vAlign w:val="center"/>
            <w:hideMark/>
          </w:tcPr>
          <w:p w14:paraId="08786514"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Сценарио</w:t>
            </w:r>
          </w:p>
        </w:tc>
      </w:tr>
      <w:tr w:rsidR="00502EF3" w:rsidRPr="001B41AD" w14:paraId="0B4BC25A" w14:textId="77777777" w:rsidTr="00436957">
        <w:trPr>
          <w:trHeight w:val="227"/>
        </w:trPr>
        <w:tc>
          <w:tcPr>
            <w:tcW w:w="1380" w:type="dxa"/>
            <w:tcBorders>
              <w:top w:val="nil"/>
              <w:left w:val="nil"/>
              <w:bottom w:val="nil"/>
              <w:right w:val="nil"/>
            </w:tcBorders>
            <w:vAlign w:val="center"/>
            <w:hideMark/>
          </w:tcPr>
          <w:p w14:paraId="28CE7CC8"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p>
        </w:tc>
        <w:tc>
          <w:tcPr>
            <w:tcW w:w="888" w:type="dxa"/>
            <w:tcBorders>
              <w:top w:val="nil"/>
              <w:left w:val="nil"/>
              <w:bottom w:val="single" w:sz="4" w:space="0" w:color="002060"/>
              <w:right w:val="nil"/>
            </w:tcBorders>
            <w:vAlign w:val="center"/>
            <w:hideMark/>
          </w:tcPr>
          <w:p w14:paraId="1495DAE7"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Централни</w:t>
            </w:r>
          </w:p>
        </w:tc>
        <w:tc>
          <w:tcPr>
            <w:tcW w:w="1060" w:type="dxa"/>
            <w:tcBorders>
              <w:top w:val="nil"/>
              <w:left w:val="nil"/>
              <w:bottom w:val="single" w:sz="4" w:space="0" w:color="002060"/>
              <w:right w:val="nil"/>
            </w:tcBorders>
            <w:vAlign w:val="center"/>
            <w:hideMark/>
          </w:tcPr>
          <w:p w14:paraId="53FB8604"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Оптимистични</w:t>
            </w:r>
          </w:p>
        </w:tc>
        <w:tc>
          <w:tcPr>
            <w:tcW w:w="1067" w:type="dxa"/>
            <w:tcBorders>
              <w:top w:val="nil"/>
              <w:left w:val="nil"/>
              <w:bottom w:val="single" w:sz="4" w:space="0" w:color="002060"/>
              <w:right w:val="nil"/>
            </w:tcBorders>
            <w:vAlign w:val="center"/>
            <w:hideMark/>
          </w:tcPr>
          <w:p w14:paraId="735126D6"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Песимистични</w:t>
            </w:r>
          </w:p>
        </w:tc>
      </w:tr>
      <w:tr w:rsidR="00502EF3" w:rsidRPr="001B41AD" w14:paraId="5A4F97C8" w14:textId="77777777" w:rsidTr="00436957">
        <w:trPr>
          <w:trHeight w:val="293"/>
        </w:trPr>
        <w:tc>
          <w:tcPr>
            <w:tcW w:w="1380" w:type="dxa"/>
            <w:tcBorders>
              <w:top w:val="nil"/>
              <w:left w:val="nil"/>
              <w:bottom w:val="nil"/>
              <w:right w:val="nil"/>
            </w:tcBorders>
            <w:vAlign w:val="center"/>
            <w:hideMark/>
          </w:tcPr>
          <w:p w14:paraId="746BABAB" w14:textId="77777777" w:rsidR="00502EF3" w:rsidRPr="001B41AD" w:rsidRDefault="00502EF3" w:rsidP="00436957">
            <w:pPr>
              <w:spacing w:after="0" w:line="240" w:lineRule="auto"/>
              <w:jc w:val="left"/>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Реални раст БДП</w:t>
            </w:r>
          </w:p>
        </w:tc>
        <w:tc>
          <w:tcPr>
            <w:tcW w:w="888" w:type="dxa"/>
            <w:tcBorders>
              <w:top w:val="nil"/>
              <w:left w:val="nil"/>
              <w:bottom w:val="nil"/>
              <w:right w:val="nil"/>
            </w:tcBorders>
            <w:vAlign w:val="center"/>
            <w:hideMark/>
          </w:tcPr>
          <w:p w14:paraId="61A5A911" w14:textId="77777777" w:rsidR="00502EF3" w:rsidRPr="001B41AD" w:rsidRDefault="00502EF3" w:rsidP="00436957">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3,8</w:t>
            </w:r>
          </w:p>
        </w:tc>
        <w:tc>
          <w:tcPr>
            <w:tcW w:w="1060" w:type="dxa"/>
            <w:tcBorders>
              <w:top w:val="nil"/>
              <w:left w:val="nil"/>
              <w:bottom w:val="nil"/>
              <w:right w:val="nil"/>
            </w:tcBorders>
            <w:vAlign w:val="center"/>
            <w:hideMark/>
          </w:tcPr>
          <w:p w14:paraId="2B53EB63" w14:textId="77777777" w:rsidR="00502EF3" w:rsidRPr="001B41AD" w:rsidRDefault="00502EF3" w:rsidP="00436957">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5,3</w:t>
            </w:r>
          </w:p>
        </w:tc>
        <w:tc>
          <w:tcPr>
            <w:tcW w:w="1067" w:type="dxa"/>
            <w:tcBorders>
              <w:top w:val="nil"/>
              <w:left w:val="nil"/>
              <w:bottom w:val="nil"/>
              <w:right w:val="nil"/>
            </w:tcBorders>
            <w:vAlign w:val="center"/>
            <w:hideMark/>
          </w:tcPr>
          <w:p w14:paraId="4D79F241" w14:textId="77777777" w:rsidR="00502EF3" w:rsidRPr="001B41AD" w:rsidRDefault="00502EF3" w:rsidP="00436957">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2,3</w:t>
            </w:r>
          </w:p>
        </w:tc>
      </w:tr>
      <w:tr w:rsidR="00502EF3" w:rsidRPr="001B41AD" w14:paraId="13E9DF85" w14:textId="77777777" w:rsidTr="00436957">
        <w:trPr>
          <w:trHeight w:val="293"/>
        </w:trPr>
        <w:tc>
          <w:tcPr>
            <w:tcW w:w="1380" w:type="dxa"/>
            <w:tcBorders>
              <w:top w:val="nil"/>
              <w:left w:val="nil"/>
              <w:bottom w:val="nil"/>
              <w:right w:val="nil"/>
            </w:tcBorders>
            <w:vAlign w:val="center"/>
            <w:hideMark/>
          </w:tcPr>
          <w:p w14:paraId="3A7EAA46" w14:textId="77777777" w:rsidR="00502EF3" w:rsidRPr="001B41AD" w:rsidRDefault="00502EF3" w:rsidP="00436957">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Лична потрошња</w:t>
            </w:r>
          </w:p>
        </w:tc>
        <w:tc>
          <w:tcPr>
            <w:tcW w:w="888" w:type="dxa"/>
            <w:tcBorders>
              <w:top w:val="nil"/>
              <w:left w:val="nil"/>
              <w:bottom w:val="nil"/>
              <w:right w:val="nil"/>
            </w:tcBorders>
            <w:vAlign w:val="center"/>
            <w:hideMark/>
          </w:tcPr>
          <w:p w14:paraId="2857185F"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3,8</w:t>
            </w:r>
          </w:p>
        </w:tc>
        <w:tc>
          <w:tcPr>
            <w:tcW w:w="1060" w:type="dxa"/>
            <w:tcBorders>
              <w:top w:val="nil"/>
              <w:left w:val="nil"/>
              <w:bottom w:val="nil"/>
              <w:right w:val="nil"/>
            </w:tcBorders>
            <w:vAlign w:val="center"/>
            <w:hideMark/>
          </w:tcPr>
          <w:p w14:paraId="304EBF4B"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4,3</w:t>
            </w:r>
          </w:p>
        </w:tc>
        <w:tc>
          <w:tcPr>
            <w:tcW w:w="1067" w:type="dxa"/>
            <w:tcBorders>
              <w:top w:val="nil"/>
              <w:left w:val="nil"/>
              <w:bottom w:val="nil"/>
              <w:right w:val="nil"/>
            </w:tcBorders>
            <w:vAlign w:val="center"/>
            <w:hideMark/>
          </w:tcPr>
          <w:p w14:paraId="580D5E5C"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3,0</w:t>
            </w:r>
          </w:p>
        </w:tc>
      </w:tr>
      <w:tr w:rsidR="00502EF3" w:rsidRPr="001B41AD" w14:paraId="49C8FB1E" w14:textId="77777777" w:rsidTr="00436957">
        <w:trPr>
          <w:trHeight w:val="293"/>
        </w:trPr>
        <w:tc>
          <w:tcPr>
            <w:tcW w:w="1380" w:type="dxa"/>
            <w:tcBorders>
              <w:top w:val="nil"/>
              <w:left w:val="nil"/>
              <w:bottom w:val="nil"/>
              <w:right w:val="nil"/>
            </w:tcBorders>
            <w:vAlign w:val="center"/>
            <w:hideMark/>
          </w:tcPr>
          <w:p w14:paraId="0E309A9B" w14:textId="77777777" w:rsidR="00502EF3" w:rsidRPr="001B41AD" w:rsidRDefault="00502EF3" w:rsidP="00436957">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Државна потрошња</w:t>
            </w:r>
          </w:p>
        </w:tc>
        <w:tc>
          <w:tcPr>
            <w:tcW w:w="888" w:type="dxa"/>
            <w:tcBorders>
              <w:top w:val="nil"/>
              <w:left w:val="nil"/>
              <w:bottom w:val="nil"/>
              <w:right w:val="nil"/>
            </w:tcBorders>
            <w:vAlign w:val="center"/>
            <w:hideMark/>
          </w:tcPr>
          <w:p w14:paraId="79A7E301"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2,4</w:t>
            </w:r>
          </w:p>
        </w:tc>
        <w:tc>
          <w:tcPr>
            <w:tcW w:w="1060" w:type="dxa"/>
            <w:tcBorders>
              <w:top w:val="nil"/>
              <w:left w:val="nil"/>
              <w:bottom w:val="nil"/>
              <w:right w:val="nil"/>
            </w:tcBorders>
            <w:vAlign w:val="center"/>
            <w:hideMark/>
          </w:tcPr>
          <w:p w14:paraId="38BC8E22"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3,3</w:t>
            </w:r>
          </w:p>
        </w:tc>
        <w:tc>
          <w:tcPr>
            <w:tcW w:w="1067" w:type="dxa"/>
            <w:tcBorders>
              <w:top w:val="nil"/>
              <w:left w:val="nil"/>
              <w:bottom w:val="nil"/>
              <w:right w:val="nil"/>
            </w:tcBorders>
            <w:vAlign w:val="center"/>
            <w:hideMark/>
          </w:tcPr>
          <w:p w14:paraId="34A57011"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2,0</w:t>
            </w:r>
          </w:p>
        </w:tc>
      </w:tr>
      <w:tr w:rsidR="00502EF3" w:rsidRPr="001B41AD" w14:paraId="4C00734C" w14:textId="77777777" w:rsidTr="00436957">
        <w:trPr>
          <w:trHeight w:val="293"/>
        </w:trPr>
        <w:tc>
          <w:tcPr>
            <w:tcW w:w="1380" w:type="dxa"/>
            <w:tcBorders>
              <w:top w:val="nil"/>
              <w:left w:val="nil"/>
              <w:bottom w:val="nil"/>
              <w:right w:val="nil"/>
            </w:tcBorders>
            <w:vAlign w:val="center"/>
            <w:hideMark/>
          </w:tcPr>
          <w:p w14:paraId="3E56778E" w14:textId="77777777" w:rsidR="00502EF3" w:rsidRPr="001B41AD" w:rsidRDefault="00502EF3" w:rsidP="00436957">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Бруто инвестиције у основна средства</w:t>
            </w:r>
          </w:p>
        </w:tc>
        <w:tc>
          <w:tcPr>
            <w:tcW w:w="888" w:type="dxa"/>
            <w:tcBorders>
              <w:top w:val="nil"/>
              <w:left w:val="nil"/>
              <w:bottom w:val="nil"/>
              <w:right w:val="nil"/>
            </w:tcBorders>
            <w:vAlign w:val="center"/>
            <w:hideMark/>
          </w:tcPr>
          <w:p w14:paraId="16354B45"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5,8</w:t>
            </w:r>
          </w:p>
        </w:tc>
        <w:tc>
          <w:tcPr>
            <w:tcW w:w="1060" w:type="dxa"/>
            <w:tcBorders>
              <w:top w:val="nil"/>
              <w:left w:val="nil"/>
              <w:bottom w:val="nil"/>
              <w:right w:val="nil"/>
            </w:tcBorders>
            <w:vAlign w:val="center"/>
            <w:hideMark/>
          </w:tcPr>
          <w:p w14:paraId="159550E3"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7,2</w:t>
            </w:r>
          </w:p>
        </w:tc>
        <w:tc>
          <w:tcPr>
            <w:tcW w:w="1067" w:type="dxa"/>
            <w:tcBorders>
              <w:top w:val="nil"/>
              <w:left w:val="nil"/>
              <w:bottom w:val="nil"/>
              <w:right w:val="nil"/>
            </w:tcBorders>
            <w:vAlign w:val="center"/>
            <w:hideMark/>
          </w:tcPr>
          <w:p w14:paraId="1C4CDE7F" w14:textId="77777777" w:rsidR="00502EF3" w:rsidRPr="001B41AD" w:rsidRDefault="00824A98"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w:t>
            </w:r>
            <w:r w:rsidR="00502EF3" w:rsidRPr="001B41AD">
              <w:rPr>
                <w:rFonts w:ascii="Calibri" w:eastAsia="Times New Roman" w:hAnsi="Calibri" w:cs="Calibri"/>
                <w:color w:val="002060"/>
                <w:sz w:val="16"/>
                <w:szCs w:val="16"/>
                <w:lang w:val="sr-Cyrl-CS"/>
              </w:rPr>
              <w:t>8</w:t>
            </w:r>
          </w:p>
        </w:tc>
      </w:tr>
      <w:tr w:rsidR="00502EF3" w:rsidRPr="001B41AD" w14:paraId="75614D58" w14:textId="77777777" w:rsidTr="00436957">
        <w:trPr>
          <w:trHeight w:val="293"/>
        </w:trPr>
        <w:tc>
          <w:tcPr>
            <w:tcW w:w="1380" w:type="dxa"/>
            <w:tcBorders>
              <w:top w:val="nil"/>
              <w:left w:val="nil"/>
              <w:right w:val="nil"/>
            </w:tcBorders>
            <w:vAlign w:val="center"/>
            <w:hideMark/>
          </w:tcPr>
          <w:p w14:paraId="4853F730" w14:textId="77777777" w:rsidR="00502EF3" w:rsidRPr="001B41AD" w:rsidRDefault="00502EF3" w:rsidP="00436957">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Извоз робе и услуга</w:t>
            </w:r>
          </w:p>
        </w:tc>
        <w:tc>
          <w:tcPr>
            <w:tcW w:w="888" w:type="dxa"/>
            <w:tcBorders>
              <w:top w:val="nil"/>
              <w:left w:val="nil"/>
              <w:right w:val="nil"/>
            </w:tcBorders>
            <w:vAlign w:val="center"/>
            <w:hideMark/>
          </w:tcPr>
          <w:p w14:paraId="583EB857"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6,2</w:t>
            </w:r>
          </w:p>
        </w:tc>
        <w:tc>
          <w:tcPr>
            <w:tcW w:w="1060" w:type="dxa"/>
            <w:tcBorders>
              <w:top w:val="nil"/>
              <w:left w:val="nil"/>
              <w:right w:val="nil"/>
            </w:tcBorders>
            <w:vAlign w:val="center"/>
            <w:hideMark/>
          </w:tcPr>
          <w:p w14:paraId="7932BB84"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7,9</w:t>
            </w:r>
          </w:p>
        </w:tc>
        <w:tc>
          <w:tcPr>
            <w:tcW w:w="1067" w:type="dxa"/>
            <w:tcBorders>
              <w:top w:val="nil"/>
              <w:left w:val="nil"/>
              <w:right w:val="nil"/>
            </w:tcBorders>
            <w:vAlign w:val="center"/>
            <w:hideMark/>
          </w:tcPr>
          <w:p w14:paraId="2A50B5F5"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4,7</w:t>
            </w:r>
          </w:p>
        </w:tc>
      </w:tr>
      <w:tr w:rsidR="00502EF3" w:rsidRPr="001B41AD" w14:paraId="08004C12" w14:textId="77777777" w:rsidTr="00436957">
        <w:trPr>
          <w:trHeight w:val="293"/>
        </w:trPr>
        <w:tc>
          <w:tcPr>
            <w:tcW w:w="1380" w:type="dxa"/>
            <w:tcBorders>
              <w:top w:val="nil"/>
              <w:left w:val="nil"/>
              <w:bottom w:val="single" w:sz="4" w:space="0" w:color="002060"/>
              <w:right w:val="nil"/>
            </w:tcBorders>
            <w:vAlign w:val="center"/>
            <w:hideMark/>
          </w:tcPr>
          <w:p w14:paraId="30E124E7" w14:textId="77777777" w:rsidR="00502EF3" w:rsidRPr="001B41AD" w:rsidRDefault="00502EF3" w:rsidP="00436957">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Увоз робе и услуга</w:t>
            </w:r>
          </w:p>
        </w:tc>
        <w:tc>
          <w:tcPr>
            <w:tcW w:w="888" w:type="dxa"/>
            <w:tcBorders>
              <w:top w:val="nil"/>
              <w:left w:val="nil"/>
              <w:bottom w:val="single" w:sz="4" w:space="0" w:color="002060"/>
              <w:right w:val="nil"/>
            </w:tcBorders>
            <w:vAlign w:val="center"/>
            <w:hideMark/>
          </w:tcPr>
          <w:p w14:paraId="4851762D"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6,0</w:t>
            </w:r>
          </w:p>
        </w:tc>
        <w:tc>
          <w:tcPr>
            <w:tcW w:w="1060" w:type="dxa"/>
            <w:tcBorders>
              <w:top w:val="nil"/>
              <w:left w:val="nil"/>
              <w:bottom w:val="single" w:sz="4" w:space="0" w:color="002060"/>
              <w:right w:val="nil"/>
            </w:tcBorders>
            <w:vAlign w:val="center"/>
            <w:hideMark/>
          </w:tcPr>
          <w:p w14:paraId="782F8864"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6,6</w:t>
            </w:r>
          </w:p>
        </w:tc>
        <w:tc>
          <w:tcPr>
            <w:tcW w:w="1067" w:type="dxa"/>
            <w:tcBorders>
              <w:top w:val="nil"/>
              <w:left w:val="nil"/>
              <w:bottom w:val="single" w:sz="4" w:space="0" w:color="002060"/>
              <w:right w:val="nil"/>
            </w:tcBorders>
            <w:vAlign w:val="center"/>
            <w:hideMark/>
          </w:tcPr>
          <w:p w14:paraId="529061AF" w14:textId="77777777" w:rsidR="00502EF3" w:rsidRPr="001B41AD" w:rsidRDefault="00502EF3" w:rsidP="00436957">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5,0</w:t>
            </w:r>
          </w:p>
        </w:tc>
      </w:tr>
    </w:tbl>
    <w:p w14:paraId="0E730BAF" w14:textId="77777777" w:rsidR="00502EF3" w:rsidRPr="001B41AD" w:rsidRDefault="00502EF3" w:rsidP="00502EF3">
      <w:pPr>
        <w:spacing w:before="40"/>
        <w:rPr>
          <w:rFonts w:cstheme="minorHAnsi"/>
          <w:sz w:val="16"/>
          <w:lang w:val="sr-Cyrl-CS"/>
        </w:rPr>
      </w:pPr>
      <w:r w:rsidRPr="001B41AD">
        <w:rPr>
          <w:rFonts w:cstheme="minorHAnsi"/>
          <w:sz w:val="16"/>
          <w:lang w:val="sr-Cyrl-CS"/>
        </w:rPr>
        <w:t>Извор: Министарство финансија</w:t>
      </w:r>
    </w:p>
    <w:p w14:paraId="6E93F470" w14:textId="77777777" w:rsidR="00502EF3" w:rsidRPr="001B41AD" w:rsidRDefault="00502EF3" w:rsidP="00502EF3">
      <w:pPr>
        <w:spacing w:after="120"/>
        <w:rPr>
          <w:rFonts w:cstheme="minorHAnsi"/>
          <w:bCs/>
          <w:spacing w:val="-2"/>
          <w:szCs w:val="72"/>
          <w:lang w:val="sr-Cyrl-CS"/>
        </w:rPr>
      </w:pPr>
      <w:r w:rsidRPr="001B41AD">
        <w:rPr>
          <w:rFonts w:cstheme="minorHAnsi"/>
          <w:bCs/>
          <w:spacing w:val="-2"/>
          <w:szCs w:val="72"/>
          <w:lang w:val="sr-Cyrl-CS"/>
        </w:rPr>
        <w:t>Према централном сценарију, у средњорочном периоду очекује се наставак стабилног раста потенцијалног БДП, по стопи од незнатно испод 4,0%. Главни носиоци овог раста биће акумулација капитала и укупна факторска продуктивност (TFP), под утицајем континуираних улагања у инфраструктуру, енергетски сектор, дигитализацију и нове технологије. Ови процеси биће додатно подржани приливом страних директних инвестиција, као и улагањима у истраживање, развој и иновације, што ће утицати на боље искоришћавање расположивих ресурса и подизање ефикасности. Дигитална трансформација привреде и даље се препознаје као кључни покретач раста продуктивности, диверсификације извоза и привлачења квалитетних инвестиција, нарочито у сектору информационих технологија. Наставак раста ИKТ сектора може дати снажан подстицај целокупној економији кроз убрзано ширење знања и примену напредних технолошких решења. Значајна планирана улагања у енергетску инфраструктуру, посебно у области обновљивих извора и енергетске ефикасности</w:t>
      </w:r>
      <w:r w:rsidR="00056110" w:rsidRPr="001B41AD">
        <w:rPr>
          <w:rFonts w:cstheme="minorHAnsi"/>
          <w:bCs/>
          <w:spacing w:val="-2"/>
          <w:szCs w:val="72"/>
          <w:lang w:val="sr-Cyrl-CS"/>
        </w:rPr>
        <w:t xml:space="preserve"> и сигурности</w:t>
      </w:r>
      <w:r w:rsidRPr="001B41AD">
        <w:rPr>
          <w:rFonts w:cstheme="minorHAnsi"/>
          <w:bCs/>
          <w:spacing w:val="-2"/>
          <w:szCs w:val="72"/>
          <w:lang w:val="sr-Cyrl-CS"/>
        </w:rPr>
        <w:t xml:space="preserve">, представљају важан део зелене транзиције и имају потенцијал да унапреде енергетску безбедност земље и створе предуслове за дугорочно одржив раст. Велики инфраструктурни пројекти, посебно они који унапређују регионалну повезаност и логистички капацитет, могу знатно смањити трошкове трговине и подстаћи приватна улагања. С друге стране, кретања на тржишту рада такође ће дати позитиван, иако умеренији допринос расту потенцијалног БДП, углавном услед постепеног </w:t>
      </w:r>
      <w:r w:rsidRPr="001B41AD">
        <w:rPr>
          <w:rFonts w:cstheme="minorHAnsi"/>
          <w:bCs/>
          <w:spacing w:val="-2"/>
          <w:szCs w:val="72"/>
          <w:lang w:val="sr-Cyrl-CS"/>
        </w:rPr>
        <w:t>повећања стопе учешћа радне снаге и умереног</w:t>
      </w:r>
      <w:r w:rsidR="00A80666" w:rsidRPr="001B41AD">
        <w:rPr>
          <w:rFonts w:cstheme="minorHAnsi"/>
          <w:bCs/>
          <w:spacing w:val="-2"/>
          <w:szCs w:val="72"/>
          <w:lang w:val="sr-Cyrl-CS"/>
        </w:rPr>
        <w:t xml:space="preserve"> </w:t>
      </w:r>
      <w:r w:rsidRPr="001B41AD">
        <w:rPr>
          <w:rFonts w:cstheme="minorHAnsi"/>
          <w:bCs/>
          <w:spacing w:val="-2"/>
          <w:szCs w:val="72"/>
          <w:lang w:val="sr-Cyrl-CS"/>
        </w:rPr>
        <w:t>раста запослености. Међутим, допринос фактора рада у наредним годинама вероватно ће бити мањи него у претходном периоду, због демографских кретања и структурних ограничења тржишта рада.</w:t>
      </w:r>
    </w:p>
    <w:p w14:paraId="3D1571E9" w14:textId="600C949A" w:rsidR="00502EF3" w:rsidRPr="001B41AD" w:rsidRDefault="00502EF3" w:rsidP="00502EF3">
      <w:pPr>
        <w:spacing w:after="0"/>
        <w:rPr>
          <w:rFonts w:cstheme="minorHAnsi"/>
          <w:bCs/>
          <w:spacing w:val="-2"/>
          <w:szCs w:val="72"/>
          <w:lang w:val="sr-Cyrl-CS"/>
        </w:rPr>
      </w:pPr>
      <w:r w:rsidRPr="001B41AD">
        <w:rPr>
          <w:rFonts w:cstheme="minorHAnsi"/>
          <w:bCs/>
          <w:spacing w:val="-2"/>
          <w:szCs w:val="72"/>
          <w:lang w:val="sr-Cyrl-CS"/>
        </w:rPr>
        <w:t>За убрзање потенцијалног раста кључни су и структурни реформски процеси. Приоритетне области обухватају реформу правног оквира, јачање владавине права, смањење административних баријера и унапређење ефикасности јавне управе. Такве мере су неопходне за откључавање пуних потенцијала приватних инвестиција и подизање конкурентности и продуктивности. Истовремено,</w:t>
      </w:r>
      <w:r w:rsidR="0040058A" w:rsidRPr="001B41AD">
        <w:rPr>
          <w:rFonts w:cstheme="minorHAnsi"/>
          <w:bCs/>
          <w:spacing w:val="-2"/>
          <w:szCs w:val="72"/>
          <w:lang w:val="sr-Cyrl-CS"/>
        </w:rPr>
        <w:t xml:space="preserve"> стабилност цена и курса динара, стабилан и добро капитализован банкарски сектор и одрживе јавне финансије доприносе предвидивости пословног амбијента, што је важан услов за убрзање инвестиционог циклуса на одрживим основама</w:t>
      </w:r>
      <w:r w:rsidRPr="001B41AD">
        <w:rPr>
          <w:rFonts w:cstheme="minorHAnsi"/>
          <w:bCs/>
          <w:spacing w:val="-2"/>
          <w:szCs w:val="72"/>
          <w:u w:val="single"/>
          <w:lang w:val="sr-Cyrl-CS"/>
        </w:rPr>
        <w:t>.</w:t>
      </w:r>
      <w:r w:rsidRPr="001B41AD">
        <w:rPr>
          <w:rFonts w:cstheme="minorHAnsi"/>
          <w:bCs/>
          <w:spacing w:val="-2"/>
          <w:szCs w:val="72"/>
          <w:lang w:val="sr-Cyrl-CS"/>
        </w:rPr>
        <w:t xml:space="preserve"> Ипак, остају изазови у погледу институционалних капацитета, ефикасности реализације пројеката и осигурања да инвестиције буду праћене комплементарним реформама. Њихово решавање биће од суштинског значаја за дугорочну одрживост раста и отпорност економије на спољне шокове.</w:t>
      </w:r>
    </w:p>
    <w:p w14:paraId="7ABFCFFB" w14:textId="77777777" w:rsidR="00502EF3" w:rsidRPr="001B41AD" w:rsidRDefault="00502EF3" w:rsidP="00502EF3">
      <w:pPr>
        <w:spacing w:before="120" w:after="0"/>
        <w:jc w:val="center"/>
        <w:rPr>
          <w:rFonts w:cstheme="minorHAnsi"/>
          <w:b/>
          <w:color w:val="002060"/>
          <w:lang w:val="sr-Cyrl-CS"/>
        </w:rPr>
      </w:pPr>
      <w:r w:rsidRPr="001B41AD">
        <w:rPr>
          <w:rFonts w:cstheme="minorHAnsi"/>
          <w:b/>
          <w:color w:val="002060"/>
          <w:lang w:val="sr-Cyrl-CS"/>
        </w:rPr>
        <w:t>Доприноси фактора производње потенцијалној стопи раста</w:t>
      </w:r>
      <w:r w:rsidRPr="001B41AD">
        <w:rPr>
          <w:rFonts w:cstheme="minorHAnsi"/>
          <w:b/>
          <w:color w:val="EE0000"/>
          <w:lang w:val="sr-Cyrl-CS"/>
        </w:rPr>
        <w:t xml:space="preserve"> </w:t>
      </w:r>
      <w:r w:rsidRPr="001B41AD">
        <w:rPr>
          <w:rFonts w:cstheme="minorHAnsi"/>
          <w:b/>
          <w:color w:val="002060"/>
          <w:lang w:val="sr-Cyrl-CS"/>
        </w:rPr>
        <w:t>БДП, п.п.</w:t>
      </w:r>
    </w:p>
    <w:p w14:paraId="2B9AD64F" w14:textId="77777777" w:rsidR="00502EF3" w:rsidRPr="001B41AD" w:rsidRDefault="00502EF3" w:rsidP="00502EF3">
      <w:pPr>
        <w:spacing w:after="0"/>
        <w:rPr>
          <w:rFonts w:cstheme="minorHAnsi"/>
          <w:sz w:val="16"/>
          <w:lang w:val="sr-Cyrl-CS"/>
        </w:rPr>
      </w:pPr>
    </w:p>
    <w:p w14:paraId="6E1C4D91" w14:textId="77777777" w:rsidR="00502EF3" w:rsidRPr="001B41AD" w:rsidRDefault="00502EF3" w:rsidP="00502EF3">
      <w:pPr>
        <w:pStyle w:val="NoSpacing"/>
        <w:spacing w:after="40"/>
        <w:rPr>
          <w:rFonts w:cstheme="minorHAnsi"/>
          <w:sz w:val="16"/>
          <w:lang w:val="sr-Cyrl-CS"/>
        </w:rPr>
      </w:pPr>
      <w:r w:rsidRPr="001B41AD">
        <w:rPr>
          <w:noProof/>
        </w:rPr>
        <w:drawing>
          <wp:inline distT="0" distB="0" distL="0" distR="0" wp14:anchorId="74FF8EBF" wp14:editId="0B14367E">
            <wp:extent cx="2546350" cy="1587500"/>
            <wp:effectExtent l="0" t="0" r="6350" b="0"/>
            <wp:docPr id="15" name="Chart 15">
              <a:extLst xmlns:a="http://schemas.openxmlformats.org/drawingml/2006/main">
                <a:ext uri="{FF2B5EF4-FFF2-40B4-BE49-F238E27FC236}">
                  <a16:creationId xmlns:a16="http://schemas.microsoft.com/office/drawing/2014/main" id="{00000000-0008-0000-0E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ED8AEB5" w14:textId="77777777" w:rsidR="00502EF3" w:rsidRPr="001B41AD" w:rsidRDefault="00502EF3" w:rsidP="00502EF3">
      <w:pPr>
        <w:pStyle w:val="NoSpacing"/>
        <w:spacing w:after="40"/>
        <w:rPr>
          <w:rFonts w:cstheme="minorHAnsi"/>
          <w:b w:val="0"/>
          <w:color w:val="44546A" w:themeColor="text2"/>
          <w:sz w:val="16"/>
          <w:lang w:val="sr-Cyrl-CS"/>
        </w:rPr>
      </w:pPr>
      <w:r w:rsidRPr="001B41AD">
        <w:rPr>
          <w:rFonts w:cstheme="minorHAnsi"/>
          <w:b w:val="0"/>
          <w:color w:val="44546A" w:themeColor="text2"/>
          <w:sz w:val="16"/>
          <w:lang w:val="sr-Cyrl-CS"/>
        </w:rPr>
        <w:t>Извор: Министарство финансија</w:t>
      </w:r>
    </w:p>
    <w:p w14:paraId="69B3397B" w14:textId="77777777" w:rsidR="00502EF3" w:rsidRPr="001B41AD" w:rsidRDefault="00502EF3" w:rsidP="00502EF3">
      <w:pPr>
        <w:rPr>
          <w:bCs/>
          <w:szCs w:val="20"/>
          <w:lang w:val="sr-Cyrl-CS"/>
        </w:rPr>
      </w:pPr>
    </w:p>
    <w:p w14:paraId="1BB11AD2" w14:textId="77777777" w:rsidR="00502EF3" w:rsidRPr="001B41AD" w:rsidRDefault="00502EF3" w:rsidP="00502EF3">
      <w:pPr>
        <w:spacing w:before="40"/>
        <w:rPr>
          <w:rFonts w:cstheme="minorHAnsi"/>
          <w:bCs/>
          <w:color w:val="2F5496" w:themeColor="accent1" w:themeShade="BF"/>
          <w:szCs w:val="72"/>
          <w:lang w:val="sr-Cyrl-CS"/>
        </w:rPr>
      </w:pPr>
      <w:r w:rsidRPr="001B41AD">
        <w:rPr>
          <w:b/>
          <w:bCs/>
          <w:color w:val="2F5496" w:themeColor="accent1" w:themeShade="BF"/>
          <w:sz w:val="22"/>
          <w:lang w:val="sr-Cyrl-CS"/>
        </w:rPr>
        <w:t>Тржиште рада</w:t>
      </w:r>
    </w:p>
    <w:p w14:paraId="745EBCC8" w14:textId="77777777" w:rsidR="00502EF3" w:rsidRPr="001B41AD" w:rsidRDefault="00502EF3" w:rsidP="00502EF3">
      <w:pPr>
        <w:spacing w:after="120"/>
        <w:rPr>
          <w:lang w:val="sr-Cyrl-CS"/>
        </w:rPr>
      </w:pPr>
      <w:r w:rsidRPr="001B41AD">
        <w:rPr>
          <w:lang w:val="sr-Cyrl-CS"/>
        </w:rPr>
        <w:t xml:space="preserve">Тржиште рада у Републици Србији наставља са позитивним кретањима и током 2025. године, </w:t>
      </w:r>
      <w:r w:rsidRPr="001B41AD">
        <w:rPr>
          <w:lang w:val="sr-Cyrl-CS"/>
        </w:rPr>
        <w:lastRenderedPageBreak/>
        <w:t>задржавајући стабилност и отпорност у условима умереног успоравања економске активности. Запосленост наставља да расте, мада споријим темпом него у претходном периоду. Истовремено, зараде бележе наставак раста како у приватном тако и у јавном сектору, подстакнуте повећањем минималне цене рада, интензивнијом конкуренцијом на тржишту рада и ефектуирањем мера пореског растерећења из претходног периода, што је допринело очувању куповне моћи и унапређењу животног стандарда запослених. Структурна побољшања на тржишту рада огледају се и кроз смањење броја лица ван радне снаге и дугорочно незапослених, као и кроз раст формалне запослености.</w:t>
      </w:r>
    </w:p>
    <w:p w14:paraId="717D4455" w14:textId="77777777" w:rsidR="00502EF3" w:rsidRPr="001B41AD" w:rsidRDefault="00502EF3" w:rsidP="00502EF3">
      <w:pPr>
        <w:spacing w:after="120"/>
        <w:rPr>
          <w:lang w:val="sr-Cyrl-CS"/>
        </w:rPr>
      </w:pPr>
      <w:r w:rsidRPr="001B41AD">
        <w:rPr>
          <w:lang w:val="sr-Cyrl-CS"/>
        </w:rPr>
        <w:t>Према подацима Централног регистра обавезног социјалног осигурања (ЦРОСО), у периоду јануар–август 2025. године просечан број запослених био је већи за 0,2% у поређењу са истим периодом претходне године. Темпо раста запослености је успорен, пре свега услед смањења броја запослених у прерађивачкој индустрији, што је последица мањег обима активности у традиционалним радно интензивним гранама, посебно у одевној и кожарској индустрији, као и у производњи електричне опреме.</w:t>
      </w:r>
      <w:r w:rsidRPr="001B41AD">
        <w:rPr>
          <w:color w:val="1F3864" w:themeColor="accent1" w:themeShade="80"/>
          <w:lang w:val="sr-Cyrl-CS"/>
        </w:rPr>
        <w:t xml:space="preserve"> </w:t>
      </w:r>
      <w:r w:rsidRPr="001B41AD">
        <w:rPr>
          <w:lang w:val="sr-Cyrl-CS"/>
        </w:rPr>
        <w:t>Са друге стране, поједини сектори, попут административних и ИКТ услуга, као и пословања некретнинама наставили су да позитивно доприносе расту запослености, компензујући негативне ефекте смањења запослености у прерађивачкој индустрији. У приватном сектору забележен је раст од 0,4% (7,6 хиљада лица), док је у јавном сектору број запослених смањен за 0,4% (-2,4 хиљада лица). Према подацима Националне службе за запошљавање, у периоду јануар-август, број лица која активно траже запослење смањен је међугодишње за 7,4% и износио је 350,6 хиљада лица.</w:t>
      </w:r>
    </w:p>
    <w:p w14:paraId="0C7553E8" w14:textId="77777777" w:rsidR="00582CCF" w:rsidRPr="001B41AD" w:rsidRDefault="00582CCF" w:rsidP="00502EF3">
      <w:pPr>
        <w:spacing w:after="0"/>
        <w:jc w:val="center"/>
        <w:rPr>
          <w:rFonts w:cstheme="minorHAnsi"/>
          <w:b/>
          <w:color w:val="002060"/>
          <w:lang w:val="sr-Cyrl-CS"/>
        </w:rPr>
      </w:pPr>
    </w:p>
    <w:p w14:paraId="4C47A35B" w14:textId="77777777" w:rsidR="00582CCF" w:rsidRPr="001B41AD" w:rsidRDefault="00582CCF" w:rsidP="00502EF3">
      <w:pPr>
        <w:spacing w:after="0"/>
        <w:jc w:val="center"/>
        <w:rPr>
          <w:rFonts w:cstheme="minorHAnsi"/>
          <w:b/>
          <w:color w:val="002060"/>
          <w:lang w:val="sr-Cyrl-CS"/>
        </w:rPr>
      </w:pPr>
    </w:p>
    <w:p w14:paraId="2D743120" w14:textId="77777777" w:rsidR="00582CCF" w:rsidRPr="001B41AD" w:rsidRDefault="00582CCF" w:rsidP="00502EF3">
      <w:pPr>
        <w:spacing w:after="0"/>
        <w:jc w:val="center"/>
        <w:rPr>
          <w:rFonts w:cstheme="minorHAnsi"/>
          <w:b/>
          <w:color w:val="002060"/>
          <w:lang w:val="sr-Cyrl-CS"/>
        </w:rPr>
      </w:pPr>
    </w:p>
    <w:p w14:paraId="23597B98" w14:textId="77777777" w:rsidR="00582CCF" w:rsidRPr="001B41AD" w:rsidRDefault="00582CCF" w:rsidP="00502EF3">
      <w:pPr>
        <w:spacing w:after="0"/>
        <w:jc w:val="center"/>
        <w:rPr>
          <w:rFonts w:cstheme="minorHAnsi"/>
          <w:b/>
          <w:color w:val="002060"/>
          <w:lang w:val="sr-Cyrl-CS"/>
        </w:rPr>
      </w:pPr>
    </w:p>
    <w:p w14:paraId="4E15245B" w14:textId="77777777" w:rsidR="00582CCF" w:rsidRPr="001B41AD" w:rsidRDefault="00582CCF" w:rsidP="00502EF3">
      <w:pPr>
        <w:spacing w:after="0"/>
        <w:jc w:val="center"/>
        <w:rPr>
          <w:rFonts w:cstheme="minorHAnsi"/>
          <w:b/>
          <w:color w:val="002060"/>
          <w:lang w:val="sr-Cyrl-CS"/>
        </w:rPr>
      </w:pPr>
    </w:p>
    <w:p w14:paraId="1C4D9ED8" w14:textId="77777777" w:rsidR="00582CCF" w:rsidRPr="001B41AD" w:rsidRDefault="00582CCF" w:rsidP="00502EF3">
      <w:pPr>
        <w:spacing w:after="0"/>
        <w:jc w:val="center"/>
        <w:rPr>
          <w:rFonts w:cstheme="minorHAnsi"/>
          <w:b/>
          <w:color w:val="002060"/>
          <w:lang w:val="sr-Cyrl-CS"/>
        </w:rPr>
      </w:pPr>
    </w:p>
    <w:p w14:paraId="478D5281" w14:textId="77777777" w:rsidR="00582CCF" w:rsidRPr="001B41AD" w:rsidRDefault="00582CCF" w:rsidP="00502EF3">
      <w:pPr>
        <w:spacing w:after="0"/>
        <w:jc w:val="center"/>
        <w:rPr>
          <w:rFonts w:cstheme="minorHAnsi"/>
          <w:b/>
          <w:color w:val="002060"/>
          <w:lang w:val="sr-Cyrl-CS"/>
        </w:rPr>
      </w:pPr>
    </w:p>
    <w:p w14:paraId="362EFAA5" w14:textId="77777777" w:rsidR="00582CCF" w:rsidRPr="001B41AD" w:rsidRDefault="00582CCF" w:rsidP="00502EF3">
      <w:pPr>
        <w:spacing w:after="0"/>
        <w:jc w:val="center"/>
        <w:rPr>
          <w:rFonts w:cstheme="minorHAnsi"/>
          <w:b/>
          <w:color w:val="002060"/>
          <w:lang w:val="sr-Cyrl-CS"/>
        </w:rPr>
      </w:pPr>
    </w:p>
    <w:p w14:paraId="1C423EDD" w14:textId="77777777" w:rsidR="00582CCF" w:rsidRPr="001B41AD" w:rsidRDefault="00582CCF" w:rsidP="00502EF3">
      <w:pPr>
        <w:spacing w:after="0"/>
        <w:jc w:val="center"/>
        <w:rPr>
          <w:rFonts w:cstheme="minorHAnsi"/>
          <w:b/>
          <w:color w:val="002060"/>
          <w:lang w:val="sr-Cyrl-CS"/>
        </w:rPr>
      </w:pPr>
    </w:p>
    <w:p w14:paraId="6DB35E7F" w14:textId="4FC03872" w:rsidR="00502EF3" w:rsidRPr="001B41AD" w:rsidRDefault="00502EF3" w:rsidP="00502EF3">
      <w:pPr>
        <w:spacing w:after="0"/>
        <w:jc w:val="center"/>
        <w:rPr>
          <w:rFonts w:cstheme="minorHAnsi"/>
          <w:b/>
          <w:color w:val="002060"/>
          <w:lang w:val="sr-Cyrl-CS"/>
        </w:rPr>
      </w:pPr>
      <w:r w:rsidRPr="001B41AD">
        <w:rPr>
          <w:rFonts w:cstheme="minorHAnsi"/>
          <w:b/>
          <w:color w:val="002060"/>
          <w:lang w:val="sr-Cyrl-CS"/>
        </w:rPr>
        <w:t>Кретање формалне запослености</w:t>
      </w:r>
    </w:p>
    <w:p w14:paraId="153D2474" w14:textId="77777777" w:rsidR="00502EF3" w:rsidRPr="001B41AD" w:rsidRDefault="00502EF3" w:rsidP="00502EF3">
      <w:pPr>
        <w:spacing w:after="0"/>
        <w:rPr>
          <w:rFonts w:cstheme="minorHAnsi"/>
          <w:bCs/>
          <w:szCs w:val="72"/>
          <w:lang w:val="sr-Cyrl-CS"/>
        </w:rPr>
      </w:pPr>
      <w:r w:rsidRPr="001B41AD">
        <w:rPr>
          <w:noProof/>
        </w:rPr>
        <w:drawing>
          <wp:inline distT="0" distB="0" distL="0" distR="0" wp14:anchorId="217B320D" wp14:editId="0E3BF1FF">
            <wp:extent cx="2743200" cy="2035175"/>
            <wp:effectExtent l="0" t="0" r="0" b="3175"/>
            <wp:docPr id="1275791336" name="Chart 1">
              <a:extLst xmlns:a="http://schemas.openxmlformats.org/drawingml/2006/main">
                <a:ext uri="{FF2B5EF4-FFF2-40B4-BE49-F238E27FC236}">
                  <a16:creationId xmlns:a16="http://schemas.microsoft.com/office/drawing/2014/main" id="{00000000-0008-0000-15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5AC226C" w14:textId="77777777" w:rsidR="00502EF3" w:rsidRPr="001B41AD" w:rsidRDefault="00502EF3" w:rsidP="00502EF3">
      <w:pPr>
        <w:spacing w:after="0" w:line="240" w:lineRule="auto"/>
        <w:rPr>
          <w:rFonts w:cstheme="minorHAnsi"/>
          <w:bCs/>
          <w:sz w:val="16"/>
          <w:szCs w:val="16"/>
          <w:lang w:val="sr-Cyrl-CS"/>
        </w:rPr>
      </w:pPr>
      <w:r w:rsidRPr="001B41AD">
        <w:rPr>
          <w:rFonts w:cstheme="minorHAnsi"/>
          <w:bCs/>
          <w:sz w:val="16"/>
          <w:szCs w:val="16"/>
          <w:lang w:val="sr-Cyrl-CS"/>
        </w:rPr>
        <w:t>Извор: ЦРОСО</w:t>
      </w:r>
    </w:p>
    <w:p w14:paraId="17B1707D" w14:textId="77777777" w:rsidR="00502EF3" w:rsidRPr="001B41AD" w:rsidRDefault="00502EF3" w:rsidP="00502EF3">
      <w:pPr>
        <w:spacing w:before="120" w:after="120"/>
        <w:rPr>
          <w:rFonts w:cstheme="minorHAnsi"/>
          <w:bCs/>
          <w:spacing w:val="-2"/>
          <w:szCs w:val="72"/>
          <w:lang w:val="sr-Cyrl-CS"/>
        </w:rPr>
      </w:pPr>
      <w:r w:rsidRPr="001B41AD">
        <w:rPr>
          <w:rFonts w:cstheme="minorHAnsi"/>
          <w:bCs/>
          <w:spacing w:val="-2"/>
          <w:szCs w:val="72"/>
          <w:lang w:val="sr-Cyrl-CS"/>
        </w:rPr>
        <w:t>У периоду јануар-август просечна нето зарада је износила 107.217 динара и била је реално већа за 6,1% у поређењу са истим периодом претходне године. Раст зарада био је већим делом опредељен реалним растом зарада у приватном сектору, који је износио 6,2% и био је вођен, пре свега повећањем зарада у прерађивачкој индустрији и трговини. Истовремено, забележено је и реално повећање зарада у јавном сектору од 6,1%. Повољној динамици зарада д</w:t>
      </w:r>
      <w:r w:rsidRPr="001B41AD">
        <w:rPr>
          <w:lang w:val="sr-Cyrl-CS"/>
        </w:rPr>
        <w:t xml:space="preserve">опринело је и ефектуирање политике пореског растерећења зарада из претходног периода, које је праћено повећањем минималне цене рада </w:t>
      </w:r>
      <w:r w:rsidRPr="001B41AD">
        <w:rPr>
          <w:rFonts w:cstheme="minorHAnsi"/>
          <w:bCs/>
          <w:spacing w:val="-2"/>
          <w:szCs w:val="72"/>
          <w:lang w:val="sr-Cyrl-CS"/>
        </w:rPr>
        <w:t xml:space="preserve">која је од 2025. године увећана два пута, у јануару за 13,7% и износила је 308,00 динара по радном часу и за 9,4% у октобру на 337,00 динара, а </w:t>
      </w:r>
      <w:r w:rsidRPr="001B41AD">
        <w:rPr>
          <w:lang w:val="sr-Cyrl-CS"/>
        </w:rPr>
        <w:t xml:space="preserve">са циљем унапређења животног стандарда лица са најнижим примањима. </w:t>
      </w:r>
      <w:r w:rsidRPr="001B41AD">
        <w:rPr>
          <w:rFonts w:cstheme="minorHAnsi"/>
          <w:bCs/>
          <w:spacing w:val="-2"/>
          <w:szCs w:val="72"/>
          <w:lang w:val="sr-Cyrl-CS"/>
        </w:rPr>
        <w:t>Овакво кретање зарада утицало је позитивно и на однос просечне зараде и просечне потрошачке корпе, па је тако повећан са 93,9% колико је износио у периоду јануар-јун 2024. године на 100,0% у истом периоду 2025. године.</w:t>
      </w:r>
    </w:p>
    <w:p w14:paraId="0D352A6E" w14:textId="771F8FAC" w:rsidR="00502EF3" w:rsidRPr="001B41AD" w:rsidRDefault="00502EF3" w:rsidP="00502EF3">
      <w:pPr>
        <w:rPr>
          <w:rFonts w:cstheme="minorHAnsi"/>
          <w:bCs/>
          <w:szCs w:val="72"/>
          <w:lang w:val="sr-Cyrl-CS"/>
        </w:rPr>
      </w:pPr>
      <w:r w:rsidRPr="001B41AD">
        <w:rPr>
          <w:rFonts w:cstheme="minorHAnsi"/>
          <w:bCs/>
          <w:szCs w:val="72"/>
          <w:lang w:val="sr-Cyrl-CS"/>
        </w:rPr>
        <w:t xml:space="preserve">Према подацима АРС, у првом кварталу 2025. </w:t>
      </w:r>
      <w:r w:rsidR="009E7831" w:rsidRPr="001B41AD">
        <w:rPr>
          <w:rFonts w:cstheme="minorHAnsi"/>
          <w:bCs/>
          <w:szCs w:val="72"/>
          <w:lang w:val="sr-Cyrl-CS"/>
        </w:rPr>
        <w:t xml:space="preserve">године </w:t>
      </w:r>
      <w:r w:rsidRPr="001B41AD">
        <w:rPr>
          <w:rFonts w:cstheme="minorHAnsi"/>
          <w:bCs/>
          <w:szCs w:val="72"/>
          <w:lang w:val="sr-Cyrl-CS"/>
        </w:rPr>
        <w:t xml:space="preserve">забележена су позитивна кретања на тржишту рада, па је тако у односу на исти квартал претходне године забележен раст стопе запослености са 50,9% на 51,4%, као и смањење стопа незапослености са 9,4% на 9,1% и становништва ван радне снаге са 43,8% на 43,4%. Позитивна кретања настављена су и у другом кварталу, па је тако стопа запослености повећана за 0,1 процентни поен и износила је 51,5%, док је стопа незапослености повећана за 0,3 процентних поена и износила је 8,5%. Истовремено, стопа </w:t>
      </w:r>
      <w:r w:rsidRPr="001B41AD">
        <w:rPr>
          <w:rFonts w:cstheme="minorHAnsi"/>
          <w:bCs/>
          <w:szCs w:val="72"/>
          <w:lang w:val="sr-Cyrl-CS"/>
        </w:rPr>
        <w:lastRenderedPageBreak/>
        <w:t>неформалне запослености је смањена за 0,4 процентних поена и износила је 11,4%, а стопа незапослености младих је повећана за 2,6 п.п. и износила је 22,8%. Стопа неформалне запослености ван пољопривреде износила је 6,1%, и у односу на други квартал 2024. године виша је за 0,2 п.п., док је у пољопривреди износила 50,4 %, и била је нижа за 1,3 п.п. Структурна побољшања на тржишту рада у овом периоду огледају се пре свега у смањењу стопе дугорочне незапослености за 0,1 п.п. на 3,7%, као и стопе становништва ван радне снаге за 0,2 п.п. на 43,8%.</w:t>
      </w:r>
    </w:p>
    <w:p w14:paraId="4BA96838" w14:textId="77777777" w:rsidR="00502EF3" w:rsidRPr="001B41AD" w:rsidRDefault="00502EF3" w:rsidP="00502EF3">
      <w:pPr>
        <w:pStyle w:val="Caption"/>
        <w:keepNext/>
        <w:spacing w:after="40"/>
        <w:rPr>
          <w:rFonts w:cstheme="minorHAnsi"/>
          <w:b w:val="0"/>
          <w:iCs w:val="0"/>
          <w:szCs w:val="22"/>
          <w:lang w:val="sr-Cyrl-CS"/>
        </w:rPr>
      </w:pPr>
      <w:r w:rsidRPr="001B41AD">
        <w:rPr>
          <w:rFonts w:cstheme="minorHAnsi"/>
          <w:iCs w:val="0"/>
          <w:szCs w:val="22"/>
          <w:lang w:val="sr-Cyrl-CS"/>
        </w:rPr>
        <w:t>Кретање основних показатеља тржишта рада</w:t>
      </w:r>
    </w:p>
    <w:p w14:paraId="3D101744" w14:textId="77777777" w:rsidR="00502EF3" w:rsidRPr="001B41AD" w:rsidRDefault="00502EF3" w:rsidP="00502EF3">
      <w:pPr>
        <w:spacing w:after="0"/>
        <w:rPr>
          <w:rFonts w:cstheme="minorHAnsi"/>
          <w:bCs/>
          <w:szCs w:val="72"/>
          <w:lang w:val="sr-Cyrl-CS"/>
        </w:rPr>
      </w:pPr>
      <w:r w:rsidRPr="001B41AD">
        <w:rPr>
          <w:noProof/>
        </w:rPr>
        <w:drawing>
          <wp:inline distT="0" distB="0" distL="0" distR="0" wp14:anchorId="2CBF6BE0" wp14:editId="469A389B">
            <wp:extent cx="2743200" cy="1761490"/>
            <wp:effectExtent l="0" t="0" r="0" b="0"/>
            <wp:docPr id="1141515583" name="Chart 1">
              <a:extLst xmlns:a="http://schemas.openxmlformats.org/drawingml/2006/main">
                <a:ext uri="{FF2B5EF4-FFF2-40B4-BE49-F238E27FC236}">
                  <a16:creationId xmlns:a16="http://schemas.microsoft.com/office/drawing/2014/main" id="{00000000-0008-0000-1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2D596D43" w14:textId="77777777" w:rsidR="00502EF3" w:rsidRPr="001B41AD" w:rsidRDefault="00502EF3" w:rsidP="00502EF3">
      <w:pPr>
        <w:spacing w:before="40" w:after="120"/>
        <w:rPr>
          <w:rFonts w:cstheme="minorHAnsi"/>
          <w:bCs/>
          <w:szCs w:val="72"/>
          <w:lang w:val="sr-Cyrl-CS"/>
        </w:rPr>
      </w:pPr>
      <w:r w:rsidRPr="001B41AD">
        <w:rPr>
          <w:rFonts w:cstheme="minorHAnsi"/>
          <w:bCs/>
          <w:sz w:val="16"/>
          <w:szCs w:val="72"/>
          <w:lang w:val="sr-Cyrl-CS"/>
        </w:rPr>
        <w:t>Извор: РЗС</w:t>
      </w:r>
    </w:p>
    <w:p w14:paraId="5AC169D9" w14:textId="77777777" w:rsidR="00502EF3" w:rsidRPr="001B41AD" w:rsidRDefault="00502EF3" w:rsidP="00502EF3">
      <w:pPr>
        <w:spacing w:after="120"/>
        <w:rPr>
          <w:lang w:val="sr-Cyrl-CS"/>
        </w:rPr>
      </w:pPr>
      <w:r w:rsidRPr="001B41AD">
        <w:rPr>
          <w:lang w:val="sr-Cyrl-CS"/>
        </w:rPr>
        <w:t xml:space="preserve">У наредном периоду очекује се да ће тржиште рада наставити са повољним кретањима, у складу са очекиваним растом економске активности и стабилним макроекономским окружењем. Креатори јавних политика настављају да унапређују мере усмерене на јачање квалитета радне снаге и улагање у људски капитал, што доприноси лакшем запошљавању и развоју сектора са већом додатом вредношћу. Посебно се истиче раст запослености у областима заснованим на иновацијама и знању, што потврђује структурно јачање економије. Очекује се да ће се наставити активности усмерене на подстицање формалне запослености, чиме се додатно унапређују услови рада и стварају стабилнији извори буџетских прихода. У средњорочном периоду очекује се наставак позитивних ефеката мера активне политике запошљавања, програма преквалификација и подршке социјалном предузетништву, што ће омогућити већу доступност радних места социјално рањивим групама и допринети инклузивном привредном расту. У складу са наведеним, у средњем року </w:t>
      </w:r>
      <w:r w:rsidRPr="001B41AD">
        <w:rPr>
          <w:lang w:val="sr-Cyrl-CS"/>
        </w:rPr>
        <w:t>пројектује се постепено смањивање незапослености и наставак реалног раста зарада. У приватном сектору очекује се стабилан раст у складу са тржишним кретањима, док ће зараде у јавном сектору наставити да се усклађују са фискалним правилима, обезбеђујући дугорочну одрживост.</w:t>
      </w:r>
    </w:p>
    <w:p w14:paraId="490680C0" w14:textId="77777777" w:rsidR="00502EF3" w:rsidRPr="001B41AD" w:rsidRDefault="00502EF3" w:rsidP="00502EF3">
      <w:pPr>
        <w:rPr>
          <w:rFonts w:cstheme="minorHAnsi"/>
          <w:b/>
          <w:color w:val="2F5496" w:themeColor="accent1" w:themeShade="BF"/>
          <w:sz w:val="22"/>
          <w:lang w:val="sr-Cyrl-CS"/>
        </w:rPr>
      </w:pPr>
      <w:r w:rsidRPr="001B41AD">
        <w:rPr>
          <w:rFonts w:cstheme="minorHAnsi"/>
          <w:b/>
          <w:color w:val="2F5496" w:themeColor="accent1" w:themeShade="BF"/>
          <w:sz w:val="22"/>
          <w:lang w:val="sr-Cyrl-CS"/>
        </w:rPr>
        <w:br w:type="column"/>
      </w:r>
      <w:r w:rsidRPr="001B41AD">
        <w:rPr>
          <w:rFonts w:cstheme="minorHAnsi"/>
          <w:b/>
          <w:color w:val="2F5496" w:themeColor="accent1" w:themeShade="BF"/>
          <w:sz w:val="22"/>
          <w:lang w:val="sr-Cyrl-CS"/>
        </w:rPr>
        <w:lastRenderedPageBreak/>
        <w:t>Монетарна кретања</w:t>
      </w:r>
    </w:p>
    <w:p w14:paraId="19861434" w14:textId="77777777" w:rsidR="00502EF3" w:rsidRPr="001B41AD" w:rsidRDefault="00502EF3" w:rsidP="00502EF3">
      <w:pPr>
        <w:spacing w:after="120"/>
        <w:rPr>
          <w:lang w:val="sr-Cyrl-CS"/>
        </w:rPr>
      </w:pPr>
      <w:r w:rsidRPr="001B41AD">
        <w:rPr>
          <w:lang w:val="sr-Cyrl-CS"/>
        </w:rPr>
        <w:t>Упркос изазовном глобалном окружењу и присутним геополитичким и економским ризицима, монетарна кретања током претходног периода одликовала се стабилношћу и предвидивошћу. Инфлација је успешно снижена и стабилизована у оквиру циљаног коридора, а референтна каматна стопа очувана на нивоу који подржава контролу цена уз очување финансијске стабилности. Девизне резерве су задржане на високом и стабилном нивоу, што указује на очувану спољну ликвидност и отпорност финансијског система на потенцијалне спољне шокове. Добри макроекономски показатељи и очекивања допринели су задржавању поверења на финансијским тржиштима, што је потврђено и доделом инвестиционог кредитног рејтинга.</w:t>
      </w:r>
    </w:p>
    <w:p w14:paraId="47C1C92F" w14:textId="77777777" w:rsidR="00502EF3" w:rsidRPr="001B41AD" w:rsidRDefault="00502EF3" w:rsidP="00502EF3">
      <w:pPr>
        <w:spacing w:after="120"/>
        <w:rPr>
          <w:lang w:val="sr-Cyrl-CS"/>
        </w:rPr>
      </w:pPr>
      <w:r w:rsidRPr="001B41AD">
        <w:rPr>
          <w:lang w:val="sr-Cyrl-CS"/>
        </w:rPr>
        <w:t xml:space="preserve">Током 2025. године инфлација у Републици Србији је показала променљиву путању. До маја је бележила опадање и </w:t>
      </w:r>
      <w:r w:rsidR="0004500F" w:rsidRPr="001B41AD">
        <w:rPr>
          <w:lang w:val="sr-Cyrl-CS"/>
        </w:rPr>
        <w:t>спустила се на</w:t>
      </w:r>
      <w:r w:rsidRPr="001B41AD">
        <w:rPr>
          <w:lang w:val="sr-Cyrl-CS"/>
        </w:rPr>
        <w:t xml:space="preserve"> ниво од 3,8%, након чега је уследио привремени раст у јуну и јулу, пре свега услед раста цена хране под утицајем неповољних временских прилика. У августу је инфлација износила 4,7%, али је у септембру дошло до наглог успоравања на 2,9%, што представља најнижи ниво још од априла 2021. године. Овај пад резултат </w:t>
      </w:r>
      <w:r w:rsidR="0004500F" w:rsidRPr="001B41AD">
        <w:rPr>
          <w:lang w:val="sr-Cyrl-CS"/>
        </w:rPr>
        <w:t xml:space="preserve">је </w:t>
      </w:r>
      <w:r w:rsidRPr="001B41AD">
        <w:rPr>
          <w:lang w:val="sr-Cyrl-CS"/>
        </w:rPr>
        <w:t>примене Уредбе о посебним условима за обављање трговине за одређену врсту робе, што је довело до значајног успоравања раста цена хране и безалкохолних пића, са 7,8% у августу на 1,7% у септембру. Базна инфлација је такође наставила силазни тренд и у септембру је износила 3,9%, уз умерено успоравање раста цена производа и услуга у оквиру базне компоненте. Све ове промене указују на ефекте циљаних мера економске политике и стабилизацију цена у условима сложених тржишних околности. У наредном периоду планира се спровођење системских мера које ће кроз одговарајући законски оквир додатно унапредити регулацију тржишта и спречити појаву непоштених трговачких пракси, са циљем очувања стабилности цена и заштите потрошача.</w:t>
      </w:r>
    </w:p>
    <w:p w14:paraId="704FF60D" w14:textId="77777777" w:rsidR="00502EF3" w:rsidRPr="001B41AD" w:rsidRDefault="00502EF3" w:rsidP="00502EF3">
      <w:pPr>
        <w:spacing w:after="120"/>
        <w:rPr>
          <w:lang w:val="sr-Cyrl-CS"/>
        </w:rPr>
      </w:pPr>
    </w:p>
    <w:p w14:paraId="469F32BB" w14:textId="77777777" w:rsidR="00502EF3" w:rsidRPr="001B41AD" w:rsidRDefault="00502EF3" w:rsidP="00502EF3">
      <w:pPr>
        <w:spacing w:after="120"/>
        <w:rPr>
          <w:lang w:val="sr-Cyrl-CS"/>
        </w:rPr>
      </w:pPr>
    </w:p>
    <w:p w14:paraId="6469F9E3" w14:textId="77777777" w:rsidR="00502EF3" w:rsidRPr="001B41AD" w:rsidRDefault="00502EF3" w:rsidP="00502EF3">
      <w:pPr>
        <w:spacing w:after="120"/>
        <w:rPr>
          <w:lang w:val="sr-Cyrl-CS"/>
        </w:rPr>
      </w:pPr>
    </w:p>
    <w:p w14:paraId="50A45E05" w14:textId="77777777" w:rsidR="00502EF3" w:rsidRPr="001B41AD" w:rsidRDefault="00502EF3" w:rsidP="00502EF3">
      <w:pPr>
        <w:spacing w:after="120"/>
        <w:jc w:val="center"/>
        <w:rPr>
          <w:rFonts w:cstheme="minorHAnsi"/>
          <w:b/>
          <w:color w:val="002060"/>
          <w:lang w:val="sr-Cyrl-CS"/>
        </w:rPr>
      </w:pPr>
      <w:r w:rsidRPr="001B41AD">
        <w:rPr>
          <w:rFonts w:cstheme="minorHAnsi"/>
          <w:b/>
          <w:color w:val="002060"/>
          <w:lang w:val="sr-Cyrl-CS"/>
        </w:rPr>
        <w:t>Месечна и међугодишња инфлација, %</w:t>
      </w:r>
    </w:p>
    <w:p w14:paraId="4CB7B684" w14:textId="77777777" w:rsidR="00502EF3" w:rsidRPr="001B41AD" w:rsidRDefault="00502EF3" w:rsidP="00502EF3">
      <w:pPr>
        <w:spacing w:after="40"/>
        <w:rPr>
          <w:lang w:val="sr-Cyrl-CS"/>
        </w:rPr>
      </w:pPr>
      <w:r w:rsidRPr="001B41AD">
        <w:rPr>
          <w:noProof/>
        </w:rPr>
        <w:drawing>
          <wp:inline distT="0" distB="0" distL="0" distR="0" wp14:anchorId="257A700C" wp14:editId="652938C0">
            <wp:extent cx="2743200" cy="2012950"/>
            <wp:effectExtent l="0" t="0" r="0" b="6350"/>
            <wp:docPr id="692503994" name="Chart 1">
              <a:extLst xmlns:a="http://schemas.openxmlformats.org/drawingml/2006/main">
                <a:ext uri="{FF2B5EF4-FFF2-40B4-BE49-F238E27FC236}">
                  <a16:creationId xmlns:a16="http://schemas.microsoft.com/office/drawing/2014/main" id="{00000000-0008-0000-16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EE1B17B" w14:textId="77777777" w:rsidR="00502EF3" w:rsidRPr="001B41AD" w:rsidRDefault="00502EF3" w:rsidP="00502EF3">
      <w:pPr>
        <w:rPr>
          <w:rFonts w:cstheme="minorHAnsi"/>
          <w:bCs/>
          <w:szCs w:val="72"/>
          <w:lang w:val="sr-Cyrl-CS"/>
        </w:rPr>
      </w:pPr>
      <w:r w:rsidRPr="001B41AD">
        <w:rPr>
          <w:rFonts w:cstheme="minorHAnsi"/>
          <w:bCs/>
          <w:sz w:val="16"/>
          <w:szCs w:val="72"/>
          <w:lang w:val="sr-Cyrl-CS"/>
        </w:rPr>
        <w:t>Извор: РЗС и НБС</w:t>
      </w:r>
    </w:p>
    <w:p w14:paraId="7362991E" w14:textId="77777777" w:rsidR="00502EF3" w:rsidRPr="001B41AD" w:rsidRDefault="00502EF3" w:rsidP="00502EF3">
      <w:pPr>
        <w:pStyle w:val="Caption"/>
        <w:keepNext/>
        <w:spacing w:after="80"/>
        <w:rPr>
          <w:rFonts w:cstheme="minorHAnsi"/>
          <w:iCs w:val="0"/>
          <w:szCs w:val="22"/>
          <w:lang w:val="sr-Cyrl-CS"/>
        </w:rPr>
      </w:pPr>
      <w:r w:rsidRPr="001B41AD">
        <w:rPr>
          <w:rFonts w:cstheme="minorHAnsi"/>
          <w:iCs w:val="0"/>
          <w:szCs w:val="22"/>
          <w:lang w:val="sr-Cyrl-CS"/>
        </w:rPr>
        <w:t>Инфлација и референтна каматна стопа, %</w:t>
      </w:r>
    </w:p>
    <w:p w14:paraId="28990125" w14:textId="77777777" w:rsidR="00502EF3" w:rsidRPr="001B41AD" w:rsidRDefault="00502EF3" w:rsidP="00502EF3">
      <w:pPr>
        <w:spacing w:after="40"/>
        <w:rPr>
          <w:rFonts w:cstheme="minorHAnsi"/>
          <w:bCs/>
          <w:szCs w:val="72"/>
          <w:highlight w:val="darkYellow"/>
          <w:lang w:val="sr-Cyrl-CS"/>
        </w:rPr>
      </w:pPr>
      <w:r w:rsidRPr="001B41AD">
        <w:rPr>
          <w:noProof/>
        </w:rPr>
        <w:drawing>
          <wp:inline distT="0" distB="0" distL="0" distR="0" wp14:anchorId="79730705" wp14:editId="4CE152E3">
            <wp:extent cx="2743200" cy="1613647"/>
            <wp:effectExtent l="0" t="0" r="0" b="5715"/>
            <wp:docPr id="1579398412" name="Chart 1">
              <a:extLst xmlns:a="http://schemas.openxmlformats.org/drawingml/2006/main">
                <a:ext uri="{FF2B5EF4-FFF2-40B4-BE49-F238E27FC236}">
                  <a16:creationId xmlns:a16="http://schemas.microsoft.com/office/drawing/2014/main" id="{00000000-0008-0000-16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10CDBBFD" w14:textId="77777777" w:rsidR="00502EF3" w:rsidRPr="001B41AD" w:rsidRDefault="00502EF3" w:rsidP="00502EF3">
      <w:pPr>
        <w:rPr>
          <w:rFonts w:cstheme="minorHAnsi"/>
          <w:bCs/>
          <w:szCs w:val="72"/>
          <w:lang w:val="sr-Cyrl-CS"/>
        </w:rPr>
      </w:pPr>
      <w:r w:rsidRPr="001B41AD">
        <w:rPr>
          <w:rFonts w:cstheme="minorHAnsi"/>
          <w:bCs/>
          <w:sz w:val="16"/>
          <w:szCs w:val="72"/>
          <w:lang w:val="sr-Cyrl-CS"/>
        </w:rPr>
        <w:t>Извор: РЗС и НБС</w:t>
      </w:r>
    </w:p>
    <w:p w14:paraId="3FB1A0B1" w14:textId="77777777" w:rsidR="00502EF3" w:rsidRPr="001B41AD" w:rsidRDefault="00502EF3" w:rsidP="00502EF3">
      <w:pPr>
        <w:rPr>
          <w:lang w:val="sr-Cyrl-CS"/>
        </w:rPr>
      </w:pPr>
      <w:r w:rsidRPr="001B41AD">
        <w:rPr>
          <w:lang w:val="sr-Cyrl-CS"/>
        </w:rPr>
        <w:t>Након три спуштања референтне каматне стопе током 2024. године, у укупном износу од 0,75 процентних поена, НБС током 2025. године није мењала референтну каматну стопу. Она је последњи пут смањена у септембру 2024. године и од тада је задржана на нивоу од 5,75%, док су каматне стопе на депозитне и кредитне олакшице остале непромењене – 4,5% и 7,0%, респективно. Упркос ублажавању инфлаторних притисака, потребно је наставити са опрезним и пажљиво калибрисаним приступом монетарној политици, имајући у виду геополитичке тензије, нестабилност цена енергената и кретања на глобалним робним тржиштима.</w:t>
      </w:r>
    </w:p>
    <w:p w14:paraId="1C6E8098" w14:textId="77777777" w:rsidR="00502EF3" w:rsidRPr="001B41AD" w:rsidRDefault="00502EF3" w:rsidP="00502EF3">
      <w:pPr>
        <w:spacing w:after="120"/>
        <w:rPr>
          <w:rFonts w:cstheme="minorHAnsi"/>
          <w:lang w:val="sr-Cyrl-CS"/>
        </w:rPr>
      </w:pPr>
      <w:r w:rsidRPr="001B41AD">
        <w:rPr>
          <w:rFonts w:cstheme="minorHAnsi"/>
          <w:lang w:val="sr-Cyrl-CS"/>
        </w:rPr>
        <w:t xml:space="preserve">У циљу смиривања инфлације и ублажавања негативних социјалних и економских ефеката раста светских цена хране и енергената, Влада је предузела низ мера административног ограничавања цена. Најзначајнија међу њима је недавно усвојена Уредба о посебним условима за </w:t>
      </w:r>
      <w:r w:rsidRPr="001B41AD">
        <w:rPr>
          <w:rFonts w:cstheme="minorHAnsi"/>
          <w:lang w:val="sr-Cyrl-CS"/>
        </w:rPr>
        <w:lastRenderedPageBreak/>
        <w:t>обављање трговине за одређену врсту робе, којом су на шест месеци ограничене марже у трговини на велико и мало на 20%. Овом регулативом се први пут интервенише директно у структуру цена у малопродајном ланцу, са циљем да се ублаже дистрибутивни притисци и спречи неконтролисан раст цена основних животних намирница на крајњем тржишту. Уредба представља важан инструмент заштите куповне моћи грађана, али и стабилизације инфлаторних очекивања, с обзиром на то да обухвата широк спектар производа који чине основу потрошачке корпе. Поред ове мере, Уредбом о обавезној производњи и промету хлеба од брашна „Т-500”, која је на снази до 24. новембра, дефинисана је његова максимална малопродајна цена, као и обавезни обим производње. Уредбом о ограничењу висине цена нафтних деривата прописан је начин обрачуна највиших цена евродизела и европремијума БМБ 95 у малопродаји, при чему су цене деривата за пољопривреднике посебно субвенционисане. Циљ ових мера је смањење инфлаторних притисака, очување стабилности тржишта и обезбеђивање редовног снабдевања</w:t>
      </w:r>
      <w:r w:rsidR="00F63AE0" w:rsidRPr="001B41AD">
        <w:rPr>
          <w:rFonts w:cstheme="minorHAnsi"/>
          <w:lang w:val="sr-Cyrl-CS"/>
        </w:rPr>
        <w:t>.</w:t>
      </w:r>
    </w:p>
    <w:p w14:paraId="5647F5F9" w14:textId="77777777" w:rsidR="00502EF3" w:rsidRPr="001B41AD" w:rsidRDefault="00502EF3" w:rsidP="00502EF3">
      <w:pPr>
        <w:rPr>
          <w:lang w:val="sr-Cyrl-CS"/>
        </w:rPr>
      </w:pPr>
      <w:r w:rsidRPr="001B41AD">
        <w:rPr>
          <w:lang w:val="sr-Cyrl-CS"/>
        </w:rPr>
        <w:t xml:space="preserve">Кредитна активност наставља да показује снажан раст, при чему је у августу 2025. године међугодишњи раст достигао 11,6%, што представља додатно убрзање у односу на претходне месеце. Кредити становништву убрзали су раст на 15,0%, док су кредити привреди порасли за 8,4%. Овај позитиван тренд кредитне активности подстакнут је повољнијим условима финансирања и ублажавањем монетарне политике. Привреда и становништво имају приступ кредитима под знатно повољнијим условима, што се огледа у расту тражње за финансирањем инвестиција, ликвидности и потрошње. Посебан допринос расту кредита становништву дају програми обезбеђивања повољнијих кредита за грађане чија редовна месечна примања не прелазе 100.000 динара, као и „Стамбени кредити за младе“, који омогућавају приступ финансирању под олакшаним условима. Истовремено, у сектору привреде приметан је раст инвестиционих кредита, као и кредита за обртна средства, што указује на оживљавање производних и извозних активности. Одржана кредитна динамика представља важан канал </w:t>
      </w:r>
      <w:r w:rsidRPr="001B41AD">
        <w:rPr>
          <w:lang w:val="sr-Cyrl-CS"/>
        </w:rPr>
        <w:t>подршке економској активности, уз стабилне каматне стопе и релативно повољне услове задуживања. Стабилност банкарског сектора је очувана и додатно ојачана, а учешће проблематичних кредита смањено је на ниво од 2,2% у августу 2025. године.</w:t>
      </w:r>
    </w:p>
    <w:p w14:paraId="21B4387C" w14:textId="77777777" w:rsidR="00502EF3" w:rsidRPr="001B41AD" w:rsidRDefault="00502EF3" w:rsidP="00502EF3">
      <w:pPr>
        <w:pStyle w:val="Caption"/>
        <w:keepNext/>
        <w:spacing w:after="0"/>
        <w:rPr>
          <w:rFonts w:cstheme="minorHAnsi"/>
          <w:b w:val="0"/>
          <w:i/>
          <w:iCs w:val="0"/>
          <w:szCs w:val="22"/>
          <w:lang w:val="sr-Cyrl-CS"/>
        </w:rPr>
      </w:pPr>
      <w:r w:rsidRPr="001B41AD">
        <w:rPr>
          <w:rFonts w:cstheme="minorHAnsi"/>
          <w:iCs w:val="0"/>
          <w:szCs w:val="22"/>
          <w:lang w:val="sr-Cyrl-CS"/>
        </w:rPr>
        <w:t>Проблематични кредити, млрд РСД</w:t>
      </w:r>
    </w:p>
    <w:p w14:paraId="19E7BD86" w14:textId="77777777" w:rsidR="00502EF3" w:rsidRPr="001B41AD" w:rsidRDefault="00502EF3" w:rsidP="00502EF3">
      <w:pPr>
        <w:spacing w:after="40"/>
        <w:rPr>
          <w:rFonts w:cstheme="minorHAnsi"/>
          <w:bCs/>
          <w:szCs w:val="72"/>
          <w:highlight w:val="yellow"/>
          <w:lang w:val="sr-Cyrl-CS"/>
        </w:rPr>
      </w:pPr>
      <w:r w:rsidRPr="001B41AD">
        <w:rPr>
          <w:noProof/>
        </w:rPr>
        <w:drawing>
          <wp:inline distT="0" distB="0" distL="0" distR="0" wp14:anchorId="7B35A2E8" wp14:editId="53B79352">
            <wp:extent cx="2743200" cy="1767327"/>
            <wp:effectExtent l="0" t="0" r="0" b="4445"/>
            <wp:docPr id="502853635" name="Chart 1">
              <a:extLst xmlns:a="http://schemas.openxmlformats.org/drawingml/2006/main">
                <a:ext uri="{FF2B5EF4-FFF2-40B4-BE49-F238E27FC236}">
                  <a16:creationId xmlns:a16="http://schemas.microsoft.com/office/drawing/2014/main" id="{00000000-0008-0000-1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6A5E744D" w14:textId="77777777" w:rsidR="00502EF3" w:rsidRPr="001B41AD" w:rsidRDefault="00502EF3" w:rsidP="00502EF3">
      <w:pPr>
        <w:spacing w:after="120"/>
        <w:rPr>
          <w:rFonts w:cstheme="minorHAnsi"/>
          <w:lang w:val="sr-Cyrl-CS"/>
        </w:rPr>
      </w:pPr>
      <w:r w:rsidRPr="001B41AD">
        <w:rPr>
          <w:rFonts w:cstheme="minorHAnsi"/>
          <w:bCs/>
          <w:sz w:val="16"/>
          <w:szCs w:val="72"/>
          <w:lang w:val="sr-Cyrl-CS"/>
        </w:rPr>
        <w:t>Извор: НБС</w:t>
      </w:r>
    </w:p>
    <w:p w14:paraId="44A097C5" w14:textId="77777777" w:rsidR="00502EF3" w:rsidRPr="001B41AD" w:rsidRDefault="00502EF3" w:rsidP="00502EF3">
      <w:pPr>
        <w:rPr>
          <w:rFonts w:cstheme="minorHAnsi"/>
          <w:bCs/>
          <w:szCs w:val="72"/>
          <w:lang w:val="sr-Cyrl-CS"/>
        </w:rPr>
      </w:pPr>
      <w:r w:rsidRPr="001B41AD">
        <w:rPr>
          <w:rFonts w:cstheme="minorHAnsi"/>
          <w:bCs/>
          <w:szCs w:val="72"/>
          <w:lang w:val="sr-Cyrl-CS"/>
        </w:rPr>
        <w:t>Динар је током 2025. године задржао релативну стабилност према евру, упркос променљивим притисцима на девизном тржишту. Почетак године обележили су депрецијацијски утицаји, пре свега због сезонски повећане тражње за девизама од стране увозника енергената, али су у каснијим месецима преовладали апрецијацијски трендови. Укупно посматрано, динар је у девет месеци благо ослабио према евру за 0,</w:t>
      </w:r>
      <w:r w:rsidR="00430CB0" w:rsidRPr="001B41AD">
        <w:rPr>
          <w:rFonts w:cstheme="minorHAnsi"/>
          <w:bCs/>
          <w:szCs w:val="72"/>
          <w:lang w:val="sr-Cyrl-CS"/>
        </w:rPr>
        <w:t>2%, док је Народна банка Србије</w:t>
      </w:r>
      <w:r w:rsidRPr="001B41AD">
        <w:rPr>
          <w:rFonts w:cstheme="minorHAnsi"/>
          <w:bCs/>
          <w:szCs w:val="72"/>
          <w:lang w:val="sr-Cyrl-CS"/>
        </w:rPr>
        <w:t xml:space="preserve"> од почетка године до краја септембра интервенисала нето куповином девиза ради очувања стабилности курса у укупном износу од 430 мил. евра.</w:t>
      </w:r>
    </w:p>
    <w:p w14:paraId="5FEB4CB0" w14:textId="77777777" w:rsidR="00502EF3" w:rsidRPr="001B41AD" w:rsidRDefault="00502EF3" w:rsidP="00502EF3">
      <w:pPr>
        <w:pStyle w:val="Caption"/>
        <w:keepNext/>
        <w:spacing w:after="0"/>
        <w:rPr>
          <w:rFonts w:cstheme="minorHAnsi"/>
          <w:b w:val="0"/>
          <w:i/>
          <w:iCs w:val="0"/>
          <w:szCs w:val="22"/>
          <w:lang w:val="sr-Cyrl-CS"/>
        </w:rPr>
      </w:pPr>
      <w:r w:rsidRPr="001B41AD">
        <w:rPr>
          <w:rFonts w:cstheme="minorHAnsi"/>
          <w:iCs w:val="0"/>
          <w:szCs w:val="22"/>
          <w:lang w:val="sr-Cyrl-CS"/>
        </w:rPr>
        <w:t>Девизни курс и интервенције НБС на девизном тржишту</w:t>
      </w:r>
    </w:p>
    <w:p w14:paraId="60E9D9E5" w14:textId="77777777" w:rsidR="00502EF3" w:rsidRPr="001B41AD" w:rsidRDefault="00502EF3" w:rsidP="00502EF3">
      <w:pPr>
        <w:spacing w:after="20"/>
        <w:rPr>
          <w:rFonts w:cstheme="minorHAnsi"/>
          <w:bCs/>
          <w:szCs w:val="72"/>
          <w:highlight w:val="darkYellow"/>
          <w:lang w:val="sr-Cyrl-CS"/>
        </w:rPr>
      </w:pPr>
      <w:r w:rsidRPr="001B41AD">
        <w:rPr>
          <w:noProof/>
        </w:rPr>
        <w:drawing>
          <wp:inline distT="0" distB="0" distL="0" distR="0" wp14:anchorId="449B8023" wp14:editId="1C8FA645">
            <wp:extent cx="2743200" cy="1498386"/>
            <wp:effectExtent l="0" t="0" r="0" b="6985"/>
            <wp:docPr id="1644070320" name="Chart 1">
              <a:extLst xmlns:a="http://schemas.openxmlformats.org/drawingml/2006/main">
                <a:ext uri="{FF2B5EF4-FFF2-40B4-BE49-F238E27FC236}">
                  <a16:creationId xmlns:a16="http://schemas.microsoft.com/office/drawing/2014/main" id="{00000000-0008-0000-19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06591DDB" w14:textId="77777777" w:rsidR="00502EF3" w:rsidRPr="001B41AD" w:rsidRDefault="00502EF3" w:rsidP="00502EF3">
      <w:pPr>
        <w:spacing w:after="120"/>
        <w:rPr>
          <w:rFonts w:cstheme="minorHAnsi"/>
          <w:bCs/>
          <w:szCs w:val="72"/>
          <w:lang w:val="sr-Cyrl-CS"/>
        </w:rPr>
      </w:pPr>
      <w:r w:rsidRPr="001B41AD">
        <w:rPr>
          <w:rFonts w:cstheme="minorHAnsi"/>
          <w:bCs/>
          <w:sz w:val="16"/>
          <w:szCs w:val="72"/>
          <w:lang w:val="sr-Cyrl-CS"/>
        </w:rPr>
        <w:t>Извор: НБС</w:t>
      </w:r>
    </w:p>
    <w:p w14:paraId="23DB111C" w14:textId="70580F21" w:rsidR="00502EF3" w:rsidRPr="001B41AD" w:rsidRDefault="00502EF3" w:rsidP="00502EF3">
      <w:pPr>
        <w:rPr>
          <w:rFonts w:cstheme="minorHAnsi"/>
          <w:bCs/>
          <w:szCs w:val="72"/>
          <w:lang w:val="sr-Cyrl-CS"/>
        </w:rPr>
      </w:pPr>
      <w:r w:rsidRPr="001B41AD">
        <w:rPr>
          <w:rFonts w:cstheme="minorHAnsi"/>
          <w:bCs/>
          <w:szCs w:val="72"/>
          <w:lang w:val="sr-Cyrl-CS"/>
        </w:rPr>
        <w:t>Девизне резерве су током године поново достигле рекордне нивое и</w:t>
      </w:r>
      <w:r w:rsidR="00553859" w:rsidRPr="001B41AD">
        <w:rPr>
          <w:rFonts w:cstheme="minorHAnsi"/>
          <w:bCs/>
          <w:szCs w:val="72"/>
          <w:lang w:val="sr-Cyrl-CS"/>
        </w:rPr>
        <w:t xml:space="preserve"> крајем септембра су износиле </w:t>
      </w:r>
      <w:r w:rsidRPr="001B41AD">
        <w:rPr>
          <w:rFonts w:cstheme="minorHAnsi"/>
          <w:bCs/>
          <w:szCs w:val="72"/>
          <w:lang w:val="sr-Cyrl-CS"/>
        </w:rPr>
        <w:t xml:space="preserve"> 29,1 милијарди евра. Такав ниво обезбеђује </w:t>
      </w:r>
      <w:r w:rsidRPr="001B41AD">
        <w:rPr>
          <w:rFonts w:cstheme="minorHAnsi"/>
          <w:bCs/>
          <w:szCs w:val="72"/>
          <w:lang w:val="sr-Cyrl-CS"/>
        </w:rPr>
        <w:lastRenderedPageBreak/>
        <w:t>високу покривеност увоза робе и услуга (6,8 месеци) и новчане масе М1 (162,3%), што потврђује њихову адекватност и улогу у очувању финансијске стабилности. Значајан део резерви чини и злато, чија је количина више него утростручена у односу на претходну деценију, што додатно доприноси отпорности система на спољне шокове.</w:t>
      </w:r>
    </w:p>
    <w:p w14:paraId="262C1BA4" w14:textId="77777777" w:rsidR="00502EF3" w:rsidRPr="001B41AD" w:rsidRDefault="00502EF3" w:rsidP="00502EF3">
      <w:pPr>
        <w:spacing w:after="40"/>
        <w:jc w:val="center"/>
        <w:rPr>
          <w:rFonts w:cstheme="minorHAnsi"/>
          <w:b/>
          <w:i/>
          <w:iCs/>
          <w:color w:val="002060"/>
          <w:lang w:val="sr-Cyrl-CS"/>
        </w:rPr>
      </w:pPr>
      <w:r w:rsidRPr="001B41AD">
        <w:rPr>
          <w:rFonts w:cstheme="minorHAnsi"/>
          <w:b/>
          <w:color w:val="002060"/>
          <w:lang w:val="sr-Cyrl-CS"/>
        </w:rPr>
        <w:t>Девизне резерве и девизна штедња, млрд евра</w:t>
      </w:r>
    </w:p>
    <w:p w14:paraId="052D2C76" w14:textId="77777777" w:rsidR="00502EF3" w:rsidRPr="001B41AD" w:rsidRDefault="00502EF3" w:rsidP="00502EF3">
      <w:pPr>
        <w:spacing w:after="0"/>
        <w:rPr>
          <w:rFonts w:cstheme="minorHAnsi"/>
          <w:bCs/>
          <w:szCs w:val="72"/>
          <w:highlight w:val="darkYellow"/>
          <w:lang w:val="sr-Cyrl-CS"/>
        </w:rPr>
      </w:pPr>
      <w:r w:rsidRPr="001B41AD">
        <w:rPr>
          <w:noProof/>
        </w:rPr>
        <w:drawing>
          <wp:inline distT="0" distB="0" distL="0" distR="0" wp14:anchorId="4DEA5997" wp14:editId="327BDC5C">
            <wp:extent cx="2743200" cy="1705856"/>
            <wp:effectExtent l="0" t="0" r="0" b="8890"/>
            <wp:docPr id="900563652" name="Chart 1">
              <a:extLst xmlns:a="http://schemas.openxmlformats.org/drawingml/2006/main">
                <a:ext uri="{FF2B5EF4-FFF2-40B4-BE49-F238E27FC236}">
                  <a16:creationId xmlns:a16="http://schemas.microsoft.com/office/drawing/2014/main" id="{00000000-0008-0000-1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10F6217" w14:textId="77777777" w:rsidR="00502EF3" w:rsidRPr="001B41AD" w:rsidRDefault="00502EF3" w:rsidP="00502EF3">
      <w:pPr>
        <w:spacing w:after="120"/>
        <w:rPr>
          <w:rFonts w:cstheme="minorHAnsi"/>
          <w:bCs/>
          <w:szCs w:val="72"/>
          <w:lang w:val="sr-Cyrl-CS"/>
        </w:rPr>
      </w:pPr>
      <w:r w:rsidRPr="001B41AD">
        <w:rPr>
          <w:rFonts w:cstheme="minorHAnsi"/>
          <w:bCs/>
          <w:sz w:val="16"/>
          <w:szCs w:val="72"/>
          <w:lang w:val="sr-Cyrl-CS"/>
        </w:rPr>
        <w:t>Извор: НБС</w:t>
      </w:r>
    </w:p>
    <w:p w14:paraId="3632E12D" w14:textId="1DC6BC49" w:rsidR="00502EF3" w:rsidRPr="001B41AD" w:rsidRDefault="00502EF3" w:rsidP="00502EF3">
      <w:pPr>
        <w:spacing w:after="120"/>
        <w:rPr>
          <w:lang w:val="sr-Cyrl-CS"/>
        </w:rPr>
      </w:pPr>
      <w:r w:rsidRPr="001B41AD">
        <w:rPr>
          <w:lang w:val="sr-Cyrl-CS"/>
        </w:rPr>
        <w:t xml:space="preserve">Очекује се да ће инфлација </w:t>
      </w:r>
      <w:r w:rsidR="00B55AC6" w:rsidRPr="001B41AD">
        <w:rPr>
          <w:lang w:val="sr-Cyrl-CS"/>
        </w:rPr>
        <w:t>до краја 2025</w:t>
      </w:r>
      <w:r w:rsidRPr="001B41AD">
        <w:rPr>
          <w:lang w:val="sr-Cyrl-CS"/>
        </w:rPr>
        <w:t>. годин</w:t>
      </w:r>
      <w:r w:rsidR="00B55AC6" w:rsidRPr="001B41AD">
        <w:rPr>
          <w:lang w:val="sr-Cyrl-CS"/>
        </w:rPr>
        <w:t>е</w:t>
      </w:r>
      <w:r w:rsidRPr="001B41AD">
        <w:rPr>
          <w:lang w:val="sr-Cyrl-CS"/>
        </w:rPr>
        <w:t xml:space="preserve"> наставити релативно стабилно кретање око централне вредности циља. На такав тренд утицаће ефекти </w:t>
      </w:r>
      <w:r w:rsidR="00F63AE0" w:rsidRPr="001B41AD">
        <w:rPr>
          <w:lang w:val="sr-Cyrl-CS"/>
        </w:rPr>
        <w:t>у</w:t>
      </w:r>
      <w:r w:rsidRPr="001B41AD">
        <w:rPr>
          <w:lang w:val="sr-Cyrl-CS"/>
        </w:rPr>
        <w:t xml:space="preserve">редбе о </w:t>
      </w:r>
      <w:r w:rsidR="00F63AE0" w:rsidRPr="001B41AD">
        <w:rPr>
          <w:lang w:val="sr-Cyrl-CS"/>
        </w:rPr>
        <w:t>привременом ограничењу маржи</w:t>
      </w:r>
      <w:r w:rsidRPr="001B41AD">
        <w:rPr>
          <w:lang w:val="sr-Cyrl-CS"/>
        </w:rPr>
        <w:t>, ефекти досадашњег заоштравања монетарне политике, смањење светских цена енергената</w:t>
      </w:r>
      <w:r w:rsidR="00F63AE0" w:rsidRPr="001B41AD">
        <w:rPr>
          <w:lang w:val="sr-Cyrl-CS"/>
        </w:rPr>
        <w:t xml:space="preserve"> и</w:t>
      </w:r>
      <w:r w:rsidRPr="001B41AD">
        <w:rPr>
          <w:lang w:val="sr-Cyrl-CS"/>
        </w:rPr>
        <w:t xml:space="preserve"> нижа увозна инфлација.</w:t>
      </w:r>
      <w:r w:rsidR="00F63AE0" w:rsidRPr="001B41AD">
        <w:rPr>
          <w:lang w:val="sr-Cyrl-CS"/>
        </w:rPr>
        <w:t xml:space="preserve"> </w:t>
      </w:r>
      <w:r w:rsidR="00056D57" w:rsidRPr="001B41AD">
        <w:rPr>
          <w:lang w:val="sr-Cyrl-CS"/>
        </w:rPr>
        <w:t>Током 2026. године очекује се стабилизација инфлације у оквиру циљаног опсега Народне банке Србије (3% ±1,5 п.п.), уз пројектовану просечну стопу од 3,7%. Пројекција почива на комбинованом дејству слабљења спољних трошковних притисака и повољнијих домаћих фактора. Са спољне стране, очекује се да ће се наставити пад трошковних фактора који су утицали на раст цена. Са домаће стране, очекује се повољнија пољопривредна сезона, што повећава понуду основних прехрамбених производа и додатно успорава раст це</w:t>
      </w:r>
      <w:r w:rsidR="004E4DAB" w:rsidRPr="001B41AD">
        <w:rPr>
          <w:lang w:val="sr-Cyrl-CS"/>
        </w:rPr>
        <w:t>на хране — компоненте са највећи</w:t>
      </w:r>
      <w:r w:rsidR="00056D57" w:rsidRPr="001B41AD">
        <w:rPr>
          <w:lang w:val="sr-Cyrl-CS"/>
        </w:rPr>
        <w:t xml:space="preserve">м учешћем у потрошачкој корпи. Наставак опрезне монетарне политике допринеће постепеном снижавању базне инфлације, уз усидреност инфлационих очекивања. Додатно, привремена мера ограничења трговачких маржи делује дезинфлаторно у сегменту хране и пића, подстичући конкуренцију и транспарентност и умањујући простор за преливање трошкова на </w:t>
      </w:r>
      <w:r w:rsidR="00056D57" w:rsidRPr="001B41AD">
        <w:rPr>
          <w:lang w:val="sr-Cyrl-CS"/>
        </w:rPr>
        <w:t xml:space="preserve">остале категорије. У таквом макроекономском окружењу, очекује се кретање инфлације у оквиру циљног опсега уз уравнотежене ризике пројекције. Сходно томе, Србија улази у 2026. годину са јасно дефинисаном путањом стабилизације цена и инфлацијом близу централне вредности циља, што представља предуслов за очување поверења, макроекономску стабилност и наставак раста реалног животног стандарда. </w:t>
      </w:r>
      <w:r w:rsidRPr="001B41AD">
        <w:rPr>
          <w:lang w:val="sr-Cyrl-CS"/>
        </w:rPr>
        <w:t xml:space="preserve">У средњорочном периоду очекује се наставак стабилног кретања инфлације </w:t>
      </w:r>
      <w:r w:rsidR="00F63AE0" w:rsidRPr="001B41AD">
        <w:rPr>
          <w:lang w:val="sr-Cyrl-CS"/>
        </w:rPr>
        <w:t xml:space="preserve">уз постепено приближавање централној вредности </w:t>
      </w:r>
      <w:r w:rsidRPr="001B41AD">
        <w:rPr>
          <w:lang w:val="sr-Cyrl-CS"/>
        </w:rPr>
        <w:t>циља. Ризици пројекције остају симетрични и превасходно су повезани са глобалним кретањима цена примарних производа</w:t>
      </w:r>
      <w:r w:rsidR="00F63AE0" w:rsidRPr="001B41AD">
        <w:rPr>
          <w:lang w:val="sr-Cyrl-CS"/>
        </w:rPr>
        <w:t xml:space="preserve"> и</w:t>
      </w:r>
      <w:r w:rsidRPr="001B41AD">
        <w:rPr>
          <w:lang w:val="sr-Cyrl-CS"/>
        </w:rPr>
        <w:t xml:space="preserve"> геополитичким тензијама</w:t>
      </w:r>
      <w:r w:rsidR="00F63AE0" w:rsidRPr="001B41AD">
        <w:rPr>
          <w:lang w:val="sr-Cyrl-CS"/>
        </w:rPr>
        <w:t>.</w:t>
      </w:r>
    </w:p>
    <w:p w14:paraId="58F54680" w14:textId="77777777" w:rsidR="00502EF3" w:rsidRPr="001B41AD" w:rsidRDefault="00502EF3" w:rsidP="00502EF3">
      <w:pPr>
        <w:pStyle w:val="Caption"/>
        <w:keepNext/>
        <w:spacing w:after="40"/>
        <w:rPr>
          <w:rFonts w:cstheme="minorHAnsi"/>
          <w:iCs w:val="0"/>
          <w:szCs w:val="22"/>
          <w:lang w:val="sr-Cyrl-CS"/>
        </w:rPr>
      </w:pPr>
      <w:r w:rsidRPr="001B41AD">
        <w:rPr>
          <w:rFonts w:cstheme="minorHAnsi"/>
          <w:iCs w:val="0"/>
          <w:szCs w:val="22"/>
          <w:lang w:val="sr-Cyrl-CS"/>
        </w:rPr>
        <w:t>Пројекција инфлације, %</w:t>
      </w:r>
    </w:p>
    <w:p w14:paraId="549E7D75" w14:textId="77777777" w:rsidR="00502EF3" w:rsidRPr="001B41AD" w:rsidRDefault="00502EF3" w:rsidP="00502EF3">
      <w:pPr>
        <w:spacing w:after="40"/>
        <w:rPr>
          <w:rFonts w:cstheme="minorHAnsi"/>
          <w:sz w:val="16"/>
          <w:szCs w:val="16"/>
          <w:lang w:val="sr-Cyrl-CS"/>
        </w:rPr>
      </w:pPr>
      <w:r w:rsidRPr="001B41AD">
        <w:rPr>
          <w:noProof/>
        </w:rPr>
        <w:drawing>
          <wp:inline distT="0" distB="0" distL="0" distR="0" wp14:anchorId="54C17B7B" wp14:editId="1DAAF128">
            <wp:extent cx="2743200" cy="1798064"/>
            <wp:effectExtent l="0" t="0" r="0" b="0"/>
            <wp:docPr id="1040916534" name="Chart 1">
              <a:extLst xmlns:a="http://schemas.openxmlformats.org/drawingml/2006/main">
                <a:ext uri="{FF2B5EF4-FFF2-40B4-BE49-F238E27FC236}">
                  <a16:creationId xmlns:a16="http://schemas.microsoft.com/office/drawing/2014/main" id="{00000000-0008-0000-17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5F3FCCFD" w14:textId="77777777" w:rsidR="00502EF3" w:rsidRPr="001B41AD" w:rsidRDefault="00502EF3" w:rsidP="00502EF3">
      <w:pPr>
        <w:rPr>
          <w:rFonts w:cstheme="minorHAnsi"/>
          <w:bCs/>
          <w:sz w:val="16"/>
          <w:szCs w:val="72"/>
          <w:lang w:val="sr-Cyrl-CS"/>
        </w:rPr>
      </w:pPr>
      <w:r w:rsidRPr="001B41AD">
        <w:rPr>
          <w:rFonts w:cstheme="minorHAnsi"/>
          <w:bCs/>
          <w:sz w:val="16"/>
          <w:szCs w:val="72"/>
          <w:lang w:val="sr-Cyrl-CS"/>
        </w:rPr>
        <w:t>Извор: Министарство финансија</w:t>
      </w:r>
    </w:p>
    <w:p w14:paraId="2DA7FDCC" w14:textId="77777777" w:rsidR="00502EF3" w:rsidRPr="001B41AD" w:rsidRDefault="00502EF3" w:rsidP="00502EF3">
      <w:pPr>
        <w:spacing w:before="240"/>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Екстерни сектор</w:t>
      </w:r>
    </w:p>
    <w:p w14:paraId="20C04690" w14:textId="77777777" w:rsidR="00502EF3" w:rsidRPr="001B41AD" w:rsidRDefault="00502EF3" w:rsidP="00502EF3">
      <w:pPr>
        <w:spacing w:after="120"/>
        <w:rPr>
          <w:rFonts w:eastAsia="Times New Roman" w:cstheme="minorHAnsi"/>
          <w:color w:val="FF0000"/>
          <w:szCs w:val="24"/>
          <w:lang w:val="sr-Cyrl-CS"/>
        </w:rPr>
      </w:pPr>
      <w:r w:rsidRPr="001B41AD">
        <w:rPr>
          <w:rFonts w:eastAsia="Times New Roman" w:cstheme="minorHAnsi"/>
          <w:szCs w:val="24"/>
          <w:lang w:val="sr-Cyrl-CS"/>
        </w:rPr>
        <w:t>Након оствареног раста током претходне године, позитивна кретања у спољнотрговинској робној размени настављена су и у 2025. години, уз убрзање раста и извоза и увоза, при чему извоз и даље бележи нешто вишу стопу раста од увоза. У првих осам месеци 2025. године, обим спољнотрговинске размене је повећан за 8,3%, и износио је 49,3 млрд евра.</w:t>
      </w:r>
      <w:r w:rsidRPr="001B41AD">
        <w:rPr>
          <w:lang w:val="sr-Cyrl-CS"/>
        </w:rPr>
        <w:t xml:space="preserve"> </w:t>
      </w:r>
      <w:r w:rsidRPr="001B41AD">
        <w:rPr>
          <w:rFonts w:eastAsia="Times New Roman" w:cstheme="minorHAnsi"/>
          <w:szCs w:val="24"/>
          <w:lang w:val="sr-Cyrl-CS"/>
        </w:rPr>
        <w:t xml:space="preserve">У овом периоду извезено је робе у укупној вредности од 21,8 млрд евра, што представља раст од 8,6% у односу на исти период претходне године. Наставак раста извоза током 2025. године, упркос неповољним глобалним кретањима и успоравању привредне активности већине трговинских партнера, указује на изражену отпорност домаћег извозног сектора. Та отпорност произилази из његове диверсификације како по географским </w:t>
      </w:r>
      <w:r w:rsidRPr="001B41AD">
        <w:rPr>
          <w:rFonts w:eastAsia="Times New Roman" w:cstheme="minorHAnsi"/>
          <w:szCs w:val="24"/>
          <w:lang w:val="sr-Cyrl-CS"/>
        </w:rPr>
        <w:lastRenderedPageBreak/>
        <w:t>тржиштима, што смањује зависност од појединачних економија, тако и по делатностима, захваљујући расту извоза више индустријских грана. Повољна структура извоза представља резултат вишегодишњих улагања и модернизације производних капацитета, подстакнутих страним директним инвестицијама и повољним пословним амбијентом.</w:t>
      </w:r>
      <w:r w:rsidRPr="001B41AD">
        <w:rPr>
          <w:rFonts w:eastAsia="Times New Roman" w:cstheme="minorHAnsi"/>
          <w:color w:val="FF0000"/>
          <w:szCs w:val="24"/>
          <w:lang w:val="sr-Cyrl-CS"/>
        </w:rPr>
        <w:t xml:space="preserve"> </w:t>
      </w:r>
    </w:p>
    <w:p w14:paraId="0B5FD8C9" w14:textId="77777777" w:rsidR="00502EF3" w:rsidRPr="001B41AD" w:rsidRDefault="00502EF3" w:rsidP="00502EF3">
      <w:pPr>
        <w:spacing w:after="120"/>
        <w:rPr>
          <w:rFonts w:eastAsia="Times New Roman" w:cstheme="minorHAnsi"/>
          <w:szCs w:val="24"/>
          <w:lang w:val="sr-Cyrl-CS"/>
        </w:rPr>
      </w:pPr>
      <w:r w:rsidRPr="001B41AD">
        <w:rPr>
          <w:rFonts w:eastAsia="Times New Roman" w:cstheme="minorHAnsi"/>
          <w:szCs w:val="24"/>
          <w:lang w:val="sr-Cyrl-CS"/>
        </w:rPr>
        <w:t>Извоз прерађивачке индустрије која је и главни генератор раста извоза, био је већи је за 1,6 млрд евра или 9,4%, при чему је повећање остварено у 19 од 23 области. Упркос и даље слабој спољној тражњи, наставак добрих извозних резултата прерађивачке индустрије, резултат је пре свега активирања нових извозно оријентисаних капацитета услед високог прилива СДИ из претходног периода, које су у значајном обиму биле усмерене у разменљиве секторе. Расту извоза прерађивачке индустрије највише је допринео већи извоз аутомобилске, гумарске и прехрамбене индустрије, као и основних метала и металских производа. Аутомобилска индустрија у овој години забележила је раст од 18,1%, при чему је остварени суфицит у овој области повећан за 31,5% и износио 1,1 млрд евра.</w:t>
      </w:r>
      <w:r w:rsidRPr="001B41AD">
        <w:rPr>
          <w:rFonts w:eastAsia="Times New Roman" w:cstheme="minorHAnsi"/>
          <w:color w:val="FF0000"/>
          <w:szCs w:val="24"/>
          <w:lang w:val="sr-Cyrl-CS"/>
        </w:rPr>
        <w:t xml:space="preserve"> </w:t>
      </w:r>
      <w:r w:rsidRPr="001B41AD">
        <w:rPr>
          <w:rFonts w:eastAsia="Times New Roman" w:cstheme="minorHAnsi"/>
          <w:szCs w:val="24"/>
          <w:lang w:val="sr-Cyrl-CS"/>
        </w:rPr>
        <w:t>Посебно треба истаћи да је производња у Републици Србији добила значајан замах у фебруару 2025. године, када је компанија Стелантис започела серијску производњу новог модела у Крагујевцу, чиме је, после дужег периода застоја, поново успостављена серијска производња аутомобила у Републици Србији. У првих девет месеци 2025. године, ова компанија била је трећи највећи извозник у земљи, са извозом у износу од 521,3 милиона евра, чиме је аутомобилска индустрија поново постала један од кључних ослонаца домаћег извоза. Истовремено, извоз из сектора рударства забележио је раст од 8,9% који је скоро у потпуности био вођен повећањем извоза руда метала, док је извоз електричне енергије забележио раст од 36,0%.</w:t>
      </w:r>
    </w:p>
    <w:p w14:paraId="770C3BA8" w14:textId="77777777" w:rsidR="00502EF3" w:rsidRPr="001B41AD" w:rsidRDefault="00502EF3" w:rsidP="00502EF3">
      <w:pPr>
        <w:spacing w:after="120"/>
        <w:rPr>
          <w:rFonts w:eastAsia="Times New Roman" w:cstheme="minorHAnsi"/>
          <w:color w:val="FF0000"/>
          <w:szCs w:val="24"/>
          <w:lang w:val="sr-Cyrl-CS"/>
        </w:rPr>
      </w:pPr>
      <w:r w:rsidRPr="001B41AD">
        <w:rPr>
          <w:rFonts w:eastAsia="Times New Roman" w:cstheme="minorHAnsi"/>
          <w:szCs w:val="24"/>
          <w:lang w:val="sr-Cyrl-CS"/>
        </w:rPr>
        <w:t>Пољопривреда је</w:t>
      </w:r>
      <w:r w:rsidR="002764FD" w:rsidRPr="001B41AD">
        <w:rPr>
          <w:rFonts w:eastAsia="Times New Roman" w:cstheme="minorHAnsi"/>
          <w:szCs w:val="24"/>
          <w:lang w:val="sr-Cyrl-CS"/>
        </w:rPr>
        <w:t xml:space="preserve"> </w:t>
      </w:r>
      <w:r w:rsidRPr="001B41AD">
        <w:rPr>
          <w:rFonts w:eastAsia="Times New Roman" w:cstheme="minorHAnsi"/>
          <w:szCs w:val="24"/>
          <w:lang w:val="sr-Cyrl-CS"/>
        </w:rPr>
        <w:t xml:space="preserve">забележила пад извоза од 14,6% у првих осам месеци 2025. године, као последица неповољне пољопривредне сезоне и у претходној и у текућој години, коју су обележили дуги сушни периоди и смањене залихе производа за извоз. </w:t>
      </w:r>
    </w:p>
    <w:p w14:paraId="2B59956B" w14:textId="77777777" w:rsidR="00502EF3" w:rsidRPr="001B41AD" w:rsidRDefault="00502EF3" w:rsidP="00502EF3">
      <w:pPr>
        <w:spacing w:after="120"/>
        <w:rPr>
          <w:rFonts w:eastAsia="Times New Roman" w:cstheme="minorHAnsi"/>
          <w:color w:val="FF0000"/>
          <w:szCs w:val="24"/>
          <w:lang w:val="sr-Cyrl-CS"/>
        </w:rPr>
      </w:pPr>
      <w:r w:rsidRPr="001B41AD">
        <w:rPr>
          <w:rFonts w:eastAsia="Times New Roman" w:cstheme="minorHAnsi"/>
          <w:szCs w:val="24"/>
          <w:lang w:val="sr-Cyrl-CS"/>
        </w:rPr>
        <w:t xml:space="preserve">У периоду јануар–август 2025. године, увоз робе износио је 27,5 милијарди евра, што је повећање од 8,0% у односу на исти период претходне године. </w:t>
      </w:r>
      <w:r w:rsidRPr="001B41AD">
        <w:rPr>
          <w:lang w:val="sr-Cyrl-CS"/>
        </w:rPr>
        <w:t>Посматрано према економској намени, раст робног увоза био је опредељен већим увозом репроматеријала за 5,2% и потрошне робе за 12,0% (прираст од 720,7 и 621,8 мил. евра, респективно), док је пад увоза опреме од 4,0% имао негативан допринос (смањење од 133,6 мил. евра).</w:t>
      </w:r>
      <w:r w:rsidRPr="001B41AD">
        <w:rPr>
          <w:rFonts w:eastAsia="Times New Roman" w:cstheme="minorHAnsi"/>
          <w:color w:val="FF0000"/>
          <w:szCs w:val="24"/>
          <w:lang w:val="sr-Cyrl-CS"/>
        </w:rPr>
        <w:t xml:space="preserve"> </w:t>
      </w:r>
    </w:p>
    <w:p w14:paraId="26C5E73D" w14:textId="77777777" w:rsidR="00502EF3" w:rsidRPr="001B41AD" w:rsidRDefault="00502EF3" w:rsidP="00502EF3">
      <w:pPr>
        <w:spacing w:after="120"/>
        <w:jc w:val="center"/>
        <w:rPr>
          <w:rFonts w:cstheme="minorHAnsi"/>
          <w:b/>
          <w:color w:val="002060"/>
          <w:lang w:val="sr-Cyrl-CS"/>
        </w:rPr>
      </w:pPr>
      <w:r w:rsidRPr="001B41AD">
        <w:rPr>
          <w:rFonts w:cstheme="minorHAnsi"/>
          <w:b/>
          <w:color w:val="002060"/>
          <w:lang w:val="sr-Cyrl-CS"/>
        </w:rPr>
        <w:t>Доприноси стопи раста увоза, економска намена, п.п.</w:t>
      </w:r>
    </w:p>
    <w:p w14:paraId="1144DFF0" w14:textId="77777777" w:rsidR="00502EF3" w:rsidRPr="001B41AD" w:rsidRDefault="00502EF3" w:rsidP="00502EF3">
      <w:pPr>
        <w:pStyle w:val="NoSpacing"/>
        <w:jc w:val="center"/>
        <w:rPr>
          <w:rFonts w:cstheme="minorHAnsi"/>
          <w:color w:val="44546A" w:themeColor="text2"/>
          <w:lang w:val="sr-Cyrl-CS"/>
        </w:rPr>
      </w:pPr>
      <w:r w:rsidRPr="001B41AD">
        <w:rPr>
          <w:noProof/>
        </w:rPr>
        <w:drawing>
          <wp:inline distT="0" distB="0" distL="0" distR="0" wp14:anchorId="41F24C58" wp14:editId="0767AA62">
            <wp:extent cx="2743200" cy="1847850"/>
            <wp:effectExtent l="0" t="0" r="0" b="0"/>
            <wp:docPr id="833121476" name="Chart 833121476">
              <a:extLst xmlns:a="http://schemas.openxmlformats.org/drawingml/2006/main">
                <a:ext uri="{FF2B5EF4-FFF2-40B4-BE49-F238E27FC236}">
                  <a16:creationId xmlns:a16="http://schemas.microsoft.com/office/drawing/2014/main" id="{00000000-0008-0000-17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1A4FA653" w14:textId="77777777" w:rsidR="00502EF3" w:rsidRPr="001B41AD" w:rsidRDefault="00502EF3" w:rsidP="00502EF3">
      <w:pPr>
        <w:spacing w:after="80" w:line="240" w:lineRule="auto"/>
        <w:rPr>
          <w:rFonts w:cstheme="minorHAnsi"/>
          <w:bCs/>
          <w:szCs w:val="72"/>
          <w:lang w:val="sr-Cyrl-CS"/>
        </w:rPr>
      </w:pPr>
      <w:r w:rsidRPr="001B41AD">
        <w:rPr>
          <w:rFonts w:cstheme="minorHAnsi"/>
          <w:bCs/>
          <w:sz w:val="16"/>
          <w:szCs w:val="72"/>
          <w:lang w:val="sr-Cyrl-CS"/>
        </w:rPr>
        <w:t>Извор: РЗС</w:t>
      </w:r>
    </w:p>
    <w:p w14:paraId="7CAC711A" w14:textId="77777777" w:rsidR="00502EF3" w:rsidRPr="001B41AD" w:rsidRDefault="00502EF3" w:rsidP="00502EF3">
      <w:pPr>
        <w:spacing w:after="120"/>
        <w:rPr>
          <w:rFonts w:eastAsia="Times New Roman" w:cstheme="minorHAnsi"/>
          <w:color w:val="FF0000"/>
          <w:szCs w:val="24"/>
          <w:lang w:val="sr-Cyrl-CS"/>
        </w:rPr>
      </w:pPr>
      <w:r w:rsidRPr="001B41AD">
        <w:rPr>
          <w:rFonts w:eastAsia="Times New Roman" w:cstheme="minorHAnsi"/>
          <w:szCs w:val="24"/>
          <w:lang w:val="sr-Cyrl-CS"/>
        </w:rPr>
        <w:t>Оваква кретања у спољнотрговинској размени резултирала су повећањем спољнотрговинског дефицита у првих осам месеци 2025. године за 324,3 милиона евра, на укупно 5,8 милијарди евра, од чега се око 2,2 милијарде односи на дефицит у размени енергентима. Истовремено, повећана је покривеност увоза извозом која износи 79,1% у првих осам месеци 2025. године, у поређењу са 78,7% колико је износила у истом периоду претходне године.</w:t>
      </w:r>
    </w:p>
    <w:p w14:paraId="7E7BE010" w14:textId="77777777" w:rsidR="00502EF3" w:rsidRPr="001B41AD" w:rsidRDefault="00502EF3" w:rsidP="00502EF3">
      <w:pPr>
        <w:pStyle w:val="NoSpacing"/>
        <w:jc w:val="center"/>
        <w:rPr>
          <w:rFonts w:cstheme="minorHAnsi"/>
          <w:color w:val="002060"/>
          <w:lang w:val="sr-Cyrl-CS"/>
        </w:rPr>
      </w:pPr>
      <w:r w:rsidRPr="001B41AD">
        <w:rPr>
          <w:rFonts w:cstheme="minorHAnsi"/>
          <w:color w:val="002060"/>
          <w:lang w:val="sr-Cyrl-CS"/>
        </w:rPr>
        <w:t>Робна</w:t>
      </w:r>
      <w:r w:rsidR="00263181" w:rsidRPr="001B41AD">
        <w:rPr>
          <w:rFonts w:cstheme="minorHAnsi"/>
          <w:color w:val="002060"/>
          <w:lang w:val="sr-Cyrl-CS"/>
        </w:rPr>
        <w:t xml:space="preserve"> размена, милиони</w:t>
      </w:r>
      <w:r w:rsidRPr="001B41AD">
        <w:rPr>
          <w:rFonts w:cstheme="minorHAnsi"/>
          <w:color w:val="002060"/>
          <w:lang w:val="sr-Cyrl-CS"/>
        </w:rPr>
        <w:t xml:space="preserve"> </w:t>
      </w:r>
      <w:r w:rsidR="00263181" w:rsidRPr="001B41AD">
        <w:rPr>
          <w:rFonts w:cstheme="minorHAnsi"/>
          <w:color w:val="002060"/>
          <w:lang w:val="sr-Cyrl-CS"/>
        </w:rPr>
        <w:t>ЕУР</w:t>
      </w:r>
    </w:p>
    <w:p w14:paraId="714FBC1F" w14:textId="77777777" w:rsidR="00502EF3" w:rsidRPr="001B41AD" w:rsidRDefault="00502EF3" w:rsidP="00502EF3">
      <w:pPr>
        <w:spacing w:before="40"/>
        <w:rPr>
          <w:rFonts w:cstheme="minorHAnsi"/>
          <w:sz w:val="16"/>
          <w:lang w:val="sr-Cyrl-CS"/>
        </w:rPr>
      </w:pPr>
      <w:r w:rsidRPr="001B41AD">
        <w:rPr>
          <w:noProof/>
        </w:rPr>
        <w:drawing>
          <wp:inline distT="0" distB="0" distL="0" distR="0" wp14:anchorId="2F001FFC" wp14:editId="32D7CABC">
            <wp:extent cx="2743200" cy="1586865"/>
            <wp:effectExtent l="0" t="0" r="0" b="0"/>
            <wp:docPr id="833121477" name="Chart 833121477">
              <a:extLst xmlns:a="http://schemas.openxmlformats.org/drawingml/2006/main">
                <a:ext uri="{FF2B5EF4-FFF2-40B4-BE49-F238E27FC236}">
                  <a16:creationId xmlns:a16="http://schemas.microsoft.com/office/drawing/2014/main" id="{00000000-0008-0000-18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1B41AD">
        <w:rPr>
          <w:rFonts w:cstheme="minorHAnsi"/>
          <w:sz w:val="16"/>
          <w:lang w:val="sr-Cyrl-CS"/>
        </w:rPr>
        <w:t>Извор: РЗС</w:t>
      </w:r>
    </w:p>
    <w:p w14:paraId="1AF0EA46" w14:textId="77777777" w:rsidR="00502EF3" w:rsidRPr="001B41AD" w:rsidRDefault="00502EF3" w:rsidP="00502EF3">
      <w:pPr>
        <w:spacing w:after="120"/>
        <w:rPr>
          <w:rFonts w:eastAsia="Times New Roman" w:cstheme="minorHAnsi"/>
          <w:color w:val="FF0000"/>
          <w:szCs w:val="24"/>
          <w:lang w:val="sr-Cyrl-CS"/>
        </w:rPr>
      </w:pPr>
      <w:r w:rsidRPr="001B41AD">
        <w:rPr>
          <w:rFonts w:eastAsia="Times New Roman" w:cstheme="minorHAnsi"/>
          <w:szCs w:val="24"/>
          <w:lang w:val="sr-Cyrl-CS"/>
        </w:rPr>
        <w:lastRenderedPageBreak/>
        <w:t xml:space="preserve">Најважнији спољнотрговински партнери током првих осам месеци 2025. године су земље ЕУ, на које се односило 62,2% укупног извоза и 54,7% укупног увоза. Највећи део укупног извоза (38,6%) у том периоду био је усмерен на тржиште пет земаља: Немачка, БиХ, Италија, Кина и Мађарска. Увоз из Кине, Немачке, Италије, Турске и Мађарске чинио је 42,7% укупног увоза. </w:t>
      </w:r>
      <w:r w:rsidRPr="001B41AD">
        <w:rPr>
          <w:lang w:val="sr-Cyrl-CS"/>
        </w:rPr>
        <w:t>Спољнотрговински суфицит у овом периоду остварен је са Црном Гором, БиХ, Северном Македонијом, Бугарском, Словачком, Чешком, Румунијом, Немачком, Шведском, Великом Британијом, Хрватском, и у нешто мањој мери са Молдавијом. Суфицит са овим земљама у посматраном периоду износио је 3,2 млрд евра. Највећи дефицит јавља се у трговини са Кином, Турском, Казахстаном, Италијом и Русијом.</w:t>
      </w:r>
    </w:p>
    <w:p w14:paraId="27584065" w14:textId="77777777" w:rsidR="00502EF3" w:rsidRPr="001B41AD" w:rsidRDefault="00502EF3" w:rsidP="00502EF3">
      <w:pPr>
        <w:rPr>
          <w:rFonts w:eastAsia="Times New Roman" w:cstheme="minorHAnsi"/>
          <w:szCs w:val="24"/>
          <w:lang w:val="sr-Cyrl-CS"/>
        </w:rPr>
      </w:pPr>
      <w:r w:rsidRPr="001B41AD">
        <w:rPr>
          <w:rFonts w:eastAsia="Times New Roman" w:cstheme="minorHAnsi"/>
          <w:szCs w:val="24"/>
          <w:lang w:val="sr-Cyrl-CS"/>
        </w:rPr>
        <w:t>У првих осам месеци 2025. године, на текућем рачуну платног биланса забележен је дефицит у износу од 2,7 млрд евра, што је за 629,6 мил. евра више у односу на исти период прошле године. Раст дефицита текућег рачуна углавном је проистекао из повећања дефицита у размени роба и услуга са иностранством, уз додатни утицај смањења суфицита по основу секундарног дохотка, док је са друге стране дефицит по основу примарног дохотка смањен. На рачуну роба и услуга забележен је дефицит од 3,1 млрд евра, што представља међугодишње повећање од 483,4 мил. евра. Овом повећању у највећој мери допринео је нижи суфицит на рачуну услуга који је износио 1,3 млрд евра (смањење од 323,9 мил. евра), али и већи дефицит у трговини робом, који је износио 4,5 млрд евра (повећање од 159,5 мил. евра). Повећање робног дефицита у првих осам месеци 2025. године превасходно је условљено преласком нето позиције у размени пољопривредних производа из суфицита у дефицит, затим повећањем дефицита у размени фармацеутских производа и смањењем суфицита у размени електричне опреме. Истовремено, раст дефицита је делимично ублажен оствареним суфицитима у сегментима металске и аутомобилске индустрије. Са друге стране, позитиван нето извоз услуга у посматраном периоду у највећој мери проистиче из раста извоза ИКТ услуга.</w:t>
      </w:r>
      <w:r w:rsidRPr="001B41AD">
        <w:rPr>
          <w:rFonts w:eastAsia="Times New Roman" w:cstheme="minorHAnsi"/>
          <w:color w:val="FF0000"/>
          <w:szCs w:val="24"/>
          <w:lang w:val="sr-Cyrl-CS"/>
        </w:rPr>
        <w:t xml:space="preserve"> </w:t>
      </w:r>
      <w:r w:rsidRPr="001B41AD">
        <w:rPr>
          <w:rFonts w:eastAsia="Times New Roman" w:cstheme="minorHAnsi"/>
          <w:szCs w:val="24"/>
          <w:lang w:val="sr-Cyrl-CS"/>
        </w:rPr>
        <w:t xml:space="preserve">Нето прилив по основу ИКТ услуга повећан је за 14,8% и износио је 2,3 млрд евра. </w:t>
      </w:r>
      <w:r w:rsidRPr="001B41AD">
        <w:rPr>
          <w:rFonts w:eastAsia="Times New Roman" w:cstheme="minorHAnsi"/>
          <w:szCs w:val="24"/>
          <w:lang w:val="sr-Cyrl-CS"/>
        </w:rPr>
        <w:t>Значајан нето прилив остварен је и по основу осталих пословних услуга који је износио 830,5 мил. евра. Дефицит примарног дохотка смањен је за 89,6 мил. евра, односно за 3,0%, док је суфицит секундарног дохотка био међугодишње нижи за 6,5% мг. и износио је 3,4 млрд евра. Нето прилив дознака радника из иностранства мањи је за 6,4% и износио је 2,4 млрд евра.</w:t>
      </w:r>
    </w:p>
    <w:p w14:paraId="7FAB28AC" w14:textId="5D9FF46F" w:rsidR="00502EF3" w:rsidRPr="001B41AD" w:rsidRDefault="00502EF3" w:rsidP="00502EF3">
      <w:pPr>
        <w:spacing w:after="120"/>
        <w:rPr>
          <w:rFonts w:eastAsia="Times New Roman" w:cstheme="minorHAnsi"/>
          <w:color w:val="FF0000"/>
          <w:szCs w:val="24"/>
          <w:lang w:val="sr-Cyrl-CS"/>
        </w:rPr>
      </w:pPr>
      <w:r w:rsidRPr="001B41AD">
        <w:rPr>
          <w:rFonts w:eastAsia="Times New Roman" w:cstheme="minorHAnsi"/>
          <w:szCs w:val="24"/>
          <w:lang w:val="sr-Cyrl-CS"/>
        </w:rPr>
        <w:t>Укупан прилив СДИ у</w:t>
      </w:r>
      <w:r w:rsidRPr="001B41AD">
        <w:rPr>
          <w:rFonts w:eastAsia="Times New Roman" w:cstheme="minorHAnsi"/>
          <w:color w:val="FF0000"/>
          <w:szCs w:val="24"/>
          <w:lang w:val="sr-Cyrl-CS"/>
        </w:rPr>
        <w:t xml:space="preserve"> </w:t>
      </w:r>
      <w:r w:rsidRPr="001B41AD">
        <w:rPr>
          <w:rFonts w:eastAsia="Times New Roman" w:cstheme="minorHAnsi"/>
          <w:szCs w:val="24"/>
          <w:lang w:val="sr-Cyrl-CS"/>
        </w:rPr>
        <w:t>првих осам месеци 2025. године смањен је за 40,5% и износио је 2,1 млрд евра, док је нето прилив по основу СДИ био мањи за 53,9% и износио 1,5 млрд евра. Највећи део прилива СДИ био je у облику власничког капитала и реинвестиране добити (94,9%), што потврђује опредељење страних инвеститора да наставе да улажу у Републику Србију. Посматрано према делатностима, највећи прилив СДИ у првој половини текуће године остварен је у прерађивачкој индустрији, сектору који традиционално привлачи највише СДИ, са остварених 370,3 мил. евра, затим у струч</w:t>
      </w:r>
      <w:r w:rsidR="0083345C" w:rsidRPr="001B41AD">
        <w:rPr>
          <w:rFonts w:eastAsia="Times New Roman" w:cstheme="minorHAnsi"/>
          <w:szCs w:val="24"/>
          <w:lang w:val="sr-Cyrl-CS"/>
        </w:rPr>
        <w:t>ним</w:t>
      </w:r>
      <w:r w:rsidRPr="001B41AD">
        <w:rPr>
          <w:rFonts w:eastAsia="Times New Roman" w:cstheme="minorHAnsi"/>
          <w:szCs w:val="24"/>
          <w:lang w:val="sr-Cyrl-CS"/>
        </w:rPr>
        <w:t>, науч</w:t>
      </w:r>
      <w:r w:rsidR="0083345C" w:rsidRPr="001B41AD">
        <w:rPr>
          <w:rFonts w:eastAsia="Times New Roman" w:cstheme="minorHAnsi"/>
          <w:szCs w:val="24"/>
          <w:lang w:val="sr-Cyrl-CS"/>
        </w:rPr>
        <w:t>ним</w:t>
      </w:r>
      <w:r w:rsidRPr="001B41AD">
        <w:rPr>
          <w:rFonts w:eastAsia="Times New Roman" w:cstheme="minorHAnsi"/>
          <w:szCs w:val="24"/>
          <w:lang w:val="sr-Cyrl-CS"/>
        </w:rPr>
        <w:t>, иновацио</w:t>
      </w:r>
      <w:r w:rsidR="0083345C" w:rsidRPr="001B41AD">
        <w:rPr>
          <w:rFonts w:eastAsia="Times New Roman" w:cstheme="minorHAnsi"/>
          <w:szCs w:val="24"/>
          <w:lang w:val="sr-Cyrl-CS"/>
        </w:rPr>
        <w:t>ним</w:t>
      </w:r>
      <w:r w:rsidRPr="001B41AD">
        <w:rPr>
          <w:rFonts w:eastAsia="Times New Roman" w:cstheme="minorHAnsi"/>
          <w:szCs w:val="24"/>
          <w:lang w:val="sr-Cyrl-CS"/>
        </w:rPr>
        <w:t xml:space="preserve"> и технич</w:t>
      </w:r>
      <w:r w:rsidR="0083345C" w:rsidRPr="001B41AD">
        <w:rPr>
          <w:rFonts w:eastAsia="Times New Roman" w:cstheme="minorHAnsi"/>
          <w:szCs w:val="24"/>
          <w:lang w:val="sr-Cyrl-CS"/>
        </w:rPr>
        <w:t>ким</w:t>
      </w:r>
      <w:r w:rsidRPr="001B41AD">
        <w:rPr>
          <w:rFonts w:eastAsia="Times New Roman" w:cstheme="minorHAnsi"/>
          <w:szCs w:val="24"/>
          <w:lang w:val="sr-Cyrl-CS"/>
        </w:rPr>
        <w:t xml:space="preserve"> делатности</w:t>
      </w:r>
      <w:r w:rsidR="0083345C" w:rsidRPr="001B41AD">
        <w:rPr>
          <w:rFonts w:eastAsia="Times New Roman" w:cstheme="minorHAnsi"/>
          <w:szCs w:val="24"/>
          <w:lang w:val="sr-Cyrl-CS"/>
        </w:rPr>
        <w:t>ма</w:t>
      </w:r>
      <w:r w:rsidRPr="001B41AD">
        <w:rPr>
          <w:rFonts w:eastAsia="Times New Roman" w:cstheme="minorHAnsi"/>
          <w:szCs w:val="24"/>
          <w:lang w:val="sr-Cyrl-CS"/>
        </w:rPr>
        <w:t xml:space="preserve"> (293,6 мил. евра), грађевинарству (242,4 мил. евра), али и у трговини на велико и мало (224,7 мил. евра). Осим производне разноврсности, СДИ су и географски диверсификоване. Посматрано према географском пореклу, највећи део СДИ (85%) долази са европског континента. Укупан прилив инвестиција из Европске уније у првој половини 2025. године износио је 1,1 млрд евра, односно 68,6% од укупног прилива СДИ. У првих осам месеци текуће године забележен је нето одлив портфолио инвестиција у износу од 708,9 мил. евра.</w:t>
      </w:r>
      <w:r w:rsidRPr="001B41AD">
        <w:rPr>
          <w:rFonts w:eastAsia="Times New Roman" w:cstheme="minorHAnsi"/>
          <w:color w:val="FF0000"/>
          <w:szCs w:val="24"/>
          <w:lang w:val="sr-Cyrl-CS"/>
        </w:rPr>
        <w:t xml:space="preserve"> </w:t>
      </w:r>
    </w:p>
    <w:p w14:paraId="64444159" w14:textId="77777777" w:rsidR="00502EF3" w:rsidRPr="001B41AD" w:rsidRDefault="00502EF3" w:rsidP="00502EF3">
      <w:pPr>
        <w:spacing w:after="120"/>
        <w:rPr>
          <w:rFonts w:eastAsia="Times New Roman" w:cstheme="minorHAnsi"/>
          <w:szCs w:val="24"/>
          <w:lang w:val="sr-Cyrl-CS"/>
        </w:rPr>
      </w:pPr>
      <w:r w:rsidRPr="001B41AD">
        <w:rPr>
          <w:rFonts w:eastAsia="Times New Roman" w:cstheme="minorHAnsi"/>
          <w:szCs w:val="24"/>
          <w:lang w:val="sr-Cyrl-CS"/>
        </w:rPr>
        <w:t xml:space="preserve">Екстерну позицију Републике Србије током 2025. године карактерисала је отпорност на финансијске шокове из међународног окружења. На крају јуна рацио девизних резерви и краткорочног дуга био је привремено нижи у односу на крај 2024. године, услед кретања у првој половини године, али је у наставку уследио снажан раст девизних резерви за 1,6 милијарди евра, што је учврстило спољну ликвидност и створило основу за повољнију динамику овог показатеља до краја године. Учешће спољног дуга у БДП смањено је за 1,3 п.п., са 58,6% у 2024. на 57,3% на крају прве половине 2025. године, уз непромењен удео краткорочног </w:t>
      </w:r>
      <w:r w:rsidRPr="001B41AD">
        <w:rPr>
          <w:rFonts w:eastAsia="Times New Roman" w:cstheme="minorHAnsi"/>
          <w:szCs w:val="24"/>
          <w:lang w:val="sr-Cyrl-CS"/>
        </w:rPr>
        <w:lastRenderedPageBreak/>
        <w:t>дуга у БДП. На крају јуна, однос спољног дуга према извозу робе и услуга износио је 105,0%, што представља смањење од 5,0 процентних поена у односу на крај претходне године. Овај рацио је значајно испод критеријума Светске банке од 220%, што је гарант одрживости његовог сервисирања. Бруто девизне резерве НБС на крају септембра су износиле 29,1 млрд евра, што је виши ниво од референтних вредности свих мера које се користе за оцену њихове адекватности.</w:t>
      </w:r>
    </w:p>
    <w:p w14:paraId="298BDEB5" w14:textId="6059D10E" w:rsidR="00502EF3" w:rsidRPr="001B41AD" w:rsidRDefault="00502EF3" w:rsidP="00502EF3">
      <w:pPr>
        <w:rPr>
          <w:rFonts w:eastAsia="Times New Roman" w:cstheme="minorHAnsi"/>
          <w:szCs w:val="24"/>
          <w:lang w:val="sr-Cyrl-CS"/>
        </w:rPr>
      </w:pPr>
      <w:r w:rsidRPr="001B41AD">
        <w:rPr>
          <w:rFonts w:eastAsia="Times New Roman" w:cstheme="minorHAnsi"/>
          <w:szCs w:val="24"/>
          <w:lang w:val="sr-Cyrl-CS"/>
        </w:rPr>
        <w:t>Очекује се да ће укупан дефицит текућег рачуна у 2025. години износити 4,7 млрд евра, односно 5,3% БДП, пре свега као резултат већег дефицита у размени роба и нижег</w:t>
      </w:r>
      <w:r w:rsidR="00E75BF4" w:rsidRPr="001B41AD">
        <w:rPr>
          <w:rFonts w:eastAsia="Times New Roman" w:cstheme="minorHAnsi"/>
          <w:szCs w:val="24"/>
          <w:lang w:val="sr-Cyrl-CS"/>
        </w:rPr>
        <w:t xml:space="preserve"> суфицит у размени услуга</w:t>
      </w:r>
      <w:r w:rsidRPr="001B41AD">
        <w:rPr>
          <w:rFonts w:eastAsia="Times New Roman" w:cstheme="minorHAnsi"/>
          <w:szCs w:val="24"/>
          <w:lang w:val="sr-Cyrl-CS"/>
        </w:rPr>
        <w:t xml:space="preserve">. Упркос спором опоравку спољне тражње, извоз је показао отпорност, док је раст увоза детерминисан готово подједнаким доприносом тражње за потрошним добрима домаћинстава и интензивнијег увоза инпута неопходних за производњу. И поред очекивано виших стопа раста извозне активности у 2026. години и у средњорочном периоду, појачане геополитичке тензије и потенцијални раст светских цена енергената, уз трајно вишу неизвесност у погледу тарифне политике и шире примене протекционистичких мера — које повећавају трговинске баријере и убрзавају глобалну трговинску фрагментацију — могли би привремено ограничити извозне перформансе и подстаћи ширење дефицита у робној размени, а посредно и дефицита текућег рачуна. У основном макроекономском сценарију стога се претпоставља нешто спорија динамика извозних активности у појединим, енергетски и инпутно-интензивним сегментима прерађивачке индустрије, осетљивим на глобалну фрагментацију, појачавање тарифне политике ЕУ и промене у глобалној енергетској политици. Ради очувања енергетске стабилности, очекује се извесно повећање увоза енергената и </w:t>
      </w:r>
      <w:r w:rsidR="001970B9" w:rsidRPr="001B41AD">
        <w:rPr>
          <w:rFonts w:eastAsia="Times New Roman" w:cstheme="minorHAnsi"/>
          <w:szCs w:val="24"/>
          <w:lang w:val="sr-Cyrl-CS"/>
        </w:rPr>
        <w:t>одржавање</w:t>
      </w:r>
      <w:r w:rsidRPr="001B41AD">
        <w:rPr>
          <w:rFonts w:eastAsia="Times New Roman" w:cstheme="minorHAnsi"/>
          <w:szCs w:val="24"/>
          <w:lang w:val="sr-Cyrl-CS"/>
        </w:rPr>
        <w:t xml:space="preserve"> сигурносних залиха како би се обезбедило поуздано снабдевање и подржале потребе привреде и домаћинстава. Иако ће извоз у појединим гранама прераде, као и раст ИКТ и туристичких услуга, наставити позитиван тренд, ти ефекти вероватно неће у потпуности неутралисати појачане увозне притиске, те се у наредној години </w:t>
      </w:r>
      <w:r w:rsidRPr="001B41AD">
        <w:rPr>
          <w:rFonts w:eastAsia="Times New Roman" w:cstheme="minorHAnsi"/>
          <w:szCs w:val="24"/>
          <w:lang w:val="sr-Cyrl-CS"/>
        </w:rPr>
        <w:t>очекује повећање дефицита текућег рачуна на 6,0% БДП.</w:t>
      </w:r>
    </w:p>
    <w:p w14:paraId="75EB8464" w14:textId="77777777" w:rsidR="00502EF3" w:rsidRPr="001B41AD" w:rsidRDefault="00502EF3" w:rsidP="00502EF3">
      <w:pPr>
        <w:spacing w:after="120"/>
        <w:jc w:val="center"/>
        <w:rPr>
          <w:rFonts w:cstheme="minorHAnsi"/>
          <w:b/>
          <w:color w:val="002060"/>
          <w:lang w:val="sr-Cyrl-CS"/>
        </w:rPr>
      </w:pPr>
      <w:r w:rsidRPr="001B41AD">
        <w:rPr>
          <w:rFonts w:cstheme="minorHAnsi"/>
          <w:b/>
          <w:color w:val="002060"/>
          <w:lang w:val="sr-Cyrl-CS"/>
        </w:rPr>
        <w:t>Структура текућег рачуна</w:t>
      </w:r>
      <w:r w:rsidRPr="001B41AD">
        <w:rPr>
          <w:rFonts w:cstheme="minorHAnsi"/>
          <w:b/>
          <w:lang w:val="sr-Cyrl-CS"/>
        </w:rPr>
        <w:t xml:space="preserve">, </w:t>
      </w:r>
      <w:r w:rsidRPr="001B41AD">
        <w:rPr>
          <w:rFonts w:cstheme="minorHAnsi"/>
          <w:b/>
          <w:color w:val="002060"/>
          <w:lang w:val="sr-Cyrl-CS"/>
        </w:rPr>
        <w:t>% БДП</w:t>
      </w:r>
    </w:p>
    <w:p w14:paraId="6742EAD5" w14:textId="77777777" w:rsidR="00502EF3" w:rsidRPr="001B41AD" w:rsidRDefault="00502EF3" w:rsidP="00502EF3">
      <w:pPr>
        <w:spacing w:after="80"/>
        <w:rPr>
          <w:rFonts w:cstheme="minorHAnsi"/>
          <w:sz w:val="16"/>
          <w:lang w:val="sr-Cyrl-CS"/>
        </w:rPr>
      </w:pPr>
      <w:r w:rsidRPr="001B41AD">
        <w:rPr>
          <w:noProof/>
        </w:rPr>
        <w:drawing>
          <wp:inline distT="0" distB="0" distL="0" distR="0" wp14:anchorId="1B894D04" wp14:editId="7D5C4733">
            <wp:extent cx="2743200" cy="2037715"/>
            <wp:effectExtent l="0" t="0" r="0" b="635"/>
            <wp:docPr id="37" name="Chart 37">
              <a:extLst xmlns:a="http://schemas.openxmlformats.org/drawingml/2006/main">
                <a:ext uri="{FF2B5EF4-FFF2-40B4-BE49-F238E27FC236}">
                  <a16:creationId xmlns:a16="http://schemas.microsoft.com/office/drawing/2014/main" id="{00000000-0008-0000-1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D37ECFC" w14:textId="77777777" w:rsidR="00502EF3" w:rsidRPr="001B41AD" w:rsidRDefault="00502EF3" w:rsidP="00502EF3">
      <w:pPr>
        <w:spacing w:after="0"/>
        <w:rPr>
          <w:rFonts w:cstheme="minorHAnsi"/>
          <w:sz w:val="16"/>
          <w:lang w:val="sr-Cyrl-CS"/>
        </w:rPr>
      </w:pPr>
      <w:r w:rsidRPr="001B41AD">
        <w:rPr>
          <w:rFonts w:cstheme="minorHAnsi"/>
          <w:sz w:val="16"/>
          <w:lang w:val="sr-Cyrl-CS"/>
        </w:rPr>
        <w:t>Извор: Министарство финансија, НБС, РЗС</w:t>
      </w:r>
    </w:p>
    <w:p w14:paraId="358B3FD6" w14:textId="77777777" w:rsidR="00502EF3" w:rsidRPr="001B41AD" w:rsidRDefault="00502EF3" w:rsidP="00502EF3">
      <w:pPr>
        <w:rPr>
          <w:rFonts w:cstheme="minorHAnsi"/>
          <w:sz w:val="16"/>
          <w:lang w:val="sr-Cyrl-CS"/>
        </w:rPr>
      </w:pPr>
      <w:r w:rsidRPr="001B41AD">
        <w:rPr>
          <w:rFonts w:cstheme="minorHAnsi"/>
          <w:sz w:val="16"/>
          <w:lang w:val="sr-Cyrl-CS"/>
        </w:rPr>
        <w:t>* Процена МФИН.</w:t>
      </w:r>
    </w:p>
    <w:p w14:paraId="3A1CC8BD" w14:textId="070BBC32" w:rsidR="00502EF3" w:rsidRPr="001B41AD" w:rsidRDefault="00502EF3" w:rsidP="00502EF3">
      <w:pPr>
        <w:rPr>
          <w:rFonts w:eastAsia="Times New Roman" w:cstheme="minorHAnsi"/>
          <w:szCs w:val="24"/>
          <w:lang w:val="sr-Cyrl-CS"/>
        </w:rPr>
      </w:pPr>
      <w:r w:rsidRPr="001B41AD">
        <w:rPr>
          <w:rFonts w:eastAsia="Times New Roman" w:cstheme="minorHAnsi"/>
          <w:szCs w:val="24"/>
          <w:lang w:val="sr-Cyrl-CS"/>
        </w:rPr>
        <w:t>У складу са убрзаном инвестиционом динамиком у средњорочном периоду, пројектује се да робни увоз у просеку расте брже од извоза, што привремено шири дефицит робне размене са 8,3% БДП ове године на 9,7% БДП у 2028.</w:t>
      </w:r>
      <w:r w:rsidR="00E720BA" w:rsidRPr="001B41AD">
        <w:rPr>
          <w:rFonts w:eastAsia="Times New Roman" w:cstheme="minorHAnsi"/>
          <w:szCs w:val="24"/>
          <w:lang w:val="sr-Cyrl-CS"/>
        </w:rPr>
        <w:t xml:space="preserve"> години.</w:t>
      </w:r>
      <w:r w:rsidRPr="001B41AD">
        <w:rPr>
          <w:rFonts w:eastAsia="Times New Roman" w:cstheme="minorHAnsi"/>
          <w:szCs w:val="24"/>
          <w:lang w:val="sr-Cyrl-CS"/>
        </w:rPr>
        <w:t xml:space="preserve"> Ипак, наставак повољних кретања у услугама остаје снажан ослонац: у наредне три године очекује се просечан суфицит од око 4,6 млрд евра. Стабилан прилив по основу текућих трансфера — у просеку 5,1% БДП годишње, са дознакама као доминантном компонентом — заједно са повољним нето факторским плаћањима, даваће благо позитиван нето ефекат и делимично амортизовати дефицит укупне спољнотрговинске робне размене.</w:t>
      </w:r>
      <w:r w:rsidRPr="001B41AD">
        <w:rPr>
          <w:rFonts w:eastAsia="Times New Roman" w:cstheme="minorHAnsi"/>
          <w:szCs w:val="24"/>
          <w:lang w:val="sr-Cyrl-CS"/>
        </w:rPr>
        <w:br/>
        <w:t>На тој основи, учешће дефицита текућег рачуна привремено се повећава на око 6,0% БДП у 2026</w:t>
      </w:r>
      <w:r w:rsidR="00E720BA" w:rsidRPr="001B41AD">
        <w:rPr>
          <w:rFonts w:eastAsia="Times New Roman" w:cstheme="minorHAnsi"/>
          <w:szCs w:val="24"/>
          <w:lang w:val="sr-Cyrl-CS"/>
        </w:rPr>
        <w:t>. години</w:t>
      </w:r>
      <w:r w:rsidRPr="001B41AD">
        <w:rPr>
          <w:rFonts w:eastAsia="Times New Roman" w:cstheme="minorHAnsi"/>
          <w:szCs w:val="24"/>
          <w:lang w:val="sr-Cyrl-CS"/>
        </w:rPr>
        <w:t>, да би већ 2027.</w:t>
      </w:r>
      <w:r w:rsidR="001970B9" w:rsidRPr="001B41AD">
        <w:rPr>
          <w:rFonts w:eastAsia="Times New Roman" w:cstheme="minorHAnsi"/>
          <w:szCs w:val="24"/>
          <w:lang w:val="sr-Cyrl-CS"/>
        </w:rPr>
        <w:t xml:space="preserve"> години</w:t>
      </w:r>
      <w:r w:rsidRPr="001B41AD">
        <w:rPr>
          <w:rFonts w:eastAsia="Times New Roman" w:cstheme="minorHAnsi"/>
          <w:szCs w:val="24"/>
          <w:lang w:val="sr-Cyrl-CS"/>
        </w:rPr>
        <w:t xml:space="preserve"> било смањено на око 4,9% захваљујући значајном расту извоза услуга у години одрж</w:t>
      </w:r>
      <w:r w:rsidR="002C1710" w:rsidRPr="001B41AD">
        <w:rPr>
          <w:rFonts w:eastAsia="Times New Roman" w:cstheme="minorHAnsi"/>
          <w:szCs w:val="24"/>
          <w:lang w:val="sr-Cyrl-CS"/>
        </w:rPr>
        <w:t>авања специјализоване изложбе EКСП</w:t>
      </w:r>
      <w:r w:rsidRPr="001B41AD">
        <w:rPr>
          <w:rFonts w:eastAsia="Times New Roman" w:cstheme="minorHAnsi"/>
          <w:szCs w:val="24"/>
          <w:lang w:val="sr-Cyrl-CS"/>
        </w:rPr>
        <w:t>O 2027, као и очекиваном побољшању робне размене</w:t>
      </w:r>
      <w:r w:rsidR="001970B9" w:rsidRPr="001B41AD">
        <w:rPr>
          <w:rFonts w:eastAsia="Times New Roman" w:cstheme="minorHAnsi"/>
          <w:szCs w:val="24"/>
          <w:lang w:val="sr-Cyrl-CS"/>
        </w:rPr>
        <w:t>. У</w:t>
      </w:r>
      <w:r w:rsidRPr="001B41AD">
        <w:rPr>
          <w:rFonts w:eastAsia="Times New Roman" w:cstheme="minorHAnsi"/>
          <w:szCs w:val="24"/>
          <w:lang w:val="sr-Cyrl-CS"/>
        </w:rPr>
        <w:t xml:space="preserve"> 2028.</w:t>
      </w:r>
      <w:r w:rsidR="001970B9" w:rsidRPr="001B41AD">
        <w:rPr>
          <w:rFonts w:eastAsia="Times New Roman" w:cstheme="minorHAnsi"/>
          <w:szCs w:val="24"/>
          <w:lang w:val="sr-Cyrl-CS"/>
        </w:rPr>
        <w:t xml:space="preserve"> години</w:t>
      </w:r>
      <w:r w:rsidRPr="001B41AD">
        <w:rPr>
          <w:rFonts w:eastAsia="Times New Roman" w:cstheme="minorHAnsi"/>
          <w:szCs w:val="24"/>
          <w:lang w:val="sr-Cyrl-CS"/>
        </w:rPr>
        <w:t xml:space="preserve"> се очекује ниво дефицита текућег платног биланса од око 5,1% БДП.</w:t>
      </w:r>
    </w:p>
    <w:p w14:paraId="2BAD7D64" w14:textId="08F7CC40" w:rsidR="001970B9" w:rsidRPr="001B41AD" w:rsidRDefault="00FD0ABA" w:rsidP="00582CCF">
      <w:pPr>
        <w:rPr>
          <w:rFonts w:eastAsia="Times New Roman" w:cstheme="minorHAnsi"/>
          <w:szCs w:val="24"/>
          <w:lang w:val="sr-Cyrl-CS"/>
        </w:rPr>
      </w:pPr>
      <w:r w:rsidRPr="001B41AD">
        <w:rPr>
          <w:rFonts w:eastAsia="Times New Roman" w:cstheme="minorHAnsi"/>
          <w:szCs w:val="24"/>
          <w:lang w:val="sr-Cyrl-CS"/>
        </w:rPr>
        <w:t xml:space="preserve">У структури финансијског рачуна, приливи СДИ остаће </w:t>
      </w:r>
      <w:r w:rsidR="00CA07B3" w:rsidRPr="001B41AD">
        <w:rPr>
          <w:rFonts w:eastAsia="Times New Roman" w:cstheme="minorHAnsi"/>
          <w:szCs w:val="24"/>
          <w:lang w:val="sr-Cyrl-CS"/>
        </w:rPr>
        <w:t>стабилни</w:t>
      </w:r>
      <w:r w:rsidRPr="001B41AD">
        <w:rPr>
          <w:rFonts w:eastAsia="Times New Roman" w:cstheme="minorHAnsi"/>
          <w:szCs w:val="24"/>
          <w:lang w:val="sr-Cyrl-CS"/>
        </w:rPr>
        <w:t xml:space="preserve"> (просечно око 4,5% БДП годишње) и представљаће главни извор финансирања дефицита текућег рачуна. Задржана повољна инвестициона перспектива и очекивани </w:t>
      </w:r>
      <w:r w:rsidRPr="001B41AD">
        <w:rPr>
          <w:rFonts w:eastAsia="Times New Roman" w:cstheme="minorHAnsi"/>
          <w:szCs w:val="24"/>
          <w:lang w:val="sr-Cyrl-CS"/>
        </w:rPr>
        <w:lastRenderedPageBreak/>
        <w:t xml:space="preserve">континуитет високих прилива, уз даљу </w:t>
      </w:r>
      <w:r w:rsidR="00CA07B3" w:rsidRPr="001B41AD">
        <w:rPr>
          <w:rFonts w:eastAsia="Times New Roman" w:cstheme="minorHAnsi"/>
          <w:szCs w:val="24"/>
          <w:lang w:val="sr-Cyrl-CS"/>
        </w:rPr>
        <w:t>диверсификацију</w:t>
      </w:r>
      <w:r w:rsidRPr="001B41AD">
        <w:rPr>
          <w:rFonts w:eastAsia="Times New Roman" w:cstheme="minorHAnsi"/>
          <w:szCs w:val="24"/>
          <w:lang w:val="sr-Cyrl-CS"/>
        </w:rPr>
        <w:t xml:space="preserve"> ка секторима разменљивих добара, </w:t>
      </w:r>
      <w:r w:rsidR="00CA07B3" w:rsidRPr="001B41AD">
        <w:rPr>
          <w:rFonts w:eastAsia="Times New Roman" w:cstheme="minorHAnsi"/>
          <w:szCs w:val="24"/>
          <w:lang w:val="sr-Cyrl-CS"/>
        </w:rPr>
        <w:t>подстицаће</w:t>
      </w:r>
      <w:r w:rsidRPr="001B41AD">
        <w:rPr>
          <w:rFonts w:eastAsia="Times New Roman" w:cstheme="minorHAnsi"/>
          <w:szCs w:val="24"/>
          <w:lang w:val="sr-Cyrl-CS"/>
        </w:rPr>
        <w:t xml:space="preserve"> раст извоза и додатно јачати спољну и унутрашњу макроекономску равнотежу.</w:t>
      </w:r>
    </w:p>
    <w:p w14:paraId="39B03CC5" w14:textId="77777777" w:rsidR="00502EF3" w:rsidRPr="001B41AD" w:rsidRDefault="00502EF3" w:rsidP="00056D57">
      <w:pPr>
        <w:spacing w:after="40"/>
        <w:jc w:val="center"/>
        <w:rPr>
          <w:rFonts w:cstheme="minorHAnsi"/>
          <w:b/>
          <w:color w:val="002060"/>
          <w:lang w:val="sr-Cyrl-CS"/>
        </w:rPr>
      </w:pPr>
      <w:r w:rsidRPr="001B41AD">
        <w:rPr>
          <w:rFonts w:cstheme="minorHAnsi"/>
          <w:b/>
          <w:color w:val="002060"/>
          <w:lang w:val="sr-Cyrl-CS"/>
        </w:rPr>
        <w:t>Дефицит текућег рачуна</w:t>
      </w:r>
      <w:r w:rsidRPr="001B41AD">
        <w:rPr>
          <w:rFonts w:cstheme="minorHAnsi"/>
          <w:b/>
          <w:lang w:val="sr-Cyrl-CS"/>
        </w:rPr>
        <w:t xml:space="preserve"> </w:t>
      </w:r>
      <w:r w:rsidRPr="001B41AD">
        <w:rPr>
          <w:rFonts w:cstheme="minorHAnsi"/>
          <w:b/>
          <w:color w:val="002060"/>
          <w:lang w:val="sr-Cyrl-CS"/>
        </w:rPr>
        <w:t>и СДИ, % БДП</w:t>
      </w:r>
    </w:p>
    <w:p w14:paraId="52DF08F3" w14:textId="3A81FBB9" w:rsidR="00502EF3" w:rsidRPr="001B41AD" w:rsidRDefault="00502EF3" w:rsidP="00582CCF">
      <w:pPr>
        <w:spacing w:after="0" w:line="240" w:lineRule="auto"/>
        <w:jc w:val="center"/>
        <w:rPr>
          <w:rFonts w:cstheme="minorHAnsi"/>
          <w:lang w:val="sr-Cyrl-CS"/>
        </w:rPr>
      </w:pPr>
      <w:r w:rsidRPr="001B41AD">
        <w:rPr>
          <w:noProof/>
        </w:rPr>
        <w:drawing>
          <wp:inline distT="0" distB="0" distL="0" distR="0" wp14:anchorId="58246AEF" wp14:editId="082732F6">
            <wp:extent cx="2743200" cy="2075688"/>
            <wp:effectExtent l="0" t="0" r="0" b="1270"/>
            <wp:docPr id="38" name="Chart 38">
              <a:extLst xmlns:a="http://schemas.openxmlformats.org/drawingml/2006/main">
                <a:ext uri="{FF2B5EF4-FFF2-40B4-BE49-F238E27FC236}">
                  <a16:creationId xmlns:a16="http://schemas.microsoft.com/office/drawing/2014/main" id="{00000000-0008-0000-1E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16741FF" w14:textId="77777777" w:rsidR="00502EF3" w:rsidRPr="001B41AD" w:rsidRDefault="00502EF3" w:rsidP="00582CCF">
      <w:pPr>
        <w:spacing w:after="0" w:line="240" w:lineRule="auto"/>
        <w:rPr>
          <w:bCs/>
          <w:szCs w:val="20"/>
          <w:lang w:val="sr-Cyrl-CS"/>
        </w:rPr>
      </w:pPr>
    </w:p>
    <w:p w14:paraId="015BA6D0" w14:textId="77777777" w:rsidR="00C06F41" w:rsidRPr="001B41AD" w:rsidRDefault="00C06F41" w:rsidP="00582CCF">
      <w:pPr>
        <w:spacing w:after="0" w:line="240" w:lineRule="auto"/>
        <w:rPr>
          <w:lang w:val="sr-Cyrl-CS"/>
        </w:rPr>
      </w:pPr>
      <w:bookmarkStart w:id="18" w:name="_Toc181190966"/>
      <w:bookmarkStart w:id="19" w:name="_Toc181271501"/>
    </w:p>
    <w:p w14:paraId="341B1E81" w14:textId="77777777" w:rsidR="00C06F41" w:rsidRPr="001B41AD" w:rsidRDefault="00C06F41" w:rsidP="00582CCF">
      <w:pPr>
        <w:spacing w:after="0" w:line="240" w:lineRule="auto"/>
        <w:rPr>
          <w:lang w:val="sr-Cyrl-CS"/>
        </w:rPr>
      </w:pPr>
    </w:p>
    <w:p w14:paraId="0F6E0366" w14:textId="77777777" w:rsidR="00C06F41" w:rsidRPr="001B41AD" w:rsidRDefault="00C06F41" w:rsidP="00582CCF">
      <w:pPr>
        <w:spacing w:after="0" w:line="240" w:lineRule="auto"/>
        <w:rPr>
          <w:lang w:val="sr-Cyrl-CS"/>
        </w:rPr>
      </w:pPr>
    </w:p>
    <w:p w14:paraId="0A851871" w14:textId="77777777" w:rsidR="00C06F41" w:rsidRPr="001B41AD" w:rsidRDefault="00C06F41" w:rsidP="00582CCF">
      <w:pPr>
        <w:spacing w:after="0" w:line="240" w:lineRule="auto"/>
        <w:rPr>
          <w:lang w:val="sr-Cyrl-CS"/>
        </w:rPr>
      </w:pPr>
    </w:p>
    <w:p w14:paraId="2F07619C" w14:textId="77777777" w:rsidR="00C06F41" w:rsidRPr="001B41AD" w:rsidRDefault="00C06F41" w:rsidP="00582CCF">
      <w:pPr>
        <w:spacing w:after="0" w:line="240" w:lineRule="auto"/>
        <w:rPr>
          <w:lang w:val="sr-Cyrl-CS"/>
        </w:rPr>
      </w:pPr>
    </w:p>
    <w:p w14:paraId="4938627E" w14:textId="77777777" w:rsidR="00C06F41" w:rsidRPr="001B41AD" w:rsidRDefault="00C06F41" w:rsidP="00582CCF">
      <w:pPr>
        <w:spacing w:after="0" w:line="240" w:lineRule="auto"/>
        <w:rPr>
          <w:lang w:val="sr-Cyrl-CS"/>
        </w:rPr>
      </w:pPr>
    </w:p>
    <w:p w14:paraId="1327628A" w14:textId="77777777" w:rsidR="001970B9" w:rsidRPr="001B41AD" w:rsidRDefault="001970B9" w:rsidP="00582CCF">
      <w:pPr>
        <w:spacing w:after="0" w:line="240" w:lineRule="auto"/>
        <w:rPr>
          <w:lang w:val="sr-Cyrl-CS"/>
        </w:rPr>
      </w:pPr>
    </w:p>
    <w:p w14:paraId="68FC135C" w14:textId="77777777" w:rsidR="001970B9" w:rsidRPr="001B41AD" w:rsidRDefault="001970B9" w:rsidP="00582CCF">
      <w:pPr>
        <w:spacing w:after="0" w:line="240" w:lineRule="auto"/>
        <w:rPr>
          <w:lang w:val="sr-Cyrl-CS"/>
        </w:rPr>
        <w:sectPr w:rsidR="001970B9" w:rsidRPr="001B41AD" w:rsidSect="000A6C38">
          <w:headerReference w:type="default" r:id="rId91"/>
          <w:footerReference w:type="default" r:id="rId92"/>
          <w:footerReference w:type="first" r:id="rId93"/>
          <w:type w:val="continuous"/>
          <w:pgSz w:w="12240" w:h="15840" w:code="1"/>
          <w:pgMar w:top="1440" w:right="1440" w:bottom="1440" w:left="1440" w:header="720" w:footer="720" w:gutter="0"/>
          <w:cols w:num="2" w:space="720"/>
          <w:titlePg/>
          <w:docGrid w:linePitch="360"/>
        </w:sectPr>
      </w:pPr>
    </w:p>
    <w:p w14:paraId="573A5BA2" w14:textId="77777777" w:rsidR="00582CCF" w:rsidRPr="001B41AD" w:rsidRDefault="00582CCF" w:rsidP="00582CCF">
      <w:pPr>
        <w:spacing w:after="0" w:line="240" w:lineRule="auto"/>
        <w:rPr>
          <w:rFonts w:cstheme="minorHAnsi"/>
          <w:sz w:val="16"/>
          <w:lang w:val="sr-Cyrl-CS"/>
        </w:rPr>
      </w:pPr>
      <w:r w:rsidRPr="001B41AD">
        <w:rPr>
          <w:rFonts w:cstheme="minorHAnsi"/>
          <w:sz w:val="16"/>
          <w:lang w:val="sr-Cyrl-CS"/>
        </w:rPr>
        <w:t xml:space="preserve">   Извор: НБС и Министарство финансија</w:t>
      </w:r>
    </w:p>
    <w:p w14:paraId="297F9859" w14:textId="0F7F9D19" w:rsidR="00A80666" w:rsidRPr="001B41AD" w:rsidRDefault="00582CCF" w:rsidP="00582CCF">
      <w:pPr>
        <w:spacing w:after="0" w:line="240" w:lineRule="auto"/>
        <w:rPr>
          <w:rFonts w:cstheme="minorHAnsi"/>
          <w:sz w:val="16"/>
          <w:lang w:val="sr-Cyrl-CS"/>
        </w:rPr>
      </w:pPr>
      <w:r w:rsidRPr="001B41AD">
        <w:rPr>
          <w:rFonts w:cstheme="minorHAnsi"/>
          <w:sz w:val="16"/>
          <w:lang w:val="sr-Cyrl-CS"/>
        </w:rPr>
        <w:t>* Процена МФИН</w:t>
      </w:r>
    </w:p>
    <w:p w14:paraId="06BE55EE" w14:textId="1FF82A0A" w:rsidR="00FD0ABA" w:rsidRPr="001B41AD" w:rsidRDefault="00FD0ABA" w:rsidP="001970B9">
      <w:pPr>
        <w:rPr>
          <w:lang w:val="sr-Cyrl-CS"/>
        </w:rPr>
      </w:pPr>
    </w:p>
    <w:p w14:paraId="4EF32D07" w14:textId="77777777" w:rsidR="00056D57" w:rsidRPr="001B41AD" w:rsidRDefault="00056D57" w:rsidP="001970B9">
      <w:pPr>
        <w:rPr>
          <w:lang w:val="sr-Cyrl-CS"/>
        </w:rPr>
      </w:pPr>
    </w:p>
    <w:p w14:paraId="404EC47A" w14:textId="77777777" w:rsidR="00BC1F25" w:rsidRPr="001B41AD" w:rsidRDefault="00BC1F25">
      <w:pPr>
        <w:jc w:val="left"/>
        <w:rPr>
          <w:rFonts w:eastAsiaTheme="majorEastAsia" w:cstheme="minorHAnsi"/>
          <w:b/>
          <w:color w:val="2F5496" w:themeColor="accent1" w:themeShade="BF"/>
          <w:sz w:val="26"/>
          <w:szCs w:val="26"/>
          <w:lang w:val="sr-Cyrl-CS"/>
        </w:rPr>
      </w:pPr>
      <w:bookmarkStart w:id="20" w:name="_Toc212642467"/>
      <w:r w:rsidRPr="001B41AD">
        <w:rPr>
          <w:rFonts w:cstheme="minorHAnsi"/>
          <w:b/>
          <w:sz w:val="26"/>
          <w:szCs w:val="26"/>
          <w:lang w:val="sr-Cyrl-CS"/>
        </w:rPr>
        <w:br w:type="page"/>
      </w:r>
    </w:p>
    <w:p w14:paraId="62134DC4" w14:textId="3F30703E" w:rsidR="007262BE" w:rsidRPr="001B41AD" w:rsidRDefault="00494747" w:rsidP="00536CC0">
      <w:pPr>
        <w:pStyle w:val="Heading1"/>
        <w:spacing w:after="240"/>
        <w:jc w:val="center"/>
        <w:rPr>
          <w:rFonts w:asciiTheme="minorHAnsi" w:hAnsiTheme="minorHAnsi" w:cstheme="minorHAnsi"/>
          <w:b/>
          <w:sz w:val="26"/>
          <w:szCs w:val="26"/>
          <w:lang w:val="sr-Cyrl-CS"/>
        </w:rPr>
        <w:sectPr w:rsidR="007262BE" w:rsidRPr="001B41AD" w:rsidSect="00536CC0">
          <w:type w:val="continuous"/>
          <w:pgSz w:w="12240" w:h="15840" w:code="1"/>
          <w:pgMar w:top="1440" w:right="1440" w:bottom="1440" w:left="1440" w:header="720" w:footer="720" w:gutter="0"/>
          <w:cols w:space="720"/>
          <w:titlePg/>
          <w:docGrid w:linePitch="360"/>
        </w:sectPr>
      </w:pPr>
      <w:r w:rsidRPr="001B41AD">
        <w:rPr>
          <w:rFonts w:asciiTheme="minorHAnsi" w:hAnsiTheme="minorHAnsi" w:cstheme="minorHAnsi"/>
          <w:b/>
          <w:sz w:val="26"/>
          <w:szCs w:val="26"/>
          <w:lang w:val="sr-Cyrl-CS"/>
        </w:rPr>
        <w:lastRenderedPageBreak/>
        <w:t xml:space="preserve">II </w:t>
      </w:r>
      <w:r w:rsidR="009D4F5F" w:rsidRPr="001B41AD">
        <w:rPr>
          <w:rFonts w:asciiTheme="minorHAnsi" w:hAnsiTheme="minorHAnsi" w:cstheme="minorHAnsi"/>
          <w:b/>
          <w:sz w:val="26"/>
          <w:szCs w:val="26"/>
          <w:lang w:val="sr-Cyrl-CS"/>
        </w:rPr>
        <w:t>ФИСКАЛНИ ОКВИР ЗА ПЕРИОД ОД 2026. ДО 2028</w:t>
      </w:r>
      <w:r w:rsidRPr="001B41AD">
        <w:rPr>
          <w:rFonts w:asciiTheme="minorHAnsi" w:hAnsiTheme="minorHAnsi" w:cstheme="minorHAnsi"/>
          <w:b/>
          <w:sz w:val="26"/>
          <w:szCs w:val="26"/>
          <w:lang w:val="sr-Cyrl-CS"/>
        </w:rPr>
        <w:t>. ГОДИН</w:t>
      </w:r>
      <w:bookmarkStart w:id="21" w:name="_Toc528909823"/>
      <w:bookmarkStart w:id="22" w:name="_Toc530635104"/>
      <w:bookmarkStart w:id="23" w:name="_Toc11155990"/>
      <w:bookmarkStart w:id="24" w:name="_Toc56667075"/>
      <w:bookmarkStart w:id="25" w:name="_Toc86923721"/>
      <w:bookmarkStart w:id="26" w:name="_Toc119654144"/>
      <w:bookmarkStart w:id="27" w:name="_Toc135994500"/>
      <w:bookmarkStart w:id="28" w:name="_Toc146277915"/>
      <w:bookmarkStart w:id="29" w:name="_Toc148431268"/>
      <w:bookmarkStart w:id="30" w:name="_Toc181190967"/>
      <w:bookmarkStart w:id="31" w:name="_Toc181271502"/>
      <w:bookmarkEnd w:id="18"/>
      <w:bookmarkEnd w:id="19"/>
      <w:r w:rsidR="00536CC0" w:rsidRPr="001B41AD">
        <w:rPr>
          <w:rFonts w:asciiTheme="minorHAnsi" w:hAnsiTheme="minorHAnsi" w:cstheme="minorHAnsi"/>
          <w:b/>
          <w:sz w:val="26"/>
          <w:szCs w:val="26"/>
          <w:lang w:val="sr-Cyrl-CS"/>
        </w:rPr>
        <w:t>E</w:t>
      </w:r>
      <w:bookmarkEnd w:id="20"/>
    </w:p>
    <w:p w14:paraId="199B4B72" w14:textId="77777777" w:rsidR="00494747" w:rsidRPr="001B41AD" w:rsidRDefault="00536CC0" w:rsidP="00494747">
      <w:pPr>
        <w:pStyle w:val="Heading2"/>
        <w:rPr>
          <w:rFonts w:asciiTheme="minorHAnsi" w:hAnsiTheme="minorHAnsi" w:cstheme="minorHAnsi"/>
          <w:b w:val="0"/>
          <w:lang w:val="sr-Cyrl-CS"/>
        </w:rPr>
      </w:pPr>
      <w:bookmarkStart w:id="32" w:name="_Toc212642468"/>
      <w:r w:rsidRPr="001B41AD">
        <w:rPr>
          <w:rFonts w:asciiTheme="minorHAnsi" w:hAnsiTheme="minorHAnsi" w:cstheme="minorHAnsi"/>
          <w:lang w:val="sr-Cyrl-CS"/>
        </w:rPr>
        <w:t>1</w:t>
      </w:r>
      <w:r w:rsidR="00494747" w:rsidRPr="001B41AD">
        <w:rPr>
          <w:rFonts w:asciiTheme="minorHAnsi" w:hAnsiTheme="minorHAnsi" w:cstheme="minorHAnsi"/>
          <w:lang w:val="sr-Cyrl-CS"/>
        </w:rPr>
        <w:t xml:space="preserve">. </w:t>
      </w:r>
      <w:bookmarkEnd w:id="21"/>
      <w:r w:rsidR="00494747" w:rsidRPr="001B41AD">
        <w:rPr>
          <w:rFonts w:asciiTheme="minorHAnsi" w:hAnsiTheme="minorHAnsi" w:cstheme="minorHAnsi"/>
          <w:lang w:val="sr-Cyrl-CS"/>
        </w:rPr>
        <w:t>Средњорочни циљеви фискалне политике</w:t>
      </w:r>
      <w:bookmarkEnd w:id="22"/>
      <w:bookmarkEnd w:id="23"/>
      <w:bookmarkEnd w:id="24"/>
      <w:bookmarkEnd w:id="25"/>
      <w:bookmarkEnd w:id="26"/>
      <w:bookmarkEnd w:id="27"/>
      <w:bookmarkEnd w:id="28"/>
      <w:bookmarkEnd w:id="29"/>
      <w:bookmarkEnd w:id="30"/>
      <w:bookmarkEnd w:id="31"/>
      <w:bookmarkEnd w:id="32"/>
    </w:p>
    <w:p w14:paraId="75AA15D3" w14:textId="77777777" w:rsidR="00494747" w:rsidRPr="001B41AD" w:rsidRDefault="00494747" w:rsidP="00494747">
      <w:pPr>
        <w:spacing w:after="360"/>
        <w:rPr>
          <w:rFonts w:ascii="Calibri" w:hAnsi="Calibri" w:cs="Calibri"/>
          <w:bCs/>
          <w:szCs w:val="20"/>
          <w:lang w:val="sr-Cyrl-CS"/>
        </w:rPr>
      </w:pPr>
    </w:p>
    <w:p w14:paraId="19142F73" w14:textId="77777777" w:rsidR="00494747" w:rsidRPr="001B41AD" w:rsidRDefault="00494747" w:rsidP="00494747">
      <w:pPr>
        <w:spacing w:after="360"/>
        <w:rPr>
          <w:rFonts w:ascii="Calibri" w:hAnsi="Calibri" w:cs="Calibri"/>
          <w:bCs/>
          <w:szCs w:val="20"/>
          <w:lang w:val="sr-Cyrl-CS"/>
        </w:rPr>
        <w:sectPr w:rsidR="00494747" w:rsidRPr="001B41AD" w:rsidSect="00AF42E4">
          <w:headerReference w:type="even" r:id="rId94"/>
          <w:footerReference w:type="even" r:id="rId95"/>
          <w:footerReference w:type="default" r:id="rId96"/>
          <w:headerReference w:type="first" r:id="rId97"/>
          <w:type w:val="continuous"/>
          <w:pgSz w:w="12240" w:h="15840" w:code="1"/>
          <w:pgMar w:top="1440" w:right="1440" w:bottom="1440" w:left="1440" w:header="720" w:footer="720" w:gutter="0"/>
          <w:cols w:space="720"/>
          <w:titlePg/>
          <w:docGrid w:linePitch="360"/>
        </w:sectPr>
      </w:pPr>
    </w:p>
    <w:p w14:paraId="366D028E" w14:textId="77777777" w:rsidR="005B1914" w:rsidRPr="001B41AD" w:rsidRDefault="005B1914" w:rsidP="005B1914">
      <w:pPr>
        <w:rPr>
          <w:lang w:val="sr-Cyrl-CS"/>
        </w:rPr>
      </w:pPr>
      <w:r w:rsidRPr="001B41AD">
        <w:rPr>
          <w:lang w:val="sr-Cyrl-CS"/>
        </w:rPr>
        <w:t>Ревидирана Фискална стратегија за период 2026</w:t>
      </w:r>
      <w:r w:rsidR="00461482" w:rsidRPr="001B41AD">
        <w:rPr>
          <w:lang w:val="sr-Cyrl-CS"/>
        </w:rPr>
        <w:t xml:space="preserve"> </w:t>
      </w:r>
      <w:r w:rsidRPr="001B41AD">
        <w:rPr>
          <w:lang w:val="sr-Cyrl-CS"/>
        </w:rPr>
        <w:t>–</w:t>
      </w:r>
      <w:r w:rsidR="00461482" w:rsidRPr="001B41AD">
        <w:rPr>
          <w:lang w:val="sr-Cyrl-CS"/>
        </w:rPr>
        <w:t xml:space="preserve"> </w:t>
      </w:r>
      <w:r w:rsidRPr="001B41AD">
        <w:rPr>
          <w:lang w:val="sr-Cyrl-CS"/>
        </w:rPr>
        <w:t xml:space="preserve">2028. године заснована је на очувању стабилности и постепеном смањењу учешћа јавног дуга, уз очуван простор за инвестиције које подижу потенцијални раст. Средњорочни дефицит остаје умерено експанзиван ради подршке инвестиционом циклусу и припремама за </w:t>
      </w:r>
      <w:r w:rsidRPr="001B41AD">
        <w:rPr>
          <w:bCs/>
          <w:i/>
          <w:lang w:val="sr-Cyrl-CS"/>
        </w:rPr>
        <w:t>EXPO 2027</w:t>
      </w:r>
      <w:r w:rsidRPr="001B41AD">
        <w:rPr>
          <w:lang w:val="sr-Cyrl-CS"/>
        </w:rPr>
        <w:t xml:space="preserve">, са консолидованим дефицитом од </w:t>
      </w:r>
      <w:r w:rsidRPr="001B41AD">
        <w:rPr>
          <w:bCs/>
          <w:lang w:val="sr-Cyrl-CS"/>
        </w:rPr>
        <w:t>3% БДП до 2027. године</w:t>
      </w:r>
      <w:r w:rsidRPr="001B41AD">
        <w:rPr>
          <w:lang w:val="sr-Cyrl-CS"/>
        </w:rPr>
        <w:t xml:space="preserve"> и </w:t>
      </w:r>
      <w:r w:rsidRPr="001B41AD">
        <w:rPr>
          <w:bCs/>
          <w:lang w:val="sr-Cyrl-CS"/>
        </w:rPr>
        <w:t>2,5% БДП у 2028</w:t>
      </w:r>
      <w:r w:rsidR="00271E75" w:rsidRPr="001B41AD">
        <w:rPr>
          <w:bCs/>
          <w:lang w:val="sr-Cyrl-CS"/>
        </w:rPr>
        <w:t>. години</w:t>
      </w:r>
      <w:r w:rsidRPr="001B41AD">
        <w:rPr>
          <w:bCs/>
          <w:lang w:val="sr-Cyrl-CS"/>
        </w:rPr>
        <w:t>.</w:t>
      </w:r>
      <w:r w:rsidRPr="001B41AD">
        <w:rPr>
          <w:lang w:val="sr-Cyrl-CS"/>
        </w:rPr>
        <w:t xml:space="preserve"> Та путања је у складу са даљим падом удела јавног дуга са око </w:t>
      </w:r>
      <w:r w:rsidRPr="001B41AD">
        <w:rPr>
          <w:bCs/>
          <w:lang w:val="sr-Cyrl-CS"/>
        </w:rPr>
        <w:t>45%</w:t>
      </w:r>
      <w:r w:rsidR="00461482" w:rsidRPr="001B41AD">
        <w:rPr>
          <w:bCs/>
          <w:lang w:val="sr-Cyrl-CS"/>
        </w:rPr>
        <w:t xml:space="preserve"> БДП</w:t>
      </w:r>
      <w:r w:rsidRPr="001B41AD">
        <w:rPr>
          <w:bCs/>
          <w:lang w:val="sr-Cyrl-CS"/>
        </w:rPr>
        <w:t xml:space="preserve"> у 2025. </w:t>
      </w:r>
      <w:r w:rsidR="00461482" w:rsidRPr="001B41AD">
        <w:rPr>
          <w:bCs/>
          <w:lang w:val="sr-Cyrl-CS"/>
        </w:rPr>
        <w:t xml:space="preserve">години </w:t>
      </w:r>
      <w:r w:rsidRPr="001B41AD">
        <w:rPr>
          <w:bCs/>
          <w:lang w:val="sr-Cyrl-CS"/>
        </w:rPr>
        <w:t>на приближно 44%</w:t>
      </w:r>
      <w:r w:rsidR="00461482" w:rsidRPr="001B41AD">
        <w:rPr>
          <w:bCs/>
          <w:lang w:val="sr-Cyrl-CS"/>
        </w:rPr>
        <w:t xml:space="preserve"> БДП</w:t>
      </w:r>
      <w:r w:rsidRPr="001B41AD">
        <w:rPr>
          <w:bCs/>
          <w:lang w:val="sr-Cyrl-CS"/>
        </w:rPr>
        <w:t xml:space="preserve"> у 2028. години</w:t>
      </w:r>
      <w:r w:rsidRPr="001B41AD">
        <w:rPr>
          <w:lang w:val="sr-Cyrl-CS"/>
        </w:rPr>
        <w:t>, уз низак примарни дефицит (око 0,7% БДП) и очуван кредибилитет фискалних правила. Индикатори фискалне одрживости показују одсуство краткорочног ризика, док је примарни стабилизациони јаз позитиван, што потврђује стабилну силазну путању дуга.</w:t>
      </w:r>
    </w:p>
    <w:p w14:paraId="0F07C8C5" w14:textId="77777777" w:rsidR="005B1914" w:rsidRPr="001B41AD" w:rsidRDefault="005B1914" w:rsidP="005B1914">
      <w:pPr>
        <w:rPr>
          <w:lang w:val="sr-Cyrl-CS"/>
        </w:rPr>
      </w:pPr>
      <w:r w:rsidRPr="001B41AD">
        <w:rPr>
          <w:lang w:val="sr-Cyrl-CS"/>
        </w:rPr>
        <w:t xml:space="preserve">На страни расхода приоритет остаје на </w:t>
      </w:r>
      <w:r w:rsidRPr="001B41AD">
        <w:rPr>
          <w:bCs/>
          <w:lang w:val="sr-Cyrl-CS"/>
        </w:rPr>
        <w:t>инвестицијама са највишим мултипликаторима</w:t>
      </w:r>
      <w:r w:rsidRPr="001B41AD">
        <w:rPr>
          <w:lang w:val="sr-Cyrl-CS"/>
        </w:rPr>
        <w:t xml:space="preserve"> — у саобраћај, енергетику, дигиталну и зелену транзицију — уз строгу контролу текућих расхода. Политика зарада у јавном сектору остаје ограничена у оквиру фискалног </w:t>
      </w:r>
      <w:r w:rsidRPr="001B41AD">
        <w:rPr>
          <w:bCs/>
          <w:lang w:val="sr-Cyrl-CS"/>
        </w:rPr>
        <w:t>правила</w:t>
      </w:r>
      <w:r w:rsidRPr="001B41AD">
        <w:rPr>
          <w:lang w:val="sr-Cyrl-CS"/>
        </w:rPr>
        <w:t xml:space="preserve">, док се </w:t>
      </w:r>
      <w:r w:rsidRPr="001B41AD">
        <w:rPr>
          <w:bCs/>
          <w:lang w:val="sr-Cyrl-CS"/>
        </w:rPr>
        <w:t>пензије усклађују према утврђеној формули</w:t>
      </w:r>
      <w:r w:rsidRPr="001B41AD">
        <w:rPr>
          <w:lang w:val="sr-Cyrl-CS"/>
        </w:rPr>
        <w:t xml:space="preserve">, чиме се чува предвидивост и дугорочна одрживост пензионог система. Субвенције, привремено повећане због подршке пољопривреди и енергетици, постепено се враћају на око </w:t>
      </w:r>
      <w:r w:rsidRPr="001B41AD">
        <w:rPr>
          <w:bCs/>
          <w:lang w:val="sr-Cyrl-CS"/>
        </w:rPr>
        <w:t>2% БДП</w:t>
      </w:r>
      <w:r w:rsidRPr="001B41AD">
        <w:rPr>
          <w:lang w:val="sr-Cyrl-CS"/>
        </w:rPr>
        <w:t xml:space="preserve">, а капитални расходи остају стабилни на високом нивоу (око </w:t>
      </w:r>
      <w:r w:rsidRPr="001B41AD">
        <w:rPr>
          <w:bCs/>
          <w:lang w:val="sr-Cyrl-CS"/>
        </w:rPr>
        <w:t>6,4% БДП просечно годишње</w:t>
      </w:r>
      <w:r w:rsidRPr="001B41AD">
        <w:rPr>
          <w:lang w:val="sr-Cyrl-CS"/>
        </w:rPr>
        <w:t>).</w:t>
      </w:r>
    </w:p>
    <w:p w14:paraId="38ADF679" w14:textId="33800EAD" w:rsidR="005B1914" w:rsidRPr="001B41AD" w:rsidRDefault="005B1914" w:rsidP="005B1914">
      <w:pPr>
        <w:rPr>
          <w:lang w:val="sr-Cyrl-CS"/>
        </w:rPr>
      </w:pPr>
      <w:r w:rsidRPr="001B41AD">
        <w:rPr>
          <w:lang w:val="sr-Cyrl-CS"/>
        </w:rPr>
        <w:t xml:space="preserve">На приходној страни, политика је усмерена на </w:t>
      </w:r>
      <w:r w:rsidRPr="001B41AD">
        <w:rPr>
          <w:bCs/>
          <w:lang w:val="sr-Cyrl-CS"/>
        </w:rPr>
        <w:t>смањење опорезивања рада</w:t>
      </w:r>
      <w:r w:rsidRPr="001B41AD">
        <w:rPr>
          <w:lang w:val="sr-Cyrl-CS"/>
        </w:rPr>
        <w:t xml:space="preserve">, проширење пореске базе и унапређење наплате путем </w:t>
      </w:r>
      <w:r w:rsidRPr="001B41AD">
        <w:rPr>
          <w:bCs/>
          <w:lang w:val="sr-Cyrl-CS"/>
        </w:rPr>
        <w:t>дигитализације и модернизације Пореске управе</w:t>
      </w:r>
      <w:r w:rsidRPr="001B41AD">
        <w:rPr>
          <w:lang w:val="sr-Cyrl-CS"/>
        </w:rPr>
        <w:t xml:space="preserve">. Приходи од ПДВ стабилизују се након краткорочног пада, акцизе прате уобичајену индексацију, док се непорески приходи нормализују након једнократних прилива као што су 5G лиценце. </w:t>
      </w:r>
    </w:p>
    <w:p w14:paraId="04D54FAF" w14:textId="77777777" w:rsidR="005B1914" w:rsidRPr="001B41AD" w:rsidRDefault="005B1914" w:rsidP="005B1914">
      <w:pPr>
        <w:rPr>
          <w:lang w:val="sr-Cyrl-CS"/>
        </w:rPr>
      </w:pPr>
      <w:r w:rsidRPr="001B41AD">
        <w:rPr>
          <w:lang w:val="sr-Cyrl-CS"/>
        </w:rPr>
        <w:t xml:space="preserve">Фискални ризици се ублажавају </w:t>
      </w:r>
      <w:r w:rsidRPr="001B41AD">
        <w:rPr>
          <w:bCs/>
          <w:lang w:val="sr-Cyrl-CS"/>
        </w:rPr>
        <w:t>конзервативним буџетирањем, одржавањем фискалних резерви и активним управљањем дугом</w:t>
      </w:r>
      <w:r w:rsidRPr="001B41AD">
        <w:rPr>
          <w:lang w:val="sr-Cyrl-CS"/>
        </w:rPr>
        <w:t>. Главни ризици су продубљена глобална фрагментација, трговинске баријере, волатилност енергената и климатске политике. Одговор фискалне политике заснива се на одрживим јавним финансијама и убрзању структурних реформи ради очувања стабилности и инвестиционог кредибилитета.</w:t>
      </w:r>
    </w:p>
    <w:p w14:paraId="065EAA3E" w14:textId="77777777" w:rsidR="005B1914" w:rsidRPr="001B41AD" w:rsidRDefault="005B1914" w:rsidP="005B1914">
      <w:pPr>
        <w:rPr>
          <w:lang w:val="sr-Cyrl-CS"/>
        </w:rPr>
      </w:pPr>
      <w:r w:rsidRPr="001B41AD">
        <w:rPr>
          <w:lang w:val="sr-Cyrl-CS"/>
        </w:rPr>
        <w:t xml:space="preserve">У целини, средњорочни фискални оквир спаја </w:t>
      </w:r>
      <w:r w:rsidRPr="001B41AD">
        <w:rPr>
          <w:bCs/>
          <w:lang w:val="sr-Cyrl-CS"/>
        </w:rPr>
        <w:t>стабилност и развој</w:t>
      </w:r>
      <w:r w:rsidRPr="001B41AD">
        <w:rPr>
          <w:lang w:val="sr-Cyrl-CS"/>
        </w:rPr>
        <w:t>: контрол</w:t>
      </w:r>
      <w:r w:rsidR="00461482" w:rsidRPr="001B41AD">
        <w:rPr>
          <w:lang w:val="sr-Cyrl-CS"/>
        </w:rPr>
        <w:t xml:space="preserve">исани дефицити, опадајући ниво </w:t>
      </w:r>
      <w:r w:rsidRPr="001B41AD">
        <w:rPr>
          <w:lang w:val="sr-Cyrl-CS"/>
        </w:rPr>
        <w:t>дуг</w:t>
      </w:r>
      <w:r w:rsidR="00461482" w:rsidRPr="001B41AD">
        <w:rPr>
          <w:lang w:val="sr-Cyrl-CS"/>
        </w:rPr>
        <w:t>а у БДП</w:t>
      </w:r>
      <w:r w:rsidRPr="001B41AD">
        <w:rPr>
          <w:lang w:val="sr-Cyrl-CS"/>
        </w:rPr>
        <w:t xml:space="preserve">, висока капитална улагања и предвидива социјална политика омогућавају да се одржи макрофискална стабилност, подржи раст од око </w:t>
      </w:r>
      <w:r w:rsidRPr="001B41AD">
        <w:rPr>
          <w:bCs/>
          <w:lang w:val="sr-Cyrl-CS"/>
        </w:rPr>
        <w:t xml:space="preserve">3,8% </w:t>
      </w:r>
      <w:r w:rsidR="00461482" w:rsidRPr="001B41AD">
        <w:rPr>
          <w:bCs/>
          <w:lang w:val="sr-Cyrl-CS"/>
        </w:rPr>
        <w:t xml:space="preserve">просечно </w:t>
      </w:r>
      <w:r w:rsidRPr="001B41AD">
        <w:rPr>
          <w:bCs/>
          <w:lang w:val="sr-Cyrl-CS"/>
        </w:rPr>
        <w:t>годишње</w:t>
      </w:r>
      <w:r w:rsidRPr="001B41AD">
        <w:rPr>
          <w:lang w:val="sr-Cyrl-CS"/>
        </w:rPr>
        <w:t xml:space="preserve"> и очува простор за реакцију у случају спољних шокова — што </w:t>
      </w:r>
      <w:r w:rsidR="00461482" w:rsidRPr="001B41AD">
        <w:rPr>
          <w:lang w:val="sr-Cyrl-CS"/>
        </w:rPr>
        <w:t>државу</w:t>
      </w:r>
      <w:r w:rsidRPr="001B41AD">
        <w:rPr>
          <w:lang w:val="sr-Cyrl-CS"/>
        </w:rPr>
        <w:t xml:space="preserve"> позиционира као стабилну, отпорну и развојно оријентисану економију.</w:t>
      </w:r>
    </w:p>
    <w:p w14:paraId="78B5D2CE" w14:textId="77777777" w:rsidR="005B574C" w:rsidRPr="001B41AD" w:rsidRDefault="005B574C" w:rsidP="005B574C">
      <w:pPr>
        <w:spacing w:after="120"/>
        <w:rPr>
          <w:rFonts w:ascii="Calibri" w:hAnsi="Calibri" w:cs="Calibri"/>
          <w:bCs/>
          <w:szCs w:val="20"/>
          <w:lang w:val="sr-Cyrl-CS"/>
        </w:rPr>
      </w:pPr>
    </w:p>
    <w:p w14:paraId="72651135" w14:textId="77777777" w:rsidR="00AB1651" w:rsidRPr="001B41AD" w:rsidRDefault="00AB1651" w:rsidP="005B574C">
      <w:pPr>
        <w:spacing w:after="120"/>
        <w:rPr>
          <w:rFonts w:ascii="Calibri" w:hAnsi="Calibri" w:cs="Calibri"/>
          <w:bCs/>
          <w:szCs w:val="20"/>
          <w:lang w:val="sr-Cyrl-CS"/>
        </w:rPr>
      </w:pPr>
    </w:p>
    <w:p w14:paraId="2A521F82" w14:textId="77777777" w:rsidR="00AB1651" w:rsidRPr="001B41AD" w:rsidRDefault="00AB1651" w:rsidP="005B574C">
      <w:pPr>
        <w:spacing w:after="120"/>
        <w:rPr>
          <w:rFonts w:ascii="Calibri" w:hAnsi="Calibri" w:cs="Calibri"/>
          <w:bCs/>
          <w:szCs w:val="20"/>
          <w:lang w:val="sr-Cyrl-CS"/>
        </w:rPr>
        <w:sectPr w:rsidR="00AB1651" w:rsidRPr="001B41AD" w:rsidSect="00AF42E4">
          <w:headerReference w:type="even" r:id="rId98"/>
          <w:headerReference w:type="default" r:id="rId99"/>
          <w:footerReference w:type="even" r:id="rId100"/>
          <w:footerReference w:type="default" r:id="rId101"/>
          <w:type w:val="continuous"/>
          <w:pgSz w:w="12240" w:h="15840" w:code="1"/>
          <w:pgMar w:top="1440" w:right="1440" w:bottom="1440" w:left="1440" w:header="720" w:footer="720" w:gutter="0"/>
          <w:cols w:num="2" w:space="720"/>
          <w:titlePg/>
          <w:docGrid w:linePitch="360"/>
        </w:sectPr>
      </w:pPr>
    </w:p>
    <w:p w14:paraId="2B8F7E71" w14:textId="77777777" w:rsidR="00563D88" w:rsidRPr="001B41AD" w:rsidRDefault="00563D88" w:rsidP="00DE7B2C">
      <w:pPr>
        <w:pStyle w:val="Heading2"/>
        <w:rPr>
          <w:rFonts w:asciiTheme="minorHAnsi" w:hAnsiTheme="minorHAnsi" w:cstheme="minorHAnsi"/>
          <w:lang w:val="sr-Cyrl-CS"/>
        </w:rPr>
      </w:pPr>
      <w:bookmarkStart w:id="33" w:name="_Toc181190969"/>
      <w:bookmarkStart w:id="34" w:name="_Toc181271504"/>
    </w:p>
    <w:p w14:paraId="3AF28214" w14:textId="77777777" w:rsidR="00682E05" w:rsidRPr="001B41AD" w:rsidRDefault="00682E05" w:rsidP="00682E05">
      <w:pPr>
        <w:rPr>
          <w:lang w:val="sr-Cyrl-CS"/>
        </w:rPr>
      </w:pPr>
    </w:p>
    <w:p w14:paraId="0475089E" w14:textId="77777777" w:rsidR="00682E05" w:rsidRPr="001B41AD" w:rsidRDefault="00682E05" w:rsidP="00682E05">
      <w:pPr>
        <w:rPr>
          <w:lang w:val="sr-Cyrl-CS"/>
        </w:rPr>
      </w:pPr>
    </w:p>
    <w:p w14:paraId="18D85697" w14:textId="77777777" w:rsidR="0018760C" w:rsidRPr="001B41AD" w:rsidRDefault="0018760C" w:rsidP="00682E05">
      <w:pPr>
        <w:rPr>
          <w:lang w:val="sr-Cyrl-CS"/>
        </w:rPr>
      </w:pPr>
    </w:p>
    <w:p w14:paraId="3E7E9361" w14:textId="77777777" w:rsidR="0018760C" w:rsidRPr="001B41AD" w:rsidRDefault="0018760C" w:rsidP="00682E05">
      <w:pPr>
        <w:rPr>
          <w:lang w:val="sr-Cyrl-CS"/>
        </w:rPr>
      </w:pPr>
    </w:p>
    <w:p w14:paraId="18E8D6BE" w14:textId="77777777" w:rsidR="0018760C" w:rsidRPr="001B41AD" w:rsidRDefault="0018760C" w:rsidP="00682E05">
      <w:pPr>
        <w:rPr>
          <w:lang w:val="sr-Cyrl-CS"/>
        </w:rPr>
      </w:pPr>
    </w:p>
    <w:p w14:paraId="3782FD15" w14:textId="77777777" w:rsidR="00563D88" w:rsidRPr="001B41AD" w:rsidRDefault="00074F1D" w:rsidP="00563D88">
      <w:pPr>
        <w:pStyle w:val="Heading2"/>
        <w:rPr>
          <w:rFonts w:asciiTheme="minorHAnsi" w:hAnsiTheme="minorHAnsi" w:cstheme="minorHAnsi"/>
          <w:b w:val="0"/>
          <w:lang w:val="sr-Cyrl-CS"/>
        </w:rPr>
      </w:pPr>
      <w:bookmarkStart w:id="35" w:name="_Toc212642469"/>
      <w:r w:rsidRPr="001B41AD">
        <w:rPr>
          <w:rFonts w:asciiTheme="minorHAnsi" w:hAnsiTheme="minorHAnsi" w:cstheme="minorHAnsi"/>
          <w:lang w:val="sr-Cyrl-CS"/>
        </w:rPr>
        <w:lastRenderedPageBreak/>
        <w:t>2</w:t>
      </w:r>
      <w:r w:rsidR="00563D88" w:rsidRPr="001B41AD">
        <w:rPr>
          <w:rFonts w:asciiTheme="minorHAnsi" w:hAnsiTheme="minorHAnsi" w:cstheme="minorHAnsi"/>
          <w:lang w:val="sr-Cyrl-CS"/>
        </w:rPr>
        <w:t>. Текућа фискална кретања и изгледи за 2025. годину</w:t>
      </w:r>
      <w:bookmarkEnd w:id="35"/>
    </w:p>
    <w:p w14:paraId="3733E21A" w14:textId="77777777" w:rsidR="00563D88" w:rsidRPr="001B41AD" w:rsidRDefault="00563D88" w:rsidP="00563D88">
      <w:pPr>
        <w:rPr>
          <w:lang w:val="sr-Cyrl-CS" w:eastAsia="ja-JP"/>
        </w:rPr>
      </w:pPr>
    </w:p>
    <w:p w14:paraId="5C75C042" w14:textId="77777777" w:rsidR="00563D88" w:rsidRPr="001B41AD" w:rsidRDefault="00563D88" w:rsidP="00563D88">
      <w:pPr>
        <w:keepNext/>
        <w:keepLines/>
        <w:outlineLvl w:val="1"/>
        <w:rPr>
          <w:rFonts w:eastAsia="MS PGothic" w:cstheme="minorHAnsi"/>
          <w:b/>
          <w:color w:val="2F5496" w:themeColor="accent1" w:themeShade="BF"/>
          <w:sz w:val="24"/>
          <w:szCs w:val="26"/>
          <w:lang w:val="sr-Cyrl-CS" w:eastAsia="ja-JP"/>
        </w:rPr>
        <w:sectPr w:rsidR="00563D88" w:rsidRPr="001B41AD" w:rsidSect="00E61B34">
          <w:headerReference w:type="even" r:id="rId102"/>
          <w:headerReference w:type="default" r:id="rId103"/>
          <w:footerReference w:type="even" r:id="rId104"/>
          <w:footerReference w:type="default" r:id="rId105"/>
          <w:type w:val="continuous"/>
          <w:pgSz w:w="12240" w:h="15840" w:code="1"/>
          <w:pgMar w:top="1440" w:right="1440" w:bottom="1440" w:left="1440" w:header="720" w:footer="720" w:gutter="0"/>
          <w:cols w:space="720"/>
          <w:titlePg/>
          <w:docGrid w:linePitch="360"/>
        </w:sectPr>
      </w:pPr>
    </w:p>
    <w:p w14:paraId="2C5D8263"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Фискални оквир за 2025. годину планиран је опрезно, имајући у виду континуирану неизвесност, како на домаћем, тако и на међународном плану. Тиме је омогућено да се у буџету остави адекватан простор за интервенције у случају неповољних кретања. Макроекономске пројекције предвиђале су умерено убрзање привредне активности у односу на 2024. годину, као и даље постепено снижавање инфлације, што је, између осталог, требало да подстакне раст реалне личне потрошње.</w:t>
      </w:r>
    </w:p>
    <w:p w14:paraId="1A5FE4B6"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Мере усвојене крајем 2024. године значајно су утицале на буџетски план</w:t>
      </w:r>
      <w:r w:rsidR="000C6702" w:rsidRPr="001B41AD">
        <w:rPr>
          <w:rFonts w:eastAsia="MS PGothic" w:cstheme="minorHAnsi"/>
          <w:bCs/>
          <w:szCs w:val="20"/>
          <w:lang w:val="sr-Cyrl-CS" w:eastAsia="ja-JP"/>
        </w:rPr>
        <w:t xml:space="preserve"> за 2025. годину. Пензије су</w:t>
      </w:r>
      <w:r w:rsidRPr="001B41AD">
        <w:rPr>
          <w:rFonts w:eastAsia="MS PGothic" w:cstheme="minorHAnsi"/>
          <w:bCs/>
          <w:szCs w:val="20"/>
          <w:lang w:val="sr-Cyrl-CS" w:eastAsia="ja-JP"/>
        </w:rPr>
        <w:t xml:space="preserve"> у складу са законс</w:t>
      </w:r>
      <w:r w:rsidR="000C6702" w:rsidRPr="001B41AD">
        <w:rPr>
          <w:rFonts w:eastAsia="MS PGothic" w:cstheme="minorHAnsi"/>
          <w:bCs/>
          <w:szCs w:val="20"/>
          <w:lang w:val="sr-Cyrl-CS" w:eastAsia="ja-JP"/>
        </w:rPr>
        <w:t>ком формулом</w:t>
      </w:r>
      <w:r w:rsidRPr="001B41AD">
        <w:rPr>
          <w:rFonts w:eastAsia="MS PGothic" w:cstheme="minorHAnsi"/>
          <w:bCs/>
          <w:szCs w:val="20"/>
          <w:lang w:val="sr-Cyrl-CS" w:eastAsia="ja-JP"/>
        </w:rPr>
        <w:t xml:space="preserve"> усклађене за 10,9%. Ради очувања реалне куповне моћи становништва, минимална зарада по радном сату повећана је за 13,7%, зараде у јавном сектору за 8%, а неопорезиви део зараде увећан за 13,7%. Очекивало се да овај сет мера допринесе јачању личне потрошње и посредно, расту пореских прихода по основу потрошње. Такође је предвиђен пораст прихода од опорезивања рада, будући да се, и поред мањег пореског оптерећења, очекивао раст запослености и плата у приватном сектору. Значајно увећана средства за јавне инвестиције усмерена су на даље унапређење инфраструктуре, што би требало да прошири основу за даљи привредни раст.</w:t>
      </w:r>
    </w:p>
    <w:p w14:paraId="6BD5DE4D"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 xml:space="preserve">Поред увећања неопорезивог цензуса, у 2025. години нису биле планиране веће измене у пореској политици. Након привременог умањења акцизног оптерећења током 2022. и 2023. године, акцизна политика враћена је током 2024. године у регуларне оквире, а почетком 2025. године извршено је редовно усклађивање акциза. Иако ова прилагођавања делимично надокнађују ерозију реалне вредности акциза, њихов ниво и даље је око 13% нижи од оног који би био остварен редовном индексацијом током претходног периода. Процењује се да је услед изостале индексације у 2022. и 2023. години изгубљено преко 100 милијарди динара прихода (око 1,3% БДП). Током 2024. године уведена је рефакција дела акциза за моторно гориво намењено </w:t>
      </w:r>
      <w:r w:rsidRPr="001B41AD">
        <w:rPr>
          <w:rFonts w:eastAsia="MS PGothic" w:cstheme="minorHAnsi"/>
          <w:bCs/>
          <w:szCs w:val="20"/>
          <w:lang w:val="sr-Cyrl-CS" w:eastAsia="ja-JP"/>
        </w:rPr>
        <w:t>пољопривреди, која се наставља и у 2025. години.</w:t>
      </w:r>
    </w:p>
    <w:p w14:paraId="06BE150E" w14:textId="77777777" w:rsidR="00563D88" w:rsidRPr="001B41AD" w:rsidRDefault="00563D88" w:rsidP="00563D88">
      <w:pPr>
        <w:rPr>
          <w:rFonts w:eastAsia="MS PGothic" w:cstheme="minorHAnsi"/>
          <w:bCs/>
          <w:szCs w:val="20"/>
          <w:lang w:val="sr-Cyrl-CS" w:eastAsia="ja-JP"/>
        </w:rPr>
      </w:pPr>
      <w:r w:rsidRPr="001B41AD">
        <w:rPr>
          <w:rFonts w:eastAsia="MS PGothic" w:cstheme="minorHAnsi"/>
          <w:bCs/>
          <w:szCs w:val="20"/>
          <w:lang w:val="sr-Cyrl-CS" w:eastAsia="ja-JP"/>
        </w:rPr>
        <w:t>У условима повећане неизвесности, део ризика предвиђених приликом израде фискалног оквира за 2025. годину материјализовао се пре свега на страни привредног раста. Изражене друштвено-политичке тензије крајем 2024. и у првим месецима 2025. године подигле су перцепцију ризика код привредних субјеката и домаћинстава, што је, кроз појачану предострожност, резултирало одлагањем потрошње. У складу с тим, у првој половини 2025. године остварени реални раст БДП био је осетно испод очекивања, услед слабије активности у трговини, саобраћају и туризму, као и пада вредности изведених грађевинских радова. Иако су реалне зараде и пензије — и тиме расположиви доходак — бележиле солидан раст захваљујући повољним кретањима на тржишту рада, динамика приватне потрошње остала је приметно умеренија. Ова дивергенција најпоузданије се објашњава појачаном штедњом из предострожности и одлагањем куповина у условима повишене економске и друштвене неизвесности, што је, посредно, ограничило краткорочни раст агрегатне тражње.</w:t>
      </w:r>
    </w:p>
    <w:p w14:paraId="453A6EE9"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 xml:space="preserve">Оваква кретања, највише су утицала на приходе од пореза на додату вредност. Подбачај у односу на план био је видљив већ у последњем кварталу 2024. године, а исти тренд је настављен и током 2025. године. Изузев ПДВ, остали порески приходи остварени су више или у нивоу плана, како крајем 2024. године, тако и током 2025. године. Сходно томе, процена пореских прихода за 2025. ревидирана </w:t>
      </w:r>
      <w:r w:rsidR="003F774A" w:rsidRPr="001B41AD">
        <w:rPr>
          <w:rFonts w:eastAsia="MS PGothic" w:cstheme="minorHAnsi"/>
          <w:bCs/>
          <w:szCs w:val="20"/>
          <w:lang w:val="sr-Cyrl-CS" w:eastAsia="ja-JP"/>
        </w:rPr>
        <w:t>је</w:t>
      </w:r>
      <w:r w:rsidRPr="001B41AD">
        <w:rPr>
          <w:rFonts w:eastAsia="MS PGothic" w:cstheme="minorHAnsi"/>
          <w:bCs/>
          <w:szCs w:val="20"/>
          <w:lang w:val="sr-Cyrl-CS" w:eastAsia="ja-JP"/>
        </w:rPr>
        <w:t xml:space="preserve"> тако да су приходи од ПДВ и царина кориговани наниже, док је процена за остале пореске категорије у већој или мањој повећана. За разлику од претходне, приликом ове ревизије, износ акциза је такође ревидиран навише услед могућности да се на објективан начин сагледа динамика наплате у односу на претходну годину. Остварена профитабилност привредних друштава у 2024. години, као и наплата у досадашњем делу 2025. године утицали су на то да приход од пореза на добит буде минимално коригован.</w:t>
      </w:r>
    </w:p>
    <w:p w14:paraId="6DBDBCA7" w14:textId="77777777" w:rsidR="00B33865" w:rsidRPr="001B41AD" w:rsidRDefault="00B33865" w:rsidP="00563D88">
      <w:pPr>
        <w:widowControl w:val="0"/>
        <w:spacing w:after="120"/>
        <w:rPr>
          <w:rFonts w:eastAsia="MS PGothic" w:cstheme="minorHAnsi"/>
          <w:bCs/>
          <w:szCs w:val="20"/>
          <w:lang w:val="sr-Cyrl-CS" w:eastAsia="ja-JP"/>
        </w:rPr>
        <w:sectPr w:rsidR="00B33865" w:rsidRPr="001B41AD" w:rsidSect="00E61B34">
          <w:type w:val="continuous"/>
          <w:pgSz w:w="12240" w:h="15840" w:code="1"/>
          <w:pgMar w:top="1440" w:right="1440" w:bottom="1440" w:left="1440" w:header="720" w:footer="720" w:gutter="0"/>
          <w:cols w:num="2" w:space="720"/>
          <w:docGrid w:linePitch="360"/>
        </w:sectPr>
      </w:pPr>
    </w:p>
    <w:p w14:paraId="22FB54F8"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lastRenderedPageBreak/>
        <w:t>У ревидирану процену укључени су и остварени ванредни непорески приходи у претходном периоду, као и они чија се реализација очекује до краја текуће године. Упркос слабијем остварењу прихода од ПДВ и царина укупни јавни приходи су минимално кориговани навише, што одражава и опрез у условима и даље нестабилних домаћих и неизвесних међународних економских кретања.</w:t>
      </w:r>
    </w:p>
    <w:p w14:paraId="1EF78324" w14:textId="77777777" w:rsidR="00563D88" w:rsidRPr="001B41AD" w:rsidRDefault="00563D88" w:rsidP="00563D88">
      <w:pPr>
        <w:widowControl w:val="0"/>
        <w:spacing w:after="120"/>
        <w:rPr>
          <w:rFonts w:eastAsia="MS PGothic" w:cstheme="minorHAnsi"/>
          <w:szCs w:val="20"/>
          <w:lang w:val="sr-Cyrl-CS" w:eastAsia="ja-JP"/>
        </w:rPr>
      </w:pPr>
      <w:r w:rsidRPr="001B41AD">
        <w:rPr>
          <w:rFonts w:eastAsia="MS PGothic" w:cstheme="minorHAnsi"/>
          <w:szCs w:val="20"/>
          <w:lang w:val="sr-Cyrl-CS" w:eastAsia="ja-JP"/>
        </w:rPr>
        <w:t xml:space="preserve">На страни расхода, у пројекцију су укључене измене у политици зарада у јавном сектору, пре свега у области образовања и здравства, док су, с друге стране, ревидиране наниже процене извршења појединих категорија расхода на основу </w:t>
      </w:r>
      <w:r w:rsidRPr="001B41AD">
        <w:rPr>
          <w:rFonts w:eastAsia="MS PGothic" w:cstheme="minorHAnsi"/>
          <w:szCs w:val="20"/>
          <w:lang w:val="sr-Cyrl-CS" w:eastAsia="ja-JP"/>
        </w:rPr>
        <w:t>досадашње динамике у реализацији.</w:t>
      </w:r>
    </w:p>
    <w:p w14:paraId="186EB5C7" w14:textId="77777777" w:rsidR="00563D88" w:rsidRPr="001B41AD" w:rsidRDefault="00563D88" w:rsidP="00563D88">
      <w:pPr>
        <w:widowControl w:val="0"/>
        <w:spacing w:after="120"/>
        <w:rPr>
          <w:rFonts w:eastAsia="MS PGothic" w:cstheme="minorHAnsi"/>
          <w:szCs w:val="20"/>
          <w:lang w:val="sr-Cyrl-CS" w:eastAsia="ja-JP"/>
        </w:rPr>
      </w:pPr>
      <w:r w:rsidRPr="001B41AD">
        <w:rPr>
          <w:rFonts w:eastAsia="MS PGothic" w:cstheme="minorHAnsi"/>
          <w:szCs w:val="20"/>
          <w:lang w:val="sr-Cyrl-CS" w:eastAsia="ja-JP"/>
        </w:rPr>
        <w:t xml:space="preserve">Ревидирани фискални оквир за 2025. годину </w:t>
      </w:r>
      <w:r w:rsidR="00F91813" w:rsidRPr="001B41AD">
        <w:rPr>
          <w:rFonts w:eastAsia="MS PGothic" w:cstheme="minorHAnsi"/>
          <w:szCs w:val="20"/>
          <w:lang w:val="sr-Cyrl-CS" w:eastAsia="ja-JP"/>
        </w:rPr>
        <w:t>п</w:t>
      </w:r>
      <w:r w:rsidRPr="001B41AD">
        <w:rPr>
          <w:rFonts w:eastAsia="MS PGothic" w:cstheme="minorHAnsi"/>
          <w:szCs w:val="20"/>
          <w:lang w:val="sr-Cyrl-CS" w:eastAsia="ja-JP"/>
        </w:rPr>
        <w:t xml:space="preserve">редвиђа непромењен ниво фискалног дефицита у износу од 314 милијарди динара, односно 3% БДП. Учешће јавног дуга у БДП на крају године пројектује се на 45%. </w:t>
      </w:r>
    </w:p>
    <w:p w14:paraId="6A404185" w14:textId="77777777" w:rsidR="00563D88" w:rsidRPr="001B41AD" w:rsidRDefault="00563D88" w:rsidP="00563D88">
      <w:pPr>
        <w:widowControl w:val="0"/>
        <w:spacing w:after="120"/>
        <w:rPr>
          <w:rFonts w:eastAsia="MS PGothic" w:cstheme="minorHAnsi"/>
          <w:szCs w:val="20"/>
          <w:lang w:val="sr-Cyrl-CS" w:eastAsia="ja-JP"/>
        </w:rPr>
      </w:pPr>
      <w:r w:rsidRPr="001B41AD">
        <w:rPr>
          <w:rFonts w:eastAsia="MS PGothic" w:cstheme="minorHAnsi"/>
          <w:szCs w:val="20"/>
          <w:lang w:val="sr-Cyrl-CS" w:eastAsia="ja-JP"/>
        </w:rPr>
        <w:t>Анализа структурног фискалног резултата показује да се око 0,6% БДП у 2025. години односи на једнократне и привремене ефекте, и на приходној и на расходној страни буџета, што додатно потврђује привремени карактер одступања од дугорочних путања.</w:t>
      </w:r>
    </w:p>
    <w:p w14:paraId="3E1E8E4B" w14:textId="77777777" w:rsidR="00B33865" w:rsidRPr="001B41AD" w:rsidRDefault="00B33865" w:rsidP="00563D88">
      <w:pPr>
        <w:spacing w:after="120"/>
        <w:rPr>
          <w:noProof/>
          <w:lang w:val="sr-Cyrl-CS"/>
        </w:rPr>
        <w:sectPr w:rsidR="00B33865" w:rsidRPr="001B41AD" w:rsidSect="00B33865">
          <w:type w:val="continuous"/>
          <w:pgSz w:w="12240" w:h="15840" w:code="1"/>
          <w:pgMar w:top="1440" w:right="1440" w:bottom="1440" w:left="1440" w:header="720" w:footer="720" w:gutter="0"/>
          <w:cols w:num="2" w:space="720"/>
          <w:docGrid w:linePitch="360"/>
        </w:sectPr>
      </w:pPr>
    </w:p>
    <w:p w14:paraId="35459A34" w14:textId="77777777" w:rsidR="00563D88" w:rsidRPr="001B41AD" w:rsidRDefault="00563D88" w:rsidP="00563D88">
      <w:pPr>
        <w:spacing w:after="120"/>
        <w:rPr>
          <w:noProof/>
          <w:lang w:val="sr-Cyrl-CS"/>
        </w:rPr>
      </w:pPr>
    </w:p>
    <w:p w14:paraId="4A399741" w14:textId="77777777" w:rsidR="00B33865" w:rsidRPr="001B41AD" w:rsidRDefault="00B33865" w:rsidP="00B33865">
      <w:pPr>
        <w:spacing w:after="120"/>
        <w:jc w:val="center"/>
        <w:rPr>
          <w:rFonts w:cstheme="minorHAnsi"/>
          <w:b/>
          <w:color w:val="002060"/>
          <w:lang w:val="sr-Cyrl-CS"/>
        </w:rPr>
        <w:sectPr w:rsidR="00B33865" w:rsidRPr="001B41AD" w:rsidSect="00B33865">
          <w:type w:val="continuous"/>
          <w:pgSz w:w="12240" w:h="15840" w:code="1"/>
          <w:pgMar w:top="1440" w:right="1440" w:bottom="1440" w:left="1440" w:header="720" w:footer="720" w:gutter="0"/>
          <w:cols w:space="720"/>
          <w:docGrid w:linePitch="360"/>
        </w:sectPr>
      </w:pPr>
    </w:p>
    <w:p w14:paraId="1E6C74B4" w14:textId="77777777" w:rsidR="00B33865" w:rsidRPr="001B41AD" w:rsidRDefault="00B33865" w:rsidP="00B33865">
      <w:pPr>
        <w:spacing w:after="120"/>
        <w:jc w:val="center"/>
        <w:rPr>
          <w:rFonts w:cstheme="minorHAnsi"/>
          <w:b/>
          <w:color w:val="002060"/>
          <w:lang w:val="sr-Cyrl-CS"/>
        </w:rPr>
      </w:pPr>
      <w:r w:rsidRPr="001B41AD">
        <w:rPr>
          <w:rFonts w:cstheme="minorHAnsi"/>
          <w:b/>
          <w:color w:val="002060"/>
          <w:lang w:val="sr-Cyrl-CS"/>
        </w:rPr>
        <w:t>Фискални резултат сектора државе у периоду од 2015. до 2025. године, % БДП</w:t>
      </w:r>
    </w:p>
    <w:p w14:paraId="41C5D9EF" w14:textId="77777777" w:rsidR="00B33865" w:rsidRPr="001B41AD" w:rsidRDefault="00B33865" w:rsidP="00563D88">
      <w:pPr>
        <w:spacing w:after="120" w:line="276" w:lineRule="auto"/>
        <w:jc w:val="left"/>
        <w:rPr>
          <w:rFonts w:cstheme="minorHAnsi"/>
          <w:bCs/>
          <w:sz w:val="16"/>
          <w:szCs w:val="72"/>
          <w:lang w:val="sr-Cyrl-CS"/>
        </w:rPr>
        <w:sectPr w:rsidR="00B33865" w:rsidRPr="001B41AD" w:rsidSect="00B33865">
          <w:type w:val="continuous"/>
          <w:pgSz w:w="12240" w:h="15840" w:code="1"/>
          <w:pgMar w:top="1440" w:right="1440" w:bottom="1440" w:left="1440" w:header="720" w:footer="720" w:gutter="0"/>
          <w:cols w:num="2" w:space="720"/>
          <w:docGrid w:linePitch="360"/>
        </w:sectPr>
      </w:pPr>
    </w:p>
    <w:p w14:paraId="5E4676AC" w14:textId="77777777" w:rsidR="00563D88" w:rsidRPr="001B41AD" w:rsidRDefault="00B33865" w:rsidP="00563D88">
      <w:pPr>
        <w:spacing w:after="120" w:line="276" w:lineRule="auto"/>
        <w:jc w:val="left"/>
        <w:rPr>
          <w:rFonts w:cstheme="minorHAnsi"/>
          <w:bCs/>
          <w:sz w:val="16"/>
          <w:szCs w:val="72"/>
          <w:lang w:val="sr-Cyrl-CS"/>
        </w:rPr>
      </w:pPr>
      <w:r w:rsidRPr="001B41AD">
        <w:rPr>
          <w:noProof/>
        </w:rPr>
        <w:drawing>
          <wp:anchor distT="0" distB="0" distL="114300" distR="114300" simplePos="0" relativeHeight="251664384" behindDoc="0" locked="0" layoutInCell="1" allowOverlap="1" wp14:anchorId="62DABC91" wp14:editId="7C80DF2A">
            <wp:simplePos x="0" y="0"/>
            <wp:positionH relativeFrom="margin">
              <wp:posOffset>-19050</wp:posOffset>
            </wp:positionH>
            <wp:positionV relativeFrom="paragraph">
              <wp:posOffset>11430</wp:posOffset>
            </wp:positionV>
            <wp:extent cx="2743200" cy="3006725"/>
            <wp:effectExtent l="0" t="0" r="0" b="0"/>
            <wp:wrapThrough wrapText="bothSides">
              <wp:wrapPolygon edited="0">
                <wp:start x="2550" y="274"/>
                <wp:lineTo x="1200" y="2737"/>
                <wp:lineTo x="1200" y="2874"/>
                <wp:lineTo x="4500" y="4927"/>
                <wp:lineTo x="1350" y="4927"/>
                <wp:lineTo x="1350" y="5611"/>
                <wp:lineTo x="4800" y="7116"/>
                <wp:lineTo x="1500" y="7664"/>
                <wp:lineTo x="1200" y="7937"/>
                <wp:lineTo x="2700" y="9306"/>
                <wp:lineTo x="600" y="10675"/>
                <wp:lineTo x="300" y="11085"/>
                <wp:lineTo x="300" y="13138"/>
                <wp:lineTo x="3300" y="13685"/>
                <wp:lineTo x="11100" y="13685"/>
                <wp:lineTo x="1050" y="15328"/>
                <wp:lineTo x="1050" y="15875"/>
                <wp:lineTo x="11100" y="15875"/>
                <wp:lineTo x="1200" y="17928"/>
                <wp:lineTo x="900" y="18338"/>
                <wp:lineTo x="2550" y="19707"/>
                <wp:lineTo x="10800" y="20254"/>
                <wp:lineTo x="3900" y="20254"/>
                <wp:lineTo x="600" y="20528"/>
                <wp:lineTo x="750" y="21212"/>
                <wp:lineTo x="11850" y="21212"/>
                <wp:lineTo x="13200" y="20939"/>
                <wp:lineTo x="13050" y="20391"/>
                <wp:lineTo x="10800" y="20254"/>
                <wp:lineTo x="12450" y="18475"/>
                <wp:lineTo x="11550" y="18338"/>
                <wp:lineTo x="13050" y="17654"/>
                <wp:lineTo x="12600" y="15875"/>
                <wp:lineTo x="13950" y="13822"/>
                <wp:lineTo x="17850" y="13685"/>
                <wp:lineTo x="20850" y="12727"/>
                <wp:lineTo x="21450" y="7937"/>
                <wp:lineTo x="20850" y="7801"/>
                <wp:lineTo x="10800" y="7116"/>
                <wp:lineTo x="10950" y="5748"/>
                <wp:lineTo x="10500" y="5064"/>
                <wp:lineTo x="11100" y="4927"/>
                <wp:lineTo x="10200" y="3011"/>
                <wp:lineTo x="6600" y="2737"/>
                <wp:lineTo x="21150" y="1095"/>
                <wp:lineTo x="21150" y="274"/>
                <wp:lineTo x="2550" y="274"/>
              </wp:wrapPolygon>
            </wp:wrapThrough>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anchor>
        </w:drawing>
      </w:r>
    </w:p>
    <w:p w14:paraId="50437DF3" w14:textId="77777777" w:rsidR="00563D88" w:rsidRPr="001B41AD" w:rsidRDefault="00563D88" w:rsidP="00563D88">
      <w:pPr>
        <w:spacing w:after="120" w:line="276" w:lineRule="auto"/>
        <w:jc w:val="left"/>
        <w:rPr>
          <w:lang w:val="sr-Cyrl-CS"/>
        </w:rPr>
        <w:sectPr w:rsidR="00563D88" w:rsidRPr="001B41AD" w:rsidSect="00B33865">
          <w:type w:val="continuous"/>
          <w:pgSz w:w="12240" w:h="15840" w:code="1"/>
          <w:pgMar w:top="1440" w:right="1440" w:bottom="1440" w:left="1440" w:header="720" w:footer="720" w:gutter="0"/>
          <w:cols w:space="720"/>
          <w:docGrid w:linePitch="360"/>
        </w:sectPr>
      </w:pPr>
    </w:p>
    <w:p w14:paraId="4843A878" w14:textId="77777777" w:rsidR="00B33865" w:rsidRPr="001B41AD" w:rsidRDefault="00B33865" w:rsidP="00563D88">
      <w:pPr>
        <w:spacing w:after="120"/>
        <w:rPr>
          <w:rFonts w:eastAsia="MS PGothic" w:cstheme="minorHAnsi"/>
          <w:b/>
          <w:color w:val="002060"/>
          <w:szCs w:val="20"/>
          <w:lang w:val="sr-Cyrl-CS" w:eastAsia="ja-JP"/>
        </w:rPr>
        <w:sectPr w:rsidR="00B33865" w:rsidRPr="001B41AD" w:rsidSect="00E61B34">
          <w:type w:val="continuous"/>
          <w:pgSz w:w="12240" w:h="15840" w:code="1"/>
          <w:pgMar w:top="1440" w:right="1440" w:bottom="1440" w:left="1440" w:header="720" w:footer="720" w:gutter="0"/>
          <w:cols w:space="720"/>
          <w:docGrid w:linePitch="360"/>
        </w:sectPr>
      </w:pPr>
    </w:p>
    <w:p w14:paraId="66A2F196" w14:textId="77777777" w:rsidR="00563D88" w:rsidRPr="001B41AD" w:rsidRDefault="00563D88" w:rsidP="00563D88">
      <w:pPr>
        <w:spacing w:after="120"/>
        <w:rPr>
          <w:rFonts w:eastAsia="MS PGothic" w:cstheme="minorHAnsi"/>
          <w:b/>
          <w:color w:val="002060"/>
          <w:szCs w:val="20"/>
          <w:lang w:val="sr-Cyrl-CS" w:eastAsia="ja-JP"/>
        </w:rPr>
      </w:pPr>
    </w:p>
    <w:p w14:paraId="141AFA36" w14:textId="77777777" w:rsidR="00563D88" w:rsidRPr="001B41AD" w:rsidRDefault="00563D88" w:rsidP="00563D88">
      <w:pPr>
        <w:spacing w:after="120"/>
        <w:rPr>
          <w:rFonts w:eastAsia="MS PGothic" w:cstheme="minorHAnsi"/>
          <w:b/>
          <w:color w:val="002060"/>
          <w:szCs w:val="20"/>
          <w:lang w:val="sr-Cyrl-CS" w:eastAsia="ja-JP"/>
        </w:rPr>
      </w:pPr>
    </w:p>
    <w:p w14:paraId="69FDA09D" w14:textId="77777777" w:rsidR="00563D88" w:rsidRPr="001B41AD" w:rsidRDefault="00F91813" w:rsidP="00563D88">
      <w:pPr>
        <w:jc w:val="left"/>
        <w:rPr>
          <w:rFonts w:eastAsia="MS PGothic" w:cstheme="minorHAnsi"/>
          <w:b/>
          <w:color w:val="002060"/>
          <w:szCs w:val="20"/>
          <w:lang w:val="sr-Cyrl-CS" w:eastAsia="ja-JP"/>
        </w:rPr>
      </w:pPr>
      <w:r w:rsidRPr="001B41AD">
        <w:rPr>
          <w:noProof/>
        </w:rPr>
        <mc:AlternateContent>
          <mc:Choice Requires="wps">
            <w:drawing>
              <wp:anchor distT="0" distB="0" distL="114300" distR="114300" simplePos="0" relativeHeight="251666432" behindDoc="0" locked="0" layoutInCell="1" allowOverlap="1" wp14:anchorId="76FE3BF3" wp14:editId="124ED67C">
                <wp:simplePos x="0" y="0"/>
                <wp:positionH relativeFrom="margin">
                  <wp:posOffset>-71755</wp:posOffset>
                </wp:positionH>
                <wp:positionV relativeFrom="paragraph">
                  <wp:posOffset>2077085</wp:posOffset>
                </wp:positionV>
                <wp:extent cx="276606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2766060" cy="1828800"/>
                        </a:xfrm>
                        <a:prstGeom prst="rect">
                          <a:avLst/>
                        </a:prstGeom>
                        <a:noFill/>
                        <a:ln w="6350">
                          <a:noFill/>
                        </a:ln>
                      </wps:spPr>
                      <wps:txbx>
                        <w:txbxContent>
                          <w:p w14:paraId="56F1ACCE" w14:textId="77777777" w:rsidR="001B41AD" w:rsidRPr="00F91813" w:rsidRDefault="001B41AD" w:rsidP="00C427B6">
                            <w:pPr>
                              <w:spacing w:after="120"/>
                              <w:ind w:left="-180"/>
                              <w:rPr>
                                <w:noProof/>
                                <w:sz w:val="16"/>
                                <w:lang w:val="sr-Cyrl-CS"/>
                              </w:rPr>
                            </w:pPr>
                            <w:r>
                              <w:rPr>
                                <w:noProof/>
                                <w:sz w:val="16"/>
                              </w:rPr>
                              <w:t xml:space="preserve">   </w:t>
                            </w:r>
                            <w:r w:rsidRPr="00F91813">
                              <w:rPr>
                                <w:noProof/>
                                <w:sz w:val="16"/>
                                <w:lang w:val="sr-Cyrl-CS"/>
                              </w:rPr>
                              <w:t>Извор: Министарство финансија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6FE3BF3" id="_x0000_t202" coordsize="21600,21600" o:spt="202" path="m,l,21600r21600,l21600,xe">
                <v:stroke joinstyle="miter"/>
                <v:path gradientshapeok="t" o:connecttype="rect"/>
              </v:shapetype>
              <v:shape id="Text Box 1" o:spid="_x0000_s1027" type="#_x0000_t202" style="position:absolute;margin-left:-5.65pt;margin-top:163.55pt;width:217.8pt;height:2in;z-index:251666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" filled="f" stroked="f" strokeweight=".5pt">
                <v:textbox style="mso-fit-shape-to-text:t">
                  <w:txbxContent>
                    <w:p w14:paraId="56F1ACCE" w14:textId="77777777" w:rsidR="001B41AD" w:rsidRPr="00F91813" w:rsidRDefault="001B41AD" w:rsidP="00C427B6">
                      <w:pPr>
                        <w:spacing w:after="120"/>
                        <w:ind w:left="-180"/>
                        <w:rPr>
                          <w:noProof/>
                          <w:sz w:val="16"/>
                          <w:lang w:val="sr-Cyrl-CS"/>
                        </w:rPr>
                      </w:pPr>
                      <w:r>
                        <w:rPr>
                          <w:noProof/>
                          <w:sz w:val="16"/>
                        </w:rPr>
                        <w:t xml:space="preserve">   </w:t>
                      </w:r>
                      <w:r w:rsidRPr="00F91813">
                        <w:rPr>
                          <w:noProof/>
                          <w:sz w:val="16"/>
                          <w:lang w:val="sr-Cyrl-CS"/>
                        </w:rPr>
                        <w:t>Извор: Министарство финансија</w:t>
                      </w:r>
                    </w:p>
                  </w:txbxContent>
                </v:textbox>
                <w10:wrap type="square" anchorx="margin"/>
              </v:shape>
            </w:pict>
          </mc:Fallback>
        </mc:AlternateContent>
      </w:r>
      <w:r w:rsidR="00563D88" w:rsidRPr="001B41AD">
        <w:rPr>
          <w:rFonts w:eastAsia="MS PGothic" w:cstheme="minorHAnsi"/>
          <w:b/>
          <w:color w:val="002060"/>
          <w:szCs w:val="20"/>
          <w:lang w:val="sr-Cyrl-CS" w:eastAsia="ja-JP"/>
        </w:rPr>
        <w:br w:type="page"/>
      </w:r>
    </w:p>
    <w:p w14:paraId="42078D50" w14:textId="77777777" w:rsidR="00563D88" w:rsidRPr="001B41AD" w:rsidRDefault="00563D88" w:rsidP="00563D88">
      <w:pPr>
        <w:spacing w:after="12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lastRenderedPageBreak/>
        <w:t>Табела 6. Приходи, расходи и резултат сектора државе у 2025. години, у млрд динара</w:t>
      </w:r>
    </w:p>
    <w:tbl>
      <w:tblPr>
        <w:tblW w:w="5275" w:type="pct"/>
        <w:jc w:val="center"/>
        <w:tblLook w:val="04A0" w:firstRow="1" w:lastRow="0" w:firstColumn="1" w:lastColumn="0" w:noHBand="0" w:noVBand="1"/>
      </w:tblPr>
      <w:tblGrid>
        <w:gridCol w:w="2565"/>
        <w:gridCol w:w="1120"/>
        <w:gridCol w:w="1116"/>
        <w:gridCol w:w="1430"/>
        <w:gridCol w:w="1430"/>
        <w:gridCol w:w="1118"/>
        <w:gridCol w:w="1096"/>
      </w:tblGrid>
      <w:tr w:rsidR="00563D88" w:rsidRPr="001B41AD" w14:paraId="039FB3B0" w14:textId="77777777" w:rsidTr="00405489">
        <w:trPr>
          <w:trHeight w:val="26"/>
          <w:tblHeader/>
          <w:jc w:val="center"/>
        </w:trPr>
        <w:tc>
          <w:tcPr>
            <w:tcW w:w="1299" w:type="pct"/>
            <w:tcBorders>
              <w:top w:val="single" w:sz="4" w:space="0" w:color="002060"/>
            </w:tcBorders>
            <w:noWrap/>
            <w:vAlign w:val="center"/>
            <w:hideMark/>
          </w:tcPr>
          <w:p w14:paraId="36C50D94" w14:textId="77777777" w:rsidR="00563D88" w:rsidRPr="001B41AD" w:rsidRDefault="00563D88" w:rsidP="00405489">
            <w:pPr>
              <w:spacing w:after="0" w:line="240" w:lineRule="auto"/>
              <w:jc w:val="center"/>
              <w:rPr>
                <w:rFonts w:eastAsia="Times New Roman" w:cstheme="minorHAnsi"/>
                <w:bCs/>
                <w:color w:val="002060"/>
                <w:sz w:val="16"/>
                <w:szCs w:val="16"/>
                <w:lang w:val="sr-Cyrl-CS" w:eastAsia="sr-Cyrl-RS"/>
              </w:rPr>
            </w:pPr>
            <w:r w:rsidRPr="001B41AD">
              <w:rPr>
                <w:rFonts w:eastAsia="MS PGothic" w:cstheme="minorHAnsi"/>
                <w:color w:val="002060"/>
                <w:sz w:val="16"/>
                <w:szCs w:val="16"/>
                <w:lang w:val="sr-Cyrl-CS" w:eastAsia="ja-JP"/>
              </w:rPr>
              <w:t> </w:t>
            </w:r>
          </w:p>
        </w:tc>
        <w:tc>
          <w:tcPr>
            <w:tcW w:w="567" w:type="pct"/>
            <w:tcBorders>
              <w:top w:val="single" w:sz="4" w:space="0" w:color="002060"/>
              <w:bottom w:val="single" w:sz="4" w:space="0" w:color="002060"/>
            </w:tcBorders>
            <w:vAlign w:val="center"/>
            <w:hideMark/>
          </w:tcPr>
          <w:p w14:paraId="40A6C699"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буџет 2025*</w:t>
            </w:r>
          </w:p>
        </w:tc>
        <w:tc>
          <w:tcPr>
            <w:tcW w:w="565" w:type="pct"/>
            <w:tcBorders>
              <w:top w:val="single" w:sz="4" w:space="0" w:color="002060"/>
              <w:bottom w:val="single" w:sz="4" w:space="0" w:color="002060"/>
            </w:tcBorders>
            <w:vAlign w:val="center"/>
          </w:tcPr>
          <w:p w14:paraId="591DC1A2"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процена мај 2025</w:t>
            </w:r>
          </w:p>
        </w:tc>
        <w:tc>
          <w:tcPr>
            <w:tcW w:w="724" w:type="pct"/>
            <w:tcBorders>
              <w:top w:val="single" w:sz="4" w:space="0" w:color="002060"/>
              <w:bottom w:val="single" w:sz="4" w:space="0" w:color="002060"/>
            </w:tcBorders>
          </w:tcPr>
          <w:p w14:paraId="659A4CD3"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процена октобар 2025</w:t>
            </w:r>
          </w:p>
        </w:tc>
        <w:tc>
          <w:tcPr>
            <w:tcW w:w="724" w:type="pct"/>
            <w:tcBorders>
              <w:top w:val="single" w:sz="4" w:space="0" w:color="002060"/>
              <w:bottom w:val="single" w:sz="4" w:space="0" w:color="002060"/>
            </w:tcBorders>
            <w:vAlign w:val="center"/>
            <w:hideMark/>
          </w:tcPr>
          <w:p w14:paraId="6B8226D9"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разлика нова процена /буџет</w:t>
            </w:r>
          </w:p>
        </w:tc>
        <w:tc>
          <w:tcPr>
            <w:tcW w:w="566" w:type="pct"/>
            <w:tcBorders>
              <w:top w:val="single" w:sz="4" w:space="0" w:color="002060"/>
              <w:bottom w:val="single" w:sz="4" w:space="0" w:color="002060"/>
            </w:tcBorders>
            <w:vAlign w:val="center"/>
            <w:hideMark/>
          </w:tcPr>
          <w:p w14:paraId="7B1937C2"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 промена</w:t>
            </w:r>
          </w:p>
        </w:tc>
        <w:tc>
          <w:tcPr>
            <w:tcW w:w="555" w:type="pct"/>
            <w:tcBorders>
              <w:top w:val="single" w:sz="4" w:space="0" w:color="002060"/>
              <w:bottom w:val="single" w:sz="4" w:space="0" w:color="002060"/>
            </w:tcBorders>
            <w:vAlign w:val="center"/>
            <w:hideMark/>
          </w:tcPr>
          <w:p w14:paraId="117D0118"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2025 нова пр. % БДП</w:t>
            </w:r>
          </w:p>
        </w:tc>
      </w:tr>
      <w:tr w:rsidR="00563D88" w:rsidRPr="001B41AD" w14:paraId="1F660891" w14:textId="77777777" w:rsidTr="00405489">
        <w:trPr>
          <w:trHeight w:hRule="exact" w:val="242"/>
          <w:jc w:val="center"/>
        </w:trPr>
        <w:tc>
          <w:tcPr>
            <w:tcW w:w="1299" w:type="pct"/>
            <w:shd w:val="clear" w:color="auto" w:fill="E7E6E6" w:themeFill="background2"/>
            <w:noWrap/>
            <w:vAlign w:val="center"/>
            <w:hideMark/>
          </w:tcPr>
          <w:p w14:paraId="20BD22BC" w14:textId="77777777" w:rsidR="00563D88" w:rsidRPr="001B41AD" w:rsidRDefault="00563D88" w:rsidP="00405489">
            <w:pPr>
              <w:spacing w:after="0" w:line="240" w:lineRule="auto"/>
              <w:jc w:val="left"/>
              <w:rPr>
                <w:rFonts w:cstheme="minorHAnsi"/>
                <w:color w:val="002060"/>
                <w:sz w:val="16"/>
                <w:szCs w:val="16"/>
                <w:lang w:val="sr-Cyrl-CS"/>
              </w:rPr>
            </w:pPr>
            <w:r w:rsidRPr="001B41AD">
              <w:rPr>
                <w:rFonts w:eastAsia="MS PGothic" w:cstheme="minorHAnsi"/>
                <w:color w:val="002060"/>
                <w:sz w:val="16"/>
                <w:szCs w:val="16"/>
                <w:lang w:val="sr-Cyrl-CS" w:eastAsia="ja-JP"/>
              </w:rPr>
              <w:t>ЈАВНИ ПРИХОДИ</w:t>
            </w:r>
          </w:p>
        </w:tc>
        <w:tc>
          <w:tcPr>
            <w:tcW w:w="567" w:type="pct"/>
            <w:tcBorders>
              <w:top w:val="single" w:sz="4" w:space="0" w:color="002060"/>
            </w:tcBorders>
            <w:shd w:val="clear" w:color="auto" w:fill="E7E6E6" w:themeFill="background2"/>
            <w:hideMark/>
          </w:tcPr>
          <w:p w14:paraId="12EA37D4" w14:textId="77777777" w:rsidR="00563D88" w:rsidRPr="001B41AD" w:rsidRDefault="00563D88" w:rsidP="00405489">
            <w:pPr>
              <w:jc w:val="right"/>
              <w:rPr>
                <w:sz w:val="16"/>
                <w:szCs w:val="16"/>
                <w:lang w:val="sr-Cyrl-CS"/>
              </w:rPr>
            </w:pPr>
            <w:r w:rsidRPr="001B41AD">
              <w:rPr>
                <w:sz w:val="16"/>
                <w:szCs w:val="16"/>
                <w:lang w:val="sr-Cyrl-CS"/>
              </w:rPr>
              <w:t>4.233,4</w:t>
            </w:r>
          </w:p>
        </w:tc>
        <w:tc>
          <w:tcPr>
            <w:tcW w:w="565" w:type="pct"/>
            <w:tcBorders>
              <w:top w:val="single" w:sz="4" w:space="0" w:color="002060"/>
            </w:tcBorders>
            <w:shd w:val="clear" w:color="auto" w:fill="E7E6E6" w:themeFill="background2"/>
          </w:tcPr>
          <w:p w14:paraId="3E6C75F7" w14:textId="77777777" w:rsidR="00563D88" w:rsidRPr="001B41AD" w:rsidRDefault="00563D88" w:rsidP="00405489">
            <w:pPr>
              <w:jc w:val="right"/>
              <w:rPr>
                <w:sz w:val="16"/>
                <w:szCs w:val="16"/>
                <w:lang w:val="sr-Cyrl-CS"/>
              </w:rPr>
            </w:pPr>
            <w:r w:rsidRPr="001B41AD">
              <w:rPr>
                <w:sz w:val="16"/>
                <w:szCs w:val="16"/>
                <w:lang w:val="sr-Cyrl-CS"/>
              </w:rPr>
              <w:t>4.227,3</w:t>
            </w:r>
          </w:p>
        </w:tc>
        <w:tc>
          <w:tcPr>
            <w:tcW w:w="724" w:type="pct"/>
            <w:tcBorders>
              <w:top w:val="single" w:sz="4" w:space="0" w:color="002060"/>
            </w:tcBorders>
            <w:shd w:val="clear" w:color="auto" w:fill="E7E6E6" w:themeFill="background2"/>
          </w:tcPr>
          <w:p w14:paraId="61F6562D" w14:textId="77777777" w:rsidR="00563D88" w:rsidRPr="001B41AD" w:rsidRDefault="00563D88" w:rsidP="00405489">
            <w:pPr>
              <w:jc w:val="right"/>
              <w:rPr>
                <w:sz w:val="16"/>
                <w:szCs w:val="16"/>
                <w:lang w:val="sr-Cyrl-CS"/>
              </w:rPr>
            </w:pPr>
            <w:r w:rsidRPr="001B41AD">
              <w:rPr>
                <w:sz w:val="16"/>
                <w:szCs w:val="16"/>
                <w:lang w:val="sr-Cyrl-CS"/>
              </w:rPr>
              <w:t>4.244,2</w:t>
            </w:r>
          </w:p>
        </w:tc>
        <w:tc>
          <w:tcPr>
            <w:tcW w:w="724" w:type="pct"/>
            <w:tcBorders>
              <w:top w:val="single" w:sz="4" w:space="0" w:color="002060"/>
            </w:tcBorders>
            <w:shd w:val="clear" w:color="auto" w:fill="E7E6E6" w:themeFill="background2"/>
            <w:hideMark/>
          </w:tcPr>
          <w:p w14:paraId="4254E732" w14:textId="77777777" w:rsidR="00563D88" w:rsidRPr="001B41AD" w:rsidRDefault="00563D88" w:rsidP="00405489">
            <w:pPr>
              <w:jc w:val="right"/>
              <w:rPr>
                <w:sz w:val="16"/>
                <w:szCs w:val="16"/>
                <w:lang w:val="sr-Cyrl-CS"/>
              </w:rPr>
            </w:pPr>
            <w:r w:rsidRPr="001B41AD">
              <w:rPr>
                <w:sz w:val="16"/>
                <w:szCs w:val="16"/>
                <w:lang w:val="sr-Cyrl-CS"/>
              </w:rPr>
              <w:t>10,7</w:t>
            </w:r>
          </w:p>
        </w:tc>
        <w:tc>
          <w:tcPr>
            <w:tcW w:w="566" w:type="pct"/>
            <w:tcBorders>
              <w:top w:val="single" w:sz="4" w:space="0" w:color="002060"/>
            </w:tcBorders>
            <w:shd w:val="clear" w:color="auto" w:fill="E7E6E6" w:themeFill="background2"/>
            <w:hideMark/>
          </w:tcPr>
          <w:p w14:paraId="4E3643C0" w14:textId="77777777" w:rsidR="00563D88" w:rsidRPr="001B41AD" w:rsidRDefault="00563D88" w:rsidP="00405489">
            <w:pPr>
              <w:jc w:val="right"/>
              <w:rPr>
                <w:sz w:val="16"/>
                <w:szCs w:val="16"/>
                <w:lang w:val="sr-Cyrl-CS"/>
              </w:rPr>
            </w:pPr>
            <w:r w:rsidRPr="001B41AD">
              <w:rPr>
                <w:sz w:val="16"/>
                <w:szCs w:val="16"/>
                <w:lang w:val="sr-Cyrl-CS"/>
              </w:rPr>
              <w:t>0,3</w:t>
            </w:r>
          </w:p>
        </w:tc>
        <w:tc>
          <w:tcPr>
            <w:tcW w:w="555" w:type="pct"/>
            <w:tcBorders>
              <w:top w:val="single" w:sz="4" w:space="0" w:color="002060"/>
            </w:tcBorders>
            <w:shd w:val="clear" w:color="auto" w:fill="E7E6E6" w:themeFill="background2"/>
            <w:noWrap/>
            <w:hideMark/>
          </w:tcPr>
          <w:p w14:paraId="12D20DBF" w14:textId="77777777" w:rsidR="00563D88" w:rsidRPr="001B41AD" w:rsidRDefault="00563D88" w:rsidP="00405489">
            <w:pPr>
              <w:jc w:val="right"/>
              <w:rPr>
                <w:sz w:val="16"/>
                <w:szCs w:val="16"/>
                <w:lang w:val="sr-Cyrl-CS"/>
              </w:rPr>
            </w:pPr>
            <w:r w:rsidRPr="001B41AD">
              <w:rPr>
                <w:sz w:val="16"/>
                <w:szCs w:val="16"/>
                <w:lang w:val="sr-Cyrl-CS"/>
              </w:rPr>
              <w:t>40,9</w:t>
            </w:r>
          </w:p>
        </w:tc>
      </w:tr>
      <w:tr w:rsidR="00563D88" w:rsidRPr="001B41AD" w14:paraId="7A18334E" w14:textId="77777777" w:rsidTr="00405489">
        <w:trPr>
          <w:trHeight w:hRule="exact" w:val="242"/>
          <w:jc w:val="center"/>
        </w:trPr>
        <w:tc>
          <w:tcPr>
            <w:tcW w:w="1299" w:type="pct"/>
            <w:noWrap/>
            <w:vAlign w:val="center"/>
            <w:hideMark/>
          </w:tcPr>
          <w:p w14:paraId="286374A6"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Текући приходи</w:t>
            </w:r>
          </w:p>
        </w:tc>
        <w:tc>
          <w:tcPr>
            <w:tcW w:w="567" w:type="pct"/>
            <w:hideMark/>
          </w:tcPr>
          <w:p w14:paraId="0A7ED335" w14:textId="77777777" w:rsidR="00563D88" w:rsidRPr="001B41AD" w:rsidRDefault="00563D88" w:rsidP="00405489">
            <w:pPr>
              <w:jc w:val="right"/>
              <w:rPr>
                <w:sz w:val="16"/>
                <w:szCs w:val="16"/>
                <w:lang w:val="sr-Cyrl-CS"/>
              </w:rPr>
            </w:pPr>
            <w:r w:rsidRPr="001B41AD">
              <w:rPr>
                <w:sz w:val="16"/>
                <w:szCs w:val="16"/>
                <w:lang w:val="sr-Cyrl-CS"/>
              </w:rPr>
              <w:t>4.195,1</w:t>
            </w:r>
          </w:p>
        </w:tc>
        <w:tc>
          <w:tcPr>
            <w:tcW w:w="565" w:type="pct"/>
          </w:tcPr>
          <w:p w14:paraId="3E7955FF" w14:textId="77777777" w:rsidR="00563D88" w:rsidRPr="001B41AD" w:rsidRDefault="00563D88" w:rsidP="00405489">
            <w:pPr>
              <w:jc w:val="right"/>
              <w:rPr>
                <w:sz w:val="16"/>
                <w:szCs w:val="16"/>
                <w:lang w:val="sr-Cyrl-CS"/>
              </w:rPr>
            </w:pPr>
            <w:r w:rsidRPr="001B41AD">
              <w:rPr>
                <w:sz w:val="16"/>
                <w:szCs w:val="16"/>
                <w:lang w:val="sr-Cyrl-CS"/>
              </w:rPr>
              <w:t>4.189,0</w:t>
            </w:r>
          </w:p>
        </w:tc>
        <w:tc>
          <w:tcPr>
            <w:tcW w:w="724" w:type="pct"/>
          </w:tcPr>
          <w:p w14:paraId="4FE4E4E3" w14:textId="77777777" w:rsidR="00563D88" w:rsidRPr="001B41AD" w:rsidRDefault="00563D88" w:rsidP="00405489">
            <w:pPr>
              <w:jc w:val="right"/>
              <w:rPr>
                <w:sz w:val="16"/>
                <w:szCs w:val="16"/>
                <w:lang w:val="sr-Cyrl-CS"/>
              </w:rPr>
            </w:pPr>
            <w:r w:rsidRPr="001B41AD">
              <w:rPr>
                <w:sz w:val="16"/>
                <w:szCs w:val="16"/>
                <w:lang w:val="sr-Cyrl-CS"/>
              </w:rPr>
              <w:t>4.205,9</w:t>
            </w:r>
          </w:p>
        </w:tc>
        <w:tc>
          <w:tcPr>
            <w:tcW w:w="724" w:type="pct"/>
            <w:hideMark/>
          </w:tcPr>
          <w:p w14:paraId="1B2DBCB9" w14:textId="77777777" w:rsidR="00563D88" w:rsidRPr="001B41AD" w:rsidRDefault="00563D88" w:rsidP="00405489">
            <w:pPr>
              <w:jc w:val="right"/>
              <w:rPr>
                <w:sz w:val="16"/>
                <w:szCs w:val="16"/>
                <w:lang w:val="sr-Cyrl-CS"/>
              </w:rPr>
            </w:pPr>
            <w:r w:rsidRPr="001B41AD">
              <w:rPr>
                <w:sz w:val="16"/>
                <w:szCs w:val="16"/>
                <w:lang w:val="sr-Cyrl-CS"/>
              </w:rPr>
              <w:t>10,7</w:t>
            </w:r>
          </w:p>
        </w:tc>
        <w:tc>
          <w:tcPr>
            <w:tcW w:w="566" w:type="pct"/>
            <w:hideMark/>
          </w:tcPr>
          <w:p w14:paraId="44ADBA08" w14:textId="77777777" w:rsidR="00563D88" w:rsidRPr="001B41AD" w:rsidRDefault="00563D88" w:rsidP="00405489">
            <w:pPr>
              <w:jc w:val="right"/>
              <w:rPr>
                <w:sz w:val="16"/>
                <w:szCs w:val="16"/>
                <w:lang w:val="sr-Cyrl-CS"/>
              </w:rPr>
            </w:pPr>
            <w:r w:rsidRPr="001B41AD">
              <w:rPr>
                <w:sz w:val="16"/>
                <w:szCs w:val="16"/>
                <w:lang w:val="sr-Cyrl-CS"/>
              </w:rPr>
              <w:t>0,3</w:t>
            </w:r>
          </w:p>
        </w:tc>
        <w:tc>
          <w:tcPr>
            <w:tcW w:w="555" w:type="pct"/>
            <w:noWrap/>
            <w:hideMark/>
          </w:tcPr>
          <w:p w14:paraId="57C6A0EB" w14:textId="77777777" w:rsidR="00563D88" w:rsidRPr="001B41AD" w:rsidRDefault="00563D88" w:rsidP="00405489">
            <w:pPr>
              <w:jc w:val="right"/>
              <w:rPr>
                <w:sz w:val="16"/>
                <w:szCs w:val="16"/>
                <w:lang w:val="sr-Cyrl-CS"/>
              </w:rPr>
            </w:pPr>
            <w:r w:rsidRPr="001B41AD">
              <w:rPr>
                <w:sz w:val="16"/>
                <w:szCs w:val="16"/>
                <w:lang w:val="sr-Cyrl-CS"/>
              </w:rPr>
              <w:t>40,5</w:t>
            </w:r>
          </w:p>
        </w:tc>
      </w:tr>
      <w:tr w:rsidR="00563D88" w:rsidRPr="001B41AD" w14:paraId="66DFEA08" w14:textId="77777777" w:rsidTr="00405489">
        <w:trPr>
          <w:trHeight w:hRule="exact" w:val="242"/>
          <w:jc w:val="center"/>
        </w:trPr>
        <w:tc>
          <w:tcPr>
            <w:tcW w:w="1299" w:type="pct"/>
            <w:noWrap/>
            <w:vAlign w:val="center"/>
            <w:hideMark/>
          </w:tcPr>
          <w:p w14:paraId="0D7532AC"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Порески приходи</w:t>
            </w:r>
          </w:p>
        </w:tc>
        <w:tc>
          <w:tcPr>
            <w:tcW w:w="567" w:type="pct"/>
            <w:hideMark/>
          </w:tcPr>
          <w:p w14:paraId="6425A35C" w14:textId="77777777" w:rsidR="00563D88" w:rsidRPr="001B41AD" w:rsidRDefault="00563D88" w:rsidP="00405489">
            <w:pPr>
              <w:jc w:val="right"/>
              <w:rPr>
                <w:sz w:val="16"/>
                <w:szCs w:val="16"/>
                <w:lang w:val="sr-Cyrl-CS"/>
              </w:rPr>
            </w:pPr>
            <w:r w:rsidRPr="001B41AD">
              <w:rPr>
                <w:sz w:val="16"/>
                <w:szCs w:val="16"/>
                <w:lang w:val="sr-Cyrl-CS"/>
              </w:rPr>
              <w:t>3.750,0</w:t>
            </w:r>
          </w:p>
        </w:tc>
        <w:tc>
          <w:tcPr>
            <w:tcW w:w="565" w:type="pct"/>
          </w:tcPr>
          <w:p w14:paraId="12F8E714" w14:textId="77777777" w:rsidR="00563D88" w:rsidRPr="001B41AD" w:rsidRDefault="00563D88" w:rsidP="00405489">
            <w:pPr>
              <w:jc w:val="right"/>
              <w:rPr>
                <w:sz w:val="16"/>
                <w:szCs w:val="16"/>
                <w:lang w:val="sr-Cyrl-CS"/>
              </w:rPr>
            </w:pPr>
            <w:r w:rsidRPr="001B41AD">
              <w:rPr>
                <w:sz w:val="16"/>
                <w:szCs w:val="16"/>
                <w:lang w:val="sr-Cyrl-CS"/>
              </w:rPr>
              <w:t>3.745,8</w:t>
            </w:r>
          </w:p>
        </w:tc>
        <w:tc>
          <w:tcPr>
            <w:tcW w:w="724" w:type="pct"/>
          </w:tcPr>
          <w:p w14:paraId="71C597E5" w14:textId="77777777" w:rsidR="00563D88" w:rsidRPr="001B41AD" w:rsidRDefault="00563D88" w:rsidP="00405489">
            <w:pPr>
              <w:jc w:val="right"/>
              <w:rPr>
                <w:sz w:val="16"/>
                <w:szCs w:val="16"/>
                <w:lang w:val="sr-Cyrl-CS"/>
              </w:rPr>
            </w:pPr>
            <w:r w:rsidRPr="001B41AD">
              <w:rPr>
                <w:sz w:val="16"/>
                <w:szCs w:val="16"/>
                <w:lang w:val="sr-Cyrl-CS"/>
              </w:rPr>
              <w:t>3.750,6</w:t>
            </w:r>
          </w:p>
        </w:tc>
        <w:tc>
          <w:tcPr>
            <w:tcW w:w="724" w:type="pct"/>
            <w:hideMark/>
          </w:tcPr>
          <w:p w14:paraId="44611DC8" w14:textId="77777777" w:rsidR="00563D88" w:rsidRPr="001B41AD" w:rsidRDefault="00563D88" w:rsidP="00405489">
            <w:pPr>
              <w:jc w:val="right"/>
              <w:rPr>
                <w:sz w:val="16"/>
                <w:szCs w:val="16"/>
                <w:lang w:val="sr-Cyrl-CS"/>
              </w:rPr>
            </w:pPr>
            <w:r w:rsidRPr="001B41AD">
              <w:rPr>
                <w:sz w:val="16"/>
                <w:szCs w:val="16"/>
                <w:lang w:val="sr-Cyrl-CS"/>
              </w:rPr>
              <w:t>0,6</w:t>
            </w:r>
          </w:p>
        </w:tc>
        <w:tc>
          <w:tcPr>
            <w:tcW w:w="566" w:type="pct"/>
            <w:hideMark/>
          </w:tcPr>
          <w:p w14:paraId="5CC06995" w14:textId="77777777" w:rsidR="00563D88" w:rsidRPr="001B41AD" w:rsidRDefault="00563D88" w:rsidP="00405489">
            <w:pPr>
              <w:jc w:val="right"/>
              <w:rPr>
                <w:sz w:val="16"/>
                <w:szCs w:val="16"/>
                <w:lang w:val="sr-Cyrl-CS"/>
              </w:rPr>
            </w:pPr>
            <w:r w:rsidRPr="001B41AD">
              <w:rPr>
                <w:sz w:val="16"/>
                <w:szCs w:val="16"/>
                <w:lang w:val="sr-Cyrl-CS"/>
              </w:rPr>
              <w:t>0,0</w:t>
            </w:r>
          </w:p>
        </w:tc>
        <w:tc>
          <w:tcPr>
            <w:tcW w:w="555" w:type="pct"/>
            <w:noWrap/>
            <w:hideMark/>
          </w:tcPr>
          <w:p w14:paraId="5C9F507E" w14:textId="77777777" w:rsidR="00563D88" w:rsidRPr="001B41AD" w:rsidRDefault="00563D88" w:rsidP="00405489">
            <w:pPr>
              <w:jc w:val="right"/>
              <w:rPr>
                <w:sz w:val="16"/>
                <w:szCs w:val="16"/>
                <w:lang w:val="sr-Cyrl-CS"/>
              </w:rPr>
            </w:pPr>
            <w:r w:rsidRPr="001B41AD">
              <w:rPr>
                <w:sz w:val="16"/>
                <w:szCs w:val="16"/>
                <w:lang w:val="sr-Cyrl-CS"/>
              </w:rPr>
              <w:t>36,1</w:t>
            </w:r>
          </w:p>
        </w:tc>
      </w:tr>
      <w:tr w:rsidR="00563D88" w:rsidRPr="001B41AD" w14:paraId="647FBC14" w14:textId="77777777" w:rsidTr="00405489">
        <w:trPr>
          <w:trHeight w:hRule="exact" w:val="242"/>
          <w:jc w:val="center"/>
        </w:trPr>
        <w:tc>
          <w:tcPr>
            <w:tcW w:w="1299" w:type="pct"/>
            <w:noWrap/>
            <w:vAlign w:val="center"/>
            <w:hideMark/>
          </w:tcPr>
          <w:p w14:paraId="37222334"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Порез на доходак грађана</w:t>
            </w:r>
          </w:p>
        </w:tc>
        <w:tc>
          <w:tcPr>
            <w:tcW w:w="567" w:type="pct"/>
            <w:hideMark/>
          </w:tcPr>
          <w:p w14:paraId="33AD43C1" w14:textId="77777777" w:rsidR="00563D88" w:rsidRPr="001B41AD" w:rsidRDefault="00563D88" w:rsidP="00405489">
            <w:pPr>
              <w:jc w:val="right"/>
              <w:rPr>
                <w:sz w:val="16"/>
                <w:szCs w:val="16"/>
                <w:lang w:val="sr-Cyrl-CS"/>
              </w:rPr>
            </w:pPr>
            <w:r w:rsidRPr="001B41AD">
              <w:rPr>
                <w:sz w:val="16"/>
                <w:szCs w:val="16"/>
                <w:lang w:val="sr-Cyrl-CS"/>
              </w:rPr>
              <w:t>427,0</w:t>
            </w:r>
          </w:p>
        </w:tc>
        <w:tc>
          <w:tcPr>
            <w:tcW w:w="565" w:type="pct"/>
          </w:tcPr>
          <w:p w14:paraId="190D0FFE" w14:textId="77777777" w:rsidR="00563D88" w:rsidRPr="001B41AD" w:rsidRDefault="00563D88" w:rsidP="00405489">
            <w:pPr>
              <w:jc w:val="right"/>
              <w:rPr>
                <w:sz w:val="16"/>
                <w:szCs w:val="16"/>
                <w:lang w:val="sr-Cyrl-CS"/>
              </w:rPr>
            </w:pPr>
            <w:r w:rsidRPr="001B41AD">
              <w:rPr>
                <w:sz w:val="16"/>
                <w:szCs w:val="16"/>
                <w:lang w:val="sr-Cyrl-CS"/>
              </w:rPr>
              <w:t>436,8</w:t>
            </w:r>
          </w:p>
        </w:tc>
        <w:tc>
          <w:tcPr>
            <w:tcW w:w="724" w:type="pct"/>
          </w:tcPr>
          <w:p w14:paraId="252B44B0" w14:textId="77777777" w:rsidR="00563D88" w:rsidRPr="001B41AD" w:rsidRDefault="00563D88" w:rsidP="00405489">
            <w:pPr>
              <w:jc w:val="right"/>
              <w:rPr>
                <w:sz w:val="16"/>
                <w:szCs w:val="16"/>
                <w:lang w:val="sr-Cyrl-CS"/>
              </w:rPr>
            </w:pPr>
            <w:r w:rsidRPr="001B41AD">
              <w:rPr>
                <w:sz w:val="16"/>
                <w:szCs w:val="16"/>
                <w:lang w:val="sr-Cyrl-CS"/>
              </w:rPr>
              <w:t>434,3</w:t>
            </w:r>
          </w:p>
        </w:tc>
        <w:tc>
          <w:tcPr>
            <w:tcW w:w="724" w:type="pct"/>
            <w:hideMark/>
          </w:tcPr>
          <w:p w14:paraId="07F6DD5F" w14:textId="77777777" w:rsidR="00563D88" w:rsidRPr="001B41AD" w:rsidRDefault="00563D88" w:rsidP="00405489">
            <w:pPr>
              <w:jc w:val="right"/>
              <w:rPr>
                <w:sz w:val="16"/>
                <w:szCs w:val="16"/>
                <w:lang w:val="sr-Cyrl-CS"/>
              </w:rPr>
            </w:pPr>
            <w:r w:rsidRPr="001B41AD">
              <w:rPr>
                <w:sz w:val="16"/>
                <w:szCs w:val="16"/>
                <w:lang w:val="sr-Cyrl-CS"/>
              </w:rPr>
              <w:t>7,3</w:t>
            </w:r>
          </w:p>
        </w:tc>
        <w:tc>
          <w:tcPr>
            <w:tcW w:w="566" w:type="pct"/>
            <w:hideMark/>
          </w:tcPr>
          <w:p w14:paraId="2497394A" w14:textId="77777777" w:rsidR="00563D88" w:rsidRPr="001B41AD" w:rsidRDefault="00563D88" w:rsidP="00405489">
            <w:pPr>
              <w:jc w:val="right"/>
              <w:rPr>
                <w:sz w:val="16"/>
                <w:szCs w:val="16"/>
                <w:lang w:val="sr-Cyrl-CS"/>
              </w:rPr>
            </w:pPr>
            <w:r w:rsidRPr="001B41AD">
              <w:rPr>
                <w:sz w:val="16"/>
                <w:szCs w:val="16"/>
                <w:lang w:val="sr-Cyrl-CS"/>
              </w:rPr>
              <w:t>1,7</w:t>
            </w:r>
          </w:p>
        </w:tc>
        <w:tc>
          <w:tcPr>
            <w:tcW w:w="555" w:type="pct"/>
            <w:noWrap/>
            <w:hideMark/>
          </w:tcPr>
          <w:p w14:paraId="587D9310" w14:textId="77777777" w:rsidR="00563D88" w:rsidRPr="001B41AD" w:rsidRDefault="00563D88" w:rsidP="00405489">
            <w:pPr>
              <w:jc w:val="right"/>
              <w:rPr>
                <w:sz w:val="16"/>
                <w:szCs w:val="16"/>
                <w:lang w:val="sr-Cyrl-CS"/>
              </w:rPr>
            </w:pPr>
            <w:r w:rsidRPr="001B41AD">
              <w:rPr>
                <w:sz w:val="16"/>
                <w:szCs w:val="16"/>
                <w:lang w:val="sr-Cyrl-CS"/>
              </w:rPr>
              <w:t>4,2</w:t>
            </w:r>
          </w:p>
        </w:tc>
      </w:tr>
      <w:tr w:rsidR="00563D88" w:rsidRPr="001B41AD" w14:paraId="37C735A2" w14:textId="77777777" w:rsidTr="00405489">
        <w:trPr>
          <w:trHeight w:hRule="exact" w:val="242"/>
          <w:jc w:val="center"/>
        </w:trPr>
        <w:tc>
          <w:tcPr>
            <w:tcW w:w="1299" w:type="pct"/>
            <w:noWrap/>
            <w:vAlign w:val="center"/>
            <w:hideMark/>
          </w:tcPr>
          <w:p w14:paraId="135F415B"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Порез на добит правних лица</w:t>
            </w:r>
          </w:p>
        </w:tc>
        <w:tc>
          <w:tcPr>
            <w:tcW w:w="567" w:type="pct"/>
            <w:hideMark/>
          </w:tcPr>
          <w:p w14:paraId="485AFDB9" w14:textId="77777777" w:rsidR="00563D88" w:rsidRPr="001B41AD" w:rsidRDefault="00563D88" w:rsidP="00405489">
            <w:pPr>
              <w:jc w:val="right"/>
              <w:rPr>
                <w:sz w:val="16"/>
                <w:szCs w:val="16"/>
                <w:lang w:val="sr-Cyrl-CS"/>
              </w:rPr>
            </w:pPr>
            <w:r w:rsidRPr="001B41AD">
              <w:rPr>
                <w:sz w:val="16"/>
                <w:szCs w:val="16"/>
                <w:lang w:val="sr-Cyrl-CS"/>
              </w:rPr>
              <w:t>287,4</w:t>
            </w:r>
          </w:p>
        </w:tc>
        <w:tc>
          <w:tcPr>
            <w:tcW w:w="565" w:type="pct"/>
          </w:tcPr>
          <w:p w14:paraId="65C48EDA" w14:textId="77777777" w:rsidR="00563D88" w:rsidRPr="001B41AD" w:rsidRDefault="00563D88" w:rsidP="00405489">
            <w:pPr>
              <w:jc w:val="right"/>
              <w:rPr>
                <w:sz w:val="16"/>
                <w:szCs w:val="16"/>
                <w:lang w:val="sr-Cyrl-CS"/>
              </w:rPr>
            </w:pPr>
            <w:r w:rsidRPr="001B41AD">
              <w:rPr>
                <w:sz w:val="16"/>
                <w:szCs w:val="16"/>
                <w:lang w:val="sr-Cyrl-CS"/>
              </w:rPr>
              <w:t>285,4</w:t>
            </w:r>
          </w:p>
        </w:tc>
        <w:tc>
          <w:tcPr>
            <w:tcW w:w="724" w:type="pct"/>
          </w:tcPr>
          <w:p w14:paraId="40A92992" w14:textId="77777777" w:rsidR="00563D88" w:rsidRPr="001B41AD" w:rsidRDefault="00563D88" w:rsidP="00405489">
            <w:pPr>
              <w:jc w:val="right"/>
              <w:rPr>
                <w:sz w:val="16"/>
                <w:szCs w:val="16"/>
                <w:lang w:val="sr-Cyrl-CS"/>
              </w:rPr>
            </w:pPr>
            <w:r w:rsidRPr="001B41AD">
              <w:rPr>
                <w:sz w:val="16"/>
                <w:szCs w:val="16"/>
                <w:lang w:val="sr-Cyrl-CS"/>
              </w:rPr>
              <w:t>288,8</w:t>
            </w:r>
          </w:p>
        </w:tc>
        <w:tc>
          <w:tcPr>
            <w:tcW w:w="724" w:type="pct"/>
            <w:hideMark/>
          </w:tcPr>
          <w:p w14:paraId="34ACA0DA" w14:textId="77777777" w:rsidR="00563D88" w:rsidRPr="001B41AD" w:rsidRDefault="00563D88" w:rsidP="00405489">
            <w:pPr>
              <w:jc w:val="right"/>
              <w:rPr>
                <w:sz w:val="16"/>
                <w:szCs w:val="16"/>
                <w:lang w:val="sr-Cyrl-CS"/>
              </w:rPr>
            </w:pPr>
            <w:r w:rsidRPr="001B41AD">
              <w:rPr>
                <w:sz w:val="16"/>
                <w:szCs w:val="16"/>
                <w:lang w:val="sr-Cyrl-CS"/>
              </w:rPr>
              <w:t>1,3</w:t>
            </w:r>
          </w:p>
        </w:tc>
        <w:tc>
          <w:tcPr>
            <w:tcW w:w="566" w:type="pct"/>
            <w:hideMark/>
          </w:tcPr>
          <w:p w14:paraId="5DA3AABA" w14:textId="77777777" w:rsidR="00563D88" w:rsidRPr="001B41AD" w:rsidRDefault="00563D88" w:rsidP="00405489">
            <w:pPr>
              <w:jc w:val="right"/>
              <w:rPr>
                <w:sz w:val="16"/>
                <w:szCs w:val="16"/>
                <w:lang w:val="sr-Cyrl-CS"/>
              </w:rPr>
            </w:pPr>
            <w:r w:rsidRPr="001B41AD">
              <w:rPr>
                <w:sz w:val="16"/>
                <w:szCs w:val="16"/>
                <w:lang w:val="sr-Cyrl-CS"/>
              </w:rPr>
              <w:t>0,5</w:t>
            </w:r>
          </w:p>
        </w:tc>
        <w:tc>
          <w:tcPr>
            <w:tcW w:w="555" w:type="pct"/>
            <w:noWrap/>
            <w:hideMark/>
          </w:tcPr>
          <w:p w14:paraId="6AD9921C" w14:textId="77777777" w:rsidR="00563D88" w:rsidRPr="001B41AD" w:rsidRDefault="00563D88" w:rsidP="00405489">
            <w:pPr>
              <w:jc w:val="right"/>
              <w:rPr>
                <w:sz w:val="16"/>
                <w:szCs w:val="16"/>
                <w:lang w:val="sr-Cyrl-CS"/>
              </w:rPr>
            </w:pPr>
            <w:r w:rsidRPr="001B41AD">
              <w:rPr>
                <w:sz w:val="16"/>
                <w:szCs w:val="16"/>
                <w:lang w:val="sr-Cyrl-CS"/>
              </w:rPr>
              <w:t>2,8</w:t>
            </w:r>
          </w:p>
        </w:tc>
      </w:tr>
      <w:tr w:rsidR="00563D88" w:rsidRPr="001B41AD" w14:paraId="750F9FEA" w14:textId="77777777" w:rsidTr="00405489">
        <w:trPr>
          <w:trHeight w:hRule="exact" w:val="242"/>
          <w:jc w:val="center"/>
        </w:trPr>
        <w:tc>
          <w:tcPr>
            <w:tcW w:w="1299" w:type="pct"/>
            <w:noWrap/>
            <w:vAlign w:val="center"/>
            <w:hideMark/>
          </w:tcPr>
          <w:p w14:paraId="70614C42"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ПДВ</w:t>
            </w:r>
          </w:p>
        </w:tc>
        <w:tc>
          <w:tcPr>
            <w:tcW w:w="567" w:type="pct"/>
            <w:hideMark/>
          </w:tcPr>
          <w:p w14:paraId="5FB779F5" w14:textId="77777777" w:rsidR="00563D88" w:rsidRPr="001B41AD" w:rsidRDefault="00563D88" w:rsidP="00405489">
            <w:pPr>
              <w:jc w:val="right"/>
              <w:rPr>
                <w:sz w:val="16"/>
                <w:szCs w:val="16"/>
                <w:lang w:val="sr-Cyrl-CS"/>
              </w:rPr>
            </w:pPr>
            <w:r w:rsidRPr="001B41AD">
              <w:rPr>
                <w:sz w:val="16"/>
                <w:szCs w:val="16"/>
                <w:lang w:val="sr-Cyrl-CS"/>
              </w:rPr>
              <w:t>1.056,0</w:t>
            </w:r>
          </w:p>
        </w:tc>
        <w:tc>
          <w:tcPr>
            <w:tcW w:w="565" w:type="pct"/>
          </w:tcPr>
          <w:p w14:paraId="1CCEA11F" w14:textId="77777777" w:rsidR="00563D88" w:rsidRPr="001B41AD" w:rsidRDefault="00563D88" w:rsidP="00405489">
            <w:pPr>
              <w:jc w:val="right"/>
              <w:rPr>
                <w:sz w:val="16"/>
                <w:szCs w:val="16"/>
                <w:lang w:val="sr-Cyrl-CS"/>
              </w:rPr>
            </w:pPr>
            <w:r w:rsidRPr="001B41AD">
              <w:rPr>
                <w:sz w:val="16"/>
                <w:szCs w:val="16"/>
                <w:lang w:val="sr-Cyrl-CS"/>
              </w:rPr>
              <w:t>1.018,0</w:t>
            </w:r>
          </w:p>
        </w:tc>
        <w:tc>
          <w:tcPr>
            <w:tcW w:w="724" w:type="pct"/>
          </w:tcPr>
          <w:p w14:paraId="3E07D211" w14:textId="77777777" w:rsidR="00563D88" w:rsidRPr="001B41AD" w:rsidRDefault="00563D88" w:rsidP="00405489">
            <w:pPr>
              <w:jc w:val="right"/>
              <w:rPr>
                <w:sz w:val="16"/>
                <w:szCs w:val="16"/>
                <w:lang w:val="sr-Cyrl-CS"/>
              </w:rPr>
            </w:pPr>
            <w:r w:rsidRPr="001B41AD">
              <w:rPr>
                <w:sz w:val="16"/>
                <w:szCs w:val="16"/>
                <w:lang w:val="sr-Cyrl-CS"/>
              </w:rPr>
              <w:t>1.002,0</w:t>
            </w:r>
          </w:p>
        </w:tc>
        <w:tc>
          <w:tcPr>
            <w:tcW w:w="724" w:type="pct"/>
            <w:hideMark/>
          </w:tcPr>
          <w:p w14:paraId="4D12ABAB" w14:textId="77777777" w:rsidR="00563D88" w:rsidRPr="001B41AD" w:rsidRDefault="00563D88" w:rsidP="00405489">
            <w:pPr>
              <w:jc w:val="right"/>
              <w:rPr>
                <w:sz w:val="16"/>
                <w:szCs w:val="16"/>
                <w:lang w:val="sr-Cyrl-CS"/>
              </w:rPr>
            </w:pPr>
            <w:r w:rsidRPr="001B41AD">
              <w:rPr>
                <w:sz w:val="16"/>
                <w:szCs w:val="16"/>
                <w:lang w:val="sr-Cyrl-CS"/>
              </w:rPr>
              <w:t>-54,0</w:t>
            </w:r>
          </w:p>
        </w:tc>
        <w:tc>
          <w:tcPr>
            <w:tcW w:w="566" w:type="pct"/>
            <w:hideMark/>
          </w:tcPr>
          <w:p w14:paraId="6050A2A0" w14:textId="77777777" w:rsidR="00563D88" w:rsidRPr="001B41AD" w:rsidRDefault="00563D88" w:rsidP="00405489">
            <w:pPr>
              <w:jc w:val="right"/>
              <w:rPr>
                <w:sz w:val="16"/>
                <w:szCs w:val="16"/>
                <w:lang w:val="sr-Cyrl-CS"/>
              </w:rPr>
            </w:pPr>
            <w:r w:rsidRPr="001B41AD">
              <w:rPr>
                <w:sz w:val="16"/>
                <w:szCs w:val="16"/>
                <w:lang w:val="sr-Cyrl-CS"/>
              </w:rPr>
              <w:t>-5,1</w:t>
            </w:r>
          </w:p>
        </w:tc>
        <w:tc>
          <w:tcPr>
            <w:tcW w:w="555" w:type="pct"/>
            <w:noWrap/>
            <w:hideMark/>
          </w:tcPr>
          <w:p w14:paraId="107BB65C" w14:textId="77777777" w:rsidR="00563D88" w:rsidRPr="001B41AD" w:rsidRDefault="00563D88" w:rsidP="00405489">
            <w:pPr>
              <w:jc w:val="right"/>
              <w:rPr>
                <w:sz w:val="16"/>
                <w:szCs w:val="16"/>
                <w:lang w:val="sr-Cyrl-CS"/>
              </w:rPr>
            </w:pPr>
            <w:r w:rsidRPr="001B41AD">
              <w:rPr>
                <w:sz w:val="16"/>
                <w:szCs w:val="16"/>
                <w:lang w:val="sr-Cyrl-CS"/>
              </w:rPr>
              <w:t>9,7</w:t>
            </w:r>
          </w:p>
        </w:tc>
      </w:tr>
      <w:tr w:rsidR="00563D88" w:rsidRPr="001B41AD" w14:paraId="0F4E6697" w14:textId="77777777" w:rsidTr="00405489">
        <w:trPr>
          <w:trHeight w:hRule="exact" w:val="242"/>
          <w:jc w:val="center"/>
        </w:trPr>
        <w:tc>
          <w:tcPr>
            <w:tcW w:w="1299" w:type="pct"/>
            <w:noWrap/>
            <w:vAlign w:val="center"/>
            <w:hideMark/>
          </w:tcPr>
          <w:p w14:paraId="7376D28F"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Акцизе</w:t>
            </w:r>
          </w:p>
        </w:tc>
        <w:tc>
          <w:tcPr>
            <w:tcW w:w="567" w:type="pct"/>
            <w:hideMark/>
          </w:tcPr>
          <w:p w14:paraId="3078B036" w14:textId="77777777" w:rsidR="00563D88" w:rsidRPr="001B41AD" w:rsidRDefault="00563D88" w:rsidP="00405489">
            <w:pPr>
              <w:jc w:val="right"/>
              <w:rPr>
                <w:sz w:val="16"/>
                <w:szCs w:val="16"/>
                <w:lang w:val="sr-Cyrl-CS"/>
              </w:rPr>
            </w:pPr>
            <w:r w:rsidRPr="001B41AD">
              <w:rPr>
                <w:sz w:val="16"/>
                <w:szCs w:val="16"/>
                <w:lang w:val="sr-Cyrl-CS"/>
              </w:rPr>
              <w:t>420,0</w:t>
            </w:r>
          </w:p>
        </w:tc>
        <w:tc>
          <w:tcPr>
            <w:tcW w:w="565" w:type="pct"/>
          </w:tcPr>
          <w:p w14:paraId="210CCFA0" w14:textId="77777777" w:rsidR="00563D88" w:rsidRPr="001B41AD" w:rsidRDefault="00563D88" w:rsidP="00405489">
            <w:pPr>
              <w:jc w:val="right"/>
              <w:rPr>
                <w:sz w:val="16"/>
                <w:szCs w:val="16"/>
                <w:lang w:val="sr-Cyrl-CS"/>
              </w:rPr>
            </w:pPr>
            <w:r w:rsidRPr="001B41AD">
              <w:rPr>
                <w:sz w:val="16"/>
                <w:szCs w:val="16"/>
                <w:lang w:val="sr-Cyrl-CS"/>
              </w:rPr>
              <w:t>426,0</w:t>
            </w:r>
          </w:p>
        </w:tc>
        <w:tc>
          <w:tcPr>
            <w:tcW w:w="724" w:type="pct"/>
          </w:tcPr>
          <w:p w14:paraId="0385F5F6" w14:textId="77777777" w:rsidR="00563D88" w:rsidRPr="001B41AD" w:rsidRDefault="00563D88" w:rsidP="00405489">
            <w:pPr>
              <w:jc w:val="right"/>
              <w:rPr>
                <w:sz w:val="16"/>
                <w:szCs w:val="16"/>
                <w:lang w:val="sr-Cyrl-CS"/>
              </w:rPr>
            </w:pPr>
            <w:r w:rsidRPr="001B41AD">
              <w:rPr>
                <w:sz w:val="16"/>
                <w:szCs w:val="16"/>
                <w:lang w:val="sr-Cyrl-CS"/>
              </w:rPr>
              <w:t>435,3</w:t>
            </w:r>
          </w:p>
        </w:tc>
        <w:tc>
          <w:tcPr>
            <w:tcW w:w="724" w:type="pct"/>
            <w:hideMark/>
          </w:tcPr>
          <w:p w14:paraId="453980C2" w14:textId="77777777" w:rsidR="00563D88" w:rsidRPr="001B41AD" w:rsidRDefault="00563D88" w:rsidP="00405489">
            <w:pPr>
              <w:jc w:val="right"/>
              <w:rPr>
                <w:sz w:val="16"/>
                <w:szCs w:val="16"/>
                <w:lang w:val="sr-Cyrl-CS"/>
              </w:rPr>
            </w:pPr>
            <w:r w:rsidRPr="001B41AD">
              <w:rPr>
                <w:sz w:val="16"/>
                <w:szCs w:val="16"/>
                <w:lang w:val="sr-Cyrl-CS"/>
              </w:rPr>
              <w:t>15,3</w:t>
            </w:r>
          </w:p>
        </w:tc>
        <w:tc>
          <w:tcPr>
            <w:tcW w:w="566" w:type="pct"/>
            <w:hideMark/>
          </w:tcPr>
          <w:p w14:paraId="4A0D7AA0" w14:textId="77777777" w:rsidR="00563D88" w:rsidRPr="001B41AD" w:rsidRDefault="00563D88" w:rsidP="00405489">
            <w:pPr>
              <w:jc w:val="right"/>
              <w:rPr>
                <w:sz w:val="16"/>
                <w:szCs w:val="16"/>
                <w:lang w:val="sr-Cyrl-CS"/>
              </w:rPr>
            </w:pPr>
            <w:r w:rsidRPr="001B41AD">
              <w:rPr>
                <w:sz w:val="16"/>
                <w:szCs w:val="16"/>
                <w:lang w:val="sr-Cyrl-CS"/>
              </w:rPr>
              <w:t>3,6</w:t>
            </w:r>
          </w:p>
        </w:tc>
        <w:tc>
          <w:tcPr>
            <w:tcW w:w="555" w:type="pct"/>
            <w:noWrap/>
            <w:hideMark/>
          </w:tcPr>
          <w:p w14:paraId="02263867" w14:textId="77777777" w:rsidR="00563D88" w:rsidRPr="001B41AD" w:rsidRDefault="00563D88" w:rsidP="00405489">
            <w:pPr>
              <w:jc w:val="right"/>
              <w:rPr>
                <w:sz w:val="16"/>
                <w:szCs w:val="16"/>
                <w:lang w:val="sr-Cyrl-CS"/>
              </w:rPr>
            </w:pPr>
            <w:r w:rsidRPr="001B41AD">
              <w:rPr>
                <w:sz w:val="16"/>
                <w:szCs w:val="16"/>
                <w:lang w:val="sr-Cyrl-CS"/>
              </w:rPr>
              <w:t>4,2</w:t>
            </w:r>
          </w:p>
        </w:tc>
      </w:tr>
      <w:tr w:rsidR="00563D88" w:rsidRPr="001B41AD" w14:paraId="0D8BC2EF" w14:textId="77777777" w:rsidTr="00405489">
        <w:trPr>
          <w:trHeight w:hRule="exact" w:val="242"/>
          <w:jc w:val="center"/>
        </w:trPr>
        <w:tc>
          <w:tcPr>
            <w:tcW w:w="1299" w:type="pct"/>
            <w:noWrap/>
            <w:vAlign w:val="center"/>
            <w:hideMark/>
          </w:tcPr>
          <w:p w14:paraId="4DC277EA"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Царине</w:t>
            </w:r>
          </w:p>
        </w:tc>
        <w:tc>
          <w:tcPr>
            <w:tcW w:w="567" w:type="pct"/>
            <w:hideMark/>
          </w:tcPr>
          <w:p w14:paraId="387F1A4F" w14:textId="77777777" w:rsidR="00563D88" w:rsidRPr="001B41AD" w:rsidRDefault="00563D88" w:rsidP="00405489">
            <w:pPr>
              <w:jc w:val="right"/>
              <w:rPr>
                <w:sz w:val="16"/>
                <w:szCs w:val="16"/>
                <w:lang w:val="sr-Cyrl-CS"/>
              </w:rPr>
            </w:pPr>
            <w:r w:rsidRPr="001B41AD">
              <w:rPr>
                <w:sz w:val="16"/>
                <w:szCs w:val="16"/>
                <w:lang w:val="sr-Cyrl-CS"/>
              </w:rPr>
              <w:t>95,3</w:t>
            </w:r>
          </w:p>
        </w:tc>
        <w:tc>
          <w:tcPr>
            <w:tcW w:w="565" w:type="pct"/>
          </w:tcPr>
          <w:p w14:paraId="7F211B6B" w14:textId="77777777" w:rsidR="00563D88" w:rsidRPr="001B41AD" w:rsidRDefault="00563D88" w:rsidP="00405489">
            <w:pPr>
              <w:jc w:val="right"/>
              <w:rPr>
                <w:sz w:val="16"/>
                <w:szCs w:val="16"/>
                <w:lang w:val="sr-Cyrl-CS"/>
              </w:rPr>
            </w:pPr>
            <w:r w:rsidRPr="001B41AD">
              <w:rPr>
                <w:sz w:val="16"/>
                <w:szCs w:val="16"/>
                <w:lang w:val="sr-Cyrl-CS"/>
              </w:rPr>
              <w:t>95,3</w:t>
            </w:r>
          </w:p>
        </w:tc>
        <w:tc>
          <w:tcPr>
            <w:tcW w:w="724" w:type="pct"/>
          </w:tcPr>
          <w:p w14:paraId="3425C617" w14:textId="77777777" w:rsidR="00563D88" w:rsidRPr="001B41AD" w:rsidRDefault="00563D88" w:rsidP="00405489">
            <w:pPr>
              <w:jc w:val="right"/>
              <w:rPr>
                <w:sz w:val="16"/>
                <w:szCs w:val="16"/>
                <w:lang w:val="sr-Cyrl-CS"/>
              </w:rPr>
            </w:pPr>
            <w:r w:rsidRPr="001B41AD">
              <w:rPr>
                <w:sz w:val="16"/>
                <w:szCs w:val="16"/>
                <w:lang w:val="sr-Cyrl-CS"/>
              </w:rPr>
              <w:t>93,4</w:t>
            </w:r>
          </w:p>
        </w:tc>
        <w:tc>
          <w:tcPr>
            <w:tcW w:w="724" w:type="pct"/>
            <w:hideMark/>
          </w:tcPr>
          <w:p w14:paraId="282D41B0" w14:textId="77777777" w:rsidR="00563D88" w:rsidRPr="001B41AD" w:rsidRDefault="00563D88" w:rsidP="00405489">
            <w:pPr>
              <w:jc w:val="right"/>
              <w:rPr>
                <w:sz w:val="16"/>
                <w:szCs w:val="16"/>
                <w:lang w:val="sr-Cyrl-CS"/>
              </w:rPr>
            </w:pPr>
            <w:r w:rsidRPr="001B41AD">
              <w:rPr>
                <w:sz w:val="16"/>
                <w:szCs w:val="16"/>
                <w:lang w:val="sr-Cyrl-CS"/>
              </w:rPr>
              <w:t>-1,9</w:t>
            </w:r>
          </w:p>
        </w:tc>
        <w:tc>
          <w:tcPr>
            <w:tcW w:w="566" w:type="pct"/>
            <w:hideMark/>
          </w:tcPr>
          <w:p w14:paraId="6B3DD4E7" w14:textId="77777777" w:rsidR="00563D88" w:rsidRPr="001B41AD" w:rsidRDefault="00563D88" w:rsidP="00405489">
            <w:pPr>
              <w:jc w:val="right"/>
              <w:rPr>
                <w:sz w:val="16"/>
                <w:szCs w:val="16"/>
                <w:lang w:val="sr-Cyrl-CS"/>
              </w:rPr>
            </w:pPr>
            <w:r w:rsidRPr="001B41AD">
              <w:rPr>
                <w:sz w:val="16"/>
                <w:szCs w:val="16"/>
                <w:lang w:val="sr-Cyrl-CS"/>
              </w:rPr>
              <w:t>-2,0</w:t>
            </w:r>
          </w:p>
        </w:tc>
        <w:tc>
          <w:tcPr>
            <w:tcW w:w="555" w:type="pct"/>
            <w:noWrap/>
            <w:hideMark/>
          </w:tcPr>
          <w:p w14:paraId="3E1D8533" w14:textId="77777777" w:rsidR="00563D88" w:rsidRPr="001B41AD" w:rsidRDefault="00563D88" w:rsidP="00405489">
            <w:pPr>
              <w:jc w:val="right"/>
              <w:rPr>
                <w:sz w:val="16"/>
                <w:szCs w:val="16"/>
                <w:lang w:val="sr-Cyrl-CS"/>
              </w:rPr>
            </w:pPr>
            <w:r w:rsidRPr="001B41AD">
              <w:rPr>
                <w:sz w:val="16"/>
                <w:szCs w:val="16"/>
                <w:lang w:val="sr-Cyrl-CS"/>
              </w:rPr>
              <w:t>0,9</w:t>
            </w:r>
          </w:p>
        </w:tc>
      </w:tr>
      <w:tr w:rsidR="00563D88" w:rsidRPr="001B41AD" w14:paraId="55D7385A" w14:textId="77777777" w:rsidTr="00405489">
        <w:trPr>
          <w:trHeight w:hRule="exact" w:val="242"/>
          <w:jc w:val="center"/>
        </w:trPr>
        <w:tc>
          <w:tcPr>
            <w:tcW w:w="1299" w:type="pct"/>
            <w:noWrap/>
            <w:vAlign w:val="center"/>
            <w:hideMark/>
          </w:tcPr>
          <w:p w14:paraId="45C1F04A"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Остали порески приходи</w:t>
            </w:r>
          </w:p>
        </w:tc>
        <w:tc>
          <w:tcPr>
            <w:tcW w:w="567" w:type="pct"/>
            <w:hideMark/>
          </w:tcPr>
          <w:p w14:paraId="3C2C19D4" w14:textId="77777777" w:rsidR="00563D88" w:rsidRPr="001B41AD" w:rsidRDefault="00563D88" w:rsidP="00405489">
            <w:pPr>
              <w:jc w:val="right"/>
              <w:rPr>
                <w:sz w:val="16"/>
                <w:szCs w:val="16"/>
                <w:lang w:val="sr-Cyrl-CS"/>
              </w:rPr>
            </w:pPr>
            <w:r w:rsidRPr="001B41AD">
              <w:rPr>
                <w:sz w:val="16"/>
                <w:szCs w:val="16"/>
                <w:lang w:val="sr-Cyrl-CS"/>
              </w:rPr>
              <w:t>119,7</w:t>
            </w:r>
          </w:p>
        </w:tc>
        <w:tc>
          <w:tcPr>
            <w:tcW w:w="565" w:type="pct"/>
          </w:tcPr>
          <w:p w14:paraId="02E7B6C8" w14:textId="77777777" w:rsidR="00563D88" w:rsidRPr="001B41AD" w:rsidRDefault="00563D88" w:rsidP="00405489">
            <w:pPr>
              <w:jc w:val="right"/>
              <w:rPr>
                <w:sz w:val="16"/>
                <w:szCs w:val="16"/>
                <w:lang w:val="sr-Cyrl-CS"/>
              </w:rPr>
            </w:pPr>
            <w:r w:rsidRPr="001B41AD">
              <w:rPr>
                <w:sz w:val="16"/>
                <w:szCs w:val="16"/>
                <w:lang w:val="sr-Cyrl-CS"/>
              </w:rPr>
              <w:t>119,7</w:t>
            </w:r>
          </w:p>
        </w:tc>
        <w:tc>
          <w:tcPr>
            <w:tcW w:w="724" w:type="pct"/>
          </w:tcPr>
          <w:p w14:paraId="0E5BC531" w14:textId="77777777" w:rsidR="00563D88" w:rsidRPr="001B41AD" w:rsidRDefault="00563D88" w:rsidP="00405489">
            <w:pPr>
              <w:jc w:val="right"/>
              <w:rPr>
                <w:sz w:val="16"/>
                <w:szCs w:val="16"/>
                <w:lang w:val="sr-Cyrl-CS"/>
              </w:rPr>
            </w:pPr>
            <w:r w:rsidRPr="001B41AD">
              <w:rPr>
                <w:sz w:val="16"/>
                <w:szCs w:val="16"/>
                <w:lang w:val="sr-Cyrl-CS"/>
              </w:rPr>
              <w:t>124,7</w:t>
            </w:r>
          </w:p>
        </w:tc>
        <w:tc>
          <w:tcPr>
            <w:tcW w:w="724" w:type="pct"/>
            <w:hideMark/>
          </w:tcPr>
          <w:p w14:paraId="71A8948F" w14:textId="77777777" w:rsidR="00563D88" w:rsidRPr="001B41AD" w:rsidRDefault="00563D88" w:rsidP="00405489">
            <w:pPr>
              <w:jc w:val="right"/>
              <w:rPr>
                <w:sz w:val="16"/>
                <w:szCs w:val="16"/>
                <w:lang w:val="sr-Cyrl-CS"/>
              </w:rPr>
            </w:pPr>
            <w:r w:rsidRPr="001B41AD">
              <w:rPr>
                <w:sz w:val="16"/>
                <w:szCs w:val="16"/>
                <w:lang w:val="sr-Cyrl-CS"/>
              </w:rPr>
              <w:t>5,0</w:t>
            </w:r>
          </w:p>
        </w:tc>
        <w:tc>
          <w:tcPr>
            <w:tcW w:w="566" w:type="pct"/>
            <w:hideMark/>
          </w:tcPr>
          <w:p w14:paraId="6B5825C9" w14:textId="77777777" w:rsidR="00563D88" w:rsidRPr="001B41AD" w:rsidRDefault="00563D88" w:rsidP="00405489">
            <w:pPr>
              <w:jc w:val="right"/>
              <w:rPr>
                <w:sz w:val="16"/>
                <w:szCs w:val="16"/>
                <w:lang w:val="sr-Cyrl-CS"/>
              </w:rPr>
            </w:pPr>
            <w:r w:rsidRPr="001B41AD">
              <w:rPr>
                <w:sz w:val="16"/>
                <w:szCs w:val="16"/>
                <w:lang w:val="sr-Cyrl-CS"/>
              </w:rPr>
              <w:t>4,2</w:t>
            </w:r>
          </w:p>
        </w:tc>
        <w:tc>
          <w:tcPr>
            <w:tcW w:w="555" w:type="pct"/>
            <w:noWrap/>
            <w:hideMark/>
          </w:tcPr>
          <w:p w14:paraId="2FAE8954" w14:textId="77777777" w:rsidR="00563D88" w:rsidRPr="001B41AD" w:rsidRDefault="00563D88" w:rsidP="00405489">
            <w:pPr>
              <w:jc w:val="right"/>
              <w:rPr>
                <w:sz w:val="16"/>
                <w:szCs w:val="16"/>
                <w:lang w:val="sr-Cyrl-CS"/>
              </w:rPr>
            </w:pPr>
            <w:r w:rsidRPr="001B41AD">
              <w:rPr>
                <w:sz w:val="16"/>
                <w:szCs w:val="16"/>
                <w:lang w:val="sr-Cyrl-CS"/>
              </w:rPr>
              <w:t>1,2</w:t>
            </w:r>
          </w:p>
        </w:tc>
      </w:tr>
      <w:tr w:rsidR="00563D88" w:rsidRPr="001B41AD" w14:paraId="5F8F0291" w14:textId="77777777" w:rsidTr="00405489">
        <w:trPr>
          <w:trHeight w:hRule="exact" w:val="242"/>
          <w:jc w:val="center"/>
        </w:trPr>
        <w:tc>
          <w:tcPr>
            <w:tcW w:w="1299" w:type="pct"/>
            <w:noWrap/>
            <w:vAlign w:val="center"/>
            <w:hideMark/>
          </w:tcPr>
          <w:p w14:paraId="3C99B08F"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Доприноси</w:t>
            </w:r>
          </w:p>
        </w:tc>
        <w:tc>
          <w:tcPr>
            <w:tcW w:w="567" w:type="pct"/>
            <w:hideMark/>
          </w:tcPr>
          <w:p w14:paraId="6F172BF2" w14:textId="77777777" w:rsidR="00563D88" w:rsidRPr="001B41AD" w:rsidRDefault="00563D88" w:rsidP="00405489">
            <w:pPr>
              <w:jc w:val="right"/>
              <w:rPr>
                <w:sz w:val="16"/>
                <w:szCs w:val="16"/>
                <w:lang w:val="sr-Cyrl-CS"/>
              </w:rPr>
            </w:pPr>
            <w:r w:rsidRPr="001B41AD">
              <w:rPr>
                <w:sz w:val="16"/>
                <w:szCs w:val="16"/>
                <w:lang w:val="sr-Cyrl-CS"/>
              </w:rPr>
              <w:t>1.344,6</w:t>
            </w:r>
          </w:p>
        </w:tc>
        <w:tc>
          <w:tcPr>
            <w:tcW w:w="565" w:type="pct"/>
          </w:tcPr>
          <w:p w14:paraId="66FDE67C" w14:textId="77777777" w:rsidR="00563D88" w:rsidRPr="001B41AD" w:rsidRDefault="00563D88" w:rsidP="00405489">
            <w:pPr>
              <w:jc w:val="right"/>
              <w:rPr>
                <w:sz w:val="16"/>
                <w:szCs w:val="16"/>
                <w:lang w:val="sr-Cyrl-CS"/>
              </w:rPr>
            </w:pPr>
            <w:r w:rsidRPr="001B41AD">
              <w:rPr>
                <w:sz w:val="16"/>
                <w:szCs w:val="16"/>
                <w:lang w:val="sr-Cyrl-CS"/>
              </w:rPr>
              <w:t>1.364,6</w:t>
            </w:r>
          </w:p>
        </w:tc>
        <w:tc>
          <w:tcPr>
            <w:tcW w:w="724" w:type="pct"/>
          </w:tcPr>
          <w:p w14:paraId="358021C0" w14:textId="77777777" w:rsidR="00563D88" w:rsidRPr="001B41AD" w:rsidRDefault="00563D88" w:rsidP="00405489">
            <w:pPr>
              <w:jc w:val="right"/>
              <w:rPr>
                <w:sz w:val="16"/>
                <w:szCs w:val="16"/>
                <w:lang w:val="sr-Cyrl-CS"/>
              </w:rPr>
            </w:pPr>
            <w:r w:rsidRPr="001B41AD">
              <w:rPr>
                <w:sz w:val="16"/>
                <w:szCs w:val="16"/>
                <w:lang w:val="sr-Cyrl-CS"/>
              </w:rPr>
              <w:t>1.372,2</w:t>
            </w:r>
          </w:p>
        </w:tc>
        <w:tc>
          <w:tcPr>
            <w:tcW w:w="724" w:type="pct"/>
            <w:hideMark/>
          </w:tcPr>
          <w:p w14:paraId="0F9BA283" w14:textId="77777777" w:rsidR="00563D88" w:rsidRPr="001B41AD" w:rsidRDefault="00563D88" w:rsidP="00405489">
            <w:pPr>
              <w:jc w:val="right"/>
              <w:rPr>
                <w:sz w:val="16"/>
                <w:szCs w:val="16"/>
                <w:lang w:val="sr-Cyrl-CS"/>
              </w:rPr>
            </w:pPr>
            <w:r w:rsidRPr="001B41AD">
              <w:rPr>
                <w:sz w:val="16"/>
                <w:szCs w:val="16"/>
                <w:lang w:val="sr-Cyrl-CS"/>
              </w:rPr>
              <w:t>27,6</w:t>
            </w:r>
          </w:p>
        </w:tc>
        <w:tc>
          <w:tcPr>
            <w:tcW w:w="566" w:type="pct"/>
            <w:hideMark/>
          </w:tcPr>
          <w:p w14:paraId="60B6344F" w14:textId="77777777" w:rsidR="00563D88" w:rsidRPr="001B41AD" w:rsidRDefault="00563D88" w:rsidP="00405489">
            <w:pPr>
              <w:jc w:val="right"/>
              <w:rPr>
                <w:sz w:val="16"/>
                <w:szCs w:val="16"/>
                <w:lang w:val="sr-Cyrl-CS"/>
              </w:rPr>
            </w:pPr>
            <w:r w:rsidRPr="001B41AD">
              <w:rPr>
                <w:sz w:val="16"/>
                <w:szCs w:val="16"/>
                <w:lang w:val="sr-Cyrl-CS"/>
              </w:rPr>
              <w:t>2,1</w:t>
            </w:r>
          </w:p>
        </w:tc>
        <w:tc>
          <w:tcPr>
            <w:tcW w:w="555" w:type="pct"/>
            <w:noWrap/>
            <w:hideMark/>
          </w:tcPr>
          <w:p w14:paraId="4901A7CB" w14:textId="77777777" w:rsidR="00563D88" w:rsidRPr="001B41AD" w:rsidRDefault="00563D88" w:rsidP="00405489">
            <w:pPr>
              <w:jc w:val="right"/>
              <w:rPr>
                <w:sz w:val="16"/>
                <w:szCs w:val="16"/>
                <w:lang w:val="sr-Cyrl-CS"/>
              </w:rPr>
            </w:pPr>
            <w:r w:rsidRPr="001B41AD">
              <w:rPr>
                <w:sz w:val="16"/>
                <w:szCs w:val="16"/>
                <w:lang w:val="sr-Cyrl-CS"/>
              </w:rPr>
              <w:t>13,2</w:t>
            </w:r>
          </w:p>
        </w:tc>
      </w:tr>
      <w:tr w:rsidR="00563D88" w:rsidRPr="001B41AD" w14:paraId="472C123D" w14:textId="77777777" w:rsidTr="00405489">
        <w:trPr>
          <w:trHeight w:hRule="exact" w:val="242"/>
          <w:jc w:val="center"/>
        </w:trPr>
        <w:tc>
          <w:tcPr>
            <w:tcW w:w="1299" w:type="pct"/>
            <w:noWrap/>
            <w:vAlign w:val="center"/>
            <w:hideMark/>
          </w:tcPr>
          <w:p w14:paraId="0C625D21"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Непорески приходи</w:t>
            </w:r>
          </w:p>
        </w:tc>
        <w:tc>
          <w:tcPr>
            <w:tcW w:w="567" w:type="pct"/>
            <w:hideMark/>
          </w:tcPr>
          <w:p w14:paraId="349B7668" w14:textId="77777777" w:rsidR="00563D88" w:rsidRPr="001B41AD" w:rsidRDefault="00563D88" w:rsidP="00405489">
            <w:pPr>
              <w:jc w:val="right"/>
              <w:rPr>
                <w:sz w:val="16"/>
                <w:szCs w:val="16"/>
                <w:lang w:val="sr-Cyrl-CS"/>
              </w:rPr>
            </w:pPr>
            <w:r w:rsidRPr="001B41AD">
              <w:rPr>
                <w:sz w:val="16"/>
                <w:szCs w:val="16"/>
                <w:lang w:val="sr-Cyrl-CS"/>
              </w:rPr>
              <w:t>445,1</w:t>
            </w:r>
          </w:p>
        </w:tc>
        <w:tc>
          <w:tcPr>
            <w:tcW w:w="565" w:type="pct"/>
          </w:tcPr>
          <w:p w14:paraId="4B1A4F32" w14:textId="77777777" w:rsidR="00563D88" w:rsidRPr="001B41AD" w:rsidRDefault="00563D88" w:rsidP="00405489">
            <w:pPr>
              <w:jc w:val="right"/>
              <w:rPr>
                <w:sz w:val="16"/>
                <w:szCs w:val="16"/>
                <w:lang w:val="sr-Cyrl-CS"/>
              </w:rPr>
            </w:pPr>
            <w:r w:rsidRPr="001B41AD">
              <w:rPr>
                <w:sz w:val="16"/>
                <w:szCs w:val="16"/>
                <w:lang w:val="sr-Cyrl-CS"/>
              </w:rPr>
              <w:t>443,2</w:t>
            </w:r>
          </w:p>
        </w:tc>
        <w:tc>
          <w:tcPr>
            <w:tcW w:w="724" w:type="pct"/>
          </w:tcPr>
          <w:p w14:paraId="4B5CFBB8" w14:textId="77777777" w:rsidR="00563D88" w:rsidRPr="001B41AD" w:rsidRDefault="00563D88" w:rsidP="00405489">
            <w:pPr>
              <w:jc w:val="right"/>
              <w:rPr>
                <w:sz w:val="16"/>
                <w:szCs w:val="16"/>
                <w:lang w:val="sr-Cyrl-CS"/>
              </w:rPr>
            </w:pPr>
            <w:r w:rsidRPr="001B41AD">
              <w:rPr>
                <w:sz w:val="16"/>
                <w:szCs w:val="16"/>
                <w:lang w:val="sr-Cyrl-CS"/>
              </w:rPr>
              <w:t>455,2</w:t>
            </w:r>
          </w:p>
        </w:tc>
        <w:tc>
          <w:tcPr>
            <w:tcW w:w="724" w:type="pct"/>
            <w:hideMark/>
          </w:tcPr>
          <w:p w14:paraId="4931916B" w14:textId="77777777" w:rsidR="00563D88" w:rsidRPr="001B41AD" w:rsidRDefault="00563D88" w:rsidP="00405489">
            <w:pPr>
              <w:jc w:val="right"/>
              <w:rPr>
                <w:sz w:val="16"/>
                <w:szCs w:val="16"/>
                <w:lang w:val="sr-Cyrl-CS"/>
              </w:rPr>
            </w:pPr>
            <w:r w:rsidRPr="001B41AD">
              <w:rPr>
                <w:sz w:val="16"/>
                <w:szCs w:val="16"/>
                <w:lang w:val="sr-Cyrl-CS"/>
              </w:rPr>
              <w:t>10,1</w:t>
            </w:r>
          </w:p>
        </w:tc>
        <w:tc>
          <w:tcPr>
            <w:tcW w:w="566" w:type="pct"/>
            <w:hideMark/>
          </w:tcPr>
          <w:p w14:paraId="0DA48BF8" w14:textId="77777777" w:rsidR="00563D88" w:rsidRPr="001B41AD" w:rsidRDefault="00563D88" w:rsidP="00405489">
            <w:pPr>
              <w:jc w:val="right"/>
              <w:rPr>
                <w:sz w:val="16"/>
                <w:szCs w:val="16"/>
                <w:lang w:val="sr-Cyrl-CS"/>
              </w:rPr>
            </w:pPr>
            <w:r w:rsidRPr="001B41AD">
              <w:rPr>
                <w:sz w:val="16"/>
                <w:szCs w:val="16"/>
                <w:lang w:val="sr-Cyrl-CS"/>
              </w:rPr>
              <w:t>2,3</w:t>
            </w:r>
          </w:p>
        </w:tc>
        <w:tc>
          <w:tcPr>
            <w:tcW w:w="555" w:type="pct"/>
            <w:noWrap/>
            <w:hideMark/>
          </w:tcPr>
          <w:p w14:paraId="7C9A5140" w14:textId="77777777" w:rsidR="00563D88" w:rsidRPr="001B41AD" w:rsidRDefault="00563D88" w:rsidP="00405489">
            <w:pPr>
              <w:jc w:val="right"/>
              <w:rPr>
                <w:sz w:val="16"/>
                <w:szCs w:val="16"/>
                <w:lang w:val="sr-Cyrl-CS"/>
              </w:rPr>
            </w:pPr>
            <w:r w:rsidRPr="001B41AD">
              <w:rPr>
                <w:sz w:val="16"/>
                <w:szCs w:val="16"/>
                <w:lang w:val="sr-Cyrl-CS"/>
              </w:rPr>
              <w:t>4,4</w:t>
            </w:r>
          </w:p>
        </w:tc>
      </w:tr>
      <w:tr w:rsidR="00563D88" w:rsidRPr="001B41AD" w14:paraId="6B38A130" w14:textId="77777777" w:rsidTr="00405489">
        <w:trPr>
          <w:trHeight w:hRule="exact" w:val="242"/>
          <w:jc w:val="center"/>
        </w:trPr>
        <w:tc>
          <w:tcPr>
            <w:tcW w:w="1299" w:type="pct"/>
            <w:noWrap/>
            <w:vAlign w:val="center"/>
            <w:hideMark/>
          </w:tcPr>
          <w:p w14:paraId="00C49018"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Донације</w:t>
            </w:r>
          </w:p>
        </w:tc>
        <w:tc>
          <w:tcPr>
            <w:tcW w:w="567" w:type="pct"/>
            <w:hideMark/>
          </w:tcPr>
          <w:p w14:paraId="0FD8ABB5" w14:textId="77777777" w:rsidR="00563D88" w:rsidRPr="001B41AD" w:rsidRDefault="00563D88" w:rsidP="00405489">
            <w:pPr>
              <w:jc w:val="right"/>
              <w:rPr>
                <w:sz w:val="16"/>
                <w:szCs w:val="16"/>
                <w:lang w:val="sr-Cyrl-CS"/>
              </w:rPr>
            </w:pPr>
            <w:r w:rsidRPr="001B41AD">
              <w:rPr>
                <w:sz w:val="16"/>
                <w:szCs w:val="16"/>
                <w:lang w:val="sr-Cyrl-CS"/>
              </w:rPr>
              <w:t>38,3</w:t>
            </w:r>
          </w:p>
        </w:tc>
        <w:tc>
          <w:tcPr>
            <w:tcW w:w="565" w:type="pct"/>
          </w:tcPr>
          <w:p w14:paraId="06400112" w14:textId="77777777" w:rsidR="00563D88" w:rsidRPr="001B41AD" w:rsidRDefault="00563D88" w:rsidP="00405489">
            <w:pPr>
              <w:jc w:val="right"/>
              <w:rPr>
                <w:sz w:val="16"/>
                <w:szCs w:val="16"/>
                <w:lang w:val="sr-Cyrl-CS"/>
              </w:rPr>
            </w:pPr>
            <w:r w:rsidRPr="001B41AD">
              <w:rPr>
                <w:sz w:val="16"/>
                <w:szCs w:val="16"/>
                <w:lang w:val="sr-Cyrl-CS"/>
              </w:rPr>
              <w:t>38,3</w:t>
            </w:r>
          </w:p>
        </w:tc>
        <w:tc>
          <w:tcPr>
            <w:tcW w:w="724" w:type="pct"/>
          </w:tcPr>
          <w:p w14:paraId="6075C500" w14:textId="77777777" w:rsidR="00563D88" w:rsidRPr="001B41AD" w:rsidRDefault="00563D88" w:rsidP="00405489">
            <w:pPr>
              <w:jc w:val="right"/>
              <w:rPr>
                <w:sz w:val="16"/>
                <w:szCs w:val="16"/>
                <w:lang w:val="sr-Cyrl-CS"/>
              </w:rPr>
            </w:pPr>
            <w:r w:rsidRPr="001B41AD">
              <w:rPr>
                <w:sz w:val="16"/>
                <w:szCs w:val="16"/>
                <w:lang w:val="sr-Cyrl-CS"/>
              </w:rPr>
              <w:t>38,3</w:t>
            </w:r>
          </w:p>
        </w:tc>
        <w:tc>
          <w:tcPr>
            <w:tcW w:w="724" w:type="pct"/>
            <w:hideMark/>
          </w:tcPr>
          <w:p w14:paraId="21136EB3" w14:textId="77777777" w:rsidR="00563D88" w:rsidRPr="001B41AD" w:rsidRDefault="00563D88" w:rsidP="00405489">
            <w:pPr>
              <w:jc w:val="right"/>
              <w:rPr>
                <w:sz w:val="16"/>
                <w:szCs w:val="16"/>
                <w:lang w:val="sr-Cyrl-CS"/>
              </w:rPr>
            </w:pPr>
            <w:r w:rsidRPr="001B41AD">
              <w:rPr>
                <w:sz w:val="16"/>
                <w:szCs w:val="16"/>
                <w:lang w:val="sr-Cyrl-CS"/>
              </w:rPr>
              <w:t>0,0</w:t>
            </w:r>
          </w:p>
        </w:tc>
        <w:tc>
          <w:tcPr>
            <w:tcW w:w="566" w:type="pct"/>
            <w:hideMark/>
          </w:tcPr>
          <w:p w14:paraId="018A9529" w14:textId="77777777" w:rsidR="00563D88" w:rsidRPr="001B41AD" w:rsidRDefault="00563D88" w:rsidP="00405489">
            <w:pPr>
              <w:jc w:val="right"/>
              <w:rPr>
                <w:sz w:val="16"/>
                <w:szCs w:val="16"/>
                <w:lang w:val="sr-Cyrl-CS"/>
              </w:rPr>
            </w:pPr>
            <w:r w:rsidRPr="001B41AD">
              <w:rPr>
                <w:sz w:val="16"/>
                <w:szCs w:val="16"/>
                <w:lang w:val="sr-Cyrl-CS"/>
              </w:rPr>
              <w:t>0,0</w:t>
            </w:r>
          </w:p>
        </w:tc>
        <w:tc>
          <w:tcPr>
            <w:tcW w:w="555" w:type="pct"/>
            <w:noWrap/>
            <w:hideMark/>
          </w:tcPr>
          <w:p w14:paraId="3C88E7FD" w14:textId="77777777" w:rsidR="00563D88" w:rsidRPr="001B41AD" w:rsidRDefault="00563D88" w:rsidP="00405489">
            <w:pPr>
              <w:jc w:val="right"/>
              <w:rPr>
                <w:sz w:val="16"/>
                <w:szCs w:val="16"/>
                <w:lang w:val="sr-Cyrl-CS"/>
              </w:rPr>
            </w:pPr>
            <w:r w:rsidRPr="001B41AD">
              <w:rPr>
                <w:sz w:val="16"/>
                <w:szCs w:val="16"/>
                <w:lang w:val="sr-Cyrl-CS"/>
              </w:rPr>
              <w:t>0,4</w:t>
            </w:r>
          </w:p>
        </w:tc>
      </w:tr>
      <w:tr w:rsidR="00563D88" w:rsidRPr="001B41AD" w14:paraId="12226539" w14:textId="77777777" w:rsidTr="00405489">
        <w:trPr>
          <w:trHeight w:hRule="exact" w:val="242"/>
          <w:jc w:val="center"/>
        </w:trPr>
        <w:tc>
          <w:tcPr>
            <w:tcW w:w="1299" w:type="pct"/>
            <w:shd w:val="clear" w:color="auto" w:fill="E7E6E6" w:themeFill="background2"/>
            <w:noWrap/>
            <w:vAlign w:val="center"/>
            <w:hideMark/>
          </w:tcPr>
          <w:p w14:paraId="768C904A" w14:textId="77777777" w:rsidR="00563D88" w:rsidRPr="001B41AD" w:rsidRDefault="00563D88" w:rsidP="00405489">
            <w:pPr>
              <w:spacing w:after="0" w:line="240" w:lineRule="auto"/>
              <w:jc w:val="left"/>
              <w:rPr>
                <w:rFonts w:cstheme="minorHAnsi"/>
                <w:color w:val="002060"/>
                <w:sz w:val="16"/>
                <w:szCs w:val="16"/>
                <w:lang w:val="sr-Cyrl-CS"/>
              </w:rPr>
            </w:pPr>
            <w:r w:rsidRPr="001B41AD">
              <w:rPr>
                <w:rFonts w:eastAsia="MS PGothic" w:cstheme="minorHAnsi"/>
                <w:color w:val="002060"/>
                <w:sz w:val="16"/>
                <w:szCs w:val="16"/>
                <w:lang w:val="sr-Cyrl-CS" w:eastAsia="ja-JP"/>
              </w:rPr>
              <w:t>ЈАВНИ РАСХОДИ</w:t>
            </w:r>
          </w:p>
        </w:tc>
        <w:tc>
          <w:tcPr>
            <w:tcW w:w="567" w:type="pct"/>
            <w:shd w:val="clear" w:color="auto" w:fill="E7E6E6" w:themeFill="background2"/>
            <w:hideMark/>
          </w:tcPr>
          <w:p w14:paraId="09886FC8" w14:textId="77777777" w:rsidR="00563D88" w:rsidRPr="001B41AD" w:rsidRDefault="00563D88" w:rsidP="00405489">
            <w:pPr>
              <w:jc w:val="right"/>
              <w:rPr>
                <w:sz w:val="16"/>
                <w:szCs w:val="16"/>
                <w:lang w:val="sr-Cyrl-CS"/>
              </w:rPr>
            </w:pPr>
            <w:r w:rsidRPr="001B41AD">
              <w:rPr>
                <w:sz w:val="16"/>
                <w:szCs w:val="16"/>
                <w:lang w:val="sr-Cyrl-CS"/>
              </w:rPr>
              <w:t>4.547,4</w:t>
            </w:r>
          </w:p>
        </w:tc>
        <w:tc>
          <w:tcPr>
            <w:tcW w:w="565" w:type="pct"/>
            <w:shd w:val="clear" w:color="auto" w:fill="E7E6E6" w:themeFill="background2"/>
          </w:tcPr>
          <w:p w14:paraId="5234F9BD" w14:textId="77777777" w:rsidR="00563D88" w:rsidRPr="001B41AD" w:rsidRDefault="00563D88" w:rsidP="00405489">
            <w:pPr>
              <w:jc w:val="right"/>
              <w:rPr>
                <w:sz w:val="16"/>
                <w:szCs w:val="16"/>
                <w:lang w:val="sr-Cyrl-CS"/>
              </w:rPr>
            </w:pPr>
            <w:r w:rsidRPr="001B41AD">
              <w:rPr>
                <w:sz w:val="16"/>
                <w:szCs w:val="16"/>
                <w:lang w:val="sr-Cyrl-CS"/>
              </w:rPr>
              <w:t>4.541,3</w:t>
            </w:r>
          </w:p>
        </w:tc>
        <w:tc>
          <w:tcPr>
            <w:tcW w:w="724" w:type="pct"/>
            <w:shd w:val="clear" w:color="auto" w:fill="E7E6E6" w:themeFill="background2"/>
          </w:tcPr>
          <w:p w14:paraId="555D9655" w14:textId="77777777" w:rsidR="00563D88" w:rsidRPr="001B41AD" w:rsidRDefault="00563D88" w:rsidP="00405489">
            <w:pPr>
              <w:jc w:val="right"/>
              <w:rPr>
                <w:sz w:val="16"/>
                <w:szCs w:val="16"/>
                <w:lang w:val="sr-Cyrl-CS"/>
              </w:rPr>
            </w:pPr>
            <w:r w:rsidRPr="001B41AD">
              <w:rPr>
                <w:sz w:val="16"/>
                <w:szCs w:val="16"/>
                <w:lang w:val="sr-Cyrl-CS"/>
              </w:rPr>
              <w:t>4.558,1</w:t>
            </w:r>
          </w:p>
        </w:tc>
        <w:tc>
          <w:tcPr>
            <w:tcW w:w="724" w:type="pct"/>
            <w:shd w:val="clear" w:color="auto" w:fill="E7E6E6" w:themeFill="background2"/>
            <w:hideMark/>
          </w:tcPr>
          <w:p w14:paraId="025D3072" w14:textId="77777777" w:rsidR="00563D88" w:rsidRPr="001B41AD" w:rsidRDefault="00563D88" w:rsidP="00405489">
            <w:pPr>
              <w:jc w:val="right"/>
              <w:rPr>
                <w:sz w:val="16"/>
                <w:szCs w:val="16"/>
                <w:lang w:val="sr-Cyrl-CS"/>
              </w:rPr>
            </w:pPr>
            <w:r w:rsidRPr="001B41AD">
              <w:rPr>
                <w:sz w:val="16"/>
                <w:szCs w:val="16"/>
                <w:lang w:val="sr-Cyrl-CS"/>
              </w:rPr>
              <w:t>10,7</w:t>
            </w:r>
          </w:p>
        </w:tc>
        <w:tc>
          <w:tcPr>
            <w:tcW w:w="566" w:type="pct"/>
            <w:shd w:val="clear" w:color="auto" w:fill="E7E6E6" w:themeFill="background2"/>
            <w:hideMark/>
          </w:tcPr>
          <w:p w14:paraId="4C1838AA" w14:textId="77777777" w:rsidR="00563D88" w:rsidRPr="001B41AD" w:rsidRDefault="00563D88" w:rsidP="00405489">
            <w:pPr>
              <w:jc w:val="right"/>
              <w:rPr>
                <w:sz w:val="16"/>
                <w:szCs w:val="16"/>
                <w:lang w:val="sr-Cyrl-CS"/>
              </w:rPr>
            </w:pPr>
            <w:r w:rsidRPr="001B41AD">
              <w:rPr>
                <w:sz w:val="16"/>
                <w:szCs w:val="16"/>
                <w:lang w:val="sr-Cyrl-CS"/>
              </w:rPr>
              <w:t>0,2</w:t>
            </w:r>
          </w:p>
        </w:tc>
        <w:tc>
          <w:tcPr>
            <w:tcW w:w="555" w:type="pct"/>
            <w:shd w:val="clear" w:color="auto" w:fill="E7E6E6" w:themeFill="background2"/>
            <w:noWrap/>
            <w:hideMark/>
          </w:tcPr>
          <w:p w14:paraId="5842B4E4" w14:textId="77777777" w:rsidR="00563D88" w:rsidRPr="001B41AD" w:rsidRDefault="00563D88" w:rsidP="00405489">
            <w:pPr>
              <w:jc w:val="right"/>
              <w:rPr>
                <w:sz w:val="16"/>
                <w:szCs w:val="16"/>
                <w:lang w:val="sr-Cyrl-CS"/>
              </w:rPr>
            </w:pPr>
            <w:r w:rsidRPr="001B41AD">
              <w:rPr>
                <w:sz w:val="16"/>
                <w:szCs w:val="16"/>
                <w:lang w:val="sr-Cyrl-CS"/>
              </w:rPr>
              <w:t>43,9</w:t>
            </w:r>
          </w:p>
        </w:tc>
      </w:tr>
      <w:tr w:rsidR="00563D88" w:rsidRPr="001B41AD" w14:paraId="15C37537" w14:textId="77777777" w:rsidTr="00405489">
        <w:trPr>
          <w:trHeight w:hRule="exact" w:val="242"/>
          <w:jc w:val="center"/>
        </w:trPr>
        <w:tc>
          <w:tcPr>
            <w:tcW w:w="1299" w:type="pct"/>
            <w:noWrap/>
            <w:vAlign w:val="center"/>
            <w:hideMark/>
          </w:tcPr>
          <w:p w14:paraId="4C91FFBE"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Текући расходи</w:t>
            </w:r>
          </w:p>
        </w:tc>
        <w:tc>
          <w:tcPr>
            <w:tcW w:w="567" w:type="pct"/>
            <w:hideMark/>
          </w:tcPr>
          <w:p w14:paraId="180CF32B" w14:textId="77777777" w:rsidR="00563D88" w:rsidRPr="001B41AD" w:rsidRDefault="00563D88" w:rsidP="00405489">
            <w:pPr>
              <w:jc w:val="right"/>
              <w:rPr>
                <w:sz w:val="16"/>
                <w:szCs w:val="16"/>
                <w:lang w:val="sr-Cyrl-CS"/>
              </w:rPr>
            </w:pPr>
            <w:r w:rsidRPr="001B41AD">
              <w:rPr>
                <w:sz w:val="16"/>
                <w:szCs w:val="16"/>
                <w:lang w:val="sr-Cyrl-CS"/>
              </w:rPr>
              <w:t>3.743,6</w:t>
            </w:r>
          </w:p>
        </w:tc>
        <w:tc>
          <w:tcPr>
            <w:tcW w:w="565" w:type="pct"/>
          </w:tcPr>
          <w:p w14:paraId="43D9759D" w14:textId="77777777" w:rsidR="00563D88" w:rsidRPr="001B41AD" w:rsidRDefault="00563D88" w:rsidP="00405489">
            <w:pPr>
              <w:jc w:val="right"/>
              <w:rPr>
                <w:sz w:val="16"/>
                <w:szCs w:val="16"/>
                <w:lang w:val="sr-Cyrl-CS"/>
              </w:rPr>
            </w:pPr>
            <w:r w:rsidRPr="001B41AD">
              <w:rPr>
                <w:sz w:val="16"/>
                <w:szCs w:val="16"/>
                <w:lang w:val="sr-Cyrl-CS"/>
              </w:rPr>
              <w:t>3.745,8</w:t>
            </w:r>
          </w:p>
        </w:tc>
        <w:tc>
          <w:tcPr>
            <w:tcW w:w="724" w:type="pct"/>
          </w:tcPr>
          <w:p w14:paraId="0881DC55" w14:textId="77777777" w:rsidR="00563D88" w:rsidRPr="001B41AD" w:rsidRDefault="00563D88" w:rsidP="00405489">
            <w:pPr>
              <w:jc w:val="right"/>
              <w:rPr>
                <w:sz w:val="16"/>
                <w:szCs w:val="16"/>
                <w:lang w:val="sr-Cyrl-CS"/>
              </w:rPr>
            </w:pPr>
            <w:r w:rsidRPr="001B41AD">
              <w:rPr>
                <w:sz w:val="16"/>
                <w:szCs w:val="16"/>
                <w:lang w:val="sr-Cyrl-CS"/>
              </w:rPr>
              <w:t>3.771,4</w:t>
            </w:r>
          </w:p>
        </w:tc>
        <w:tc>
          <w:tcPr>
            <w:tcW w:w="724" w:type="pct"/>
            <w:hideMark/>
          </w:tcPr>
          <w:p w14:paraId="78EE699D" w14:textId="77777777" w:rsidR="00563D88" w:rsidRPr="001B41AD" w:rsidRDefault="00563D88" w:rsidP="00405489">
            <w:pPr>
              <w:jc w:val="right"/>
              <w:rPr>
                <w:sz w:val="16"/>
                <w:szCs w:val="16"/>
                <w:lang w:val="sr-Cyrl-CS"/>
              </w:rPr>
            </w:pPr>
            <w:r w:rsidRPr="001B41AD">
              <w:rPr>
                <w:sz w:val="16"/>
                <w:szCs w:val="16"/>
                <w:lang w:val="sr-Cyrl-CS"/>
              </w:rPr>
              <w:t>27,8</w:t>
            </w:r>
          </w:p>
        </w:tc>
        <w:tc>
          <w:tcPr>
            <w:tcW w:w="566" w:type="pct"/>
            <w:hideMark/>
          </w:tcPr>
          <w:p w14:paraId="6D56A9D6" w14:textId="77777777" w:rsidR="00563D88" w:rsidRPr="001B41AD" w:rsidRDefault="00563D88" w:rsidP="00405489">
            <w:pPr>
              <w:jc w:val="right"/>
              <w:rPr>
                <w:sz w:val="16"/>
                <w:szCs w:val="16"/>
                <w:lang w:val="sr-Cyrl-CS"/>
              </w:rPr>
            </w:pPr>
            <w:r w:rsidRPr="001B41AD">
              <w:rPr>
                <w:sz w:val="16"/>
                <w:szCs w:val="16"/>
                <w:lang w:val="sr-Cyrl-CS"/>
              </w:rPr>
              <w:t>0,7</w:t>
            </w:r>
          </w:p>
        </w:tc>
        <w:tc>
          <w:tcPr>
            <w:tcW w:w="555" w:type="pct"/>
            <w:noWrap/>
            <w:hideMark/>
          </w:tcPr>
          <w:p w14:paraId="30BE760C" w14:textId="77777777" w:rsidR="00563D88" w:rsidRPr="001B41AD" w:rsidRDefault="00563D88" w:rsidP="00405489">
            <w:pPr>
              <w:jc w:val="right"/>
              <w:rPr>
                <w:sz w:val="16"/>
                <w:szCs w:val="16"/>
                <w:lang w:val="sr-Cyrl-CS"/>
              </w:rPr>
            </w:pPr>
            <w:r w:rsidRPr="001B41AD">
              <w:rPr>
                <w:sz w:val="16"/>
                <w:szCs w:val="16"/>
                <w:lang w:val="sr-Cyrl-CS"/>
              </w:rPr>
              <w:t>36,3</w:t>
            </w:r>
          </w:p>
        </w:tc>
      </w:tr>
      <w:tr w:rsidR="00563D88" w:rsidRPr="001B41AD" w14:paraId="2FB368EF" w14:textId="77777777" w:rsidTr="00405489">
        <w:trPr>
          <w:trHeight w:hRule="exact" w:val="242"/>
          <w:jc w:val="center"/>
        </w:trPr>
        <w:tc>
          <w:tcPr>
            <w:tcW w:w="1299" w:type="pct"/>
            <w:noWrap/>
            <w:vAlign w:val="center"/>
            <w:hideMark/>
          </w:tcPr>
          <w:p w14:paraId="06748411"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Расходи за запослене</w:t>
            </w:r>
          </w:p>
        </w:tc>
        <w:tc>
          <w:tcPr>
            <w:tcW w:w="567" w:type="pct"/>
            <w:hideMark/>
          </w:tcPr>
          <w:p w14:paraId="3EFB45C9" w14:textId="77777777" w:rsidR="00563D88" w:rsidRPr="001B41AD" w:rsidRDefault="00563D88" w:rsidP="00405489">
            <w:pPr>
              <w:jc w:val="right"/>
              <w:rPr>
                <w:sz w:val="16"/>
                <w:szCs w:val="16"/>
                <w:lang w:val="sr-Cyrl-CS"/>
              </w:rPr>
            </w:pPr>
            <w:r w:rsidRPr="001B41AD">
              <w:rPr>
                <w:sz w:val="16"/>
                <w:szCs w:val="16"/>
                <w:lang w:val="sr-Cyrl-CS"/>
              </w:rPr>
              <w:t>1.006,3</w:t>
            </w:r>
          </w:p>
        </w:tc>
        <w:tc>
          <w:tcPr>
            <w:tcW w:w="565" w:type="pct"/>
          </w:tcPr>
          <w:p w14:paraId="48B1000B" w14:textId="77777777" w:rsidR="00563D88" w:rsidRPr="001B41AD" w:rsidRDefault="00563D88" w:rsidP="00405489">
            <w:pPr>
              <w:jc w:val="right"/>
              <w:rPr>
                <w:sz w:val="16"/>
                <w:szCs w:val="16"/>
                <w:lang w:val="sr-Cyrl-CS"/>
              </w:rPr>
            </w:pPr>
            <w:r w:rsidRPr="001B41AD">
              <w:rPr>
                <w:sz w:val="16"/>
                <w:szCs w:val="16"/>
                <w:lang w:val="sr-Cyrl-CS"/>
              </w:rPr>
              <w:t>1.023,3</w:t>
            </w:r>
          </w:p>
        </w:tc>
        <w:tc>
          <w:tcPr>
            <w:tcW w:w="724" w:type="pct"/>
          </w:tcPr>
          <w:p w14:paraId="495B7F89" w14:textId="77777777" w:rsidR="00563D88" w:rsidRPr="001B41AD" w:rsidRDefault="00563D88" w:rsidP="00405489">
            <w:pPr>
              <w:jc w:val="right"/>
              <w:rPr>
                <w:sz w:val="16"/>
                <w:szCs w:val="16"/>
                <w:lang w:val="sr-Cyrl-CS"/>
              </w:rPr>
            </w:pPr>
            <w:r w:rsidRPr="001B41AD">
              <w:rPr>
                <w:sz w:val="16"/>
                <w:szCs w:val="16"/>
                <w:lang w:val="sr-Cyrl-CS"/>
              </w:rPr>
              <w:t>1.030,0</w:t>
            </w:r>
          </w:p>
        </w:tc>
        <w:tc>
          <w:tcPr>
            <w:tcW w:w="724" w:type="pct"/>
            <w:hideMark/>
          </w:tcPr>
          <w:p w14:paraId="563886EE" w14:textId="77777777" w:rsidR="00563D88" w:rsidRPr="001B41AD" w:rsidRDefault="00563D88" w:rsidP="00405489">
            <w:pPr>
              <w:jc w:val="right"/>
              <w:rPr>
                <w:sz w:val="16"/>
                <w:szCs w:val="16"/>
                <w:lang w:val="sr-Cyrl-CS"/>
              </w:rPr>
            </w:pPr>
            <w:r w:rsidRPr="001B41AD">
              <w:rPr>
                <w:sz w:val="16"/>
                <w:szCs w:val="16"/>
                <w:lang w:val="sr-Cyrl-CS"/>
              </w:rPr>
              <w:t>23,7</w:t>
            </w:r>
          </w:p>
        </w:tc>
        <w:tc>
          <w:tcPr>
            <w:tcW w:w="566" w:type="pct"/>
            <w:hideMark/>
          </w:tcPr>
          <w:p w14:paraId="519D4255" w14:textId="77777777" w:rsidR="00563D88" w:rsidRPr="001B41AD" w:rsidRDefault="00563D88" w:rsidP="00405489">
            <w:pPr>
              <w:jc w:val="right"/>
              <w:rPr>
                <w:sz w:val="16"/>
                <w:szCs w:val="16"/>
                <w:lang w:val="sr-Cyrl-CS"/>
              </w:rPr>
            </w:pPr>
            <w:r w:rsidRPr="001B41AD">
              <w:rPr>
                <w:sz w:val="16"/>
                <w:szCs w:val="16"/>
                <w:lang w:val="sr-Cyrl-CS"/>
              </w:rPr>
              <w:t>2,4</w:t>
            </w:r>
          </w:p>
        </w:tc>
        <w:tc>
          <w:tcPr>
            <w:tcW w:w="555" w:type="pct"/>
            <w:noWrap/>
            <w:hideMark/>
          </w:tcPr>
          <w:p w14:paraId="1906A9F9" w14:textId="77777777" w:rsidR="00563D88" w:rsidRPr="001B41AD" w:rsidRDefault="00563D88" w:rsidP="00405489">
            <w:pPr>
              <w:jc w:val="right"/>
              <w:rPr>
                <w:sz w:val="16"/>
                <w:szCs w:val="16"/>
                <w:lang w:val="sr-Cyrl-CS"/>
              </w:rPr>
            </w:pPr>
            <w:r w:rsidRPr="001B41AD">
              <w:rPr>
                <w:sz w:val="16"/>
                <w:szCs w:val="16"/>
                <w:lang w:val="sr-Cyrl-CS"/>
              </w:rPr>
              <w:t>9,9</w:t>
            </w:r>
          </w:p>
        </w:tc>
      </w:tr>
      <w:tr w:rsidR="00563D88" w:rsidRPr="001B41AD" w14:paraId="3A806ABC" w14:textId="77777777" w:rsidTr="00405489">
        <w:trPr>
          <w:trHeight w:hRule="exact" w:val="242"/>
          <w:jc w:val="center"/>
        </w:trPr>
        <w:tc>
          <w:tcPr>
            <w:tcW w:w="1299" w:type="pct"/>
            <w:noWrap/>
            <w:vAlign w:val="center"/>
            <w:hideMark/>
          </w:tcPr>
          <w:p w14:paraId="10CD6A80"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Куповина робе и услуга</w:t>
            </w:r>
          </w:p>
        </w:tc>
        <w:tc>
          <w:tcPr>
            <w:tcW w:w="567" w:type="pct"/>
            <w:hideMark/>
          </w:tcPr>
          <w:p w14:paraId="337B6387" w14:textId="77777777" w:rsidR="00563D88" w:rsidRPr="001B41AD" w:rsidRDefault="00563D88" w:rsidP="00405489">
            <w:pPr>
              <w:jc w:val="right"/>
              <w:rPr>
                <w:sz w:val="16"/>
                <w:szCs w:val="16"/>
                <w:lang w:val="sr-Cyrl-CS"/>
              </w:rPr>
            </w:pPr>
            <w:r w:rsidRPr="001B41AD">
              <w:rPr>
                <w:sz w:val="16"/>
                <w:szCs w:val="16"/>
                <w:lang w:val="sr-Cyrl-CS"/>
              </w:rPr>
              <w:t>801,3</w:t>
            </w:r>
          </w:p>
        </w:tc>
        <w:tc>
          <w:tcPr>
            <w:tcW w:w="565" w:type="pct"/>
          </w:tcPr>
          <w:p w14:paraId="1FA60045" w14:textId="77777777" w:rsidR="00563D88" w:rsidRPr="001B41AD" w:rsidRDefault="00563D88" w:rsidP="00405489">
            <w:pPr>
              <w:jc w:val="right"/>
              <w:rPr>
                <w:sz w:val="16"/>
                <w:szCs w:val="16"/>
                <w:lang w:val="sr-Cyrl-CS"/>
              </w:rPr>
            </w:pPr>
            <w:r w:rsidRPr="001B41AD">
              <w:rPr>
                <w:sz w:val="16"/>
                <w:szCs w:val="16"/>
                <w:lang w:val="sr-Cyrl-CS"/>
              </w:rPr>
              <w:t>787,3</w:t>
            </w:r>
          </w:p>
        </w:tc>
        <w:tc>
          <w:tcPr>
            <w:tcW w:w="724" w:type="pct"/>
          </w:tcPr>
          <w:p w14:paraId="3E6522D2" w14:textId="77777777" w:rsidR="00563D88" w:rsidRPr="001B41AD" w:rsidRDefault="00563D88" w:rsidP="00405489">
            <w:pPr>
              <w:jc w:val="right"/>
              <w:rPr>
                <w:sz w:val="16"/>
                <w:szCs w:val="16"/>
                <w:lang w:val="sr-Cyrl-CS"/>
              </w:rPr>
            </w:pPr>
            <w:r w:rsidRPr="001B41AD">
              <w:rPr>
                <w:sz w:val="16"/>
                <w:szCs w:val="16"/>
                <w:lang w:val="sr-Cyrl-CS"/>
              </w:rPr>
              <w:t>773,4</w:t>
            </w:r>
          </w:p>
        </w:tc>
        <w:tc>
          <w:tcPr>
            <w:tcW w:w="724" w:type="pct"/>
            <w:hideMark/>
          </w:tcPr>
          <w:p w14:paraId="48F59E44" w14:textId="77777777" w:rsidR="00563D88" w:rsidRPr="001B41AD" w:rsidRDefault="00563D88" w:rsidP="00405489">
            <w:pPr>
              <w:jc w:val="right"/>
              <w:rPr>
                <w:sz w:val="16"/>
                <w:szCs w:val="16"/>
                <w:lang w:val="sr-Cyrl-CS"/>
              </w:rPr>
            </w:pPr>
            <w:r w:rsidRPr="001B41AD">
              <w:rPr>
                <w:sz w:val="16"/>
                <w:szCs w:val="16"/>
                <w:lang w:val="sr-Cyrl-CS"/>
              </w:rPr>
              <w:t>-27,9</w:t>
            </w:r>
          </w:p>
        </w:tc>
        <w:tc>
          <w:tcPr>
            <w:tcW w:w="566" w:type="pct"/>
            <w:hideMark/>
          </w:tcPr>
          <w:p w14:paraId="11C57797" w14:textId="77777777" w:rsidR="00563D88" w:rsidRPr="001B41AD" w:rsidRDefault="00563D88" w:rsidP="00405489">
            <w:pPr>
              <w:jc w:val="right"/>
              <w:rPr>
                <w:sz w:val="16"/>
                <w:szCs w:val="16"/>
                <w:lang w:val="sr-Cyrl-CS"/>
              </w:rPr>
            </w:pPr>
            <w:r w:rsidRPr="001B41AD">
              <w:rPr>
                <w:sz w:val="16"/>
                <w:szCs w:val="16"/>
                <w:lang w:val="sr-Cyrl-CS"/>
              </w:rPr>
              <w:t>-3,5</w:t>
            </w:r>
          </w:p>
        </w:tc>
        <w:tc>
          <w:tcPr>
            <w:tcW w:w="555" w:type="pct"/>
            <w:noWrap/>
            <w:hideMark/>
          </w:tcPr>
          <w:p w14:paraId="5F898A02" w14:textId="77777777" w:rsidR="00563D88" w:rsidRPr="001B41AD" w:rsidRDefault="00563D88" w:rsidP="00405489">
            <w:pPr>
              <w:jc w:val="right"/>
              <w:rPr>
                <w:sz w:val="16"/>
                <w:szCs w:val="16"/>
                <w:lang w:val="sr-Cyrl-CS"/>
              </w:rPr>
            </w:pPr>
            <w:r w:rsidRPr="001B41AD">
              <w:rPr>
                <w:sz w:val="16"/>
                <w:szCs w:val="16"/>
                <w:lang w:val="sr-Cyrl-CS"/>
              </w:rPr>
              <w:t>7,5</w:t>
            </w:r>
          </w:p>
        </w:tc>
      </w:tr>
      <w:tr w:rsidR="00563D88" w:rsidRPr="001B41AD" w14:paraId="6D3B5654" w14:textId="77777777" w:rsidTr="00405489">
        <w:trPr>
          <w:trHeight w:hRule="exact" w:val="242"/>
          <w:jc w:val="center"/>
        </w:trPr>
        <w:tc>
          <w:tcPr>
            <w:tcW w:w="1299" w:type="pct"/>
            <w:noWrap/>
            <w:vAlign w:val="center"/>
            <w:hideMark/>
          </w:tcPr>
          <w:p w14:paraId="6B8B795F"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Отплата камата</w:t>
            </w:r>
          </w:p>
        </w:tc>
        <w:tc>
          <w:tcPr>
            <w:tcW w:w="567" w:type="pct"/>
            <w:hideMark/>
          </w:tcPr>
          <w:p w14:paraId="60BC31DD" w14:textId="77777777" w:rsidR="00563D88" w:rsidRPr="001B41AD" w:rsidRDefault="00563D88" w:rsidP="00405489">
            <w:pPr>
              <w:jc w:val="right"/>
              <w:rPr>
                <w:sz w:val="16"/>
                <w:szCs w:val="16"/>
                <w:lang w:val="sr-Cyrl-CS"/>
              </w:rPr>
            </w:pPr>
            <w:r w:rsidRPr="001B41AD">
              <w:rPr>
                <w:sz w:val="16"/>
                <w:szCs w:val="16"/>
                <w:lang w:val="sr-Cyrl-CS"/>
              </w:rPr>
              <w:t>222,7</w:t>
            </w:r>
          </w:p>
        </w:tc>
        <w:tc>
          <w:tcPr>
            <w:tcW w:w="565" w:type="pct"/>
          </w:tcPr>
          <w:p w14:paraId="2ED1CAF8" w14:textId="77777777" w:rsidR="00563D88" w:rsidRPr="001B41AD" w:rsidRDefault="00563D88" w:rsidP="00405489">
            <w:pPr>
              <w:jc w:val="right"/>
              <w:rPr>
                <w:sz w:val="16"/>
                <w:szCs w:val="16"/>
                <w:lang w:val="sr-Cyrl-CS"/>
              </w:rPr>
            </w:pPr>
            <w:r w:rsidRPr="001B41AD">
              <w:rPr>
                <w:sz w:val="16"/>
                <w:szCs w:val="16"/>
                <w:lang w:val="sr-Cyrl-CS"/>
              </w:rPr>
              <w:t>222,6</w:t>
            </w:r>
          </w:p>
        </w:tc>
        <w:tc>
          <w:tcPr>
            <w:tcW w:w="724" w:type="pct"/>
          </w:tcPr>
          <w:p w14:paraId="41646436" w14:textId="77777777" w:rsidR="00563D88" w:rsidRPr="001B41AD" w:rsidRDefault="00563D88" w:rsidP="00405489">
            <w:pPr>
              <w:jc w:val="right"/>
              <w:rPr>
                <w:sz w:val="16"/>
                <w:szCs w:val="16"/>
                <w:lang w:val="sr-Cyrl-CS"/>
              </w:rPr>
            </w:pPr>
            <w:r w:rsidRPr="001B41AD">
              <w:rPr>
                <w:sz w:val="16"/>
                <w:szCs w:val="16"/>
                <w:lang w:val="sr-Cyrl-CS"/>
              </w:rPr>
              <w:t>197,8</w:t>
            </w:r>
          </w:p>
        </w:tc>
        <w:tc>
          <w:tcPr>
            <w:tcW w:w="724" w:type="pct"/>
            <w:hideMark/>
          </w:tcPr>
          <w:p w14:paraId="43653678" w14:textId="77777777" w:rsidR="00563D88" w:rsidRPr="001B41AD" w:rsidRDefault="00563D88" w:rsidP="00405489">
            <w:pPr>
              <w:jc w:val="right"/>
              <w:rPr>
                <w:sz w:val="16"/>
                <w:szCs w:val="16"/>
                <w:lang w:val="sr-Cyrl-CS"/>
              </w:rPr>
            </w:pPr>
            <w:r w:rsidRPr="001B41AD">
              <w:rPr>
                <w:sz w:val="16"/>
                <w:szCs w:val="16"/>
                <w:lang w:val="sr-Cyrl-CS"/>
              </w:rPr>
              <w:t>-24,9</w:t>
            </w:r>
          </w:p>
        </w:tc>
        <w:tc>
          <w:tcPr>
            <w:tcW w:w="566" w:type="pct"/>
            <w:hideMark/>
          </w:tcPr>
          <w:p w14:paraId="1CE7850B" w14:textId="77777777" w:rsidR="00563D88" w:rsidRPr="001B41AD" w:rsidRDefault="00563D88" w:rsidP="00405489">
            <w:pPr>
              <w:jc w:val="right"/>
              <w:rPr>
                <w:sz w:val="16"/>
                <w:szCs w:val="16"/>
                <w:lang w:val="sr-Cyrl-CS"/>
              </w:rPr>
            </w:pPr>
            <w:r w:rsidRPr="001B41AD">
              <w:rPr>
                <w:sz w:val="16"/>
                <w:szCs w:val="16"/>
                <w:lang w:val="sr-Cyrl-CS"/>
              </w:rPr>
              <w:t>-11,2</w:t>
            </w:r>
          </w:p>
        </w:tc>
        <w:tc>
          <w:tcPr>
            <w:tcW w:w="555" w:type="pct"/>
            <w:noWrap/>
            <w:hideMark/>
          </w:tcPr>
          <w:p w14:paraId="78E7BC9A" w14:textId="77777777" w:rsidR="00563D88" w:rsidRPr="001B41AD" w:rsidRDefault="00563D88" w:rsidP="00405489">
            <w:pPr>
              <w:jc w:val="right"/>
              <w:rPr>
                <w:sz w:val="16"/>
                <w:szCs w:val="16"/>
                <w:lang w:val="sr-Cyrl-CS"/>
              </w:rPr>
            </w:pPr>
            <w:r w:rsidRPr="001B41AD">
              <w:rPr>
                <w:sz w:val="16"/>
                <w:szCs w:val="16"/>
                <w:lang w:val="sr-Cyrl-CS"/>
              </w:rPr>
              <w:t>1,9</w:t>
            </w:r>
          </w:p>
        </w:tc>
      </w:tr>
      <w:tr w:rsidR="00563D88" w:rsidRPr="001B41AD" w14:paraId="518523B3" w14:textId="77777777" w:rsidTr="00405489">
        <w:trPr>
          <w:trHeight w:hRule="exact" w:val="242"/>
          <w:jc w:val="center"/>
        </w:trPr>
        <w:tc>
          <w:tcPr>
            <w:tcW w:w="1299" w:type="pct"/>
            <w:noWrap/>
            <w:vAlign w:val="center"/>
            <w:hideMark/>
          </w:tcPr>
          <w:p w14:paraId="186BD46C"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Субвенције</w:t>
            </w:r>
          </w:p>
        </w:tc>
        <w:tc>
          <w:tcPr>
            <w:tcW w:w="567" w:type="pct"/>
            <w:hideMark/>
          </w:tcPr>
          <w:p w14:paraId="7BC0E91B" w14:textId="77777777" w:rsidR="00563D88" w:rsidRPr="001B41AD" w:rsidRDefault="00563D88" w:rsidP="00405489">
            <w:pPr>
              <w:jc w:val="right"/>
              <w:rPr>
                <w:sz w:val="16"/>
                <w:szCs w:val="16"/>
                <w:lang w:val="sr-Cyrl-CS"/>
              </w:rPr>
            </w:pPr>
            <w:r w:rsidRPr="001B41AD">
              <w:rPr>
                <w:sz w:val="16"/>
                <w:szCs w:val="16"/>
                <w:lang w:val="sr-Cyrl-CS"/>
              </w:rPr>
              <w:t>245,6</w:t>
            </w:r>
          </w:p>
        </w:tc>
        <w:tc>
          <w:tcPr>
            <w:tcW w:w="565" w:type="pct"/>
          </w:tcPr>
          <w:p w14:paraId="32BBA1A7" w14:textId="77777777" w:rsidR="00563D88" w:rsidRPr="001B41AD" w:rsidRDefault="00563D88" w:rsidP="00405489">
            <w:pPr>
              <w:jc w:val="right"/>
              <w:rPr>
                <w:sz w:val="16"/>
                <w:szCs w:val="16"/>
                <w:lang w:val="sr-Cyrl-CS"/>
              </w:rPr>
            </w:pPr>
            <w:r w:rsidRPr="001B41AD">
              <w:rPr>
                <w:sz w:val="16"/>
                <w:szCs w:val="16"/>
                <w:lang w:val="sr-Cyrl-CS"/>
              </w:rPr>
              <w:t>240,7</w:t>
            </w:r>
          </w:p>
        </w:tc>
        <w:tc>
          <w:tcPr>
            <w:tcW w:w="724" w:type="pct"/>
          </w:tcPr>
          <w:p w14:paraId="63354C6C" w14:textId="77777777" w:rsidR="00563D88" w:rsidRPr="001B41AD" w:rsidRDefault="00563D88" w:rsidP="00405489">
            <w:pPr>
              <w:jc w:val="right"/>
              <w:rPr>
                <w:sz w:val="16"/>
                <w:szCs w:val="16"/>
                <w:lang w:val="sr-Cyrl-CS"/>
              </w:rPr>
            </w:pPr>
            <w:r w:rsidRPr="001B41AD">
              <w:rPr>
                <w:sz w:val="16"/>
                <w:szCs w:val="16"/>
                <w:lang w:val="sr-Cyrl-CS"/>
              </w:rPr>
              <w:t>245,4</w:t>
            </w:r>
          </w:p>
        </w:tc>
        <w:tc>
          <w:tcPr>
            <w:tcW w:w="724" w:type="pct"/>
            <w:hideMark/>
          </w:tcPr>
          <w:p w14:paraId="0EC1B363" w14:textId="77777777" w:rsidR="00563D88" w:rsidRPr="001B41AD" w:rsidRDefault="00563D88" w:rsidP="00405489">
            <w:pPr>
              <w:jc w:val="right"/>
              <w:rPr>
                <w:sz w:val="16"/>
                <w:szCs w:val="16"/>
                <w:lang w:val="sr-Cyrl-CS"/>
              </w:rPr>
            </w:pPr>
            <w:r w:rsidRPr="001B41AD">
              <w:rPr>
                <w:sz w:val="16"/>
                <w:szCs w:val="16"/>
                <w:lang w:val="sr-Cyrl-CS"/>
              </w:rPr>
              <w:t>-0,2</w:t>
            </w:r>
          </w:p>
        </w:tc>
        <w:tc>
          <w:tcPr>
            <w:tcW w:w="566" w:type="pct"/>
            <w:hideMark/>
          </w:tcPr>
          <w:p w14:paraId="380BA2E0" w14:textId="77777777" w:rsidR="00563D88" w:rsidRPr="001B41AD" w:rsidRDefault="00563D88" w:rsidP="00405489">
            <w:pPr>
              <w:jc w:val="right"/>
              <w:rPr>
                <w:sz w:val="16"/>
                <w:szCs w:val="16"/>
                <w:lang w:val="sr-Cyrl-CS"/>
              </w:rPr>
            </w:pPr>
            <w:r w:rsidRPr="001B41AD">
              <w:rPr>
                <w:sz w:val="16"/>
                <w:szCs w:val="16"/>
                <w:lang w:val="sr-Cyrl-CS"/>
              </w:rPr>
              <w:t>-0,1</w:t>
            </w:r>
          </w:p>
        </w:tc>
        <w:tc>
          <w:tcPr>
            <w:tcW w:w="555" w:type="pct"/>
            <w:noWrap/>
            <w:hideMark/>
          </w:tcPr>
          <w:p w14:paraId="317430E9" w14:textId="77777777" w:rsidR="00563D88" w:rsidRPr="001B41AD" w:rsidRDefault="00563D88" w:rsidP="00405489">
            <w:pPr>
              <w:jc w:val="right"/>
              <w:rPr>
                <w:sz w:val="16"/>
                <w:szCs w:val="16"/>
                <w:lang w:val="sr-Cyrl-CS"/>
              </w:rPr>
            </w:pPr>
            <w:r w:rsidRPr="001B41AD">
              <w:rPr>
                <w:sz w:val="16"/>
                <w:szCs w:val="16"/>
                <w:lang w:val="sr-Cyrl-CS"/>
              </w:rPr>
              <w:t>2,4</w:t>
            </w:r>
          </w:p>
        </w:tc>
      </w:tr>
      <w:tr w:rsidR="00563D88" w:rsidRPr="001B41AD" w14:paraId="5152969A" w14:textId="77777777" w:rsidTr="00405489">
        <w:trPr>
          <w:trHeight w:hRule="exact" w:val="242"/>
          <w:jc w:val="center"/>
        </w:trPr>
        <w:tc>
          <w:tcPr>
            <w:tcW w:w="1299" w:type="pct"/>
            <w:noWrap/>
            <w:vAlign w:val="center"/>
            <w:hideMark/>
          </w:tcPr>
          <w:p w14:paraId="7BB767AF"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Социјална помоћ и трансфери</w:t>
            </w:r>
          </w:p>
        </w:tc>
        <w:tc>
          <w:tcPr>
            <w:tcW w:w="567" w:type="pct"/>
            <w:hideMark/>
          </w:tcPr>
          <w:p w14:paraId="4611A6BA" w14:textId="77777777" w:rsidR="00563D88" w:rsidRPr="001B41AD" w:rsidRDefault="00563D88" w:rsidP="00405489">
            <w:pPr>
              <w:jc w:val="right"/>
              <w:rPr>
                <w:sz w:val="16"/>
                <w:szCs w:val="16"/>
                <w:lang w:val="sr-Cyrl-CS"/>
              </w:rPr>
            </w:pPr>
            <w:r w:rsidRPr="001B41AD">
              <w:rPr>
                <w:sz w:val="16"/>
                <w:szCs w:val="16"/>
                <w:lang w:val="sr-Cyrl-CS"/>
              </w:rPr>
              <w:t>1.345,7</w:t>
            </w:r>
          </w:p>
        </w:tc>
        <w:tc>
          <w:tcPr>
            <w:tcW w:w="565" w:type="pct"/>
          </w:tcPr>
          <w:p w14:paraId="2E35F4AE" w14:textId="77777777" w:rsidR="00563D88" w:rsidRPr="001B41AD" w:rsidRDefault="00563D88" w:rsidP="00405489">
            <w:pPr>
              <w:jc w:val="right"/>
              <w:rPr>
                <w:sz w:val="16"/>
                <w:szCs w:val="16"/>
                <w:lang w:val="sr-Cyrl-CS"/>
              </w:rPr>
            </w:pPr>
            <w:r w:rsidRPr="001B41AD">
              <w:rPr>
                <w:sz w:val="16"/>
                <w:szCs w:val="16"/>
                <w:lang w:val="sr-Cyrl-CS"/>
              </w:rPr>
              <w:t>1.350,5</w:t>
            </w:r>
          </w:p>
        </w:tc>
        <w:tc>
          <w:tcPr>
            <w:tcW w:w="724" w:type="pct"/>
          </w:tcPr>
          <w:p w14:paraId="66F87925" w14:textId="77777777" w:rsidR="00563D88" w:rsidRPr="001B41AD" w:rsidRDefault="00563D88" w:rsidP="00405489">
            <w:pPr>
              <w:jc w:val="right"/>
              <w:rPr>
                <w:sz w:val="16"/>
                <w:szCs w:val="16"/>
                <w:lang w:val="sr-Cyrl-CS"/>
              </w:rPr>
            </w:pPr>
            <w:r w:rsidRPr="001B41AD">
              <w:rPr>
                <w:sz w:val="16"/>
                <w:szCs w:val="16"/>
                <w:lang w:val="sr-Cyrl-CS"/>
              </w:rPr>
              <w:t>1.390,4</w:t>
            </w:r>
          </w:p>
        </w:tc>
        <w:tc>
          <w:tcPr>
            <w:tcW w:w="724" w:type="pct"/>
            <w:hideMark/>
          </w:tcPr>
          <w:p w14:paraId="654C7AA6" w14:textId="77777777" w:rsidR="00563D88" w:rsidRPr="001B41AD" w:rsidRDefault="00563D88" w:rsidP="00405489">
            <w:pPr>
              <w:jc w:val="right"/>
              <w:rPr>
                <w:sz w:val="16"/>
                <w:szCs w:val="16"/>
                <w:lang w:val="sr-Cyrl-CS"/>
              </w:rPr>
            </w:pPr>
            <w:r w:rsidRPr="001B41AD">
              <w:rPr>
                <w:sz w:val="16"/>
                <w:szCs w:val="16"/>
                <w:lang w:val="sr-Cyrl-CS"/>
              </w:rPr>
              <w:t>44,8</w:t>
            </w:r>
          </w:p>
        </w:tc>
        <w:tc>
          <w:tcPr>
            <w:tcW w:w="566" w:type="pct"/>
            <w:hideMark/>
          </w:tcPr>
          <w:p w14:paraId="420A15F6" w14:textId="77777777" w:rsidR="00563D88" w:rsidRPr="001B41AD" w:rsidRDefault="00563D88" w:rsidP="00405489">
            <w:pPr>
              <w:jc w:val="right"/>
              <w:rPr>
                <w:sz w:val="16"/>
                <w:szCs w:val="16"/>
                <w:lang w:val="sr-Cyrl-CS"/>
              </w:rPr>
            </w:pPr>
            <w:r w:rsidRPr="001B41AD">
              <w:rPr>
                <w:sz w:val="16"/>
                <w:szCs w:val="16"/>
                <w:lang w:val="sr-Cyrl-CS"/>
              </w:rPr>
              <w:t>3,3</w:t>
            </w:r>
          </w:p>
        </w:tc>
        <w:tc>
          <w:tcPr>
            <w:tcW w:w="555" w:type="pct"/>
            <w:noWrap/>
            <w:hideMark/>
          </w:tcPr>
          <w:p w14:paraId="17F9482D" w14:textId="77777777" w:rsidR="00563D88" w:rsidRPr="001B41AD" w:rsidRDefault="00563D88" w:rsidP="00405489">
            <w:pPr>
              <w:jc w:val="right"/>
              <w:rPr>
                <w:sz w:val="16"/>
                <w:szCs w:val="16"/>
                <w:lang w:val="sr-Cyrl-CS"/>
              </w:rPr>
            </w:pPr>
            <w:r w:rsidRPr="001B41AD">
              <w:rPr>
                <w:sz w:val="16"/>
                <w:szCs w:val="16"/>
                <w:lang w:val="sr-Cyrl-CS"/>
              </w:rPr>
              <w:t>13,4</w:t>
            </w:r>
          </w:p>
        </w:tc>
      </w:tr>
      <w:tr w:rsidR="00563D88" w:rsidRPr="001B41AD" w14:paraId="3487F0D1" w14:textId="77777777" w:rsidTr="00405489">
        <w:trPr>
          <w:trHeight w:hRule="exact" w:val="242"/>
          <w:jc w:val="center"/>
        </w:trPr>
        <w:tc>
          <w:tcPr>
            <w:tcW w:w="1299" w:type="pct"/>
            <w:noWrap/>
            <w:vAlign w:val="center"/>
            <w:hideMark/>
          </w:tcPr>
          <w:p w14:paraId="68686AE2" w14:textId="77777777" w:rsidR="00563D88" w:rsidRPr="001B41AD" w:rsidRDefault="00563D88" w:rsidP="00405489">
            <w:pPr>
              <w:spacing w:after="0" w:line="240" w:lineRule="auto"/>
              <w:jc w:val="left"/>
              <w:rPr>
                <w:rFonts w:eastAsia="MS PGothic" w:cstheme="minorHAnsi"/>
                <w:i/>
                <w:color w:val="002060"/>
                <w:sz w:val="16"/>
                <w:szCs w:val="16"/>
                <w:lang w:val="sr-Cyrl-CS" w:eastAsia="ja-JP"/>
              </w:rPr>
            </w:pPr>
            <w:r w:rsidRPr="001B41AD">
              <w:rPr>
                <w:rFonts w:eastAsia="MS PGothic" w:cstheme="minorHAnsi"/>
                <w:i/>
                <w:color w:val="002060"/>
                <w:sz w:val="16"/>
                <w:szCs w:val="16"/>
                <w:lang w:val="sr-Cyrl-CS" w:eastAsia="ja-JP"/>
              </w:rPr>
              <w:t>од чега пензије</w:t>
            </w:r>
          </w:p>
        </w:tc>
        <w:tc>
          <w:tcPr>
            <w:tcW w:w="567" w:type="pct"/>
            <w:hideMark/>
          </w:tcPr>
          <w:p w14:paraId="08D9513F" w14:textId="77777777" w:rsidR="00563D88" w:rsidRPr="001B41AD" w:rsidRDefault="00563D88" w:rsidP="00405489">
            <w:pPr>
              <w:jc w:val="right"/>
              <w:rPr>
                <w:i/>
                <w:sz w:val="16"/>
                <w:szCs w:val="16"/>
                <w:lang w:val="sr-Cyrl-CS"/>
              </w:rPr>
            </w:pPr>
            <w:r w:rsidRPr="001B41AD">
              <w:rPr>
                <w:i/>
                <w:sz w:val="16"/>
                <w:szCs w:val="16"/>
                <w:lang w:val="sr-Cyrl-CS"/>
              </w:rPr>
              <w:t>1.042,0</w:t>
            </w:r>
          </w:p>
        </w:tc>
        <w:tc>
          <w:tcPr>
            <w:tcW w:w="565" w:type="pct"/>
          </w:tcPr>
          <w:p w14:paraId="140E9C01" w14:textId="77777777" w:rsidR="00563D88" w:rsidRPr="001B41AD" w:rsidRDefault="00563D88" w:rsidP="00405489">
            <w:pPr>
              <w:jc w:val="right"/>
              <w:rPr>
                <w:i/>
                <w:sz w:val="16"/>
                <w:szCs w:val="16"/>
                <w:lang w:val="sr-Cyrl-CS"/>
              </w:rPr>
            </w:pPr>
            <w:r w:rsidRPr="001B41AD">
              <w:rPr>
                <w:i/>
                <w:sz w:val="16"/>
                <w:szCs w:val="16"/>
                <w:lang w:val="sr-Cyrl-CS"/>
              </w:rPr>
              <w:t>1.042,0</w:t>
            </w:r>
          </w:p>
        </w:tc>
        <w:tc>
          <w:tcPr>
            <w:tcW w:w="724" w:type="pct"/>
          </w:tcPr>
          <w:p w14:paraId="0F839C19" w14:textId="77777777" w:rsidR="00563D88" w:rsidRPr="001B41AD" w:rsidRDefault="00563D88" w:rsidP="00405489">
            <w:pPr>
              <w:jc w:val="right"/>
              <w:rPr>
                <w:i/>
                <w:sz w:val="16"/>
                <w:szCs w:val="16"/>
                <w:lang w:val="sr-Cyrl-CS"/>
              </w:rPr>
            </w:pPr>
            <w:r w:rsidRPr="001B41AD">
              <w:rPr>
                <w:i/>
                <w:sz w:val="16"/>
                <w:szCs w:val="16"/>
                <w:lang w:val="sr-Cyrl-CS"/>
              </w:rPr>
              <w:t>1.044,9</w:t>
            </w:r>
          </w:p>
        </w:tc>
        <w:tc>
          <w:tcPr>
            <w:tcW w:w="724" w:type="pct"/>
            <w:hideMark/>
          </w:tcPr>
          <w:p w14:paraId="4708145E" w14:textId="77777777" w:rsidR="00563D88" w:rsidRPr="001B41AD" w:rsidRDefault="00563D88" w:rsidP="00405489">
            <w:pPr>
              <w:jc w:val="right"/>
              <w:rPr>
                <w:i/>
                <w:sz w:val="16"/>
                <w:szCs w:val="16"/>
                <w:lang w:val="sr-Cyrl-CS"/>
              </w:rPr>
            </w:pPr>
            <w:r w:rsidRPr="001B41AD">
              <w:rPr>
                <w:i/>
                <w:sz w:val="16"/>
                <w:szCs w:val="16"/>
                <w:lang w:val="sr-Cyrl-CS"/>
              </w:rPr>
              <w:t>2,9</w:t>
            </w:r>
          </w:p>
        </w:tc>
        <w:tc>
          <w:tcPr>
            <w:tcW w:w="566" w:type="pct"/>
            <w:hideMark/>
          </w:tcPr>
          <w:p w14:paraId="1C023736" w14:textId="77777777" w:rsidR="00563D88" w:rsidRPr="001B41AD" w:rsidRDefault="00563D88" w:rsidP="00405489">
            <w:pPr>
              <w:jc w:val="right"/>
              <w:rPr>
                <w:i/>
                <w:sz w:val="16"/>
                <w:szCs w:val="16"/>
                <w:lang w:val="sr-Cyrl-CS"/>
              </w:rPr>
            </w:pPr>
            <w:r w:rsidRPr="001B41AD">
              <w:rPr>
                <w:i/>
                <w:sz w:val="16"/>
                <w:szCs w:val="16"/>
                <w:lang w:val="sr-Cyrl-CS"/>
              </w:rPr>
              <w:t>0,3</w:t>
            </w:r>
          </w:p>
        </w:tc>
        <w:tc>
          <w:tcPr>
            <w:tcW w:w="555" w:type="pct"/>
            <w:noWrap/>
            <w:hideMark/>
          </w:tcPr>
          <w:p w14:paraId="1C0CDD06" w14:textId="77777777" w:rsidR="00563D88" w:rsidRPr="001B41AD" w:rsidRDefault="00563D88" w:rsidP="00405489">
            <w:pPr>
              <w:jc w:val="right"/>
              <w:rPr>
                <w:i/>
                <w:sz w:val="16"/>
                <w:szCs w:val="16"/>
                <w:lang w:val="sr-Cyrl-CS"/>
              </w:rPr>
            </w:pPr>
            <w:r w:rsidRPr="001B41AD">
              <w:rPr>
                <w:i/>
                <w:sz w:val="16"/>
                <w:szCs w:val="16"/>
                <w:lang w:val="sr-Cyrl-CS"/>
              </w:rPr>
              <w:t>10,1</w:t>
            </w:r>
          </w:p>
        </w:tc>
      </w:tr>
      <w:tr w:rsidR="00563D88" w:rsidRPr="001B41AD" w14:paraId="2E0501A2" w14:textId="77777777" w:rsidTr="00405489">
        <w:trPr>
          <w:trHeight w:hRule="exact" w:val="242"/>
          <w:jc w:val="center"/>
        </w:trPr>
        <w:tc>
          <w:tcPr>
            <w:tcW w:w="1299" w:type="pct"/>
            <w:noWrap/>
            <w:vAlign w:val="center"/>
            <w:hideMark/>
          </w:tcPr>
          <w:p w14:paraId="5E2E6042"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Остали текући расходи</w:t>
            </w:r>
          </w:p>
        </w:tc>
        <w:tc>
          <w:tcPr>
            <w:tcW w:w="567" w:type="pct"/>
            <w:hideMark/>
          </w:tcPr>
          <w:p w14:paraId="342FB81E" w14:textId="77777777" w:rsidR="00563D88" w:rsidRPr="001B41AD" w:rsidRDefault="00563D88" w:rsidP="00405489">
            <w:pPr>
              <w:jc w:val="right"/>
              <w:rPr>
                <w:sz w:val="16"/>
                <w:szCs w:val="16"/>
                <w:lang w:val="sr-Cyrl-CS"/>
              </w:rPr>
            </w:pPr>
            <w:r w:rsidRPr="001B41AD">
              <w:rPr>
                <w:sz w:val="16"/>
                <w:szCs w:val="16"/>
                <w:lang w:val="sr-Cyrl-CS"/>
              </w:rPr>
              <w:t>122,0</w:t>
            </w:r>
          </w:p>
        </w:tc>
        <w:tc>
          <w:tcPr>
            <w:tcW w:w="565" w:type="pct"/>
          </w:tcPr>
          <w:p w14:paraId="25B71F35" w14:textId="77777777" w:rsidR="00563D88" w:rsidRPr="001B41AD" w:rsidRDefault="00563D88" w:rsidP="00405489">
            <w:pPr>
              <w:jc w:val="right"/>
              <w:rPr>
                <w:sz w:val="16"/>
                <w:szCs w:val="16"/>
                <w:lang w:val="sr-Cyrl-CS"/>
              </w:rPr>
            </w:pPr>
            <w:r w:rsidRPr="001B41AD">
              <w:rPr>
                <w:sz w:val="16"/>
                <w:szCs w:val="16"/>
                <w:lang w:val="sr-Cyrl-CS"/>
              </w:rPr>
              <w:t>121,4</w:t>
            </w:r>
          </w:p>
        </w:tc>
        <w:tc>
          <w:tcPr>
            <w:tcW w:w="724" w:type="pct"/>
          </w:tcPr>
          <w:p w14:paraId="7D34F297" w14:textId="77777777" w:rsidR="00563D88" w:rsidRPr="001B41AD" w:rsidRDefault="00563D88" w:rsidP="00405489">
            <w:pPr>
              <w:jc w:val="right"/>
              <w:rPr>
                <w:sz w:val="16"/>
                <w:szCs w:val="16"/>
                <w:lang w:val="sr-Cyrl-CS"/>
              </w:rPr>
            </w:pPr>
            <w:r w:rsidRPr="001B41AD">
              <w:rPr>
                <w:sz w:val="16"/>
                <w:szCs w:val="16"/>
                <w:lang w:val="sr-Cyrl-CS"/>
              </w:rPr>
              <w:t>134,4</w:t>
            </w:r>
          </w:p>
        </w:tc>
        <w:tc>
          <w:tcPr>
            <w:tcW w:w="724" w:type="pct"/>
            <w:hideMark/>
          </w:tcPr>
          <w:p w14:paraId="734B8FDA" w14:textId="77777777" w:rsidR="00563D88" w:rsidRPr="001B41AD" w:rsidRDefault="00563D88" w:rsidP="00405489">
            <w:pPr>
              <w:jc w:val="right"/>
              <w:rPr>
                <w:sz w:val="16"/>
                <w:szCs w:val="16"/>
                <w:lang w:val="sr-Cyrl-CS"/>
              </w:rPr>
            </w:pPr>
            <w:r w:rsidRPr="001B41AD">
              <w:rPr>
                <w:sz w:val="16"/>
                <w:szCs w:val="16"/>
                <w:lang w:val="sr-Cyrl-CS"/>
              </w:rPr>
              <w:t>12,4</w:t>
            </w:r>
          </w:p>
        </w:tc>
        <w:tc>
          <w:tcPr>
            <w:tcW w:w="566" w:type="pct"/>
            <w:hideMark/>
          </w:tcPr>
          <w:p w14:paraId="34DA87EC" w14:textId="77777777" w:rsidR="00563D88" w:rsidRPr="001B41AD" w:rsidRDefault="00563D88" w:rsidP="00405489">
            <w:pPr>
              <w:jc w:val="right"/>
              <w:rPr>
                <w:sz w:val="16"/>
                <w:szCs w:val="16"/>
                <w:lang w:val="sr-Cyrl-CS"/>
              </w:rPr>
            </w:pPr>
            <w:r w:rsidRPr="001B41AD">
              <w:rPr>
                <w:sz w:val="16"/>
                <w:szCs w:val="16"/>
                <w:lang w:val="sr-Cyrl-CS"/>
              </w:rPr>
              <w:t>10,1</w:t>
            </w:r>
          </w:p>
        </w:tc>
        <w:tc>
          <w:tcPr>
            <w:tcW w:w="555" w:type="pct"/>
            <w:noWrap/>
            <w:hideMark/>
          </w:tcPr>
          <w:p w14:paraId="3E9D279A" w14:textId="77777777" w:rsidR="00563D88" w:rsidRPr="001B41AD" w:rsidRDefault="00563D88" w:rsidP="00405489">
            <w:pPr>
              <w:jc w:val="right"/>
              <w:rPr>
                <w:sz w:val="16"/>
                <w:szCs w:val="16"/>
                <w:lang w:val="sr-Cyrl-CS"/>
              </w:rPr>
            </w:pPr>
            <w:r w:rsidRPr="001B41AD">
              <w:rPr>
                <w:sz w:val="16"/>
                <w:szCs w:val="16"/>
                <w:lang w:val="sr-Cyrl-CS"/>
              </w:rPr>
              <w:t>1,3</w:t>
            </w:r>
          </w:p>
        </w:tc>
      </w:tr>
      <w:tr w:rsidR="00563D88" w:rsidRPr="001B41AD" w14:paraId="38E8934E" w14:textId="77777777" w:rsidTr="00405489">
        <w:trPr>
          <w:trHeight w:hRule="exact" w:val="242"/>
          <w:jc w:val="center"/>
        </w:trPr>
        <w:tc>
          <w:tcPr>
            <w:tcW w:w="1299" w:type="pct"/>
            <w:noWrap/>
            <w:vAlign w:val="center"/>
            <w:hideMark/>
          </w:tcPr>
          <w:p w14:paraId="111C70A8"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Капитални расходи</w:t>
            </w:r>
          </w:p>
        </w:tc>
        <w:tc>
          <w:tcPr>
            <w:tcW w:w="567" w:type="pct"/>
            <w:hideMark/>
          </w:tcPr>
          <w:p w14:paraId="0B1A977B" w14:textId="77777777" w:rsidR="00563D88" w:rsidRPr="001B41AD" w:rsidRDefault="00563D88" w:rsidP="00405489">
            <w:pPr>
              <w:jc w:val="right"/>
              <w:rPr>
                <w:sz w:val="16"/>
                <w:szCs w:val="16"/>
                <w:lang w:val="sr-Cyrl-CS"/>
              </w:rPr>
            </w:pPr>
            <w:r w:rsidRPr="001B41AD">
              <w:rPr>
                <w:sz w:val="16"/>
                <w:szCs w:val="16"/>
                <w:lang w:val="sr-Cyrl-CS"/>
              </w:rPr>
              <w:t>758,1</w:t>
            </w:r>
          </w:p>
        </w:tc>
        <w:tc>
          <w:tcPr>
            <w:tcW w:w="565" w:type="pct"/>
          </w:tcPr>
          <w:p w14:paraId="1631F0E0" w14:textId="77777777" w:rsidR="00563D88" w:rsidRPr="001B41AD" w:rsidRDefault="00563D88" w:rsidP="00405489">
            <w:pPr>
              <w:jc w:val="right"/>
              <w:rPr>
                <w:sz w:val="16"/>
                <w:szCs w:val="16"/>
                <w:lang w:val="sr-Cyrl-CS"/>
              </w:rPr>
            </w:pPr>
            <w:r w:rsidRPr="001B41AD">
              <w:rPr>
                <w:sz w:val="16"/>
                <w:szCs w:val="16"/>
                <w:lang w:val="sr-Cyrl-CS"/>
              </w:rPr>
              <w:t>745,7</w:t>
            </w:r>
          </w:p>
        </w:tc>
        <w:tc>
          <w:tcPr>
            <w:tcW w:w="724" w:type="pct"/>
          </w:tcPr>
          <w:p w14:paraId="14F274C7" w14:textId="77777777" w:rsidR="00563D88" w:rsidRPr="001B41AD" w:rsidRDefault="00563D88" w:rsidP="00405489">
            <w:pPr>
              <w:jc w:val="right"/>
              <w:rPr>
                <w:sz w:val="16"/>
                <w:szCs w:val="16"/>
                <w:lang w:val="sr-Cyrl-CS"/>
              </w:rPr>
            </w:pPr>
            <w:r w:rsidRPr="001B41AD">
              <w:rPr>
                <w:sz w:val="16"/>
                <w:szCs w:val="16"/>
                <w:lang w:val="sr-Cyrl-CS"/>
              </w:rPr>
              <w:t>739,8</w:t>
            </w:r>
          </w:p>
        </w:tc>
        <w:tc>
          <w:tcPr>
            <w:tcW w:w="724" w:type="pct"/>
            <w:hideMark/>
          </w:tcPr>
          <w:p w14:paraId="3476C0FF" w14:textId="77777777" w:rsidR="00563D88" w:rsidRPr="001B41AD" w:rsidRDefault="00563D88" w:rsidP="00405489">
            <w:pPr>
              <w:jc w:val="right"/>
              <w:rPr>
                <w:sz w:val="16"/>
                <w:szCs w:val="16"/>
                <w:lang w:val="sr-Cyrl-CS"/>
              </w:rPr>
            </w:pPr>
            <w:r w:rsidRPr="001B41AD">
              <w:rPr>
                <w:sz w:val="16"/>
                <w:szCs w:val="16"/>
                <w:lang w:val="sr-Cyrl-CS"/>
              </w:rPr>
              <w:t>-18,3</w:t>
            </w:r>
          </w:p>
        </w:tc>
        <w:tc>
          <w:tcPr>
            <w:tcW w:w="566" w:type="pct"/>
            <w:hideMark/>
          </w:tcPr>
          <w:p w14:paraId="4AD6D426" w14:textId="77777777" w:rsidR="00563D88" w:rsidRPr="001B41AD" w:rsidRDefault="00563D88" w:rsidP="00405489">
            <w:pPr>
              <w:jc w:val="right"/>
              <w:rPr>
                <w:sz w:val="16"/>
                <w:szCs w:val="16"/>
                <w:lang w:val="sr-Cyrl-CS"/>
              </w:rPr>
            </w:pPr>
            <w:r w:rsidRPr="001B41AD">
              <w:rPr>
                <w:sz w:val="16"/>
                <w:szCs w:val="16"/>
                <w:lang w:val="sr-Cyrl-CS"/>
              </w:rPr>
              <w:t>-2,4</w:t>
            </w:r>
          </w:p>
        </w:tc>
        <w:tc>
          <w:tcPr>
            <w:tcW w:w="555" w:type="pct"/>
            <w:noWrap/>
            <w:hideMark/>
          </w:tcPr>
          <w:p w14:paraId="2E9583A8" w14:textId="77777777" w:rsidR="00563D88" w:rsidRPr="001B41AD" w:rsidRDefault="00563D88" w:rsidP="00405489">
            <w:pPr>
              <w:jc w:val="right"/>
              <w:rPr>
                <w:sz w:val="16"/>
                <w:szCs w:val="16"/>
                <w:lang w:val="sr-Cyrl-CS"/>
              </w:rPr>
            </w:pPr>
            <w:r w:rsidRPr="001B41AD">
              <w:rPr>
                <w:sz w:val="16"/>
                <w:szCs w:val="16"/>
                <w:lang w:val="sr-Cyrl-CS"/>
              </w:rPr>
              <w:t>7,1</w:t>
            </w:r>
          </w:p>
        </w:tc>
      </w:tr>
      <w:tr w:rsidR="00563D88" w:rsidRPr="001B41AD" w14:paraId="7C850452" w14:textId="77777777" w:rsidTr="00405489">
        <w:trPr>
          <w:trHeight w:hRule="exact" w:val="242"/>
          <w:jc w:val="center"/>
        </w:trPr>
        <w:tc>
          <w:tcPr>
            <w:tcW w:w="1299" w:type="pct"/>
            <w:noWrap/>
            <w:vAlign w:val="center"/>
            <w:hideMark/>
          </w:tcPr>
          <w:p w14:paraId="4D67F7EB"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Нето буџетске позајмице</w:t>
            </w:r>
          </w:p>
        </w:tc>
        <w:tc>
          <w:tcPr>
            <w:tcW w:w="567" w:type="pct"/>
            <w:hideMark/>
          </w:tcPr>
          <w:p w14:paraId="289ED162" w14:textId="77777777" w:rsidR="00563D88" w:rsidRPr="001B41AD" w:rsidRDefault="00563D88" w:rsidP="00405489">
            <w:pPr>
              <w:jc w:val="right"/>
              <w:rPr>
                <w:sz w:val="16"/>
                <w:szCs w:val="16"/>
                <w:lang w:val="sr-Cyrl-CS"/>
              </w:rPr>
            </w:pPr>
            <w:r w:rsidRPr="001B41AD">
              <w:rPr>
                <w:sz w:val="16"/>
                <w:szCs w:val="16"/>
                <w:lang w:val="sr-Cyrl-CS"/>
              </w:rPr>
              <w:t>23,6</w:t>
            </w:r>
          </w:p>
        </w:tc>
        <w:tc>
          <w:tcPr>
            <w:tcW w:w="565" w:type="pct"/>
          </w:tcPr>
          <w:p w14:paraId="6FD35C5D" w14:textId="77777777" w:rsidR="00563D88" w:rsidRPr="001B41AD" w:rsidRDefault="00563D88" w:rsidP="00405489">
            <w:pPr>
              <w:jc w:val="right"/>
              <w:rPr>
                <w:sz w:val="16"/>
                <w:szCs w:val="16"/>
                <w:lang w:val="sr-Cyrl-CS"/>
              </w:rPr>
            </w:pPr>
            <w:r w:rsidRPr="001B41AD">
              <w:rPr>
                <w:sz w:val="16"/>
                <w:szCs w:val="16"/>
                <w:lang w:val="sr-Cyrl-CS"/>
              </w:rPr>
              <w:t>27,7</w:t>
            </w:r>
          </w:p>
        </w:tc>
        <w:tc>
          <w:tcPr>
            <w:tcW w:w="724" w:type="pct"/>
          </w:tcPr>
          <w:p w14:paraId="1A8B4BBB" w14:textId="77777777" w:rsidR="00563D88" w:rsidRPr="001B41AD" w:rsidRDefault="00563D88" w:rsidP="00405489">
            <w:pPr>
              <w:jc w:val="right"/>
              <w:rPr>
                <w:sz w:val="16"/>
                <w:szCs w:val="16"/>
                <w:lang w:val="sr-Cyrl-CS"/>
              </w:rPr>
            </w:pPr>
            <w:r w:rsidRPr="001B41AD">
              <w:rPr>
                <w:sz w:val="16"/>
                <w:szCs w:val="16"/>
                <w:lang w:val="sr-Cyrl-CS"/>
              </w:rPr>
              <w:t>24,8</w:t>
            </w:r>
          </w:p>
        </w:tc>
        <w:tc>
          <w:tcPr>
            <w:tcW w:w="724" w:type="pct"/>
            <w:hideMark/>
          </w:tcPr>
          <w:p w14:paraId="6CE506CB" w14:textId="77777777" w:rsidR="00563D88" w:rsidRPr="001B41AD" w:rsidRDefault="00563D88" w:rsidP="00405489">
            <w:pPr>
              <w:jc w:val="right"/>
              <w:rPr>
                <w:sz w:val="16"/>
                <w:szCs w:val="16"/>
                <w:lang w:val="sr-Cyrl-CS"/>
              </w:rPr>
            </w:pPr>
            <w:r w:rsidRPr="001B41AD">
              <w:rPr>
                <w:sz w:val="16"/>
                <w:szCs w:val="16"/>
                <w:lang w:val="sr-Cyrl-CS"/>
              </w:rPr>
              <w:t>1,2</w:t>
            </w:r>
          </w:p>
        </w:tc>
        <w:tc>
          <w:tcPr>
            <w:tcW w:w="566" w:type="pct"/>
            <w:hideMark/>
          </w:tcPr>
          <w:p w14:paraId="29428CFD" w14:textId="77777777" w:rsidR="00563D88" w:rsidRPr="001B41AD" w:rsidRDefault="00563D88" w:rsidP="00405489">
            <w:pPr>
              <w:jc w:val="right"/>
              <w:rPr>
                <w:sz w:val="16"/>
                <w:szCs w:val="16"/>
                <w:lang w:val="sr-Cyrl-CS"/>
              </w:rPr>
            </w:pPr>
            <w:r w:rsidRPr="001B41AD">
              <w:rPr>
                <w:sz w:val="16"/>
                <w:szCs w:val="16"/>
                <w:lang w:val="sr-Cyrl-CS"/>
              </w:rPr>
              <w:t>5,0</w:t>
            </w:r>
          </w:p>
        </w:tc>
        <w:tc>
          <w:tcPr>
            <w:tcW w:w="555" w:type="pct"/>
            <w:noWrap/>
            <w:hideMark/>
          </w:tcPr>
          <w:p w14:paraId="79278778" w14:textId="77777777" w:rsidR="00563D88" w:rsidRPr="001B41AD" w:rsidRDefault="00563D88" w:rsidP="00405489">
            <w:pPr>
              <w:jc w:val="right"/>
              <w:rPr>
                <w:sz w:val="16"/>
                <w:szCs w:val="16"/>
                <w:lang w:val="sr-Cyrl-CS"/>
              </w:rPr>
            </w:pPr>
            <w:r w:rsidRPr="001B41AD">
              <w:rPr>
                <w:sz w:val="16"/>
                <w:szCs w:val="16"/>
                <w:lang w:val="sr-Cyrl-CS"/>
              </w:rPr>
              <w:t>0,2</w:t>
            </w:r>
          </w:p>
        </w:tc>
      </w:tr>
      <w:tr w:rsidR="00563D88" w:rsidRPr="001B41AD" w14:paraId="79998543" w14:textId="77777777" w:rsidTr="00405489">
        <w:trPr>
          <w:trHeight w:hRule="exact" w:val="242"/>
          <w:jc w:val="center"/>
        </w:trPr>
        <w:tc>
          <w:tcPr>
            <w:tcW w:w="1299" w:type="pct"/>
            <w:noWrap/>
            <w:vAlign w:val="center"/>
            <w:hideMark/>
          </w:tcPr>
          <w:p w14:paraId="1603B634"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Активиране гаранције</w:t>
            </w:r>
          </w:p>
        </w:tc>
        <w:tc>
          <w:tcPr>
            <w:tcW w:w="567" w:type="pct"/>
            <w:hideMark/>
          </w:tcPr>
          <w:p w14:paraId="27719879" w14:textId="77777777" w:rsidR="00563D88" w:rsidRPr="001B41AD" w:rsidRDefault="00563D88" w:rsidP="00405489">
            <w:pPr>
              <w:jc w:val="right"/>
              <w:rPr>
                <w:sz w:val="16"/>
                <w:szCs w:val="16"/>
                <w:lang w:val="sr-Cyrl-CS"/>
              </w:rPr>
            </w:pPr>
            <w:r w:rsidRPr="001B41AD">
              <w:rPr>
                <w:sz w:val="16"/>
                <w:szCs w:val="16"/>
                <w:lang w:val="sr-Cyrl-CS"/>
              </w:rPr>
              <w:t>22,1</w:t>
            </w:r>
          </w:p>
        </w:tc>
        <w:tc>
          <w:tcPr>
            <w:tcW w:w="565" w:type="pct"/>
          </w:tcPr>
          <w:p w14:paraId="4BF31A8B" w14:textId="77777777" w:rsidR="00563D88" w:rsidRPr="001B41AD" w:rsidRDefault="00563D88" w:rsidP="00405489">
            <w:pPr>
              <w:jc w:val="right"/>
              <w:rPr>
                <w:sz w:val="16"/>
                <w:szCs w:val="16"/>
                <w:lang w:val="sr-Cyrl-CS"/>
              </w:rPr>
            </w:pPr>
            <w:r w:rsidRPr="001B41AD">
              <w:rPr>
                <w:sz w:val="16"/>
                <w:szCs w:val="16"/>
                <w:lang w:val="sr-Cyrl-CS"/>
              </w:rPr>
              <w:t>22,1</w:t>
            </w:r>
          </w:p>
        </w:tc>
        <w:tc>
          <w:tcPr>
            <w:tcW w:w="724" w:type="pct"/>
          </w:tcPr>
          <w:p w14:paraId="484E365D" w14:textId="77777777" w:rsidR="00563D88" w:rsidRPr="001B41AD" w:rsidRDefault="00563D88" w:rsidP="00405489">
            <w:pPr>
              <w:jc w:val="right"/>
              <w:rPr>
                <w:sz w:val="16"/>
                <w:szCs w:val="16"/>
                <w:lang w:val="sr-Cyrl-CS"/>
              </w:rPr>
            </w:pPr>
            <w:r w:rsidRPr="001B41AD">
              <w:rPr>
                <w:sz w:val="16"/>
                <w:szCs w:val="16"/>
                <w:lang w:val="sr-Cyrl-CS"/>
              </w:rPr>
              <w:t>22,1</w:t>
            </w:r>
          </w:p>
        </w:tc>
        <w:tc>
          <w:tcPr>
            <w:tcW w:w="724" w:type="pct"/>
            <w:hideMark/>
          </w:tcPr>
          <w:p w14:paraId="7B886EE4" w14:textId="77777777" w:rsidR="00563D88" w:rsidRPr="001B41AD" w:rsidRDefault="00563D88" w:rsidP="00405489">
            <w:pPr>
              <w:jc w:val="right"/>
              <w:rPr>
                <w:sz w:val="16"/>
                <w:szCs w:val="16"/>
                <w:lang w:val="sr-Cyrl-CS"/>
              </w:rPr>
            </w:pPr>
            <w:r w:rsidRPr="001B41AD">
              <w:rPr>
                <w:sz w:val="16"/>
                <w:szCs w:val="16"/>
                <w:lang w:val="sr-Cyrl-CS"/>
              </w:rPr>
              <w:t>0,0</w:t>
            </w:r>
          </w:p>
        </w:tc>
        <w:tc>
          <w:tcPr>
            <w:tcW w:w="566" w:type="pct"/>
            <w:hideMark/>
          </w:tcPr>
          <w:p w14:paraId="3C130A41" w14:textId="77777777" w:rsidR="00563D88" w:rsidRPr="001B41AD" w:rsidRDefault="00563D88" w:rsidP="00405489">
            <w:pPr>
              <w:jc w:val="right"/>
              <w:rPr>
                <w:sz w:val="16"/>
                <w:szCs w:val="16"/>
                <w:lang w:val="sr-Cyrl-CS"/>
              </w:rPr>
            </w:pPr>
            <w:r w:rsidRPr="001B41AD">
              <w:rPr>
                <w:sz w:val="16"/>
                <w:szCs w:val="16"/>
                <w:lang w:val="sr-Cyrl-CS"/>
              </w:rPr>
              <w:t>0,0</w:t>
            </w:r>
          </w:p>
        </w:tc>
        <w:tc>
          <w:tcPr>
            <w:tcW w:w="555" w:type="pct"/>
            <w:noWrap/>
            <w:hideMark/>
          </w:tcPr>
          <w:p w14:paraId="417D28F8" w14:textId="77777777" w:rsidR="00563D88" w:rsidRPr="001B41AD" w:rsidRDefault="00563D88" w:rsidP="00405489">
            <w:pPr>
              <w:jc w:val="right"/>
              <w:rPr>
                <w:sz w:val="16"/>
                <w:szCs w:val="16"/>
                <w:lang w:val="sr-Cyrl-CS"/>
              </w:rPr>
            </w:pPr>
            <w:r w:rsidRPr="001B41AD">
              <w:rPr>
                <w:sz w:val="16"/>
                <w:szCs w:val="16"/>
                <w:lang w:val="sr-Cyrl-CS"/>
              </w:rPr>
              <w:t>0,2</w:t>
            </w:r>
          </w:p>
        </w:tc>
      </w:tr>
      <w:tr w:rsidR="00563D88" w:rsidRPr="001B41AD" w14:paraId="0F8D49E2" w14:textId="77777777" w:rsidTr="00405489">
        <w:trPr>
          <w:trHeight w:hRule="exact" w:val="242"/>
          <w:jc w:val="center"/>
        </w:trPr>
        <w:tc>
          <w:tcPr>
            <w:tcW w:w="1299" w:type="pct"/>
            <w:shd w:val="clear" w:color="auto" w:fill="E7E6E6" w:themeFill="background2"/>
            <w:noWrap/>
            <w:vAlign w:val="center"/>
            <w:hideMark/>
          </w:tcPr>
          <w:p w14:paraId="119A4D02" w14:textId="77777777" w:rsidR="00563D88" w:rsidRPr="001B41AD" w:rsidRDefault="00563D88" w:rsidP="00405489">
            <w:pPr>
              <w:spacing w:after="0" w:line="240" w:lineRule="auto"/>
              <w:jc w:val="left"/>
              <w:rPr>
                <w:rFonts w:cstheme="minorHAnsi"/>
                <w:color w:val="002060"/>
                <w:sz w:val="16"/>
                <w:szCs w:val="16"/>
                <w:lang w:val="sr-Cyrl-CS"/>
              </w:rPr>
            </w:pPr>
            <w:r w:rsidRPr="001B41AD">
              <w:rPr>
                <w:rFonts w:eastAsia="MS PGothic" w:cstheme="minorHAnsi"/>
                <w:color w:val="002060"/>
                <w:sz w:val="16"/>
                <w:szCs w:val="16"/>
                <w:lang w:val="sr-Cyrl-CS" w:eastAsia="ja-JP"/>
              </w:rPr>
              <w:t>Резултат</w:t>
            </w:r>
          </w:p>
        </w:tc>
        <w:tc>
          <w:tcPr>
            <w:tcW w:w="567" w:type="pct"/>
            <w:shd w:val="clear" w:color="auto" w:fill="E7E6E6" w:themeFill="background2"/>
            <w:hideMark/>
          </w:tcPr>
          <w:p w14:paraId="67890E54" w14:textId="77777777" w:rsidR="00563D88" w:rsidRPr="001B41AD" w:rsidRDefault="00563D88" w:rsidP="00405489">
            <w:pPr>
              <w:jc w:val="right"/>
              <w:rPr>
                <w:sz w:val="16"/>
                <w:szCs w:val="16"/>
                <w:lang w:val="sr-Cyrl-CS"/>
              </w:rPr>
            </w:pPr>
            <w:r w:rsidRPr="001B41AD">
              <w:rPr>
                <w:sz w:val="16"/>
                <w:szCs w:val="16"/>
                <w:lang w:val="sr-Cyrl-CS"/>
              </w:rPr>
              <w:t>-314,0</w:t>
            </w:r>
          </w:p>
        </w:tc>
        <w:tc>
          <w:tcPr>
            <w:tcW w:w="565" w:type="pct"/>
            <w:shd w:val="clear" w:color="auto" w:fill="E7E6E6" w:themeFill="background2"/>
          </w:tcPr>
          <w:p w14:paraId="0FF7AD19" w14:textId="77777777" w:rsidR="00563D88" w:rsidRPr="001B41AD" w:rsidRDefault="00563D88" w:rsidP="00405489">
            <w:pPr>
              <w:jc w:val="right"/>
              <w:rPr>
                <w:sz w:val="16"/>
                <w:szCs w:val="16"/>
                <w:lang w:val="sr-Cyrl-CS"/>
              </w:rPr>
            </w:pPr>
            <w:r w:rsidRPr="001B41AD">
              <w:rPr>
                <w:sz w:val="16"/>
                <w:szCs w:val="16"/>
                <w:lang w:val="sr-Cyrl-CS"/>
              </w:rPr>
              <w:t>-314,0</w:t>
            </w:r>
          </w:p>
        </w:tc>
        <w:tc>
          <w:tcPr>
            <w:tcW w:w="724" w:type="pct"/>
            <w:shd w:val="clear" w:color="auto" w:fill="E7E6E6" w:themeFill="background2"/>
          </w:tcPr>
          <w:p w14:paraId="2BB83FDF" w14:textId="77777777" w:rsidR="00563D88" w:rsidRPr="001B41AD" w:rsidRDefault="00563D88" w:rsidP="00405489">
            <w:pPr>
              <w:jc w:val="right"/>
              <w:rPr>
                <w:sz w:val="16"/>
                <w:szCs w:val="16"/>
                <w:lang w:val="sr-Cyrl-CS"/>
              </w:rPr>
            </w:pPr>
            <w:r w:rsidRPr="001B41AD">
              <w:rPr>
                <w:sz w:val="16"/>
                <w:szCs w:val="16"/>
                <w:lang w:val="sr-Cyrl-CS"/>
              </w:rPr>
              <w:t>-314,0</w:t>
            </w:r>
          </w:p>
        </w:tc>
        <w:tc>
          <w:tcPr>
            <w:tcW w:w="724" w:type="pct"/>
            <w:shd w:val="clear" w:color="auto" w:fill="E7E6E6" w:themeFill="background2"/>
            <w:hideMark/>
          </w:tcPr>
          <w:p w14:paraId="567712CB" w14:textId="77777777" w:rsidR="00563D88" w:rsidRPr="001B41AD" w:rsidRDefault="00563D88" w:rsidP="00405489">
            <w:pPr>
              <w:jc w:val="right"/>
              <w:rPr>
                <w:sz w:val="16"/>
                <w:szCs w:val="16"/>
                <w:lang w:val="sr-Cyrl-CS"/>
              </w:rPr>
            </w:pPr>
            <w:r w:rsidRPr="001B41AD">
              <w:rPr>
                <w:sz w:val="16"/>
                <w:szCs w:val="16"/>
                <w:lang w:val="sr-Cyrl-CS"/>
              </w:rPr>
              <w:t>0,0</w:t>
            </w:r>
          </w:p>
        </w:tc>
        <w:tc>
          <w:tcPr>
            <w:tcW w:w="566" w:type="pct"/>
            <w:shd w:val="clear" w:color="auto" w:fill="E7E6E6" w:themeFill="background2"/>
            <w:hideMark/>
          </w:tcPr>
          <w:p w14:paraId="3118EC35" w14:textId="77777777" w:rsidR="00563D88" w:rsidRPr="001B41AD" w:rsidRDefault="00563D88" w:rsidP="00405489">
            <w:pPr>
              <w:jc w:val="right"/>
              <w:rPr>
                <w:sz w:val="16"/>
                <w:szCs w:val="16"/>
                <w:lang w:val="sr-Cyrl-CS"/>
              </w:rPr>
            </w:pPr>
          </w:p>
        </w:tc>
        <w:tc>
          <w:tcPr>
            <w:tcW w:w="555" w:type="pct"/>
            <w:shd w:val="clear" w:color="auto" w:fill="E7E6E6" w:themeFill="background2"/>
            <w:noWrap/>
            <w:hideMark/>
          </w:tcPr>
          <w:p w14:paraId="242A8DC3" w14:textId="77777777" w:rsidR="00563D88" w:rsidRPr="001B41AD" w:rsidRDefault="00563D88" w:rsidP="00405489">
            <w:pPr>
              <w:jc w:val="right"/>
              <w:rPr>
                <w:sz w:val="16"/>
                <w:szCs w:val="16"/>
                <w:lang w:val="sr-Cyrl-CS"/>
              </w:rPr>
            </w:pPr>
            <w:r w:rsidRPr="001B41AD">
              <w:rPr>
                <w:sz w:val="16"/>
                <w:szCs w:val="16"/>
                <w:lang w:val="sr-Cyrl-CS"/>
              </w:rPr>
              <w:t>-3,0</w:t>
            </w:r>
          </w:p>
        </w:tc>
      </w:tr>
      <w:tr w:rsidR="00563D88" w:rsidRPr="001B41AD" w14:paraId="068AA1B6" w14:textId="77777777" w:rsidTr="00405489">
        <w:trPr>
          <w:trHeight w:hRule="exact" w:val="242"/>
          <w:jc w:val="center"/>
        </w:trPr>
        <w:tc>
          <w:tcPr>
            <w:tcW w:w="1299" w:type="pct"/>
            <w:noWrap/>
            <w:vAlign w:val="center"/>
            <w:hideMark/>
          </w:tcPr>
          <w:p w14:paraId="3A5826FD" w14:textId="77777777" w:rsidR="00563D88" w:rsidRPr="001B41AD" w:rsidRDefault="00563D88" w:rsidP="00405489">
            <w:pPr>
              <w:spacing w:after="0" w:line="240" w:lineRule="auto"/>
              <w:jc w:val="left"/>
              <w:rPr>
                <w:rFonts w:cstheme="minorHAnsi"/>
                <w:color w:val="002060"/>
                <w:sz w:val="16"/>
                <w:szCs w:val="16"/>
                <w:lang w:val="sr-Cyrl-CS"/>
              </w:rPr>
            </w:pPr>
            <w:r w:rsidRPr="001B41AD">
              <w:rPr>
                <w:rFonts w:eastAsia="MS PGothic" w:cstheme="minorHAnsi"/>
                <w:color w:val="002060"/>
                <w:sz w:val="16"/>
                <w:szCs w:val="16"/>
                <w:lang w:val="sr-Cyrl-CS" w:eastAsia="ja-JP"/>
              </w:rPr>
              <w:t>Резултат у % БДП*</w:t>
            </w:r>
          </w:p>
        </w:tc>
        <w:tc>
          <w:tcPr>
            <w:tcW w:w="567" w:type="pct"/>
            <w:hideMark/>
          </w:tcPr>
          <w:p w14:paraId="62DC811D" w14:textId="77777777" w:rsidR="00563D88" w:rsidRPr="001B41AD" w:rsidRDefault="00563D88" w:rsidP="00405489">
            <w:pPr>
              <w:jc w:val="right"/>
              <w:rPr>
                <w:sz w:val="16"/>
                <w:szCs w:val="16"/>
                <w:lang w:val="sr-Cyrl-CS"/>
              </w:rPr>
            </w:pPr>
            <w:r w:rsidRPr="001B41AD">
              <w:rPr>
                <w:sz w:val="16"/>
                <w:szCs w:val="16"/>
                <w:lang w:val="sr-Cyrl-CS"/>
              </w:rPr>
              <w:t>-3,0</w:t>
            </w:r>
          </w:p>
        </w:tc>
        <w:tc>
          <w:tcPr>
            <w:tcW w:w="565" w:type="pct"/>
          </w:tcPr>
          <w:p w14:paraId="40522122" w14:textId="77777777" w:rsidR="00563D88" w:rsidRPr="001B41AD" w:rsidRDefault="00563D88" w:rsidP="00405489">
            <w:pPr>
              <w:jc w:val="right"/>
              <w:rPr>
                <w:sz w:val="16"/>
                <w:szCs w:val="16"/>
                <w:lang w:val="sr-Cyrl-CS"/>
              </w:rPr>
            </w:pPr>
            <w:r w:rsidRPr="001B41AD">
              <w:rPr>
                <w:sz w:val="16"/>
                <w:szCs w:val="16"/>
                <w:lang w:val="sr-Cyrl-CS"/>
              </w:rPr>
              <w:t>-3,0</w:t>
            </w:r>
          </w:p>
        </w:tc>
        <w:tc>
          <w:tcPr>
            <w:tcW w:w="724" w:type="pct"/>
          </w:tcPr>
          <w:p w14:paraId="29CDE8E6" w14:textId="77777777" w:rsidR="00563D88" w:rsidRPr="001B41AD" w:rsidRDefault="00563D88" w:rsidP="00405489">
            <w:pPr>
              <w:jc w:val="right"/>
              <w:rPr>
                <w:sz w:val="16"/>
                <w:szCs w:val="16"/>
                <w:lang w:val="sr-Cyrl-CS"/>
              </w:rPr>
            </w:pPr>
            <w:r w:rsidRPr="001B41AD">
              <w:rPr>
                <w:sz w:val="16"/>
                <w:szCs w:val="16"/>
                <w:lang w:val="sr-Cyrl-CS"/>
              </w:rPr>
              <w:t>-3,0</w:t>
            </w:r>
          </w:p>
        </w:tc>
        <w:tc>
          <w:tcPr>
            <w:tcW w:w="724" w:type="pct"/>
            <w:hideMark/>
          </w:tcPr>
          <w:p w14:paraId="5B6C8756" w14:textId="77777777" w:rsidR="00563D88" w:rsidRPr="001B41AD" w:rsidRDefault="00563D88" w:rsidP="00405489">
            <w:pPr>
              <w:jc w:val="right"/>
              <w:rPr>
                <w:sz w:val="16"/>
                <w:szCs w:val="16"/>
                <w:lang w:val="sr-Cyrl-CS"/>
              </w:rPr>
            </w:pPr>
            <w:r w:rsidRPr="001B41AD">
              <w:rPr>
                <w:sz w:val="16"/>
                <w:szCs w:val="16"/>
                <w:lang w:val="sr-Cyrl-CS"/>
              </w:rPr>
              <w:t>0,0</w:t>
            </w:r>
          </w:p>
        </w:tc>
        <w:tc>
          <w:tcPr>
            <w:tcW w:w="566" w:type="pct"/>
            <w:hideMark/>
          </w:tcPr>
          <w:p w14:paraId="6D90C887" w14:textId="77777777" w:rsidR="00563D88" w:rsidRPr="001B41AD" w:rsidRDefault="00563D88" w:rsidP="00405489">
            <w:pPr>
              <w:jc w:val="right"/>
              <w:rPr>
                <w:sz w:val="16"/>
                <w:szCs w:val="16"/>
                <w:lang w:val="sr-Cyrl-CS"/>
              </w:rPr>
            </w:pPr>
          </w:p>
        </w:tc>
        <w:tc>
          <w:tcPr>
            <w:tcW w:w="555" w:type="pct"/>
            <w:hideMark/>
          </w:tcPr>
          <w:p w14:paraId="6669DE86" w14:textId="77777777" w:rsidR="00563D88" w:rsidRPr="001B41AD" w:rsidRDefault="00563D88" w:rsidP="00405489">
            <w:pPr>
              <w:jc w:val="right"/>
              <w:rPr>
                <w:sz w:val="16"/>
                <w:szCs w:val="16"/>
                <w:lang w:val="sr-Cyrl-CS"/>
              </w:rPr>
            </w:pPr>
          </w:p>
        </w:tc>
      </w:tr>
    </w:tbl>
    <w:p w14:paraId="0F6A6D3B" w14:textId="77777777" w:rsidR="00563D88" w:rsidRPr="001B41AD" w:rsidRDefault="00563D88" w:rsidP="00563D88">
      <w:pPr>
        <w:spacing w:after="0" w:line="240" w:lineRule="auto"/>
        <w:jc w:val="left"/>
        <w:rPr>
          <w:rFonts w:eastAsia="Calibri" w:cstheme="minorHAnsi"/>
          <w:bCs/>
          <w:sz w:val="16"/>
          <w:szCs w:val="16"/>
          <w:lang w:val="sr-Cyrl-CS" w:eastAsia="ja-JP"/>
        </w:rPr>
        <w:sectPr w:rsidR="00563D88" w:rsidRPr="001B41AD" w:rsidSect="00E61B34">
          <w:type w:val="continuous"/>
          <w:pgSz w:w="12240" w:h="15840" w:code="1"/>
          <w:pgMar w:top="1440" w:right="1440" w:bottom="1440" w:left="1440" w:header="720" w:footer="720" w:gutter="0"/>
          <w:cols w:space="720"/>
          <w:docGrid w:linePitch="360"/>
        </w:sectPr>
      </w:pPr>
    </w:p>
    <w:p w14:paraId="00ED270F" w14:textId="77777777" w:rsidR="00563D88" w:rsidRPr="001B41AD" w:rsidRDefault="00563D88" w:rsidP="00563D88">
      <w:pPr>
        <w:pStyle w:val="FootnoteText"/>
        <w:rPr>
          <w:sz w:val="16"/>
          <w:szCs w:val="16"/>
          <w:lang w:val="sr-Cyrl-CS"/>
        </w:rPr>
      </w:pPr>
      <w:r w:rsidRPr="001B41AD">
        <w:rPr>
          <w:sz w:val="16"/>
          <w:szCs w:val="16"/>
          <w:lang w:val="sr-Cyrl-CS"/>
        </w:rPr>
        <w:t>Извор: Министарство финансија</w:t>
      </w:r>
    </w:p>
    <w:p w14:paraId="25002DE3" w14:textId="77777777" w:rsidR="00563D88" w:rsidRPr="001B41AD" w:rsidRDefault="00563D88" w:rsidP="00563D88">
      <w:pPr>
        <w:pStyle w:val="FootnoteText"/>
        <w:rPr>
          <w:sz w:val="16"/>
          <w:szCs w:val="16"/>
          <w:lang w:val="sr-Cyrl-CS"/>
        </w:rPr>
      </w:pPr>
      <w:r w:rsidRPr="001B41AD">
        <w:rPr>
          <w:sz w:val="16"/>
          <w:szCs w:val="16"/>
          <w:lang w:val="sr-Cyrl-CS"/>
        </w:rPr>
        <w:t>* Оригинални буџет за 2025. годину је, у сврхе упоредивости са новом проценом за текућу годину, умањен за износ средстава</w:t>
      </w:r>
      <w:r w:rsidR="001920CB" w:rsidRPr="001B41AD">
        <w:rPr>
          <w:sz w:val="16"/>
          <w:szCs w:val="16"/>
          <w:lang w:val="sr-Cyrl-CS"/>
        </w:rPr>
        <w:t xml:space="preserve"> из осталих извора финансирања</w:t>
      </w:r>
      <w:r w:rsidRPr="001B41AD">
        <w:rPr>
          <w:sz w:val="16"/>
          <w:szCs w:val="16"/>
          <w:lang w:val="sr-Cyrl-CS"/>
        </w:rPr>
        <w:t xml:space="preserve"> установа вишег и високог образовања с обзиром да током текуће године ове установе нису укључене у систем извештавања о извршењу буџета Републике. Укупан обим тих средстава износи 32,3 млрд и на приходној и расходној страни.</w:t>
      </w:r>
    </w:p>
    <w:p w14:paraId="12ED233A" w14:textId="77777777" w:rsidR="00563D88" w:rsidRPr="001B41AD" w:rsidRDefault="00563D88" w:rsidP="00563D88">
      <w:pPr>
        <w:rPr>
          <w:rFonts w:eastAsia="MS PGothic" w:cstheme="minorHAnsi"/>
          <w:szCs w:val="20"/>
          <w:lang w:val="sr-Cyrl-CS" w:eastAsia="ja-JP"/>
        </w:rPr>
        <w:sectPr w:rsidR="00563D88" w:rsidRPr="001B41AD" w:rsidSect="00E61B34">
          <w:headerReference w:type="even" r:id="rId107"/>
          <w:headerReference w:type="default" r:id="rId108"/>
          <w:footerReference w:type="even" r:id="rId109"/>
          <w:footerReference w:type="default" r:id="rId110"/>
          <w:headerReference w:type="first" r:id="rId111"/>
          <w:type w:val="continuous"/>
          <w:pgSz w:w="12240" w:h="15840" w:code="1"/>
          <w:pgMar w:top="1440" w:right="1440" w:bottom="1440" w:left="1440" w:header="720" w:footer="720" w:gutter="0"/>
          <w:cols w:space="720"/>
          <w:docGrid w:linePitch="360"/>
        </w:sectPr>
      </w:pPr>
    </w:p>
    <w:p w14:paraId="2E6D2B2C" w14:textId="77777777" w:rsidR="00563D88" w:rsidRPr="001B41AD" w:rsidRDefault="00563D88" w:rsidP="00563D88">
      <w:pPr>
        <w:rPr>
          <w:rFonts w:eastAsia="MS PGothic" w:cstheme="minorHAnsi"/>
          <w:szCs w:val="20"/>
          <w:lang w:val="sr-Cyrl-CS" w:eastAsia="ja-JP"/>
        </w:rPr>
      </w:pPr>
    </w:p>
    <w:p w14:paraId="2D1DF091"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У складу са фискалним кретањима у досадашњем делу године, пројекција укупних прихода сектора државе за 2025. годину повећана је за 10,7 милијарди динара, што представља повећање од 0,3% у односу на претходно усвојени фискални оквир. Иако је укупни износ коригован у мањем обиму, извршене су значајне промене у структури прихода.</w:t>
      </w:r>
    </w:p>
    <w:p w14:paraId="70A2C7FF"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 xml:space="preserve">Порези на доходак, укључујући доприносе за социјално осигурање, ревидирани су навише, као и акцизе, док је највеће негативно одступање забележено код ПДВ, што уједно представља и најзначајнију апсолутну и релативну корекцију у оквиру прихода. </w:t>
      </w:r>
    </w:p>
    <w:p w14:paraId="2FDF779D" w14:textId="77777777" w:rsidR="00563D88" w:rsidRPr="001B41AD" w:rsidRDefault="00563D88" w:rsidP="00563D88">
      <w:pPr>
        <w:spacing w:after="120"/>
        <w:rPr>
          <w:rFonts w:eastAsia="MS PGothic" w:cstheme="minorHAnsi"/>
          <w:szCs w:val="20"/>
          <w:lang w:val="sr-Cyrl-CS" w:eastAsia="ja-JP"/>
        </w:rPr>
      </w:pPr>
    </w:p>
    <w:p w14:paraId="2AFC888B" w14:textId="77777777" w:rsidR="00563D88" w:rsidRPr="001B41AD" w:rsidRDefault="00563D88" w:rsidP="00563D88">
      <w:pPr>
        <w:spacing w:after="120"/>
        <w:rPr>
          <w:rFonts w:eastAsia="MS PGothic" w:cstheme="minorHAnsi"/>
          <w:szCs w:val="20"/>
          <w:lang w:val="sr-Cyrl-CS" w:eastAsia="ja-JP"/>
        </w:rPr>
      </w:pPr>
    </w:p>
    <w:p w14:paraId="350F136A"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Непорески приходи су повећани у односу на претходну пројекцију највише услед промена у динамици и очекивањима уплате појединих ванредних непореских прихода.</w:t>
      </w:r>
    </w:p>
    <w:p w14:paraId="1E6897F6"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Кључни фактори који су утицали на ревизију висине и структуре прихода обухватају:</w:t>
      </w:r>
    </w:p>
    <w:p w14:paraId="2D9A72AA" w14:textId="77777777" w:rsidR="00563D88" w:rsidRPr="001B41AD" w:rsidRDefault="00563D88" w:rsidP="00204810">
      <w:pPr>
        <w:numPr>
          <w:ilvl w:val="0"/>
          <w:numId w:val="15"/>
        </w:numPr>
        <w:spacing w:after="120"/>
        <w:ind w:left="714" w:hanging="357"/>
        <w:rPr>
          <w:rFonts w:eastAsia="MS PGothic" w:cstheme="minorHAnsi"/>
          <w:szCs w:val="20"/>
          <w:lang w:val="sr-Cyrl-CS" w:eastAsia="ja-JP"/>
        </w:rPr>
      </w:pPr>
      <w:r w:rsidRPr="001B41AD">
        <w:rPr>
          <w:rFonts w:eastAsia="MS PGothic" w:cstheme="minorHAnsi"/>
          <w:szCs w:val="20"/>
          <w:lang w:val="sr-Cyrl-CS" w:eastAsia="ja-JP"/>
        </w:rPr>
        <w:t>остварење прихода на крају 2024. године (базни ефекат) и у периоду јануар–септембар 2025. године;</w:t>
      </w:r>
    </w:p>
    <w:p w14:paraId="192DA360" w14:textId="77777777" w:rsidR="00563D88" w:rsidRPr="001B41AD" w:rsidRDefault="00563D88" w:rsidP="00204810">
      <w:pPr>
        <w:numPr>
          <w:ilvl w:val="0"/>
          <w:numId w:val="15"/>
        </w:numPr>
        <w:spacing w:after="120"/>
        <w:ind w:left="714" w:hanging="357"/>
        <w:rPr>
          <w:rFonts w:eastAsia="MS PGothic" w:cstheme="minorHAnsi"/>
          <w:szCs w:val="20"/>
          <w:lang w:val="sr-Cyrl-CS" w:eastAsia="ja-JP"/>
        </w:rPr>
      </w:pPr>
      <w:r w:rsidRPr="001B41AD">
        <w:rPr>
          <w:rFonts w:eastAsia="MS PGothic" w:cstheme="minorHAnsi"/>
          <w:szCs w:val="20"/>
          <w:lang w:val="sr-Cyrl-CS" w:eastAsia="ja-JP"/>
        </w:rPr>
        <w:t>успоренији раст приватне потрошње у односу на очекивања;</w:t>
      </w:r>
    </w:p>
    <w:p w14:paraId="06E15586" w14:textId="77777777" w:rsidR="00563D88" w:rsidRPr="001B41AD" w:rsidRDefault="00563D88" w:rsidP="00204810">
      <w:pPr>
        <w:numPr>
          <w:ilvl w:val="0"/>
          <w:numId w:val="15"/>
        </w:numPr>
        <w:spacing w:after="120"/>
        <w:ind w:left="714" w:hanging="357"/>
        <w:rPr>
          <w:rFonts w:eastAsia="MS PGothic" w:cstheme="minorHAnsi"/>
          <w:szCs w:val="20"/>
          <w:lang w:val="sr-Cyrl-CS" w:eastAsia="ja-JP"/>
        </w:rPr>
      </w:pPr>
      <w:r w:rsidRPr="001B41AD">
        <w:rPr>
          <w:rFonts w:eastAsia="MS PGothic" w:cstheme="minorHAnsi"/>
          <w:szCs w:val="20"/>
          <w:lang w:val="sr-Cyrl-CS" w:eastAsia="ja-JP"/>
        </w:rPr>
        <w:t>повољнија кретања на тржишту рада;</w:t>
      </w:r>
    </w:p>
    <w:p w14:paraId="0D9A9946" w14:textId="77777777" w:rsidR="00563D88" w:rsidRPr="001B41AD" w:rsidRDefault="00563D88" w:rsidP="00204810">
      <w:pPr>
        <w:numPr>
          <w:ilvl w:val="0"/>
          <w:numId w:val="15"/>
        </w:numPr>
        <w:spacing w:after="120"/>
        <w:ind w:left="714" w:hanging="357"/>
        <w:rPr>
          <w:rFonts w:eastAsia="MS PGothic" w:cstheme="minorHAnsi"/>
          <w:szCs w:val="20"/>
          <w:lang w:val="sr-Cyrl-CS" w:eastAsia="ja-JP"/>
        </w:rPr>
      </w:pPr>
      <w:r w:rsidRPr="001B41AD">
        <w:rPr>
          <w:rFonts w:eastAsia="MS PGothic" w:cstheme="minorHAnsi"/>
          <w:szCs w:val="20"/>
          <w:lang w:val="sr-Cyrl-CS" w:eastAsia="ja-JP"/>
        </w:rPr>
        <w:t>измене у висини и структури ванредних непореских прихода.</w:t>
      </w:r>
    </w:p>
    <w:p w14:paraId="7EF6D09E" w14:textId="77777777" w:rsidR="00563D88" w:rsidRPr="001B41AD" w:rsidRDefault="00563D88" w:rsidP="00563D88">
      <w:pPr>
        <w:rPr>
          <w:rFonts w:eastAsia="MS PGothic" w:cstheme="minorHAnsi"/>
          <w:szCs w:val="20"/>
          <w:lang w:val="sr-Cyrl-CS" w:eastAsia="ja-JP"/>
        </w:rPr>
      </w:pPr>
      <w:r w:rsidRPr="001B41AD">
        <w:rPr>
          <w:rFonts w:eastAsia="MS PGothic" w:cstheme="minorHAnsi"/>
          <w:szCs w:val="20"/>
          <w:lang w:val="sr-Cyrl-CS" w:eastAsia="ja-JP"/>
        </w:rPr>
        <w:lastRenderedPageBreak/>
        <w:t>Пројекција прихода од пореза на доходак грађана увећана је за 7,3 милијарди динара у односу на план, а приходи од доприноса за социјално осигурање повећани су за 27,6 милијарди динара. Овакве процене резултат су повољнијег кретања зарада и запослености у односу на претпоставке на којима је заснована оригинална пројекција.</w:t>
      </w:r>
      <w:r w:rsidRPr="001B41AD">
        <w:rPr>
          <w:rFonts w:ascii="Times New Roman" w:eastAsia="Times New Roman" w:hAnsi="Times New Roman" w:cs="Times New Roman"/>
          <w:color w:val="auto"/>
          <w:lang w:val="sr-Cyrl-CS"/>
        </w:rPr>
        <w:t xml:space="preserve"> </w:t>
      </w:r>
      <w:r w:rsidRPr="001B41AD">
        <w:rPr>
          <w:rFonts w:eastAsia="MS PGothic" w:cstheme="minorHAnsi"/>
          <w:szCs w:val="20"/>
          <w:lang w:val="sr-Cyrl-CS" w:eastAsia="ja-JP"/>
        </w:rPr>
        <w:t xml:space="preserve">Пројекције ових прихода у оригиналном оквиру биле су засноване на конзервативнијим претпоставкама, посебно када је реч о кретању просечних зарада у првим месецима 2025. године, а које су премашиле очекивања. Приликом ревизије узете су у обзир и процене ефеката смањења пореског оптерећења зарада, примењеног у 2025. години. Основни фактор који је допринео повећању пројекције пореза на зараде и социјалних доприноса је повољан базни ефекат, као и позитивни трендови на тржишту рада у досадашњем току године. Бољој реализацији доприноса за обавезно социјално осигурање допринела је уплата државе по основу пореских олакшица за запошљавање. Остали приходи који припадају категорији пореза на доходак грађана (као што су порези на дивиденде, приходе од капитала, закупа и годишњи порез на доходак) такође су ревидирани навише, пре свега услед базног ефекта и нешто бољих резултата у првим месецима текуће године. </w:t>
      </w:r>
    </w:p>
    <w:p w14:paraId="5DAE3475" w14:textId="77777777" w:rsidR="00563D88" w:rsidRPr="001B41AD" w:rsidRDefault="00563D88" w:rsidP="00563D88">
      <w:pPr>
        <w:rPr>
          <w:rFonts w:eastAsia="MS PGothic" w:cstheme="minorHAnsi"/>
          <w:szCs w:val="20"/>
          <w:lang w:val="sr-Cyrl-CS" w:eastAsia="ja-JP"/>
        </w:rPr>
      </w:pPr>
      <w:r w:rsidRPr="001B41AD">
        <w:rPr>
          <w:rFonts w:eastAsia="MS PGothic" w:cstheme="minorHAnsi"/>
          <w:szCs w:val="20"/>
          <w:lang w:val="sr-Cyrl-CS" w:eastAsia="ja-JP"/>
        </w:rPr>
        <w:t>Приходи од пореза на добит правних лица незнатно су повећани и поред значајних извршених повраћаја одређеним привредним субјектима по основу претплате из претходне године. С обзиром да у тренутку планирања буџета нису били доступни коначни подаци о профитабилности привреде, план прихода по основу пореза на добит био је конзервативан. Уплате по коначном обрачуну извршене су средином године, те је на основу тога и првих уплата по основу нових</w:t>
      </w:r>
      <w:r w:rsidR="00C740F3" w:rsidRPr="001B41AD">
        <w:rPr>
          <w:lang w:val="sr-Cyrl-CS"/>
        </w:rPr>
        <w:t xml:space="preserve"> </w:t>
      </w:r>
      <w:r w:rsidR="00C740F3" w:rsidRPr="001B41AD">
        <w:rPr>
          <w:rFonts w:eastAsia="MS PGothic" w:cstheme="minorHAnsi"/>
          <w:szCs w:val="20"/>
          <w:lang w:val="sr-Cyrl-CS" w:eastAsia="ja-JP"/>
        </w:rPr>
        <w:t>аконтацијских</w:t>
      </w:r>
      <w:r w:rsidRPr="001B41AD">
        <w:rPr>
          <w:rFonts w:eastAsia="MS PGothic" w:cstheme="minorHAnsi"/>
          <w:szCs w:val="20"/>
          <w:lang w:val="sr-Cyrl-CS" w:eastAsia="ja-JP"/>
        </w:rPr>
        <w:t xml:space="preserve"> износа извршена и блага ревизија навише овог пореског облика. </w:t>
      </w:r>
    </w:p>
    <w:p w14:paraId="7F1F5E77" w14:textId="77777777" w:rsidR="00563D88" w:rsidRPr="001B41AD" w:rsidRDefault="00563D88" w:rsidP="00563D88">
      <w:pPr>
        <w:rPr>
          <w:rFonts w:eastAsia="MS PGothic" w:cstheme="minorHAnsi"/>
          <w:szCs w:val="20"/>
          <w:lang w:val="sr-Cyrl-CS" w:eastAsia="ja-JP"/>
        </w:rPr>
      </w:pPr>
      <w:r w:rsidRPr="001B41AD">
        <w:rPr>
          <w:rFonts w:eastAsia="MS PGothic" w:cstheme="minorHAnsi"/>
          <w:szCs w:val="20"/>
          <w:lang w:val="sr-Cyrl-CS" w:eastAsia="ja-JP"/>
        </w:rPr>
        <w:t>Најзначајније смањење у апсолутном износу односи се на приходе од ПДВ, који су ревидирани наниже за 54 милијарди динара, односно 5,1% у односу на првобитно планирани износ. Осно</w:t>
      </w:r>
      <w:r w:rsidR="00D461DA" w:rsidRPr="001B41AD">
        <w:rPr>
          <w:rFonts w:eastAsia="MS PGothic" w:cstheme="minorHAnsi"/>
          <w:szCs w:val="20"/>
          <w:lang w:val="sr-Cyrl-CS" w:eastAsia="ja-JP"/>
        </w:rPr>
        <w:t>вни разлози за ову корекцију су</w:t>
      </w:r>
      <w:r w:rsidRPr="001B41AD">
        <w:rPr>
          <w:rFonts w:eastAsia="MS PGothic" w:cstheme="minorHAnsi"/>
          <w:szCs w:val="20"/>
          <w:lang w:val="sr-Cyrl-CS" w:eastAsia="ja-JP"/>
        </w:rPr>
        <w:t xml:space="preserve"> слабије остварење прихода од ПДВ у последњем кварталу 2024. године, као и наставак овог тренда током 2025. </w:t>
      </w:r>
      <w:r w:rsidRPr="001B41AD">
        <w:rPr>
          <w:rFonts w:eastAsia="MS PGothic" w:cstheme="minorHAnsi"/>
          <w:szCs w:val="20"/>
          <w:lang w:val="sr-Cyrl-CS" w:eastAsia="ja-JP"/>
        </w:rPr>
        <w:t xml:space="preserve">године. За разлику од претходних година, када су одређени специфични фактори – попут „паничне” потрошње, повећане потрошње нерезидената и други једнократни утицаји – доводили до раста приватне потрошње изнад раста расположивог дохотка, сада је приметан супротан тренд. Потрошња заостаје за растом дохотка, што указује на повећани опрез домаћинстава и одлагање потрошње у условима појачане неизвесности. У прилог томе говоре и подаци о снажном расту депозита (трансакциони и орочени) становништва код пословних банака. То упућује на </w:t>
      </w:r>
      <w:r w:rsidRPr="001B41AD">
        <w:rPr>
          <w:rFonts w:eastAsia="MS PGothic" w:cstheme="minorHAnsi"/>
          <w:bCs/>
          <w:szCs w:val="20"/>
          <w:lang w:val="sr-Cyrl-CS" w:eastAsia="ja-JP"/>
        </w:rPr>
        <w:t>одложену, а не трајно умањену потрошњу</w:t>
      </w:r>
      <w:r w:rsidRPr="001B41AD">
        <w:rPr>
          <w:rFonts w:eastAsia="MS PGothic" w:cstheme="minorHAnsi"/>
          <w:szCs w:val="20"/>
          <w:lang w:val="sr-Cyrl-CS" w:eastAsia="ja-JP"/>
        </w:rPr>
        <w:t>, са потенцијалом да се део акумулираних средстава прелије у тражњу када се неизвесност смањи. Истовремено, ограничење трговачких маржи може краткорочно снизити номинални промет, али штити куповну моћ, подржава дезинфлацију и тиме ствара бољу основу за одржив раст реалне потрошње и стабилнији ПДВ на средњи рок. Очекујемо да ће се ова кретања у наредном периоду постепено стабилизовати и преокренути, уз очуван кредибилитет и предвидивост фискалног оквира, и поред и даље присутне неизвесности у окружењу.</w:t>
      </w:r>
    </w:p>
    <w:p w14:paraId="717805FF" w14:textId="77777777" w:rsidR="00563D88" w:rsidRPr="001B41AD" w:rsidRDefault="00563D88" w:rsidP="00563D88">
      <w:pPr>
        <w:rPr>
          <w:rFonts w:eastAsia="MS PGothic" w:cstheme="minorHAnsi"/>
          <w:szCs w:val="20"/>
          <w:lang w:val="sr-Cyrl-CS" w:eastAsia="ja-JP"/>
        </w:rPr>
      </w:pPr>
      <w:r w:rsidRPr="001B41AD">
        <w:rPr>
          <w:rFonts w:eastAsia="MS PGothic" w:cstheme="minorHAnsi"/>
          <w:szCs w:val="20"/>
          <w:lang w:val="sr-Cyrl-CS" w:eastAsia="ja-JP"/>
        </w:rPr>
        <w:t>Приходи од царина снижени су у односу на износ планиран буџетом за 1,9 млрд динара. Иако у великој мери прате кретања увозног ПДВ, у последње три године дошло је до промена у структури увоза (по врстама робе и географском пореклу), што је резултирало нешто већом еластичношћу прихода од царина у односу на увозну базу.</w:t>
      </w:r>
    </w:p>
    <w:p w14:paraId="248AF0C3"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 xml:space="preserve">Пројекција прихода од акциза ревидирана је навише у односу на оригинални фискални оквир за 2025. годину, у износу од 15,3 млрд динара. Од тога, кориговане су процене прихода од акциза на деривате нафте за 9 млрд </w:t>
      </w:r>
      <w:r w:rsidR="00FD6CFB" w:rsidRPr="001B41AD">
        <w:rPr>
          <w:rFonts w:eastAsia="MS PGothic" w:cstheme="minorHAnsi"/>
          <w:bCs/>
          <w:szCs w:val="20"/>
          <w:lang w:val="sr-Cyrl-CS" w:eastAsia="ja-JP"/>
        </w:rPr>
        <w:t xml:space="preserve">динара </w:t>
      </w:r>
      <w:r w:rsidRPr="001B41AD">
        <w:rPr>
          <w:rFonts w:eastAsia="MS PGothic" w:cstheme="minorHAnsi"/>
          <w:bCs/>
          <w:szCs w:val="20"/>
          <w:lang w:val="sr-Cyrl-CS" w:eastAsia="ja-JP"/>
        </w:rPr>
        <w:t>и за дуванске производе за 6 млрд динара. Пројекција прихода од осталих акцизних производа (електрична енергија, алкохол, кафа) минимално је коригована навише.</w:t>
      </w:r>
    </w:p>
    <w:p w14:paraId="01433CB0"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 xml:space="preserve">Раст прихода од акциза на деривате нафте превасходно се приписује повољнијој наплати у завршници 2024. године. Део наведеног побољшања произилази из ниже-од-планиране реализације рефакције пољопривредним </w:t>
      </w:r>
      <w:r w:rsidRPr="001B41AD">
        <w:rPr>
          <w:rFonts w:eastAsia="MS PGothic" w:cstheme="minorHAnsi"/>
          <w:bCs/>
          <w:szCs w:val="20"/>
          <w:lang w:val="sr-Cyrl-CS" w:eastAsia="ja-JP"/>
        </w:rPr>
        <w:lastRenderedPageBreak/>
        <w:t>произвођачима. За 2025. годину пројектује се да ће извршење рефакције остати испод првобитно планираног нивоа, уз задржавање агрегатне потрошње у оквирима очекивања.</w:t>
      </w:r>
    </w:p>
    <w:p w14:paraId="0B7BE93B"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У области акциза на дуванске производе, ревизија навише у износу од 6 млрд динара превасходно је детерминисана вишом</w:t>
      </w:r>
      <w:r w:rsidR="004C452A" w:rsidRPr="001B41AD">
        <w:rPr>
          <w:rFonts w:eastAsia="MS PGothic" w:cstheme="minorHAnsi"/>
          <w:bCs/>
          <w:szCs w:val="20"/>
          <w:lang w:val="sr-Cyrl-CS" w:eastAsia="ja-JP"/>
        </w:rPr>
        <w:t xml:space="preserve"> </w:t>
      </w:r>
      <w:r w:rsidRPr="001B41AD">
        <w:rPr>
          <w:rFonts w:eastAsia="MS PGothic" w:cstheme="minorHAnsi"/>
          <w:bCs/>
          <w:szCs w:val="20"/>
          <w:lang w:val="sr-Cyrl-CS" w:eastAsia="ja-JP"/>
        </w:rPr>
        <w:t>од</w:t>
      </w:r>
      <w:r w:rsidR="004C452A" w:rsidRPr="001B41AD">
        <w:rPr>
          <w:rFonts w:eastAsia="MS PGothic" w:cstheme="minorHAnsi"/>
          <w:bCs/>
          <w:szCs w:val="20"/>
          <w:lang w:val="sr-Cyrl-CS" w:eastAsia="ja-JP"/>
        </w:rPr>
        <w:t xml:space="preserve"> </w:t>
      </w:r>
      <w:r w:rsidR="00C740F3" w:rsidRPr="001B41AD">
        <w:rPr>
          <w:rFonts w:eastAsia="MS PGothic" w:cstheme="minorHAnsi"/>
          <w:bCs/>
          <w:szCs w:val="20"/>
          <w:lang w:val="sr-Cyrl-CS" w:eastAsia="ja-JP"/>
        </w:rPr>
        <w:t>очеки</w:t>
      </w:r>
      <w:r w:rsidRPr="001B41AD">
        <w:rPr>
          <w:rFonts w:eastAsia="MS PGothic" w:cstheme="minorHAnsi"/>
          <w:bCs/>
          <w:szCs w:val="20"/>
          <w:lang w:val="sr-Cyrl-CS" w:eastAsia="ja-JP"/>
        </w:rPr>
        <w:t>ване наплат</w:t>
      </w:r>
      <w:r w:rsidR="004C452A" w:rsidRPr="001B41AD">
        <w:rPr>
          <w:rFonts w:eastAsia="MS PGothic" w:cstheme="minorHAnsi"/>
          <w:bCs/>
          <w:szCs w:val="20"/>
          <w:lang w:val="sr-Cyrl-CS" w:eastAsia="ja-JP"/>
        </w:rPr>
        <w:t>е</w:t>
      </w:r>
      <w:r w:rsidRPr="001B41AD">
        <w:rPr>
          <w:rFonts w:eastAsia="MS PGothic" w:cstheme="minorHAnsi"/>
          <w:bCs/>
          <w:szCs w:val="20"/>
          <w:lang w:val="sr-Cyrl-CS" w:eastAsia="ja-JP"/>
        </w:rPr>
        <w:t xml:space="preserve"> у последњем кварталу 2024.</w:t>
      </w:r>
      <w:r w:rsidR="003475DA" w:rsidRPr="001B41AD">
        <w:rPr>
          <w:rFonts w:eastAsia="MS PGothic" w:cstheme="minorHAnsi"/>
          <w:bCs/>
          <w:szCs w:val="20"/>
          <w:lang w:val="sr-Cyrl-CS" w:eastAsia="ja-JP"/>
        </w:rPr>
        <w:t xml:space="preserve"> године.</w:t>
      </w:r>
      <w:r w:rsidRPr="001B41AD">
        <w:rPr>
          <w:rFonts w:eastAsia="MS PGothic" w:cstheme="minorHAnsi"/>
          <w:bCs/>
          <w:szCs w:val="20"/>
          <w:lang w:val="sr-Cyrl-CS" w:eastAsia="ja-JP"/>
        </w:rPr>
        <w:t xml:space="preserve"> При изради буџета за 2025. годину, полазило се од континуираног силазног тренда потрошње дуванских производа и претпоставке о његовом наставку. Расположиви подаци за прву половину године потврђују да се пад потрошње наставља, али блажим интензитетом у односу на првобитне пројекције. С тим у вези, ревидирање навише овог пореског прихода у највећој мери одражава базни ефекат са краја претходне године, а не структурни преокрет у потрошњи.</w:t>
      </w:r>
    </w:p>
    <w:p w14:paraId="2BAF463E"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Након периода у којем је акцизна политика служила као инструмент ублажавања инфлаторних притисака, од 2024. године настављена је редовна динамика усклађивања акциза у складу са важећим регулаторним оквиром.</w:t>
      </w:r>
    </w:p>
    <w:p w14:paraId="7E267446"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 xml:space="preserve">Остали порески приходи су веома хетерогена категорија, а доминантни део чини порез на имовину који је део прихода локалних самоуправа. Приход од пореза на имовину је највише допринео позитивној ревизији ове групе прихода за 5 млрд динара. </w:t>
      </w:r>
    </w:p>
    <w:p w14:paraId="2447AF62" w14:textId="68B94DCF"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Пројекција непореских прихода за 2025. годину повећана је у односу на првобитни план за 10</w:t>
      </w:r>
      <w:r w:rsidR="004C452A" w:rsidRPr="001B41AD">
        <w:rPr>
          <w:rFonts w:eastAsia="MS PGothic" w:cstheme="minorHAnsi"/>
          <w:bCs/>
          <w:szCs w:val="20"/>
          <w:lang w:val="sr-Cyrl-CS" w:eastAsia="ja-JP"/>
        </w:rPr>
        <w:t>,1</w:t>
      </w:r>
      <w:r w:rsidRPr="001B41AD">
        <w:rPr>
          <w:rFonts w:eastAsia="MS PGothic" w:cstheme="minorHAnsi"/>
          <w:bCs/>
          <w:szCs w:val="20"/>
          <w:lang w:val="sr-Cyrl-CS" w:eastAsia="ja-JP"/>
        </w:rPr>
        <w:t xml:space="preserve"> млрд динара. Планирана уплата по основу лиценци за 5г мрежу, подељена је на два једнака дела која ће се реализовати у 2025. и 2026. години. Ажурирана је процена осталих непореских прихода у складу са досадашњом динамиком остварења. Процена непореских прихода на нивоу јединица локалне самоуправе је ревидирана наниже, у складу са досадашњом динамиком остварења.</w:t>
      </w:r>
    </w:p>
    <w:p w14:paraId="6D200DE7"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 xml:space="preserve">У редовне непореске приходе убрајају се различите врсте такси, накнада (укључујући и приходе од путарина), новчане казне, приходи органа и организација, као и други приходи који се карактеришу стабилним токовима и устаљеном </w:t>
      </w:r>
      <w:r w:rsidRPr="001B41AD">
        <w:rPr>
          <w:rFonts w:eastAsia="MS PGothic" w:cstheme="minorHAnsi"/>
          <w:bCs/>
          <w:szCs w:val="20"/>
          <w:lang w:val="sr-Cyrl-CS" w:eastAsia="ja-JP"/>
        </w:rPr>
        <w:t>динамиком наплате током године, уз уобичајене сезонске осцилације. Повећање пројекције у овом сегменту у највећој мери проистиче из раста прихода од камата на орочена буџетска средства и накнада за коришћење јавних добара.</w:t>
      </w:r>
    </w:p>
    <w:p w14:paraId="01C245D1"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Са друге стране, ванредне непореске приходе чине уплате добити јавних предузећа и агенција, дивиденде буџета, приходи по основу наплате потраживања Агенције за осигурање депозита, премија од емитовања ХОВ, као и други ванредни приходи.</w:t>
      </w:r>
    </w:p>
    <w:p w14:paraId="14FD0FD0"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У контексту континуираних напора на унапређењу квалитета и транспарентности статистике јавних финансија, током 2025. године настављено је ширење статистичког обухвата сектора државе, укључивањем у систем извештавања свих основних школа, са свим изворима финансирања. Овај процес се надовезује на претходне фазе у којима су у обухват већ укључене здравствене установе и средње школе, као и одређен број ванбуџетских корисника (јавне агенције, научни институти и сл.), што је реализовано током 2024. године.</w:t>
      </w:r>
    </w:p>
    <w:p w14:paraId="4B544A79"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Овакво поступно проширивање обухвата, у складу са међународним статистичким стандардима, омогућава не само повећање обима података који се прате у оквиру сектора државе, већ и њихову прецизнију расподелу на релевантним економским класификацијама. Као резултат, поједине категорије расхода су сада евидентиране на тачним економским позицијама на којима су и реализоване, чиме се доприноси транспарентности и тачности приказа јавне потрошње.</w:t>
      </w:r>
    </w:p>
    <w:p w14:paraId="7BB9DF5E" w14:textId="77777777" w:rsidR="00563D88" w:rsidRPr="001B41AD" w:rsidRDefault="00563D88" w:rsidP="00563D88">
      <w:pPr>
        <w:widowControl w:val="0"/>
        <w:spacing w:after="120"/>
        <w:rPr>
          <w:rFonts w:eastAsia="MS PGothic" w:cstheme="minorHAnsi"/>
          <w:bCs/>
          <w:szCs w:val="20"/>
          <w:lang w:val="sr-Cyrl-CS" w:eastAsia="ja-JP"/>
        </w:rPr>
      </w:pPr>
      <w:r w:rsidRPr="001B41AD">
        <w:rPr>
          <w:rFonts w:eastAsia="MS PGothic" w:cstheme="minorHAnsi"/>
          <w:bCs/>
          <w:szCs w:val="20"/>
          <w:lang w:val="sr-Cyrl-CS" w:eastAsia="ja-JP"/>
        </w:rPr>
        <w:t xml:space="preserve">Иако је било планирано да се у 2025. години у извештавање укључе и установе високог и вишег образовања, реализација овог процеса је одложена. С обзиром на то, износ планираних прихода и расхода прилагођен је у оба правца —износи су истовремено искључени и из оригиналног плана и из ревидираног оквира, како би се обезбедила упоредивост. Наведено смањење не представља одступање од плана, нити је резултат подбачаја у извршењу, већ последица временског померања у проширењу обухвата. На приходној страни, наведене корекције односе се искључиво на смањење </w:t>
      </w:r>
      <w:r w:rsidRPr="001B41AD">
        <w:rPr>
          <w:rFonts w:eastAsia="MS PGothic" w:cstheme="minorHAnsi"/>
          <w:bCs/>
          <w:szCs w:val="20"/>
          <w:lang w:val="sr-Cyrl-CS" w:eastAsia="ja-JP"/>
        </w:rPr>
        <w:lastRenderedPageBreak/>
        <w:t>пројекције непореских прихода, док се на расходној страни највећи део смањења односи на расходе за запослене у поменутим установама, док се преостали део односи на категорије као што су текући расходи и набавка добара и услуга.</w:t>
      </w:r>
    </w:p>
    <w:p w14:paraId="24BB0A11" w14:textId="77777777" w:rsidR="00563D88" w:rsidRPr="001B41AD" w:rsidRDefault="00563D88" w:rsidP="00563D88">
      <w:pPr>
        <w:spacing w:after="120"/>
        <w:rPr>
          <w:rFonts w:eastAsia="MS PGothic" w:cstheme="minorHAnsi"/>
          <w:b/>
          <w:color w:val="002060"/>
          <w:szCs w:val="20"/>
          <w:lang w:val="sr-Cyrl-CS" w:eastAsia="ja-JP"/>
        </w:rPr>
      </w:pPr>
      <w:r w:rsidRPr="001B41AD">
        <w:rPr>
          <w:rFonts w:eastAsia="MS PGothic" w:cstheme="minorHAnsi"/>
          <w:b/>
          <w:color w:val="002060"/>
          <w:szCs w:val="20"/>
          <w:lang w:val="sr-Cyrl-CS" w:eastAsia="ja-JP"/>
        </w:rPr>
        <w:t>Допринос појединих фактора корекцији фиск. резултата у односу на план за 2025. год, % БДП</w:t>
      </w:r>
    </w:p>
    <w:p w14:paraId="367DFDD3"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noProof/>
          <w:szCs w:val="20"/>
        </w:rPr>
        <w:drawing>
          <wp:inline distT="0" distB="0" distL="0" distR="0" wp14:anchorId="75871A9A" wp14:editId="5B1471B1">
            <wp:extent cx="2860040" cy="269044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83752" cy="2712752"/>
                    </a:xfrm>
                    <a:prstGeom prst="rect">
                      <a:avLst/>
                    </a:prstGeom>
                    <a:noFill/>
                  </pic:spPr>
                </pic:pic>
              </a:graphicData>
            </a:graphic>
          </wp:inline>
        </w:drawing>
      </w:r>
    </w:p>
    <w:p w14:paraId="1A7F64B7"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 xml:space="preserve">У ревидираном фискалном оквиру за 2025. годину, пројекција укупних расхода сектора државе повећана је за 10,7 милијарди динара у односу на </w:t>
      </w:r>
      <w:r w:rsidR="00913127" w:rsidRPr="001B41AD">
        <w:rPr>
          <w:rFonts w:eastAsia="MS PGothic" w:cstheme="minorHAnsi"/>
          <w:szCs w:val="20"/>
          <w:lang w:val="sr-Cyrl-CS" w:eastAsia="ja-JP"/>
        </w:rPr>
        <w:t>оригинални</w:t>
      </w:r>
      <w:r w:rsidRPr="001B41AD">
        <w:rPr>
          <w:rFonts w:eastAsia="MS PGothic" w:cstheme="minorHAnsi"/>
          <w:szCs w:val="20"/>
          <w:lang w:val="sr-Cyrl-CS" w:eastAsia="ja-JP"/>
        </w:rPr>
        <w:t xml:space="preserve"> план, при чему су извршене значајније измене у њиховој структури. Значајно повећање бележи категорија расхода за запослене, док је процењени износ капиталних расхода, као и расхода за робе и услуге, смањен. Ревизија расходне стране превасходно је резултат реалнијег сагледавања динамике и извесности реализације појединачних програма и пројеката до краја текуће године.</w:t>
      </w:r>
    </w:p>
    <w:p w14:paraId="24478AE3"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 xml:space="preserve">Расходи за запослене у 2025. години повећани су за 23,7 милијарди динара у односу на оригинални план. Ова ревизија укључује ефекте ванредног повећања зарада у сектору образовања, које је реализовано у два наврата — у марту и октобру, </w:t>
      </w:r>
      <w:r w:rsidRPr="001B41AD">
        <w:rPr>
          <w:rFonts w:eastAsia="MS PGothic" w:cstheme="minorHAnsi"/>
          <w:szCs w:val="20"/>
          <w:lang w:val="sr-Cyrl-CS" w:eastAsia="ja-JP"/>
        </w:rPr>
        <w:t>као и у сектору здравства у октобру 2025. године. У пројекцију су укључени и</w:t>
      </w:r>
      <w:r w:rsidR="0009203E" w:rsidRPr="001B41AD">
        <w:rPr>
          <w:rFonts w:eastAsia="MS PGothic" w:cstheme="minorHAnsi"/>
          <w:szCs w:val="20"/>
          <w:lang w:val="sr-Cyrl-CS" w:eastAsia="ja-JP"/>
        </w:rPr>
        <w:t xml:space="preserve"> укупни</w:t>
      </w:r>
      <w:r w:rsidRPr="001B41AD">
        <w:rPr>
          <w:rFonts w:eastAsia="MS PGothic" w:cstheme="minorHAnsi"/>
          <w:szCs w:val="20"/>
          <w:lang w:val="sr-Cyrl-CS" w:eastAsia="ja-JP"/>
        </w:rPr>
        <w:t xml:space="preserve"> расходи за </w:t>
      </w:r>
      <w:r w:rsidR="0009203E" w:rsidRPr="001B41AD">
        <w:rPr>
          <w:rFonts w:eastAsia="MS PGothic" w:cstheme="minorHAnsi"/>
          <w:szCs w:val="20"/>
          <w:lang w:val="sr-Cyrl-CS" w:eastAsia="ja-JP"/>
        </w:rPr>
        <w:t>запослене</w:t>
      </w:r>
      <w:r w:rsidRPr="001B41AD">
        <w:rPr>
          <w:rFonts w:eastAsia="MS PGothic" w:cstheme="minorHAnsi"/>
          <w:szCs w:val="20"/>
          <w:lang w:val="sr-Cyrl-CS" w:eastAsia="ja-JP"/>
        </w:rPr>
        <w:t xml:space="preserve"> који се финансирају из </w:t>
      </w:r>
      <w:r w:rsidR="0009203E" w:rsidRPr="001B41AD">
        <w:rPr>
          <w:rFonts w:eastAsia="MS PGothic" w:cstheme="minorHAnsi"/>
          <w:szCs w:val="20"/>
          <w:lang w:val="sr-Cyrl-CS" w:eastAsia="ja-JP"/>
        </w:rPr>
        <w:t xml:space="preserve">осталих извора финансирања </w:t>
      </w:r>
      <w:r w:rsidRPr="001B41AD">
        <w:rPr>
          <w:rFonts w:eastAsia="MS PGothic" w:cstheme="minorHAnsi"/>
          <w:szCs w:val="20"/>
          <w:lang w:val="sr-Cyrl-CS" w:eastAsia="ja-JP"/>
        </w:rPr>
        <w:t>основних школа, у износу од 7,2 милијарде динара</w:t>
      </w:r>
      <w:r w:rsidR="0009203E" w:rsidRPr="001B41AD">
        <w:rPr>
          <w:rStyle w:val="FootnoteReference"/>
          <w:rFonts w:eastAsia="MS PGothic" w:cstheme="minorHAnsi"/>
          <w:szCs w:val="20"/>
          <w:lang w:val="sr-Cyrl-CS" w:eastAsia="ja-JP"/>
        </w:rPr>
        <w:footnoteReference w:id="1"/>
      </w:r>
      <w:r w:rsidRPr="001B41AD">
        <w:rPr>
          <w:rFonts w:eastAsia="MS PGothic" w:cstheme="minorHAnsi"/>
          <w:szCs w:val="20"/>
          <w:lang w:val="sr-Cyrl-CS" w:eastAsia="ja-JP"/>
        </w:rPr>
        <w:t xml:space="preserve">. Са друге стране, одлагање укључивања </w:t>
      </w:r>
      <w:r w:rsidR="007E2063" w:rsidRPr="001B41AD">
        <w:rPr>
          <w:rFonts w:eastAsia="MS PGothic" w:cstheme="minorHAnsi"/>
          <w:szCs w:val="20"/>
          <w:lang w:val="sr-Cyrl-CS" w:eastAsia="ja-JP"/>
        </w:rPr>
        <w:t>осталих извора финансирања</w:t>
      </w:r>
      <w:r w:rsidRPr="001B41AD">
        <w:rPr>
          <w:rFonts w:eastAsia="MS PGothic" w:cstheme="minorHAnsi"/>
          <w:szCs w:val="20"/>
          <w:lang w:val="sr-Cyrl-CS" w:eastAsia="ja-JP"/>
        </w:rPr>
        <w:t xml:space="preserve"> установа високог и вишег образовања довело је д</w:t>
      </w:r>
      <w:r w:rsidR="00B54C4D" w:rsidRPr="001B41AD">
        <w:rPr>
          <w:rFonts w:eastAsia="MS PGothic" w:cstheme="minorHAnsi"/>
          <w:szCs w:val="20"/>
          <w:lang w:val="sr-Cyrl-CS" w:eastAsia="ja-JP"/>
        </w:rPr>
        <w:t>о смањења и оригиналног плана и</w:t>
      </w:r>
      <w:r w:rsidRPr="001B41AD">
        <w:rPr>
          <w:rFonts w:eastAsia="MS PGothic" w:cstheme="minorHAnsi"/>
          <w:szCs w:val="20"/>
          <w:lang w:val="sr-Cyrl-CS" w:eastAsia="ja-JP"/>
        </w:rPr>
        <w:t xml:space="preserve"> пројекције ове категорије за 10,2 милијарде динара.</w:t>
      </w:r>
    </w:p>
    <w:p w14:paraId="67A7E81A"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 xml:space="preserve">Расходи за робе и услуге ревидирани су наниже за 27,9 милијарди динара. Смањење се углавном односи на расходе буџета Републике, где је на основу досадашње динамике смањена процена извршења до краја године. Одлагање укључивања </w:t>
      </w:r>
      <w:r w:rsidR="007E2063" w:rsidRPr="001B41AD">
        <w:rPr>
          <w:rFonts w:eastAsia="MS PGothic" w:cstheme="minorHAnsi"/>
          <w:szCs w:val="20"/>
          <w:lang w:val="sr-Cyrl-CS" w:eastAsia="ja-JP"/>
        </w:rPr>
        <w:t>осталих извора финансирања</w:t>
      </w:r>
      <w:r w:rsidRPr="001B41AD">
        <w:rPr>
          <w:rFonts w:eastAsia="MS PGothic" w:cstheme="minorHAnsi"/>
          <w:szCs w:val="20"/>
          <w:lang w:val="sr-Cyrl-CS" w:eastAsia="ja-JP"/>
        </w:rPr>
        <w:t xml:space="preserve"> високошколских установа довело је до смањења пројекције за додатних 18,4 милијарди динара.</w:t>
      </w:r>
    </w:p>
    <w:p w14:paraId="2F800BC8"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 xml:space="preserve">Расходи за социјалну заштиту значајније су повећани овим фискалним оквиром. Ово повећање последица је превасходно вишег извршења током 2024. године, као и </w:t>
      </w:r>
      <w:r w:rsidR="005D757F" w:rsidRPr="001B41AD">
        <w:rPr>
          <w:rFonts w:eastAsia="MS PGothic" w:cstheme="minorHAnsi"/>
          <w:szCs w:val="20"/>
          <w:lang w:val="sr-Cyrl-CS" w:eastAsia="ja-JP"/>
        </w:rPr>
        <w:t xml:space="preserve">на бази досадашње </w:t>
      </w:r>
      <w:r w:rsidR="001D3837" w:rsidRPr="001B41AD">
        <w:rPr>
          <w:rFonts w:eastAsia="MS PGothic" w:cstheme="minorHAnsi"/>
          <w:szCs w:val="20"/>
          <w:lang w:val="sr-Cyrl-CS" w:eastAsia="ja-JP"/>
        </w:rPr>
        <w:t>реализације</w:t>
      </w:r>
      <w:r w:rsidRPr="001B41AD">
        <w:rPr>
          <w:rFonts w:eastAsia="MS PGothic" w:cstheme="minorHAnsi"/>
          <w:szCs w:val="20"/>
          <w:lang w:val="sr-Cyrl-CS" w:eastAsia="ja-JP"/>
        </w:rPr>
        <w:t xml:space="preserve"> мера социјалне заштите.</w:t>
      </w:r>
    </w:p>
    <w:p w14:paraId="5E50C56E"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 xml:space="preserve">Капитални расходи су, према новој процени, смањени за 18,3 милијарди динара у односу на првобитни план. Ово смањење превасходно је условљено другачијом динамиком реализације појединих инфраструктурних пројеката у односу на иницијално планирану. И поред ових корекција, очекује се да ће капитални расходи у 2025. години достићи ниво од 7,1% БДП, што представља наставак одржавања високог нивоа улагања у јавну инфраструктуру. Додатно, одлагање укључивања средстава </w:t>
      </w:r>
      <w:r w:rsidR="00E9637E" w:rsidRPr="001B41AD">
        <w:rPr>
          <w:rFonts w:eastAsia="MS PGothic" w:cstheme="minorHAnsi"/>
          <w:szCs w:val="20"/>
          <w:lang w:val="sr-Cyrl-CS" w:eastAsia="ja-JP"/>
        </w:rPr>
        <w:t xml:space="preserve">из осталих извора финансирања </w:t>
      </w:r>
      <w:r w:rsidRPr="001B41AD">
        <w:rPr>
          <w:rFonts w:eastAsia="MS PGothic" w:cstheme="minorHAnsi"/>
          <w:szCs w:val="20"/>
          <w:lang w:val="sr-Cyrl-CS" w:eastAsia="ja-JP"/>
        </w:rPr>
        <w:t>високог и вишег образовања резултирало је смањењем пројекције капиталних расхода за 3,6 милијарди динара.</w:t>
      </w:r>
    </w:p>
    <w:p w14:paraId="5BB2FBA1" w14:textId="77777777" w:rsidR="00563D88" w:rsidRPr="001B41AD" w:rsidRDefault="00563D88" w:rsidP="00563D88">
      <w:pPr>
        <w:spacing w:after="120"/>
        <w:rPr>
          <w:rFonts w:eastAsia="MS PGothic" w:cstheme="minorHAnsi"/>
          <w:szCs w:val="20"/>
          <w:lang w:val="sr-Cyrl-CS" w:eastAsia="ja-JP"/>
        </w:rPr>
      </w:pPr>
    </w:p>
    <w:p w14:paraId="7C6C3430" w14:textId="77777777" w:rsidR="00563D88" w:rsidRPr="001B41AD" w:rsidRDefault="00563D88" w:rsidP="00563D88">
      <w:pPr>
        <w:spacing w:after="120"/>
        <w:rPr>
          <w:rFonts w:eastAsia="MS PGothic" w:cstheme="minorHAnsi"/>
          <w:szCs w:val="20"/>
          <w:lang w:val="sr-Cyrl-CS" w:eastAsia="ja-JP"/>
        </w:rPr>
      </w:pPr>
    </w:p>
    <w:p w14:paraId="5E1B1A6F" w14:textId="77777777" w:rsidR="00563D88" w:rsidRPr="001B41AD" w:rsidRDefault="00563D88" w:rsidP="00563D88">
      <w:pPr>
        <w:widowControl w:val="0"/>
        <w:rPr>
          <w:rFonts w:eastAsia="MS PGothic" w:cstheme="minorHAnsi"/>
          <w:bCs/>
          <w:szCs w:val="20"/>
          <w:lang w:val="sr-Cyrl-CS" w:eastAsia="ja-JP"/>
        </w:rPr>
        <w:sectPr w:rsidR="00563D88" w:rsidRPr="001B41AD" w:rsidSect="00E61B34">
          <w:type w:val="continuous"/>
          <w:pgSz w:w="12240" w:h="15840" w:code="1"/>
          <w:pgMar w:top="1440" w:right="1440" w:bottom="1440" w:left="1440" w:header="720" w:footer="720" w:gutter="0"/>
          <w:cols w:num="2" w:space="720"/>
          <w:docGrid w:linePitch="360"/>
        </w:sectPr>
      </w:pPr>
    </w:p>
    <w:p w14:paraId="50D1FE0C" w14:textId="77777777" w:rsidR="00563D88" w:rsidRPr="001B41AD" w:rsidRDefault="00563D88" w:rsidP="00563D88">
      <w:pPr>
        <w:jc w:val="left"/>
        <w:rPr>
          <w:rFonts w:eastAsia="MS PGothic" w:cstheme="minorHAnsi"/>
          <w:b/>
          <w:color w:val="002060"/>
          <w:szCs w:val="20"/>
          <w:lang w:val="sr-Cyrl-CS" w:eastAsia="ja-JP"/>
        </w:rPr>
      </w:pPr>
      <w:r w:rsidRPr="001B41AD">
        <w:rPr>
          <w:rFonts w:eastAsia="MS PGothic" w:cstheme="minorHAnsi"/>
          <w:b/>
          <w:color w:val="002060"/>
          <w:szCs w:val="20"/>
          <w:lang w:val="sr-Cyrl-CS" w:eastAsia="ja-JP"/>
        </w:rPr>
        <w:br w:type="page"/>
      </w:r>
    </w:p>
    <w:p w14:paraId="230BF784" w14:textId="77777777" w:rsidR="00563D88" w:rsidRPr="001B41AD" w:rsidRDefault="00563D88" w:rsidP="00563D88">
      <w:pPr>
        <w:spacing w:after="12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lastRenderedPageBreak/>
        <w:t>Табела 7. Приходи, расходи и резултат сектора државе, јануар–август 2024. и 2025. године, у млрд динара</w:t>
      </w:r>
    </w:p>
    <w:tbl>
      <w:tblPr>
        <w:tblW w:w="4996" w:type="pct"/>
        <w:jc w:val="right"/>
        <w:tblCellMar>
          <w:left w:w="115" w:type="dxa"/>
          <w:right w:w="115" w:type="dxa"/>
        </w:tblCellMar>
        <w:tblLook w:val="04A0" w:firstRow="1" w:lastRow="0" w:firstColumn="1" w:lastColumn="0" w:noHBand="0" w:noVBand="1"/>
      </w:tblPr>
      <w:tblGrid>
        <w:gridCol w:w="3130"/>
        <w:gridCol w:w="1034"/>
        <w:gridCol w:w="1687"/>
        <w:gridCol w:w="1800"/>
        <w:gridCol w:w="1702"/>
      </w:tblGrid>
      <w:tr w:rsidR="00563D88" w:rsidRPr="001B41AD" w14:paraId="37FCBB57" w14:textId="77777777" w:rsidTr="00405489">
        <w:trPr>
          <w:trHeight w:val="272"/>
          <w:tblHeader/>
          <w:jc w:val="right"/>
        </w:trPr>
        <w:tc>
          <w:tcPr>
            <w:tcW w:w="1673" w:type="pct"/>
            <w:tcBorders>
              <w:top w:val="single" w:sz="4" w:space="0" w:color="002060"/>
            </w:tcBorders>
            <w:noWrap/>
            <w:vAlign w:val="center"/>
            <w:hideMark/>
          </w:tcPr>
          <w:p w14:paraId="1D233EAC" w14:textId="77777777" w:rsidR="00563D88" w:rsidRPr="001B41AD" w:rsidRDefault="00563D88" w:rsidP="00405489">
            <w:pPr>
              <w:spacing w:after="0" w:line="240" w:lineRule="auto"/>
              <w:rPr>
                <w:rFonts w:cstheme="minorHAnsi"/>
                <w:color w:val="002060"/>
                <w:sz w:val="16"/>
                <w:szCs w:val="16"/>
                <w:lang w:val="sr-Cyrl-CS"/>
              </w:rPr>
            </w:pPr>
          </w:p>
        </w:tc>
        <w:tc>
          <w:tcPr>
            <w:tcW w:w="553" w:type="pct"/>
            <w:tcBorders>
              <w:top w:val="single" w:sz="4" w:space="0" w:color="002060"/>
              <w:bottom w:val="single" w:sz="4" w:space="0" w:color="002060"/>
            </w:tcBorders>
            <w:vAlign w:val="center"/>
            <w:hideMark/>
          </w:tcPr>
          <w:p w14:paraId="6C281D68"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 xml:space="preserve"> I–VIII 2024</w:t>
            </w:r>
          </w:p>
        </w:tc>
        <w:tc>
          <w:tcPr>
            <w:tcW w:w="902" w:type="pct"/>
            <w:tcBorders>
              <w:top w:val="single" w:sz="4" w:space="0" w:color="002060"/>
              <w:bottom w:val="single" w:sz="4" w:space="0" w:color="002060"/>
            </w:tcBorders>
            <w:vAlign w:val="center"/>
            <w:hideMark/>
          </w:tcPr>
          <w:p w14:paraId="59FCFF36"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I–VIII 2025</w:t>
            </w:r>
          </w:p>
        </w:tc>
        <w:tc>
          <w:tcPr>
            <w:tcW w:w="962" w:type="pct"/>
            <w:tcBorders>
              <w:top w:val="single" w:sz="4" w:space="0" w:color="002060"/>
              <w:bottom w:val="single" w:sz="4" w:space="0" w:color="002060"/>
            </w:tcBorders>
          </w:tcPr>
          <w:p w14:paraId="59D7B220"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 xml:space="preserve">I-VIII </w:t>
            </w:r>
          </w:p>
          <w:p w14:paraId="42D96AF6"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2025/2024</w:t>
            </w:r>
          </w:p>
          <w:p w14:paraId="29E94A71"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 раста/пада</w:t>
            </w:r>
          </w:p>
        </w:tc>
        <w:tc>
          <w:tcPr>
            <w:tcW w:w="910" w:type="pct"/>
            <w:tcBorders>
              <w:top w:val="single" w:sz="4" w:space="0" w:color="002060"/>
              <w:bottom w:val="single" w:sz="4" w:space="0" w:color="002060"/>
            </w:tcBorders>
            <w:vAlign w:val="center"/>
            <w:hideMark/>
          </w:tcPr>
          <w:p w14:paraId="75D99A2E" w14:textId="77777777" w:rsidR="00563D88" w:rsidRPr="001B41AD" w:rsidRDefault="00563D88" w:rsidP="00405489">
            <w:pPr>
              <w:spacing w:after="0" w:line="240" w:lineRule="auto"/>
              <w:jc w:val="center"/>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2025 годишњи план/2024 стопа раста у %</w:t>
            </w:r>
          </w:p>
        </w:tc>
      </w:tr>
      <w:tr w:rsidR="00563D88" w:rsidRPr="001B41AD" w14:paraId="12DECF92" w14:textId="77777777" w:rsidTr="00405489">
        <w:trPr>
          <w:trHeight w:hRule="exact" w:val="276"/>
          <w:tblHeader/>
          <w:jc w:val="right"/>
        </w:trPr>
        <w:tc>
          <w:tcPr>
            <w:tcW w:w="1673" w:type="pct"/>
            <w:shd w:val="clear" w:color="auto" w:fill="E7E6E6" w:themeFill="background2"/>
            <w:noWrap/>
            <w:vAlign w:val="center"/>
            <w:hideMark/>
          </w:tcPr>
          <w:p w14:paraId="75ABD058" w14:textId="77777777" w:rsidR="00563D88" w:rsidRPr="001B41AD" w:rsidRDefault="00563D88" w:rsidP="00405489">
            <w:pPr>
              <w:spacing w:after="0" w:line="240" w:lineRule="auto"/>
              <w:jc w:val="left"/>
              <w:rPr>
                <w:rFonts w:cstheme="minorHAnsi"/>
                <w:color w:val="002060"/>
                <w:sz w:val="16"/>
                <w:szCs w:val="16"/>
                <w:lang w:val="sr-Cyrl-CS"/>
              </w:rPr>
            </w:pPr>
            <w:r w:rsidRPr="001B41AD">
              <w:rPr>
                <w:rFonts w:eastAsia="MS PGothic" w:cstheme="minorHAnsi"/>
                <w:color w:val="002060"/>
                <w:sz w:val="16"/>
                <w:szCs w:val="16"/>
                <w:lang w:val="sr-Cyrl-CS" w:eastAsia="ja-JP"/>
              </w:rPr>
              <w:t>ЈАВНИ ПРИХОДИ</w:t>
            </w:r>
          </w:p>
        </w:tc>
        <w:tc>
          <w:tcPr>
            <w:tcW w:w="553" w:type="pct"/>
            <w:tcBorders>
              <w:top w:val="single" w:sz="4" w:space="0" w:color="002060"/>
            </w:tcBorders>
            <w:shd w:val="clear" w:color="auto" w:fill="E7E6E6" w:themeFill="background2"/>
            <w:hideMark/>
          </w:tcPr>
          <w:p w14:paraId="5B64B4B5" w14:textId="77777777" w:rsidR="00563D88" w:rsidRPr="001B41AD" w:rsidRDefault="00563D88" w:rsidP="00405489">
            <w:pPr>
              <w:jc w:val="right"/>
              <w:rPr>
                <w:sz w:val="16"/>
                <w:szCs w:val="16"/>
                <w:lang w:val="sr-Cyrl-CS"/>
              </w:rPr>
            </w:pPr>
            <w:r w:rsidRPr="001B41AD">
              <w:rPr>
                <w:sz w:val="16"/>
                <w:szCs w:val="16"/>
                <w:lang w:val="sr-Cyrl-CS"/>
              </w:rPr>
              <w:t>2.571,2</w:t>
            </w:r>
          </w:p>
        </w:tc>
        <w:tc>
          <w:tcPr>
            <w:tcW w:w="902" w:type="pct"/>
            <w:tcBorders>
              <w:top w:val="single" w:sz="4" w:space="0" w:color="002060"/>
            </w:tcBorders>
            <w:shd w:val="clear" w:color="auto" w:fill="E7E6E6" w:themeFill="background2"/>
            <w:hideMark/>
          </w:tcPr>
          <w:p w14:paraId="41755D98" w14:textId="77777777" w:rsidR="00563D88" w:rsidRPr="001B41AD" w:rsidRDefault="00563D88" w:rsidP="00405489">
            <w:pPr>
              <w:jc w:val="right"/>
              <w:rPr>
                <w:sz w:val="16"/>
                <w:szCs w:val="16"/>
                <w:lang w:val="sr-Cyrl-CS"/>
              </w:rPr>
            </w:pPr>
            <w:r w:rsidRPr="001B41AD">
              <w:rPr>
                <w:sz w:val="16"/>
                <w:szCs w:val="16"/>
                <w:lang w:val="sr-Cyrl-CS"/>
              </w:rPr>
              <w:t>2.719,6</w:t>
            </w:r>
          </w:p>
        </w:tc>
        <w:tc>
          <w:tcPr>
            <w:tcW w:w="962" w:type="pct"/>
            <w:tcBorders>
              <w:top w:val="single" w:sz="4" w:space="0" w:color="002060"/>
            </w:tcBorders>
            <w:shd w:val="clear" w:color="auto" w:fill="E7E6E6" w:themeFill="background2"/>
          </w:tcPr>
          <w:p w14:paraId="4E9461E4" w14:textId="77777777" w:rsidR="00563D88" w:rsidRPr="001B41AD" w:rsidRDefault="00563D88" w:rsidP="00405489">
            <w:pPr>
              <w:jc w:val="right"/>
              <w:rPr>
                <w:sz w:val="16"/>
                <w:szCs w:val="16"/>
                <w:lang w:val="sr-Cyrl-CS"/>
              </w:rPr>
            </w:pPr>
            <w:r w:rsidRPr="001B41AD">
              <w:rPr>
                <w:sz w:val="16"/>
                <w:szCs w:val="16"/>
                <w:lang w:val="sr-Cyrl-CS"/>
              </w:rPr>
              <w:t>5,8</w:t>
            </w:r>
          </w:p>
        </w:tc>
        <w:tc>
          <w:tcPr>
            <w:tcW w:w="910" w:type="pct"/>
            <w:tcBorders>
              <w:top w:val="single" w:sz="4" w:space="0" w:color="002060"/>
            </w:tcBorders>
            <w:shd w:val="clear" w:color="auto" w:fill="E7E6E6" w:themeFill="background2"/>
            <w:hideMark/>
          </w:tcPr>
          <w:p w14:paraId="2D7C4138" w14:textId="77777777" w:rsidR="00563D88" w:rsidRPr="001B41AD" w:rsidRDefault="00563D88" w:rsidP="00405489">
            <w:pPr>
              <w:jc w:val="right"/>
              <w:rPr>
                <w:sz w:val="16"/>
                <w:szCs w:val="16"/>
                <w:lang w:val="sr-Cyrl-CS"/>
              </w:rPr>
            </w:pPr>
            <w:r w:rsidRPr="001B41AD">
              <w:rPr>
                <w:sz w:val="16"/>
                <w:szCs w:val="16"/>
                <w:lang w:val="sr-Cyrl-CS"/>
              </w:rPr>
              <w:t>7,7</w:t>
            </w:r>
          </w:p>
        </w:tc>
      </w:tr>
      <w:tr w:rsidR="00563D88" w:rsidRPr="001B41AD" w14:paraId="638747E5" w14:textId="77777777" w:rsidTr="00405489">
        <w:trPr>
          <w:trHeight w:hRule="exact" w:val="276"/>
          <w:tblHeader/>
          <w:jc w:val="right"/>
        </w:trPr>
        <w:tc>
          <w:tcPr>
            <w:tcW w:w="1673" w:type="pct"/>
            <w:noWrap/>
            <w:vAlign w:val="center"/>
            <w:hideMark/>
          </w:tcPr>
          <w:p w14:paraId="08CDDFCC"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Текући приходи</w:t>
            </w:r>
          </w:p>
        </w:tc>
        <w:tc>
          <w:tcPr>
            <w:tcW w:w="553" w:type="pct"/>
            <w:hideMark/>
          </w:tcPr>
          <w:p w14:paraId="5D0F3AB9" w14:textId="77777777" w:rsidR="00563D88" w:rsidRPr="001B41AD" w:rsidRDefault="00563D88" w:rsidP="00405489">
            <w:pPr>
              <w:jc w:val="right"/>
              <w:rPr>
                <w:sz w:val="16"/>
                <w:szCs w:val="16"/>
                <w:lang w:val="sr-Cyrl-CS"/>
              </w:rPr>
            </w:pPr>
            <w:r w:rsidRPr="001B41AD">
              <w:rPr>
                <w:sz w:val="16"/>
                <w:szCs w:val="16"/>
                <w:lang w:val="sr-Cyrl-CS"/>
              </w:rPr>
              <w:t>2.559,6</w:t>
            </w:r>
          </w:p>
        </w:tc>
        <w:tc>
          <w:tcPr>
            <w:tcW w:w="902" w:type="pct"/>
            <w:noWrap/>
            <w:hideMark/>
          </w:tcPr>
          <w:p w14:paraId="2C4CAC17" w14:textId="77777777" w:rsidR="00563D88" w:rsidRPr="001B41AD" w:rsidRDefault="00563D88" w:rsidP="00405489">
            <w:pPr>
              <w:jc w:val="right"/>
              <w:rPr>
                <w:sz w:val="16"/>
                <w:szCs w:val="16"/>
                <w:lang w:val="sr-Cyrl-CS"/>
              </w:rPr>
            </w:pPr>
            <w:r w:rsidRPr="001B41AD">
              <w:rPr>
                <w:sz w:val="16"/>
                <w:szCs w:val="16"/>
                <w:lang w:val="sr-Cyrl-CS"/>
              </w:rPr>
              <w:t>2.710,7</w:t>
            </w:r>
          </w:p>
        </w:tc>
        <w:tc>
          <w:tcPr>
            <w:tcW w:w="962" w:type="pct"/>
          </w:tcPr>
          <w:p w14:paraId="1472C2E1" w14:textId="77777777" w:rsidR="00563D88" w:rsidRPr="001B41AD" w:rsidRDefault="00563D88" w:rsidP="00405489">
            <w:pPr>
              <w:jc w:val="right"/>
              <w:rPr>
                <w:sz w:val="16"/>
                <w:szCs w:val="16"/>
                <w:lang w:val="sr-Cyrl-CS"/>
              </w:rPr>
            </w:pPr>
            <w:r w:rsidRPr="001B41AD">
              <w:rPr>
                <w:sz w:val="16"/>
                <w:szCs w:val="16"/>
                <w:lang w:val="sr-Cyrl-CS"/>
              </w:rPr>
              <w:t>5,9</w:t>
            </w:r>
          </w:p>
        </w:tc>
        <w:tc>
          <w:tcPr>
            <w:tcW w:w="910" w:type="pct"/>
            <w:hideMark/>
          </w:tcPr>
          <w:p w14:paraId="11AAE105" w14:textId="77777777" w:rsidR="00563D88" w:rsidRPr="001B41AD" w:rsidRDefault="00563D88" w:rsidP="00405489">
            <w:pPr>
              <w:jc w:val="right"/>
              <w:rPr>
                <w:sz w:val="16"/>
                <w:szCs w:val="16"/>
                <w:lang w:val="sr-Cyrl-CS"/>
              </w:rPr>
            </w:pPr>
            <w:r w:rsidRPr="001B41AD">
              <w:rPr>
                <w:sz w:val="16"/>
                <w:szCs w:val="16"/>
                <w:lang w:val="sr-Cyrl-CS"/>
              </w:rPr>
              <w:t>7,3</w:t>
            </w:r>
          </w:p>
        </w:tc>
      </w:tr>
      <w:tr w:rsidR="00563D88" w:rsidRPr="001B41AD" w14:paraId="77098A1D" w14:textId="77777777" w:rsidTr="00405489">
        <w:trPr>
          <w:trHeight w:hRule="exact" w:val="276"/>
          <w:tblHeader/>
          <w:jc w:val="right"/>
        </w:trPr>
        <w:tc>
          <w:tcPr>
            <w:tcW w:w="1673" w:type="pct"/>
            <w:noWrap/>
            <w:vAlign w:val="center"/>
            <w:hideMark/>
          </w:tcPr>
          <w:p w14:paraId="57DDF62E"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Порески приходи</w:t>
            </w:r>
          </w:p>
        </w:tc>
        <w:tc>
          <w:tcPr>
            <w:tcW w:w="553" w:type="pct"/>
            <w:hideMark/>
          </w:tcPr>
          <w:p w14:paraId="793A2251" w14:textId="77777777" w:rsidR="00563D88" w:rsidRPr="001B41AD" w:rsidRDefault="00563D88" w:rsidP="00405489">
            <w:pPr>
              <w:jc w:val="right"/>
              <w:rPr>
                <w:sz w:val="16"/>
                <w:szCs w:val="16"/>
                <w:lang w:val="sr-Cyrl-CS"/>
              </w:rPr>
            </w:pPr>
            <w:r w:rsidRPr="001B41AD">
              <w:rPr>
                <w:sz w:val="16"/>
                <w:szCs w:val="16"/>
                <w:lang w:val="sr-Cyrl-CS"/>
              </w:rPr>
              <w:t>2.311,9</w:t>
            </w:r>
          </w:p>
        </w:tc>
        <w:tc>
          <w:tcPr>
            <w:tcW w:w="902" w:type="pct"/>
            <w:hideMark/>
          </w:tcPr>
          <w:p w14:paraId="464374F0" w14:textId="77777777" w:rsidR="00563D88" w:rsidRPr="001B41AD" w:rsidRDefault="00563D88" w:rsidP="00405489">
            <w:pPr>
              <w:jc w:val="right"/>
              <w:rPr>
                <w:sz w:val="16"/>
                <w:szCs w:val="16"/>
                <w:lang w:val="sr-Cyrl-CS"/>
              </w:rPr>
            </w:pPr>
            <w:r w:rsidRPr="001B41AD">
              <w:rPr>
                <w:sz w:val="16"/>
                <w:szCs w:val="16"/>
                <w:lang w:val="sr-Cyrl-CS"/>
              </w:rPr>
              <w:t>2.471,5</w:t>
            </w:r>
          </w:p>
        </w:tc>
        <w:tc>
          <w:tcPr>
            <w:tcW w:w="962" w:type="pct"/>
          </w:tcPr>
          <w:p w14:paraId="24E9EA3D" w14:textId="77777777" w:rsidR="00563D88" w:rsidRPr="001B41AD" w:rsidRDefault="00563D88" w:rsidP="00405489">
            <w:pPr>
              <w:jc w:val="right"/>
              <w:rPr>
                <w:sz w:val="16"/>
                <w:szCs w:val="16"/>
                <w:lang w:val="sr-Cyrl-CS"/>
              </w:rPr>
            </w:pPr>
            <w:r w:rsidRPr="001B41AD">
              <w:rPr>
                <w:sz w:val="16"/>
                <w:szCs w:val="16"/>
                <w:lang w:val="sr-Cyrl-CS"/>
              </w:rPr>
              <w:t>6,9</w:t>
            </w:r>
          </w:p>
        </w:tc>
        <w:tc>
          <w:tcPr>
            <w:tcW w:w="910" w:type="pct"/>
            <w:hideMark/>
          </w:tcPr>
          <w:p w14:paraId="3CCBF1D7" w14:textId="77777777" w:rsidR="00563D88" w:rsidRPr="001B41AD" w:rsidRDefault="00563D88" w:rsidP="00405489">
            <w:pPr>
              <w:jc w:val="right"/>
              <w:rPr>
                <w:sz w:val="16"/>
                <w:szCs w:val="16"/>
                <w:lang w:val="sr-Cyrl-CS"/>
              </w:rPr>
            </w:pPr>
            <w:r w:rsidRPr="001B41AD">
              <w:rPr>
                <w:sz w:val="16"/>
                <w:szCs w:val="16"/>
                <w:lang w:val="sr-Cyrl-CS"/>
              </w:rPr>
              <w:t>7,2</w:t>
            </w:r>
          </w:p>
        </w:tc>
      </w:tr>
      <w:tr w:rsidR="00563D88" w:rsidRPr="001B41AD" w14:paraId="3CA93698" w14:textId="77777777" w:rsidTr="00405489">
        <w:trPr>
          <w:trHeight w:hRule="exact" w:val="276"/>
          <w:tblHeader/>
          <w:jc w:val="right"/>
        </w:trPr>
        <w:tc>
          <w:tcPr>
            <w:tcW w:w="1673" w:type="pct"/>
            <w:noWrap/>
            <w:vAlign w:val="center"/>
            <w:hideMark/>
          </w:tcPr>
          <w:p w14:paraId="44045F8A"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Порез на доходак грађана</w:t>
            </w:r>
          </w:p>
        </w:tc>
        <w:tc>
          <w:tcPr>
            <w:tcW w:w="553" w:type="pct"/>
            <w:hideMark/>
          </w:tcPr>
          <w:p w14:paraId="76D20546" w14:textId="77777777" w:rsidR="00563D88" w:rsidRPr="001B41AD" w:rsidRDefault="00563D88" w:rsidP="00405489">
            <w:pPr>
              <w:jc w:val="right"/>
              <w:rPr>
                <w:sz w:val="16"/>
                <w:szCs w:val="16"/>
                <w:lang w:val="sr-Cyrl-CS"/>
              </w:rPr>
            </w:pPr>
            <w:r w:rsidRPr="001B41AD">
              <w:rPr>
                <w:sz w:val="16"/>
                <w:szCs w:val="16"/>
                <w:lang w:val="sr-Cyrl-CS"/>
              </w:rPr>
              <w:t>261,5</w:t>
            </w:r>
          </w:p>
        </w:tc>
        <w:tc>
          <w:tcPr>
            <w:tcW w:w="902" w:type="pct"/>
            <w:hideMark/>
          </w:tcPr>
          <w:p w14:paraId="72214DF4" w14:textId="77777777" w:rsidR="00563D88" w:rsidRPr="001B41AD" w:rsidRDefault="00563D88" w:rsidP="00405489">
            <w:pPr>
              <w:jc w:val="right"/>
              <w:rPr>
                <w:sz w:val="16"/>
                <w:szCs w:val="16"/>
                <w:lang w:val="sr-Cyrl-CS"/>
              </w:rPr>
            </w:pPr>
            <w:r w:rsidRPr="001B41AD">
              <w:rPr>
                <w:sz w:val="16"/>
                <w:szCs w:val="16"/>
                <w:lang w:val="sr-Cyrl-CS"/>
              </w:rPr>
              <w:t>286,3</w:t>
            </w:r>
          </w:p>
        </w:tc>
        <w:tc>
          <w:tcPr>
            <w:tcW w:w="962" w:type="pct"/>
          </w:tcPr>
          <w:p w14:paraId="02B88FD7" w14:textId="77777777" w:rsidR="00563D88" w:rsidRPr="001B41AD" w:rsidRDefault="00563D88" w:rsidP="00405489">
            <w:pPr>
              <w:jc w:val="right"/>
              <w:rPr>
                <w:sz w:val="16"/>
                <w:szCs w:val="16"/>
                <w:lang w:val="sr-Cyrl-CS"/>
              </w:rPr>
            </w:pPr>
            <w:r w:rsidRPr="001B41AD">
              <w:rPr>
                <w:sz w:val="16"/>
                <w:szCs w:val="16"/>
                <w:lang w:val="sr-Cyrl-CS"/>
              </w:rPr>
              <w:t>9,5</w:t>
            </w:r>
          </w:p>
        </w:tc>
        <w:tc>
          <w:tcPr>
            <w:tcW w:w="910" w:type="pct"/>
            <w:hideMark/>
          </w:tcPr>
          <w:p w14:paraId="7D72EADE" w14:textId="77777777" w:rsidR="00563D88" w:rsidRPr="001B41AD" w:rsidRDefault="00563D88" w:rsidP="00405489">
            <w:pPr>
              <w:jc w:val="right"/>
              <w:rPr>
                <w:sz w:val="16"/>
                <w:szCs w:val="16"/>
                <w:lang w:val="sr-Cyrl-CS"/>
              </w:rPr>
            </w:pPr>
            <w:r w:rsidRPr="001B41AD">
              <w:rPr>
                <w:sz w:val="16"/>
                <w:szCs w:val="16"/>
                <w:lang w:val="sr-Cyrl-CS"/>
              </w:rPr>
              <w:t>7,8</w:t>
            </w:r>
          </w:p>
        </w:tc>
      </w:tr>
      <w:tr w:rsidR="00563D88" w:rsidRPr="001B41AD" w14:paraId="6F9FB133" w14:textId="77777777" w:rsidTr="00405489">
        <w:trPr>
          <w:trHeight w:hRule="exact" w:val="276"/>
          <w:tblHeader/>
          <w:jc w:val="right"/>
        </w:trPr>
        <w:tc>
          <w:tcPr>
            <w:tcW w:w="1673" w:type="pct"/>
            <w:noWrap/>
            <w:vAlign w:val="center"/>
            <w:hideMark/>
          </w:tcPr>
          <w:p w14:paraId="42A03E02"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Порез на добит правних лица</w:t>
            </w:r>
          </w:p>
        </w:tc>
        <w:tc>
          <w:tcPr>
            <w:tcW w:w="553" w:type="pct"/>
            <w:hideMark/>
          </w:tcPr>
          <w:p w14:paraId="1877B5EF" w14:textId="77777777" w:rsidR="00563D88" w:rsidRPr="001B41AD" w:rsidRDefault="00563D88" w:rsidP="00405489">
            <w:pPr>
              <w:jc w:val="right"/>
              <w:rPr>
                <w:sz w:val="16"/>
                <w:szCs w:val="16"/>
                <w:lang w:val="sr-Cyrl-CS"/>
              </w:rPr>
            </w:pPr>
            <w:r w:rsidRPr="001B41AD">
              <w:rPr>
                <w:sz w:val="16"/>
                <w:szCs w:val="16"/>
                <w:lang w:val="sr-Cyrl-CS"/>
              </w:rPr>
              <w:t>224,3</w:t>
            </w:r>
          </w:p>
        </w:tc>
        <w:tc>
          <w:tcPr>
            <w:tcW w:w="902" w:type="pct"/>
            <w:hideMark/>
          </w:tcPr>
          <w:p w14:paraId="438B582F" w14:textId="77777777" w:rsidR="00563D88" w:rsidRPr="001B41AD" w:rsidRDefault="00563D88" w:rsidP="00405489">
            <w:pPr>
              <w:jc w:val="right"/>
              <w:rPr>
                <w:sz w:val="16"/>
                <w:szCs w:val="16"/>
                <w:lang w:val="sr-Cyrl-CS"/>
              </w:rPr>
            </w:pPr>
            <w:r w:rsidRPr="001B41AD">
              <w:rPr>
                <w:sz w:val="16"/>
                <w:szCs w:val="16"/>
                <w:lang w:val="sr-Cyrl-CS"/>
              </w:rPr>
              <w:t>211,3</w:t>
            </w:r>
          </w:p>
        </w:tc>
        <w:tc>
          <w:tcPr>
            <w:tcW w:w="962" w:type="pct"/>
          </w:tcPr>
          <w:p w14:paraId="53C2CC0E" w14:textId="77777777" w:rsidR="00563D88" w:rsidRPr="001B41AD" w:rsidRDefault="00563D88" w:rsidP="00405489">
            <w:pPr>
              <w:jc w:val="right"/>
              <w:rPr>
                <w:sz w:val="16"/>
                <w:szCs w:val="16"/>
                <w:lang w:val="sr-Cyrl-CS"/>
              </w:rPr>
            </w:pPr>
            <w:r w:rsidRPr="001B41AD">
              <w:rPr>
                <w:sz w:val="16"/>
                <w:szCs w:val="16"/>
                <w:lang w:val="sr-Cyrl-CS"/>
              </w:rPr>
              <w:t>-5,8</w:t>
            </w:r>
          </w:p>
        </w:tc>
        <w:tc>
          <w:tcPr>
            <w:tcW w:w="910" w:type="pct"/>
            <w:hideMark/>
          </w:tcPr>
          <w:p w14:paraId="731B0BC6" w14:textId="77777777" w:rsidR="00563D88" w:rsidRPr="001B41AD" w:rsidRDefault="00563D88" w:rsidP="00405489">
            <w:pPr>
              <w:jc w:val="right"/>
              <w:rPr>
                <w:sz w:val="16"/>
                <w:szCs w:val="16"/>
                <w:lang w:val="sr-Cyrl-CS"/>
              </w:rPr>
            </w:pPr>
            <w:r w:rsidRPr="001B41AD">
              <w:rPr>
                <w:sz w:val="16"/>
                <w:szCs w:val="16"/>
                <w:lang w:val="sr-Cyrl-CS"/>
              </w:rPr>
              <w:t>-2,8</w:t>
            </w:r>
          </w:p>
        </w:tc>
      </w:tr>
      <w:tr w:rsidR="00563D88" w:rsidRPr="001B41AD" w14:paraId="4654E251" w14:textId="77777777" w:rsidTr="00405489">
        <w:trPr>
          <w:trHeight w:hRule="exact" w:val="276"/>
          <w:tblHeader/>
          <w:jc w:val="right"/>
        </w:trPr>
        <w:tc>
          <w:tcPr>
            <w:tcW w:w="1673" w:type="pct"/>
            <w:noWrap/>
            <w:vAlign w:val="center"/>
            <w:hideMark/>
          </w:tcPr>
          <w:p w14:paraId="5C5DDE8C"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ПДВ</w:t>
            </w:r>
          </w:p>
        </w:tc>
        <w:tc>
          <w:tcPr>
            <w:tcW w:w="553" w:type="pct"/>
            <w:hideMark/>
          </w:tcPr>
          <w:p w14:paraId="182F85CA" w14:textId="77777777" w:rsidR="00563D88" w:rsidRPr="001B41AD" w:rsidRDefault="00563D88" w:rsidP="00405489">
            <w:pPr>
              <w:jc w:val="right"/>
              <w:rPr>
                <w:sz w:val="16"/>
                <w:szCs w:val="16"/>
                <w:lang w:val="sr-Cyrl-CS"/>
              </w:rPr>
            </w:pPr>
            <w:r w:rsidRPr="001B41AD">
              <w:rPr>
                <w:sz w:val="16"/>
                <w:szCs w:val="16"/>
                <w:lang w:val="sr-Cyrl-CS"/>
              </w:rPr>
              <w:t>626,1</w:t>
            </w:r>
          </w:p>
        </w:tc>
        <w:tc>
          <w:tcPr>
            <w:tcW w:w="902" w:type="pct"/>
            <w:hideMark/>
          </w:tcPr>
          <w:p w14:paraId="722C638E" w14:textId="77777777" w:rsidR="00563D88" w:rsidRPr="001B41AD" w:rsidRDefault="00563D88" w:rsidP="00405489">
            <w:pPr>
              <w:jc w:val="right"/>
              <w:rPr>
                <w:sz w:val="16"/>
                <w:szCs w:val="16"/>
                <w:lang w:val="sr-Cyrl-CS"/>
              </w:rPr>
            </w:pPr>
            <w:r w:rsidRPr="001B41AD">
              <w:rPr>
                <w:sz w:val="16"/>
                <w:szCs w:val="16"/>
                <w:lang w:val="sr-Cyrl-CS"/>
              </w:rPr>
              <w:t>647,3</w:t>
            </w:r>
          </w:p>
        </w:tc>
        <w:tc>
          <w:tcPr>
            <w:tcW w:w="962" w:type="pct"/>
          </w:tcPr>
          <w:p w14:paraId="2BF4423D" w14:textId="77777777" w:rsidR="00563D88" w:rsidRPr="001B41AD" w:rsidRDefault="00563D88" w:rsidP="00405489">
            <w:pPr>
              <w:jc w:val="right"/>
              <w:rPr>
                <w:sz w:val="16"/>
                <w:szCs w:val="16"/>
                <w:lang w:val="sr-Cyrl-CS"/>
              </w:rPr>
            </w:pPr>
            <w:r w:rsidRPr="001B41AD">
              <w:rPr>
                <w:sz w:val="16"/>
                <w:szCs w:val="16"/>
                <w:lang w:val="sr-Cyrl-CS"/>
              </w:rPr>
              <w:t>3,4</w:t>
            </w:r>
          </w:p>
        </w:tc>
        <w:tc>
          <w:tcPr>
            <w:tcW w:w="910" w:type="pct"/>
            <w:hideMark/>
          </w:tcPr>
          <w:p w14:paraId="549DD72E" w14:textId="77777777" w:rsidR="00563D88" w:rsidRPr="001B41AD" w:rsidRDefault="00563D88" w:rsidP="00405489">
            <w:pPr>
              <w:jc w:val="right"/>
              <w:rPr>
                <w:sz w:val="16"/>
                <w:szCs w:val="16"/>
                <w:lang w:val="sr-Cyrl-CS"/>
              </w:rPr>
            </w:pPr>
            <w:r w:rsidRPr="001B41AD">
              <w:rPr>
                <w:sz w:val="16"/>
                <w:szCs w:val="16"/>
                <w:lang w:val="sr-Cyrl-CS"/>
              </w:rPr>
              <w:t>5,3</w:t>
            </w:r>
          </w:p>
        </w:tc>
      </w:tr>
      <w:tr w:rsidR="00563D88" w:rsidRPr="001B41AD" w14:paraId="1D9BA917" w14:textId="77777777" w:rsidTr="00405489">
        <w:trPr>
          <w:trHeight w:hRule="exact" w:val="276"/>
          <w:tblHeader/>
          <w:jc w:val="right"/>
        </w:trPr>
        <w:tc>
          <w:tcPr>
            <w:tcW w:w="1673" w:type="pct"/>
            <w:noWrap/>
            <w:vAlign w:val="center"/>
            <w:hideMark/>
          </w:tcPr>
          <w:p w14:paraId="417B18C3"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Акцизе</w:t>
            </w:r>
          </w:p>
        </w:tc>
        <w:tc>
          <w:tcPr>
            <w:tcW w:w="553" w:type="pct"/>
            <w:hideMark/>
          </w:tcPr>
          <w:p w14:paraId="2A71DACA" w14:textId="77777777" w:rsidR="00563D88" w:rsidRPr="001B41AD" w:rsidRDefault="00563D88" w:rsidP="00405489">
            <w:pPr>
              <w:jc w:val="right"/>
              <w:rPr>
                <w:sz w:val="16"/>
                <w:szCs w:val="16"/>
                <w:lang w:val="sr-Cyrl-CS"/>
              </w:rPr>
            </w:pPr>
            <w:r w:rsidRPr="001B41AD">
              <w:rPr>
                <w:sz w:val="16"/>
                <w:szCs w:val="16"/>
                <w:lang w:val="sr-Cyrl-CS"/>
              </w:rPr>
              <w:t>279,5</w:t>
            </w:r>
          </w:p>
        </w:tc>
        <w:tc>
          <w:tcPr>
            <w:tcW w:w="902" w:type="pct"/>
            <w:hideMark/>
          </w:tcPr>
          <w:p w14:paraId="6CE34B13" w14:textId="77777777" w:rsidR="00563D88" w:rsidRPr="001B41AD" w:rsidRDefault="00563D88" w:rsidP="00405489">
            <w:pPr>
              <w:jc w:val="right"/>
              <w:rPr>
                <w:sz w:val="16"/>
                <w:szCs w:val="16"/>
                <w:lang w:val="sr-Cyrl-CS"/>
              </w:rPr>
            </w:pPr>
            <w:r w:rsidRPr="001B41AD">
              <w:rPr>
                <w:sz w:val="16"/>
                <w:szCs w:val="16"/>
                <w:lang w:val="sr-Cyrl-CS"/>
              </w:rPr>
              <w:t>291,3</w:t>
            </w:r>
          </w:p>
        </w:tc>
        <w:tc>
          <w:tcPr>
            <w:tcW w:w="962" w:type="pct"/>
          </w:tcPr>
          <w:p w14:paraId="66C413FB" w14:textId="77777777" w:rsidR="00563D88" w:rsidRPr="001B41AD" w:rsidRDefault="00563D88" w:rsidP="00405489">
            <w:pPr>
              <w:jc w:val="right"/>
              <w:rPr>
                <w:sz w:val="16"/>
                <w:szCs w:val="16"/>
                <w:lang w:val="sr-Cyrl-CS"/>
              </w:rPr>
            </w:pPr>
            <w:r w:rsidRPr="001B41AD">
              <w:rPr>
                <w:sz w:val="16"/>
                <w:szCs w:val="16"/>
                <w:lang w:val="sr-Cyrl-CS"/>
              </w:rPr>
              <w:t>4,2</w:t>
            </w:r>
          </w:p>
        </w:tc>
        <w:tc>
          <w:tcPr>
            <w:tcW w:w="910" w:type="pct"/>
            <w:hideMark/>
          </w:tcPr>
          <w:p w14:paraId="0B3F7C99" w14:textId="77777777" w:rsidR="00563D88" w:rsidRPr="001B41AD" w:rsidRDefault="00563D88" w:rsidP="00405489">
            <w:pPr>
              <w:jc w:val="right"/>
              <w:rPr>
                <w:sz w:val="16"/>
                <w:szCs w:val="16"/>
                <w:lang w:val="sr-Cyrl-CS"/>
              </w:rPr>
            </w:pPr>
            <w:r w:rsidRPr="001B41AD">
              <w:rPr>
                <w:sz w:val="16"/>
                <w:szCs w:val="16"/>
                <w:lang w:val="sr-Cyrl-CS"/>
              </w:rPr>
              <w:t>4,9</w:t>
            </w:r>
          </w:p>
        </w:tc>
      </w:tr>
      <w:tr w:rsidR="00563D88" w:rsidRPr="001B41AD" w14:paraId="6E225686" w14:textId="77777777" w:rsidTr="00405489">
        <w:trPr>
          <w:trHeight w:hRule="exact" w:val="276"/>
          <w:tblHeader/>
          <w:jc w:val="right"/>
        </w:trPr>
        <w:tc>
          <w:tcPr>
            <w:tcW w:w="1673" w:type="pct"/>
            <w:noWrap/>
            <w:vAlign w:val="center"/>
            <w:hideMark/>
          </w:tcPr>
          <w:p w14:paraId="77B290F9"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Царине</w:t>
            </w:r>
          </w:p>
        </w:tc>
        <w:tc>
          <w:tcPr>
            <w:tcW w:w="553" w:type="pct"/>
            <w:hideMark/>
          </w:tcPr>
          <w:p w14:paraId="18709473" w14:textId="77777777" w:rsidR="00563D88" w:rsidRPr="001B41AD" w:rsidRDefault="00563D88" w:rsidP="00405489">
            <w:pPr>
              <w:jc w:val="right"/>
              <w:rPr>
                <w:sz w:val="16"/>
                <w:szCs w:val="16"/>
                <w:lang w:val="sr-Cyrl-CS"/>
              </w:rPr>
            </w:pPr>
            <w:r w:rsidRPr="001B41AD">
              <w:rPr>
                <w:sz w:val="16"/>
                <w:szCs w:val="16"/>
                <w:lang w:val="sr-Cyrl-CS"/>
              </w:rPr>
              <w:t>57,4</w:t>
            </w:r>
          </w:p>
        </w:tc>
        <w:tc>
          <w:tcPr>
            <w:tcW w:w="902" w:type="pct"/>
            <w:hideMark/>
          </w:tcPr>
          <w:p w14:paraId="31FBBA26" w14:textId="77777777" w:rsidR="00563D88" w:rsidRPr="001B41AD" w:rsidRDefault="00563D88" w:rsidP="00405489">
            <w:pPr>
              <w:jc w:val="right"/>
              <w:rPr>
                <w:sz w:val="16"/>
                <w:szCs w:val="16"/>
                <w:lang w:val="sr-Cyrl-CS"/>
              </w:rPr>
            </w:pPr>
            <w:r w:rsidRPr="001B41AD">
              <w:rPr>
                <w:sz w:val="16"/>
                <w:szCs w:val="16"/>
                <w:lang w:val="sr-Cyrl-CS"/>
              </w:rPr>
              <w:t>60,4</w:t>
            </w:r>
          </w:p>
        </w:tc>
        <w:tc>
          <w:tcPr>
            <w:tcW w:w="962" w:type="pct"/>
          </w:tcPr>
          <w:p w14:paraId="21210A64" w14:textId="77777777" w:rsidR="00563D88" w:rsidRPr="001B41AD" w:rsidRDefault="00563D88" w:rsidP="00405489">
            <w:pPr>
              <w:jc w:val="right"/>
              <w:rPr>
                <w:sz w:val="16"/>
                <w:szCs w:val="16"/>
                <w:lang w:val="sr-Cyrl-CS"/>
              </w:rPr>
            </w:pPr>
            <w:r w:rsidRPr="001B41AD">
              <w:rPr>
                <w:sz w:val="16"/>
                <w:szCs w:val="16"/>
                <w:lang w:val="sr-Cyrl-CS"/>
              </w:rPr>
              <w:t>5,3</w:t>
            </w:r>
          </w:p>
        </w:tc>
        <w:tc>
          <w:tcPr>
            <w:tcW w:w="910" w:type="pct"/>
            <w:hideMark/>
          </w:tcPr>
          <w:p w14:paraId="0B9855DB" w14:textId="77777777" w:rsidR="00563D88" w:rsidRPr="001B41AD" w:rsidRDefault="00563D88" w:rsidP="00405489">
            <w:pPr>
              <w:jc w:val="right"/>
              <w:rPr>
                <w:sz w:val="16"/>
                <w:szCs w:val="16"/>
                <w:lang w:val="sr-Cyrl-CS"/>
              </w:rPr>
            </w:pPr>
            <w:r w:rsidRPr="001B41AD">
              <w:rPr>
                <w:sz w:val="16"/>
                <w:szCs w:val="16"/>
                <w:lang w:val="sr-Cyrl-CS"/>
              </w:rPr>
              <w:t>4,5</w:t>
            </w:r>
          </w:p>
        </w:tc>
      </w:tr>
      <w:tr w:rsidR="00563D88" w:rsidRPr="001B41AD" w14:paraId="0F9CC686" w14:textId="77777777" w:rsidTr="00405489">
        <w:trPr>
          <w:trHeight w:hRule="exact" w:val="276"/>
          <w:tblHeader/>
          <w:jc w:val="right"/>
        </w:trPr>
        <w:tc>
          <w:tcPr>
            <w:tcW w:w="1673" w:type="pct"/>
            <w:noWrap/>
            <w:vAlign w:val="center"/>
            <w:hideMark/>
          </w:tcPr>
          <w:p w14:paraId="365E33B6"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Остали порески приходи</w:t>
            </w:r>
          </w:p>
        </w:tc>
        <w:tc>
          <w:tcPr>
            <w:tcW w:w="553" w:type="pct"/>
            <w:hideMark/>
          </w:tcPr>
          <w:p w14:paraId="56F2AFA6" w14:textId="77777777" w:rsidR="00563D88" w:rsidRPr="001B41AD" w:rsidRDefault="00563D88" w:rsidP="00405489">
            <w:pPr>
              <w:jc w:val="right"/>
              <w:rPr>
                <w:sz w:val="16"/>
                <w:szCs w:val="16"/>
                <w:lang w:val="sr-Cyrl-CS"/>
              </w:rPr>
            </w:pPr>
            <w:r w:rsidRPr="001B41AD">
              <w:rPr>
                <w:sz w:val="16"/>
                <w:szCs w:val="16"/>
                <w:lang w:val="sr-Cyrl-CS"/>
              </w:rPr>
              <w:t>77,6</w:t>
            </w:r>
          </w:p>
        </w:tc>
        <w:tc>
          <w:tcPr>
            <w:tcW w:w="902" w:type="pct"/>
            <w:hideMark/>
          </w:tcPr>
          <w:p w14:paraId="374947AD" w14:textId="77777777" w:rsidR="00563D88" w:rsidRPr="001B41AD" w:rsidRDefault="00563D88" w:rsidP="00405489">
            <w:pPr>
              <w:jc w:val="right"/>
              <w:rPr>
                <w:sz w:val="16"/>
                <w:szCs w:val="16"/>
                <w:lang w:val="sr-Cyrl-CS"/>
              </w:rPr>
            </w:pPr>
            <w:r w:rsidRPr="001B41AD">
              <w:rPr>
                <w:sz w:val="16"/>
                <w:szCs w:val="16"/>
                <w:lang w:val="sr-Cyrl-CS"/>
              </w:rPr>
              <w:t>87,0</w:t>
            </w:r>
          </w:p>
        </w:tc>
        <w:tc>
          <w:tcPr>
            <w:tcW w:w="962" w:type="pct"/>
          </w:tcPr>
          <w:p w14:paraId="114F7F8F" w14:textId="77777777" w:rsidR="00563D88" w:rsidRPr="001B41AD" w:rsidRDefault="00563D88" w:rsidP="00405489">
            <w:pPr>
              <w:jc w:val="right"/>
              <w:rPr>
                <w:sz w:val="16"/>
                <w:szCs w:val="16"/>
                <w:lang w:val="sr-Cyrl-CS"/>
              </w:rPr>
            </w:pPr>
            <w:r w:rsidRPr="001B41AD">
              <w:rPr>
                <w:sz w:val="16"/>
                <w:szCs w:val="16"/>
                <w:lang w:val="sr-Cyrl-CS"/>
              </w:rPr>
              <w:t>12,2</w:t>
            </w:r>
          </w:p>
        </w:tc>
        <w:tc>
          <w:tcPr>
            <w:tcW w:w="910" w:type="pct"/>
            <w:hideMark/>
          </w:tcPr>
          <w:p w14:paraId="31DD3DE8" w14:textId="77777777" w:rsidR="00563D88" w:rsidRPr="001B41AD" w:rsidRDefault="00563D88" w:rsidP="00405489">
            <w:pPr>
              <w:jc w:val="right"/>
              <w:rPr>
                <w:sz w:val="16"/>
                <w:szCs w:val="16"/>
                <w:lang w:val="sr-Cyrl-CS"/>
              </w:rPr>
            </w:pPr>
            <w:r w:rsidRPr="001B41AD">
              <w:rPr>
                <w:sz w:val="16"/>
                <w:szCs w:val="16"/>
                <w:lang w:val="sr-Cyrl-CS"/>
              </w:rPr>
              <w:t>7,5</w:t>
            </w:r>
          </w:p>
        </w:tc>
      </w:tr>
      <w:tr w:rsidR="00563D88" w:rsidRPr="001B41AD" w14:paraId="6260A909" w14:textId="77777777" w:rsidTr="00405489">
        <w:trPr>
          <w:trHeight w:hRule="exact" w:val="276"/>
          <w:tblHeader/>
          <w:jc w:val="right"/>
        </w:trPr>
        <w:tc>
          <w:tcPr>
            <w:tcW w:w="1673" w:type="pct"/>
            <w:noWrap/>
            <w:vAlign w:val="center"/>
            <w:hideMark/>
          </w:tcPr>
          <w:p w14:paraId="0C78C2F9"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Доприноси</w:t>
            </w:r>
          </w:p>
        </w:tc>
        <w:tc>
          <w:tcPr>
            <w:tcW w:w="553" w:type="pct"/>
            <w:hideMark/>
          </w:tcPr>
          <w:p w14:paraId="0FDC7817" w14:textId="77777777" w:rsidR="00563D88" w:rsidRPr="001B41AD" w:rsidRDefault="00563D88" w:rsidP="00405489">
            <w:pPr>
              <w:jc w:val="right"/>
              <w:rPr>
                <w:sz w:val="16"/>
                <w:szCs w:val="16"/>
                <w:lang w:val="sr-Cyrl-CS"/>
              </w:rPr>
            </w:pPr>
            <w:r w:rsidRPr="001B41AD">
              <w:rPr>
                <w:sz w:val="16"/>
                <w:szCs w:val="16"/>
                <w:lang w:val="sr-Cyrl-CS"/>
              </w:rPr>
              <w:t>785,4</w:t>
            </w:r>
          </w:p>
        </w:tc>
        <w:tc>
          <w:tcPr>
            <w:tcW w:w="902" w:type="pct"/>
            <w:hideMark/>
          </w:tcPr>
          <w:p w14:paraId="17F7D596" w14:textId="77777777" w:rsidR="00563D88" w:rsidRPr="001B41AD" w:rsidRDefault="00563D88" w:rsidP="00405489">
            <w:pPr>
              <w:jc w:val="right"/>
              <w:rPr>
                <w:sz w:val="16"/>
                <w:szCs w:val="16"/>
                <w:lang w:val="sr-Cyrl-CS"/>
              </w:rPr>
            </w:pPr>
            <w:r w:rsidRPr="001B41AD">
              <w:rPr>
                <w:sz w:val="16"/>
                <w:szCs w:val="16"/>
                <w:lang w:val="sr-Cyrl-CS"/>
              </w:rPr>
              <w:t>887,7</w:t>
            </w:r>
          </w:p>
        </w:tc>
        <w:tc>
          <w:tcPr>
            <w:tcW w:w="962" w:type="pct"/>
          </w:tcPr>
          <w:p w14:paraId="19C99D0F" w14:textId="77777777" w:rsidR="00563D88" w:rsidRPr="001B41AD" w:rsidRDefault="00563D88" w:rsidP="00405489">
            <w:pPr>
              <w:jc w:val="right"/>
              <w:rPr>
                <w:sz w:val="16"/>
                <w:szCs w:val="16"/>
                <w:lang w:val="sr-Cyrl-CS"/>
              </w:rPr>
            </w:pPr>
            <w:r w:rsidRPr="001B41AD">
              <w:rPr>
                <w:sz w:val="16"/>
                <w:szCs w:val="16"/>
                <w:lang w:val="sr-Cyrl-CS"/>
              </w:rPr>
              <w:t>13,0</w:t>
            </w:r>
          </w:p>
        </w:tc>
        <w:tc>
          <w:tcPr>
            <w:tcW w:w="910" w:type="pct"/>
            <w:hideMark/>
          </w:tcPr>
          <w:p w14:paraId="669AF973" w14:textId="77777777" w:rsidR="00563D88" w:rsidRPr="001B41AD" w:rsidRDefault="00563D88" w:rsidP="00405489">
            <w:pPr>
              <w:jc w:val="right"/>
              <w:rPr>
                <w:sz w:val="16"/>
                <w:szCs w:val="16"/>
                <w:lang w:val="sr-Cyrl-CS"/>
              </w:rPr>
            </w:pPr>
            <w:r w:rsidRPr="001B41AD">
              <w:rPr>
                <w:sz w:val="16"/>
                <w:szCs w:val="16"/>
                <w:lang w:val="sr-Cyrl-CS"/>
              </w:rPr>
              <w:t>12,0</w:t>
            </w:r>
          </w:p>
        </w:tc>
      </w:tr>
      <w:tr w:rsidR="00563D88" w:rsidRPr="001B41AD" w14:paraId="56DFB062" w14:textId="77777777" w:rsidTr="00405489">
        <w:trPr>
          <w:trHeight w:hRule="exact" w:val="276"/>
          <w:tblHeader/>
          <w:jc w:val="right"/>
        </w:trPr>
        <w:tc>
          <w:tcPr>
            <w:tcW w:w="1673" w:type="pct"/>
            <w:noWrap/>
            <w:vAlign w:val="center"/>
            <w:hideMark/>
          </w:tcPr>
          <w:p w14:paraId="3141AC91"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Непорески приходи</w:t>
            </w:r>
          </w:p>
        </w:tc>
        <w:tc>
          <w:tcPr>
            <w:tcW w:w="553" w:type="pct"/>
            <w:hideMark/>
          </w:tcPr>
          <w:p w14:paraId="3F85F88A" w14:textId="77777777" w:rsidR="00563D88" w:rsidRPr="001B41AD" w:rsidRDefault="00563D88" w:rsidP="00405489">
            <w:pPr>
              <w:jc w:val="right"/>
              <w:rPr>
                <w:sz w:val="16"/>
                <w:szCs w:val="16"/>
                <w:lang w:val="sr-Cyrl-CS"/>
              </w:rPr>
            </w:pPr>
            <w:r w:rsidRPr="001B41AD">
              <w:rPr>
                <w:sz w:val="16"/>
                <w:szCs w:val="16"/>
                <w:lang w:val="sr-Cyrl-CS"/>
              </w:rPr>
              <w:t>247,7</w:t>
            </w:r>
          </w:p>
        </w:tc>
        <w:tc>
          <w:tcPr>
            <w:tcW w:w="902" w:type="pct"/>
            <w:hideMark/>
          </w:tcPr>
          <w:p w14:paraId="119C9303" w14:textId="77777777" w:rsidR="00563D88" w:rsidRPr="001B41AD" w:rsidRDefault="00563D88" w:rsidP="00405489">
            <w:pPr>
              <w:jc w:val="right"/>
              <w:rPr>
                <w:sz w:val="16"/>
                <w:szCs w:val="16"/>
                <w:lang w:val="sr-Cyrl-CS"/>
              </w:rPr>
            </w:pPr>
            <w:r w:rsidRPr="001B41AD">
              <w:rPr>
                <w:sz w:val="16"/>
                <w:szCs w:val="16"/>
                <w:lang w:val="sr-Cyrl-CS"/>
              </w:rPr>
              <w:t>239,2</w:t>
            </w:r>
          </w:p>
        </w:tc>
        <w:tc>
          <w:tcPr>
            <w:tcW w:w="962" w:type="pct"/>
          </w:tcPr>
          <w:p w14:paraId="3EC09B81" w14:textId="77777777" w:rsidR="00563D88" w:rsidRPr="001B41AD" w:rsidRDefault="00563D88" w:rsidP="00405489">
            <w:pPr>
              <w:jc w:val="right"/>
              <w:rPr>
                <w:sz w:val="16"/>
                <w:szCs w:val="16"/>
                <w:lang w:val="sr-Cyrl-CS"/>
              </w:rPr>
            </w:pPr>
            <w:r w:rsidRPr="001B41AD">
              <w:rPr>
                <w:sz w:val="16"/>
                <w:szCs w:val="16"/>
                <w:lang w:val="sr-Cyrl-CS"/>
              </w:rPr>
              <w:t>-3,4</w:t>
            </w:r>
          </w:p>
        </w:tc>
        <w:tc>
          <w:tcPr>
            <w:tcW w:w="910" w:type="pct"/>
            <w:hideMark/>
          </w:tcPr>
          <w:p w14:paraId="7E1A6D4A" w14:textId="77777777" w:rsidR="00563D88" w:rsidRPr="001B41AD" w:rsidRDefault="00563D88" w:rsidP="00405489">
            <w:pPr>
              <w:jc w:val="right"/>
              <w:rPr>
                <w:sz w:val="16"/>
                <w:szCs w:val="16"/>
                <w:lang w:val="sr-Cyrl-CS"/>
              </w:rPr>
            </w:pPr>
            <w:r w:rsidRPr="001B41AD">
              <w:rPr>
                <w:sz w:val="16"/>
                <w:szCs w:val="16"/>
                <w:lang w:val="sr-Cyrl-CS"/>
              </w:rPr>
              <w:t>7,8</w:t>
            </w:r>
          </w:p>
        </w:tc>
      </w:tr>
      <w:tr w:rsidR="00563D88" w:rsidRPr="001B41AD" w14:paraId="1EE45DEC" w14:textId="77777777" w:rsidTr="00405489">
        <w:trPr>
          <w:trHeight w:hRule="exact" w:val="276"/>
          <w:tblHeader/>
          <w:jc w:val="right"/>
        </w:trPr>
        <w:tc>
          <w:tcPr>
            <w:tcW w:w="1673" w:type="pct"/>
            <w:noWrap/>
            <w:vAlign w:val="center"/>
            <w:hideMark/>
          </w:tcPr>
          <w:p w14:paraId="5E7E8D38"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Донације</w:t>
            </w:r>
          </w:p>
        </w:tc>
        <w:tc>
          <w:tcPr>
            <w:tcW w:w="553" w:type="pct"/>
            <w:hideMark/>
          </w:tcPr>
          <w:p w14:paraId="37FC9395" w14:textId="77777777" w:rsidR="00563D88" w:rsidRPr="001B41AD" w:rsidRDefault="00563D88" w:rsidP="00405489">
            <w:pPr>
              <w:jc w:val="right"/>
              <w:rPr>
                <w:sz w:val="16"/>
                <w:szCs w:val="16"/>
                <w:lang w:val="sr-Cyrl-CS"/>
              </w:rPr>
            </w:pPr>
            <w:r w:rsidRPr="001B41AD">
              <w:rPr>
                <w:sz w:val="16"/>
                <w:szCs w:val="16"/>
                <w:lang w:val="sr-Cyrl-CS"/>
              </w:rPr>
              <w:t>11,6</w:t>
            </w:r>
          </w:p>
        </w:tc>
        <w:tc>
          <w:tcPr>
            <w:tcW w:w="902" w:type="pct"/>
            <w:hideMark/>
          </w:tcPr>
          <w:p w14:paraId="6FB686BB" w14:textId="77777777" w:rsidR="00563D88" w:rsidRPr="001B41AD" w:rsidRDefault="00563D88" w:rsidP="00405489">
            <w:pPr>
              <w:jc w:val="right"/>
              <w:rPr>
                <w:sz w:val="16"/>
                <w:szCs w:val="16"/>
                <w:lang w:val="sr-Cyrl-CS"/>
              </w:rPr>
            </w:pPr>
            <w:r w:rsidRPr="001B41AD">
              <w:rPr>
                <w:sz w:val="16"/>
                <w:szCs w:val="16"/>
                <w:lang w:val="sr-Cyrl-CS"/>
              </w:rPr>
              <w:t>8,8</w:t>
            </w:r>
          </w:p>
        </w:tc>
        <w:tc>
          <w:tcPr>
            <w:tcW w:w="962" w:type="pct"/>
          </w:tcPr>
          <w:p w14:paraId="485B9856" w14:textId="77777777" w:rsidR="00563D88" w:rsidRPr="001B41AD" w:rsidRDefault="00563D88" w:rsidP="00405489">
            <w:pPr>
              <w:jc w:val="right"/>
              <w:rPr>
                <w:sz w:val="16"/>
                <w:szCs w:val="16"/>
                <w:lang w:val="sr-Cyrl-CS"/>
              </w:rPr>
            </w:pPr>
            <w:r w:rsidRPr="001B41AD">
              <w:rPr>
                <w:sz w:val="16"/>
                <w:szCs w:val="16"/>
                <w:lang w:val="sr-Cyrl-CS"/>
              </w:rPr>
              <w:t>-24,0</w:t>
            </w:r>
          </w:p>
        </w:tc>
        <w:tc>
          <w:tcPr>
            <w:tcW w:w="910" w:type="pct"/>
            <w:hideMark/>
          </w:tcPr>
          <w:p w14:paraId="7CF0045D" w14:textId="77777777" w:rsidR="00563D88" w:rsidRPr="001B41AD" w:rsidRDefault="00563D88" w:rsidP="00405489">
            <w:pPr>
              <w:jc w:val="right"/>
              <w:rPr>
                <w:sz w:val="16"/>
                <w:szCs w:val="16"/>
                <w:lang w:val="sr-Cyrl-CS"/>
              </w:rPr>
            </w:pPr>
            <w:r w:rsidRPr="001B41AD">
              <w:rPr>
                <w:sz w:val="16"/>
                <w:szCs w:val="16"/>
                <w:lang w:val="sr-Cyrl-CS"/>
              </w:rPr>
              <w:t>80,3</w:t>
            </w:r>
          </w:p>
        </w:tc>
      </w:tr>
      <w:tr w:rsidR="00563D88" w:rsidRPr="001B41AD" w14:paraId="6F0B1540" w14:textId="77777777" w:rsidTr="00405489">
        <w:trPr>
          <w:trHeight w:hRule="exact" w:val="276"/>
          <w:tblHeader/>
          <w:jc w:val="right"/>
        </w:trPr>
        <w:tc>
          <w:tcPr>
            <w:tcW w:w="1673" w:type="pct"/>
            <w:shd w:val="clear" w:color="auto" w:fill="E7E6E6" w:themeFill="background2"/>
            <w:noWrap/>
            <w:vAlign w:val="center"/>
            <w:hideMark/>
          </w:tcPr>
          <w:p w14:paraId="39F3DD35" w14:textId="77777777" w:rsidR="00563D88" w:rsidRPr="001B41AD" w:rsidRDefault="00563D88" w:rsidP="00405489">
            <w:pPr>
              <w:spacing w:after="0" w:line="240" w:lineRule="auto"/>
              <w:jc w:val="left"/>
              <w:rPr>
                <w:rFonts w:cstheme="minorHAnsi"/>
                <w:color w:val="002060"/>
                <w:sz w:val="16"/>
                <w:szCs w:val="16"/>
                <w:lang w:val="sr-Cyrl-CS"/>
              </w:rPr>
            </w:pPr>
            <w:r w:rsidRPr="001B41AD">
              <w:rPr>
                <w:rFonts w:eastAsia="MS PGothic" w:cstheme="minorHAnsi"/>
                <w:color w:val="002060"/>
                <w:sz w:val="16"/>
                <w:szCs w:val="16"/>
                <w:lang w:val="sr-Cyrl-CS" w:eastAsia="ja-JP"/>
              </w:rPr>
              <w:t>ЈАВНИ РАСХОДИ</w:t>
            </w:r>
          </w:p>
        </w:tc>
        <w:tc>
          <w:tcPr>
            <w:tcW w:w="553" w:type="pct"/>
            <w:shd w:val="clear" w:color="auto" w:fill="E7E6E6" w:themeFill="background2"/>
            <w:hideMark/>
          </w:tcPr>
          <w:p w14:paraId="5B7A161D" w14:textId="77777777" w:rsidR="00563D88" w:rsidRPr="001B41AD" w:rsidRDefault="00563D88" w:rsidP="00405489">
            <w:pPr>
              <w:jc w:val="right"/>
              <w:rPr>
                <w:sz w:val="16"/>
                <w:szCs w:val="16"/>
                <w:lang w:val="sr-Cyrl-CS"/>
              </w:rPr>
            </w:pPr>
            <w:r w:rsidRPr="001B41AD">
              <w:rPr>
                <w:sz w:val="16"/>
                <w:szCs w:val="16"/>
                <w:lang w:val="sr-Cyrl-CS"/>
              </w:rPr>
              <w:t>2.544,0</w:t>
            </w:r>
          </w:p>
        </w:tc>
        <w:tc>
          <w:tcPr>
            <w:tcW w:w="902" w:type="pct"/>
            <w:shd w:val="clear" w:color="auto" w:fill="E7E6E6" w:themeFill="background2"/>
            <w:noWrap/>
            <w:hideMark/>
          </w:tcPr>
          <w:p w14:paraId="75AF4AE5" w14:textId="77777777" w:rsidR="00563D88" w:rsidRPr="001B41AD" w:rsidRDefault="00563D88" w:rsidP="00405489">
            <w:pPr>
              <w:jc w:val="right"/>
              <w:rPr>
                <w:sz w:val="16"/>
                <w:szCs w:val="16"/>
                <w:lang w:val="sr-Cyrl-CS"/>
              </w:rPr>
            </w:pPr>
            <w:r w:rsidRPr="001B41AD">
              <w:rPr>
                <w:sz w:val="16"/>
                <w:szCs w:val="16"/>
                <w:lang w:val="sr-Cyrl-CS"/>
              </w:rPr>
              <w:t>2.775,4</w:t>
            </w:r>
          </w:p>
        </w:tc>
        <w:tc>
          <w:tcPr>
            <w:tcW w:w="962" w:type="pct"/>
            <w:shd w:val="clear" w:color="auto" w:fill="E7E6E6" w:themeFill="background2"/>
          </w:tcPr>
          <w:p w14:paraId="60D936C4" w14:textId="77777777" w:rsidR="00563D88" w:rsidRPr="001B41AD" w:rsidRDefault="00563D88" w:rsidP="00405489">
            <w:pPr>
              <w:jc w:val="right"/>
              <w:rPr>
                <w:sz w:val="16"/>
                <w:szCs w:val="16"/>
                <w:lang w:val="sr-Cyrl-CS"/>
              </w:rPr>
            </w:pPr>
            <w:r w:rsidRPr="001B41AD">
              <w:rPr>
                <w:sz w:val="16"/>
                <w:szCs w:val="16"/>
                <w:lang w:val="sr-Cyrl-CS"/>
              </w:rPr>
              <w:t>9,1</w:t>
            </w:r>
          </w:p>
        </w:tc>
        <w:tc>
          <w:tcPr>
            <w:tcW w:w="910" w:type="pct"/>
            <w:shd w:val="clear" w:color="auto" w:fill="E7E6E6" w:themeFill="background2"/>
            <w:hideMark/>
          </w:tcPr>
          <w:p w14:paraId="0816D58C" w14:textId="77777777" w:rsidR="00563D88" w:rsidRPr="001B41AD" w:rsidRDefault="00563D88" w:rsidP="00405489">
            <w:pPr>
              <w:jc w:val="right"/>
              <w:rPr>
                <w:sz w:val="16"/>
                <w:szCs w:val="16"/>
                <w:lang w:val="sr-Cyrl-CS"/>
              </w:rPr>
            </w:pPr>
            <w:r w:rsidRPr="001B41AD">
              <w:rPr>
                <w:sz w:val="16"/>
                <w:szCs w:val="16"/>
                <w:lang w:val="sr-Cyrl-CS"/>
              </w:rPr>
              <w:t>10,3</w:t>
            </w:r>
          </w:p>
        </w:tc>
      </w:tr>
      <w:tr w:rsidR="00563D88" w:rsidRPr="001B41AD" w14:paraId="02138B38" w14:textId="77777777" w:rsidTr="00405489">
        <w:trPr>
          <w:trHeight w:hRule="exact" w:val="276"/>
          <w:tblHeader/>
          <w:jc w:val="right"/>
        </w:trPr>
        <w:tc>
          <w:tcPr>
            <w:tcW w:w="1673" w:type="pct"/>
            <w:noWrap/>
            <w:vAlign w:val="center"/>
            <w:hideMark/>
          </w:tcPr>
          <w:p w14:paraId="173B3DB3"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Текући расходи</w:t>
            </w:r>
          </w:p>
        </w:tc>
        <w:tc>
          <w:tcPr>
            <w:tcW w:w="553" w:type="pct"/>
            <w:hideMark/>
          </w:tcPr>
          <w:p w14:paraId="56BAC2D5" w14:textId="77777777" w:rsidR="00563D88" w:rsidRPr="001B41AD" w:rsidRDefault="00563D88" w:rsidP="00405489">
            <w:pPr>
              <w:jc w:val="right"/>
              <w:rPr>
                <w:sz w:val="16"/>
                <w:szCs w:val="16"/>
                <w:lang w:val="sr-Cyrl-CS"/>
              </w:rPr>
            </w:pPr>
            <w:r w:rsidRPr="001B41AD">
              <w:rPr>
                <w:sz w:val="16"/>
                <w:szCs w:val="16"/>
                <w:lang w:val="sr-Cyrl-CS"/>
              </w:rPr>
              <w:t>2.184,8</w:t>
            </w:r>
          </w:p>
        </w:tc>
        <w:tc>
          <w:tcPr>
            <w:tcW w:w="902" w:type="pct"/>
            <w:noWrap/>
            <w:hideMark/>
          </w:tcPr>
          <w:p w14:paraId="55D1582B" w14:textId="77777777" w:rsidR="00563D88" w:rsidRPr="001B41AD" w:rsidRDefault="00563D88" w:rsidP="00405489">
            <w:pPr>
              <w:jc w:val="right"/>
              <w:rPr>
                <w:sz w:val="16"/>
                <w:szCs w:val="16"/>
                <w:lang w:val="sr-Cyrl-CS"/>
              </w:rPr>
            </w:pPr>
            <w:r w:rsidRPr="001B41AD">
              <w:rPr>
                <w:sz w:val="16"/>
                <w:szCs w:val="16"/>
                <w:lang w:val="sr-Cyrl-CS"/>
              </w:rPr>
              <w:t>2.399,5</w:t>
            </w:r>
          </w:p>
        </w:tc>
        <w:tc>
          <w:tcPr>
            <w:tcW w:w="962" w:type="pct"/>
          </w:tcPr>
          <w:p w14:paraId="5B304DF3" w14:textId="77777777" w:rsidR="00563D88" w:rsidRPr="001B41AD" w:rsidRDefault="00563D88" w:rsidP="00405489">
            <w:pPr>
              <w:jc w:val="right"/>
              <w:rPr>
                <w:sz w:val="16"/>
                <w:szCs w:val="16"/>
                <w:lang w:val="sr-Cyrl-CS"/>
              </w:rPr>
            </w:pPr>
            <w:r w:rsidRPr="001B41AD">
              <w:rPr>
                <w:sz w:val="16"/>
                <w:szCs w:val="16"/>
                <w:lang w:val="sr-Cyrl-CS"/>
              </w:rPr>
              <w:t>9,8</w:t>
            </w:r>
          </w:p>
        </w:tc>
        <w:tc>
          <w:tcPr>
            <w:tcW w:w="910" w:type="pct"/>
            <w:hideMark/>
          </w:tcPr>
          <w:p w14:paraId="672B456E" w14:textId="77777777" w:rsidR="00563D88" w:rsidRPr="001B41AD" w:rsidRDefault="00563D88" w:rsidP="00405489">
            <w:pPr>
              <w:jc w:val="right"/>
              <w:rPr>
                <w:sz w:val="16"/>
                <w:szCs w:val="16"/>
                <w:lang w:val="sr-Cyrl-CS"/>
              </w:rPr>
            </w:pPr>
            <w:r w:rsidRPr="001B41AD">
              <w:rPr>
                <w:sz w:val="16"/>
                <w:szCs w:val="16"/>
                <w:lang w:val="sr-Cyrl-CS"/>
              </w:rPr>
              <w:t>11,6</w:t>
            </w:r>
          </w:p>
        </w:tc>
      </w:tr>
      <w:tr w:rsidR="00563D88" w:rsidRPr="001B41AD" w14:paraId="05A89B96" w14:textId="77777777" w:rsidTr="00405489">
        <w:trPr>
          <w:trHeight w:hRule="exact" w:val="276"/>
          <w:tblHeader/>
          <w:jc w:val="right"/>
        </w:trPr>
        <w:tc>
          <w:tcPr>
            <w:tcW w:w="1673" w:type="pct"/>
            <w:noWrap/>
            <w:vAlign w:val="center"/>
            <w:hideMark/>
          </w:tcPr>
          <w:p w14:paraId="42D0994B"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Расходи за запослене</w:t>
            </w:r>
          </w:p>
        </w:tc>
        <w:tc>
          <w:tcPr>
            <w:tcW w:w="553" w:type="pct"/>
            <w:hideMark/>
          </w:tcPr>
          <w:p w14:paraId="5795A3B2" w14:textId="77777777" w:rsidR="00563D88" w:rsidRPr="001B41AD" w:rsidRDefault="00563D88" w:rsidP="00405489">
            <w:pPr>
              <w:jc w:val="right"/>
              <w:rPr>
                <w:sz w:val="16"/>
                <w:szCs w:val="16"/>
                <w:lang w:val="sr-Cyrl-CS"/>
              </w:rPr>
            </w:pPr>
            <w:r w:rsidRPr="001B41AD">
              <w:rPr>
                <w:sz w:val="16"/>
                <w:szCs w:val="16"/>
                <w:lang w:val="sr-Cyrl-CS"/>
              </w:rPr>
              <w:t>600,5</w:t>
            </w:r>
          </w:p>
        </w:tc>
        <w:tc>
          <w:tcPr>
            <w:tcW w:w="902" w:type="pct"/>
            <w:hideMark/>
          </w:tcPr>
          <w:p w14:paraId="22B5BF27" w14:textId="77777777" w:rsidR="00563D88" w:rsidRPr="001B41AD" w:rsidRDefault="00563D88" w:rsidP="00405489">
            <w:pPr>
              <w:jc w:val="right"/>
              <w:rPr>
                <w:sz w:val="16"/>
                <w:szCs w:val="16"/>
                <w:lang w:val="sr-Cyrl-CS"/>
              </w:rPr>
            </w:pPr>
            <w:r w:rsidRPr="001B41AD">
              <w:rPr>
                <w:sz w:val="16"/>
                <w:szCs w:val="16"/>
                <w:lang w:val="sr-Cyrl-CS"/>
              </w:rPr>
              <w:t>664,6</w:t>
            </w:r>
          </w:p>
        </w:tc>
        <w:tc>
          <w:tcPr>
            <w:tcW w:w="962" w:type="pct"/>
          </w:tcPr>
          <w:p w14:paraId="31730CB1" w14:textId="77777777" w:rsidR="00563D88" w:rsidRPr="001B41AD" w:rsidRDefault="00563D88" w:rsidP="00405489">
            <w:pPr>
              <w:jc w:val="right"/>
              <w:rPr>
                <w:sz w:val="16"/>
                <w:szCs w:val="16"/>
                <w:lang w:val="sr-Cyrl-CS"/>
              </w:rPr>
            </w:pPr>
            <w:r w:rsidRPr="001B41AD">
              <w:rPr>
                <w:sz w:val="16"/>
                <w:szCs w:val="16"/>
                <w:lang w:val="sr-Cyrl-CS"/>
              </w:rPr>
              <w:t>10,7</w:t>
            </w:r>
          </w:p>
        </w:tc>
        <w:tc>
          <w:tcPr>
            <w:tcW w:w="910" w:type="pct"/>
            <w:hideMark/>
          </w:tcPr>
          <w:p w14:paraId="25BAADC1" w14:textId="77777777" w:rsidR="00563D88" w:rsidRPr="001B41AD" w:rsidRDefault="00563D88" w:rsidP="00405489">
            <w:pPr>
              <w:jc w:val="right"/>
              <w:rPr>
                <w:sz w:val="16"/>
                <w:szCs w:val="16"/>
                <w:lang w:val="sr-Cyrl-CS"/>
              </w:rPr>
            </w:pPr>
            <w:r w:rsidRPr="001B41AD">
              <w:rPr>
                <w:sz w:val="16"/>
                <w:szCs w:val="16"/>
                <w:lang w:val="sr-Cyrl-CS"/>
              </w:rPr>
              <w:t>13,5</w:t>
            </w:r>
          </w:p>
        </w:tc>
      </w:tr>
      <w:tr w:rsidR="00563D88" w:rsidRPr="001B41AD" w14:paraId="1C8F0720" w14:textId="77777777" w:rsidTr="00405489">
        <w:trPr>
          <w:trHeight w:hRule="exact" w:val="276"/>
          <w:tblHeader/>
          <w:jc w:val="right"/>
        </w:trPr>
        <w:tc>
          <w:tcPr>
            <w:tcW w:w="1673" w:type="pct"/>
            <w:noWrap/>
            <w:vAlign w:val="center"/>
            <w:hideMark/>
          </w:tcPr>
          <w:p w14:paraId="30656E22"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Куповина робе и услуга</w:t>
            </w:r>
          </w:p>
        </w:tc>
        <w:tc>
          <w:tcPr>
            <w:tcW w:w="553" w:type="pct"/>
            <w:hideMark/>
          </w:tcPr>
          <w:p w14:paraId="3E3EE15F" w14:textId="77777777" w:rsidR="00563D88" w:rsidRPr="001B41AD" w:rsidRDefault="00563D88" w:rsidP="00405489">
            <w:pPr>
              <w:jc w:val="right"/>
              <w:rPr>
                <w:sz w:val="16"/>
                <w:szCs w:val="16"/>
                <w:lang w:val="sr-Cyrl-CS"/>
              </w:rPr>
            </w:pPr>
            <w:r w:rsidRPr="001B41AD">
              <w:rPr>
                <w:sz w:val="16"/>
                <w:szCs w:val="16"/>
                <w:lang w:val="sr-Cyrl-CS"/>
              </w:rPr>
              <w:t>409,8</w:t>
            </w:r>
          </w:p>
        </w:tc>
        <w:tc>
          <w:tcPr>
            <w:tcW w:w="902" w:type="pct"/>
            <w:hideMark/>
          </w:tcPr>
          <w:p w14:paraId="0D58DD3F" w14:textId="77777777" w:rsidR="00563D88" w:rsidRPr="001B41AD" w:rsidRDefault="00563D88" w:rsidP="00405489">
            <w:pPr>
              <w:jc w:val="right"/>
              <w:rPr>
                <w:sz w:val="16"/>
                <w:szCs w:val="16"/>
                <w:lang w:val="sr-Cyrl-CS"/>
              </w:rPr>
            </w:pPr>
            <w:r w:rsidRPr="001B41AD">
              <w:rPr>
                <w:sz w:val="16"/>
                <w:szCs w:val="16"/>
                <w:lang w:val="sr-Cyrl-CS"/>
              </w:rPr>
              <w:t>444,9</w:t>
            </w:r>
          </w:p>
        </w:tc>
        <w:tc>
          <w:tcPr>
            <w:tcW w:w="962" w:type="pct"/>
          </w:tcPr>
          <w:p w14:paraId="252C644C" w14:textId="77777777" w:rsidR="00563D88" w:rsidRPr="001B41AD" w:rsidRDefault="00563D88" w:rsidP="00405489">
            <w:pPr>
              <w:jc w:val="right"/>
              <w:rPr>
                <w:sz w:val="16"/>
                <w:szCs w:val="16"/>
                <w:lang w:val="sr-Cyrl-CS"/>
              </w:rPr>
            </w:pPr>
            <w:r w:rsidRPr="001B41AD">
              <w:rPr>
                <w:sz w:val="16"/>
                <w:szCs w:val="16"/>
                <w:lang w:val="sr-Cyrl-CS"/>
              </w:rPr>
              <w:t>8,6</w:t>
            </w:r>
          </w:p>
        </w:tc>
        <w:tc>
          <w:tcPr>
            <w:tcW w:w="910" w:type="pct"/>
            <w:hideMark/>
          </w:tcPr>
          <w:p w14:paraId="33108A1B" w14:textId="77777777" w:rsidR="00563D88" w:rsidRPr="001B41AD" w:rsidRDefault="00563D88" w:rsidP="00405489">
            <w:pPr>
              <w:jc w:val="right"/>
              <w:rPr>
                <w:sz w:val="16"/>
                <w:szCs w:val="16"/>
                <w:lang w:val="sr-Cyrl-CS"/>
              </w:rPr>
            </w:pPr>
            <w:r w:rsidRPr="001B41AD">
              <w:rPr>
                <w:sz w:val="16"/>
                <w:szCs w:val="16"/>
                <w:lang w:val="sr-Cyrl-CS"/>
              </w:rPr>
              <w:t>14,4</w:t>
            </w:r>
          </w:p>
        </w:tc>
      </w:tr>
      <w:tr w:rsidR="00563D88" w:rsidRPr="001B41AD" w14:paraId="0FAE6661" w14:textId="77777777" w:rsidTr="00405489">
        <w:trPr>
          <w:trHeight w:hRule="exact" w:val="276"/>
          <w:tblHeader/>
          <w:jc w:val="right"/>
        </w:trPr>
        <w:tc>
          <w:tcPr>
            <w:tcW w:w="1673" w:type="pct"/>
            <w:noWrap/>
            <w:vAlign w:val="center"/>
            <w:hideMark/>
          </w:tcPr>
          <w:p w14:paraId="36111DE2"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Отплата камата</w:t>
            </w:r>
          </w:p>
        </w:tc>
        <w:tc>
          <w:tcPr>
            <w:tcW w:w="553" w:type="pct"/>
            <w:hideMark/>
          </w:tcPr>
          <w:p w14:paraId="49B436FA" w14:textId="77777777" w:rsidR="00563D88" w:rsidRPr="001B41AD" w:rsidRDefault="00563D88" w:rsidP="00405489">
            <w:pPr>
              <w:jc w:val="right"/>
              <w:rPr>
                <w:sz w:val="16"/>
                <w:szCs w:val="16"/>
                <w:lang w:val="sr-Cyrl-CS"/>
              </w:rPr>
            </w:pPr>
            <w:r w:rsidRPr="001B41AD">
              <w:rPr>
                <w:sz w:val="16"/>
                <w:szCs w:val="16"/>
                <w:lang w:val="sr-Cyrl-CS"/>
              </w:rPr>
              <w:t>121,6</w:t>
            </w:r>
          </w:p>
        </w:tc>
        <w:tc>
          <w:tcPr>
            <w:tcW w:w="902" w:type="pct"/>
            <w:hideMark/>
          </w:tcPr>
          <w:p w14:paraId="21ADE06D" w14:textId="77777777" w:rsidR="00563D88" w:rsidRPr="001B41AD" w:rsidRDefault="00563D88" w:rsidP="00405489">
            <w:pPr>
              <w:jc w:val="right"/>
              <w:rPr>
                <w:sz w:val="16"/>
                <w:szCs w:val="16"/>
                <w:lang w:val="sr-Cyrl-CS"/>
              </w:rPr>
            </w:pPr>
            <w:r w:rsidRPr="001B41AD">
              <w:rPr>
                <w:sz w:val="16"/>
                <w:szCs w:val="16"/>
                <w:lang w:val="sr-Cyrl-CS"/>
              </w:rPr>
              <w:t>123,1</w:t>
            </w:r>
          </w:p>
        </w:tc>
        <w:tc>
          <w:tcPr>
            <w:tcW w:w="962" w:type="pct"/>
          </w:tcPr>
          <w:p w14:paraId="268773A4" w14:textId="77777777" w:rsidR="00563D88" w:rsidRPr="001B41AD" w:rsidRDefault="00563D88" w:rsidP="00405489">
            <w:pPr>
              <w:jc w:val="right"/>
              <w:rPr>
                <w:sz w:val="16"/>
                <w:szCs w:val="16"/>
                <w:lang w:val="sr-Cyrl-CS"/>
              </w:rPr>
            </w:pPr>
            <w:r w:rsidRPr="001B41AD">
              <w:rPr>
                <w:sz w:val="16"/>
                <w:szCs w:val="16"/>
                <w:lang w:val="sr-Cyrl-CS"/>
              </w:rPr>
              <w:t>1,3</w:t>
            </w:r>
          </w:p>
        </w:tc>
        <w:tc>
          <w:tcPr>
            <w:tcW w:w="910" w:type="pct"/>
            <w:hideMark/>
          </w:tcPr>
          <w:p w14:paraId="356C1D57" w14:textId="77777777" w:rsidR="00563D88" w:rsidRPr="001B41AD" w:rsidRDefault="00563D88" w:rsidP="00405489">
            <w:pPr>
              <w:jc w:val="right"/>
              <w:rPr>
                <w:sz w:val="16"/>
                <w:szCs w:val="16"/>
                <w:lang w:val="sr-Cyrl-CS"/>
              </w:rPr>
            </w:pPr>
            <w:r w:rsidRPr="001B41AD">
              <w:rPr>
                <w:sz w:val="16"/>
                <w:szCs w:val="16"/>
                <w:lang w:val="sr-Cyrl-CS"/>
              </w:rPr>
              <w:t>9,6</w:t>
            </w:r>
          </w:p>
        </w:tc>
      </w:tr>
      <w:tr w:rsidR="00563D88" w:rsidRPr="001B41AD" w14:paraId="29A172F2" w14:textId="77777777" w:rsidTr="00405489">
        <w:trPr>
          <w:trHeight w:hRule="exact" w:val="276"/>
          <w:tblHeader/>
          <w:jc w:val="right"/>
        </w:trPr>
        <w:tc>
          <w:tcPr>
            <w:tcW w:w="1673" w:type="pct"/>
            <w:noWrap/>
            <w:vAlign w:val="center"/>
            <w:hideMark/>
          </w:tcPr>
          <w:p w14:paraId="309A4D90"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Субвенције</w:t>
            </w:r>
          </w:p>
        </w:tc>
        <w:tc>
          <w:tcPr>
            <w:tcW w:w="553" w:type="pct"/>
            <w:hideMark/>
          </w:tcPr>
          <w:p w14:paraId="2A9E5B3D" w14:textId="77777777" w:rsidR="00563D88" w:rsidRPr="001B41AD" w:rsidRDefault="00563D88" w:rsidP="00405489">
            <w:pPr>
              <w:jc w:val="right"/>
              <w:rPr>
                <w:sz w:val="16"/>
                <w:szCs w:val="16"/>
                <w:lang w:val="sr-Cyrl-CS"/>
              </w:rPr>
            </w:pPr>
            <w:r w:rsidRPr="001B41AD">
              <w:rPr>
                <w:sz w:val="16"/>
                <w:szCs w:val="16"/>
                <w:lang w:val="sr-Cyrl-CS"/>
              </w:rPr>
              <w:t>144,0</w:t>
            </w:r>
          </w:p>
        </w:tc>
        <w:tc>
          <w:tcPr>
            <w:tcW w:w="902" w:type="pct"/>
            <w:hideMark/>
          </w:tcPr>
          <w:p w14:paraId="181F0968" w14:textId="77777777" w:rsidR="00563D88" w:rsidRPr="001B41AD" w:rsidRDefault="00563D88" w:rsidP="00405489">
            <w:pPr>
              <w:jc w:val="right"/>
              <w:rPr>
                <w:sz w:val="16"/>
                <w:szCs w:val="16"/>
                <w:lang w:val="sr-Cyrl-CS"/>
              </w:rPr>
            </w:pPr>
            <w:r w:rsidRPr="001B41AD">
              <w:rPr>
                <w:sz w:val="16"/>
                <w:szCs w:val="16"/>
                <w:lang w:val="sr-Cyrl-CS"/>
              </w:rPr>
              <w:t>161,2</w:t>
            </w:r>
          </w:p>
        </w:tc>
        <w:tc>
          <w:tcPr>
            <w:tcW w:w="962" w:type="pct"/>
          </w:tcPr>
          <w:p w14:paraId="79B890E0" w14:textId="77777777" w:rsidR="00563D88" w:rsidRPr="001B41AD" w:rsidRDefault="00563D88" w:rsidP="00405489">
            <w:pPr>
              <w:jc w:val="right"/>
              <w:rPr>
                <w:sz w:val="16"/>
                <w:szCs w:val="16"/>
                <w:lang w:val="sr-Cyrl-CS"/>
              </w:rPr>
            </w:pPr>
            <w:r w:rsidRPr="001B41AD">
              <w:rPr>
                <w:sz w:val="16"/>
                <w:szCs w:val="16"/>
                <w:lang w:val="sr-Cyrl-CS"/>
              </w:rPr>
              <w:t>11,9</w:t>
            </w:r>
          </w:p>
        </w:tc>
        <w:tc>
          <w:tcPr>
            <w:tcW w:w="910" w:type="pct"/>
            <w:hideMark/>
          </w:tcPr>
          <w:p w14:paraId="389AE71F" w14:textId="77777777" w:rsidR="00563D88" w:rsidRPr="001B41AD" w:rsidRDefault="00563D88" w:rsidP="00405489">
            <w:pPr>
              <w:jc w:val="right"/>
              <w:rPr>
                <w:sz w:val="16"/>
                <w:szCs w:val="16"/>
                <w:lang w:val="sr-Cyrl-CS"/>
              </w:rPr>
            </w:pPr>
            <w:r w:rsidRPr="001B41AD">
              <w:rPr>
                <w:sz w:val="16"/>
                <w:szCs w:val="16"/>
                <w:lang w:val="sr-Cyrl-CS"/>
              </w:rPr>
              <w:t>3,7</w:t>
            </w:r>
          </w:p>
        </w:tc>
      </w:tr>
      <w:tr w:rsidR="00563D88" w:rsidRPr="001B41AD" w14:paraId="75E0F6E1" w14:textId="77777777" w:rsidTr="00405489">
        <w:trPr>
          <w:trHeight w:hRule="exact" w:val="276"/>
          <w:tblHeader/>
          <w:jc w:val="right"/>
        </w:trPr>
        <w:tc>
          <w:tcPr>
            <w:tcW w:w="1673" w:type="pct"/>
            <w:noWrap/>
            <w:vAlign w:val="center"/>
            <w:hideMark/>
          </w:tcPr>
          <w:p w14:paraId="31C369DC"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Социјална помоћ и трансфери</w:t>
            </w:r>
          </w:p>
        </w:tc>
        <w:tc>
          <w:tcPr>
            <w:tcW w:w="553" w:type="pct"/>
            <w:hideMark/>
          </w:tcPr>
          <w:p w14:paraId="30C0DC63" w14:textId="77777777" w:rsidR="00563D88" w:rsidRPr="001B41AD" w:rsidRDefault="00563D88" w:rsidP="00405489">
            <w:pPr>
              <w:jc w:val="right"/>
              <w:rPr>
                <w:sz w:val="16"/>
                <w:szCs w:val="16"/>
                <w:lang w:val="sr-Cyrl-CS"/>
              </w:rPr>
            </w:pPr>
            <w:r w:rsidRPr="001B41AD">
              <w:rPr>
                <w:sz w:val="16"/>
                <w:szCs w:val="16"/>
                <w:lang w:val="sr-Cyrl-CS"/>
              </w:rPr>
              <w:t>827,4</w:t>
            </w:r>
          </w:p>
        </w:tc>
        <w:tc>
          <w:tcPr>
            <w:tcW w:w="902" w:type="pct"/>
            <w:hideMark/>
          </w:tcPr>
          <w:p w14:paraId="71D39608" w14:textId="77777777" w:rsidR="00563D88" w:rsidRPr="001B41AD" w:rsidRDefault="00563D88" w:rsidP="00405489">
            <w:pPr>
              <w:jc w:val="right"/>
              <w:rPr>
                <w:sz w:val="16"/>
                <w:szCs w:val="16"/>
                <w:lang w:val="sr-Cyrl-CS"/>
              </w:rPr>
            </w:pPr>
            <w:r w:rsidRPr="001B41AD">
              <w:rPr>
                <w:sz w:val="16"/>
                <w:szCs w:val="16"/>
                <w:lang w:val="sr-Cyrl-CS"/>
              </w:rPr>
              <w:t>918,8</w:t>
            </w:r>
          </w:p>
        </w:tc>
        <w:tc>
          <w:tcPr>
            <w:tcW w:w="962" w:type="pct"/>
          </w:tcPr>
          <w:p w14:paraId="5D2FA977" w14:textId="77777777" w:rsidR="00563D88" w:rsidRPr="001B41AD" w:rsidRDefault="00563D88" w:rsidP="00405489">
            <w:pPr>
              <w:jc w:val="right"/>
              <w:rPr>
                <w:sz w:val="16"/>
                <w:szCs w:val="16"/>
                <w:lang w:val="sr-Cyrl-CS"/>
              </w:rPr>
            </w:pPr>
            <w:r w:rsidRPr="001B41AD">
              <w:rPr>
                <w:sz w:val="16"/>
                <w:szCs w:val="16"/>
                <w:lang w:val="sr-Cyrl-CS"/>
              </w:rPr>
              <w:t>11,0</w:t>
            </w:r>
          </w:p>
        </w:tc>
        <w:tc>
          <w:tcPr>
            <w:tcW w:w="910" w:type="pct"/>
            <w:hideMark/>
          </w:tcPr>
          <w:p w14:paraId="08851E1D" w14:textId="77777777" w:rsidR="00563D88" w:rsidRPr="001B41AD" w:rsidRDefault="00563D88" w:rsidP="00405489">
            <w:pPr>
              <w:jc w:val="right"/>
              <w:rPr>
                <w:sz w:val="16"/>
                <w:szCs w:val="16"/>
                <w:lang w:val="sr-Cyrl-CS"/>
              </w:rPr>
            </w:pPr>
            <w:r w:rsidRPr="001B41AD">
              <w:rPr>
                <w:sz w:val="16"/>
                <w:szCs w:val="16"/>
                <w:lang w:val="sr-Cyrl-CS"/>
              </w:rPr>
              <w:t>10,3</w:t>
            </w:r>
          </w:p>
        </w:tc>
      </w:tr>
      <w:tr w:rsidR="00563D88" w:rsidRPr="001B41AD" w14:paraId="59E1BBF2" w14:textId="77777777" w:rsidTr="00405489">
        <w:trPr>
          <w:trHeight w:hRule="exact" w:val="276"/>
          <w:tblHeader/>
          <w:jc w:val="right"/>
        </w:trPr>
        <w:tc>
          <w:tcPr>
            <w:tcW w:w="1673" w:type="pct"/>
            <w:noWrap/>
            <w:vAlign w:val="center"/>
            <w:hideMark/>
          </w:tcPr>
          <w:p w14:paraId="526C065B"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од чега пензије</w:t>
            </w:r>
          </w:p>
        </w:tc>
        <w:tc>
          <w:tcPr>
            <w:tcW w:w="553" w:type="pct"/>
            <w:hideMark/>
          </w:tcPr>
          <w:p w14:paraId="153CAB33" w14:textId="77777777" w:rsidR="00563D88" w:rsidRPr="001B41AD" w:rsidRDefault="00563D88" w:rsidP="00405489">
            <w:pPr>
              <w:jc w:val="right"/>
              <w:rPr>
                <w:sz w:val="16"/>
                <w:szCs w:val="16"/>
                <w:lang w:val="sr-Cyrl-CS"/>
              </w:rPr>
            </w:pPr>
            <w:r w:rsidRPr="001B41AD">
              <w:rPr>
                <w:sz w:val="16"/>
                <w:szCs w:val="16"/>
                <w:lang w:val="sr-Cyrl-CS"/>
              </w:rPr>
              <w:t>616,6</w:t>
            </w:r>
          </w:p>
        </w:tc>
        <w:tc>
          <w:tcPr>
            <w:tcW w:w="902" w:type="pct"/>
            <w:hideMark/>
          </w:tcPr>
          <w:p w14:paraId="53808AB5" w14:textId="77777777" w:rsidR="00563D88" w:rsidRPr="001B41AD" w:rsidRDefault="00563D88" w:rsidP="00405489">
            <w:pPr>
              <w:jc w:val="right"/>
              <w:rPr>
                <w:sz w:val="16"/>
                <w:szCs w:val="16"/>
                <w:lang w:val="sr-Cyrl-CS"/>
              </w:rPr>
            </w:pPr>
            <w:r w:rsidRPr="001B41AD">
              <w:rPr>
                <w:sz w:val="16"/>
                <w:szCs w:val="16"/>
                <w:lang w:val="sr-Cyrl-CS"/>
              </w:rPr>
              <w:t>696,9</w:t>
            </w:r>
          </w:p>
        </w:tc>
        <w:tc>
          <w:tcPr>
            <w:tcW w:w="962" w:type="pct"/>
          </w:tcPr>
          <w:p w14:paraId="05563107" w14:textId="77777777" w:rsidR="00563D88" w:rsidRPr="001B41AD" w:rsidRDefault="00563D88" w:rsidP="00405489">
            <w:pPr>
              <w:jc w:val="right"/>
              <w:rPr>
                <w:sz w:val="16"/>
                <w:szCs w:val="16"/>
                <w:lang w:val="sr-Cyrl-CS"/>
              </w:rPr>
            </w:pPr>
            <w:r w:rsidRPr="001B41AD">
              <w:rPr>
                <w:sz w:val="16"/>
                <w:szCs w:val="16"/>
                <w:lang w:val="sr-Cyrl-CS"/>
              </w:rPr>
              <w:t>13,0</w:t>
            </w:r>
          </w:p>
        </w:tc>
        <w:tc>
          <w:tcPr>
            <w:tcW w:w="910" w:type="pct"/>
            <w:hideMark/>
          </w:tcPr>
          <w:p w14:paraId="56A382E7" w14:textId="77777777" w:rsidR="00563D88" w:rsidRPr="001B41AD" w:rsidRDefault="00563D88" w:rsidP="00405489">
            <w:pPr>
              <w:jc w:val="right"/>
              <w:rPr>
                <w:sz w:val="16"/>
                <w:szCs w:val="16"/>
                <w:lang w:val="sr-Cyrl-CS"/>
              </w:rPr>
            </w:pPr>
            <w:r w:rsidRPr="001B41AD">
              <w:rPr>
                <w:sz w:val="16"/>
                <w:szCs w:val="16"/>
                <w:lang w:val="sr-Cyrl-CS"/>
              </w:rPr>
              <w:t>12,4</w:t>
            </w:r>
          </w:p>
        </w:tc>
      </w:tr>
      <w:tr w:rsidR="00563D88" w:rsidRPr="001B41AD" w14:paraId="281B1933" w14:textId="77777777" w:rsidTr="00405489">
        <w:trPr>
          <w:trHeight w:hRule="exact" w:val="276"/>
          <w:tblHeader/>
          <w:jc w:val="right"/>
        </w:trPr>
        <w:tc>
          <w:tcPr>
            <w:tcW w:w="1673" w:type="pct"/>
            <w:noWrap/>
            <w:vAlign w:val="center"/>
            <w:hideMark/>
          </w:tcPr>
          <w:p w14:paraId="43F41F8F"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Остали текући расходи</w:t>
            </w:r>
          </w:p>
        </w:tc>
        <w:tc>
          <w:tcPr>
            <w:tcW w:w="553" w:type="pct"/>
            <w:hideMark/>
          </w:tcPr>
          <w:p w14:paraId="076B9954" w14:textId="77777777" w:rsidR="00563D88" w:rsidRPr="001B41AD" w:rsidRDefault="00563D88" w:rsidP="00405489">
            <w:pPr>
              <w:jc w:val="right"/>
              <w:rPr>
                <w:sz w:val="16"/>
                <w:szCs w:val="16"/>
                <w:lang w:val="sr-Cyrl-CS"/>
              </w:rPr>
            </w:pPr>
            <w:r w:rsidRPr="001B41AD">
              <w:rPr>
                <w:sz w:val="16"/>
                <w:szCs w:val="16"/>
                <w:lang w:val="sr-Cyrl-CS"/>
              </w:rPr>
              <w:t>81,5</w:t>
            </w:r>
          </w:p>
        </w:tc>
        <w:tc>
          <w:tcPr>
            <w:tcW w:w="902" w:type="pct"/>
            <w:hideMark/>
          </w:tcPr>
          <w:p w14:paraId="45E5DFF7" w14:textId="77777777" w:rsidR="00563D88" w:rsidRPr="001B41AD" w:rsidRDefault="00563D88" w:rsidP="00405489">
            <w:pPr>
              <w:jc w:val="right"/>
              <w:rPr>
                <w:sz w:val="16"/>
                <w:szCs w:val="16"/>
                <w:lang w:val="sr-Cyrl-CS"/>
              </w:rPr>
            </w:pPr>
            <w:r w:rsidRPr="001B41AD">
              <w:rPr>
                <w:sz w:val="16"/>
                <w:szCs w:val="16"/>
                <w:lang w:val="sr-Cyrl-CS"/>
              </w:rPr>
              <w:t>87,0</w:t>
            </w:r>
          </w:p>
        </w:tc>
        <w:tc>
          <w:tcPr>
            <w:tcW w:w="962" w:type="pct"/>
          </w:tcPr>
          <w:p w14:paraId="1ECDE644" w14:textId="77777777" w:rsidR="00563D88" w:rsidRPr="001B41AD" w:rsidRDefault="00563D88" w:rsidP="00405489">
            <w:pPr>
              <w:jc w:val="right"/>
              <w:rPr>
                <w:sz w:val="16"/>
                <w:szCs w:val="16"/>
                <w:lang w:val="sr-Cyrl-CS"/>
              </w:rPr>
            </w:pPr>
            <w:r w:rsidRPr="001B41AD">
              <w:rPr>
                <w:sz w:val="16"/>
                <w:szCs w:val="16"/>
                <w:lang w:val="sr-Cyrl-CS"/>
              </w:rPr>
              <w:t>6,7</w:t>
            </w:r>
          </w:p>
        </w:tc>
        <w:tc>
          <w:tcPr>
            <w:tcW w:w="910" w:type="pct"/>
            <w:hideMark/>
          </w:tcPr>
          <w:p w14:paraId="5C0788E1" w14:textId="77777777" w:rsidR="00563D88" w:rsidRPr="001B41AD" w:rsidRDefault="00563D88" w:rsidP="00405489">
            <w:pPr>
              <w:jc w:val="right"/>
              <w:rPr>
                <w:sz w:val="16"/>
                <w:szCs w:val="16"/>
                <w:lang w:val="sr-Cyrl-CS"/>
              </w:rPr>
            </w:pPr>
            <w:r w:rsidRPr="001B41AD">
              <w:rPr>
                <w:sz w:val="16"/>
                <w:szCs w:val="16"/>
                <w:lang w:val="sr-Cyrl-CS"/>
              </w:rPr>
              <w:t>13,3</w:t>
            </w:r>
          </w:p>
        </w:tc>
      </w:tr>
      <w:tr w:rsidR="00563D88" w:rsidRPr="001B41AD" w14:paraId="7F5668E1" w14:textId="77777777" w:rsidTr="00405489">
        <w:trPr>
          <w:trHeight w:hRule="exact" w:val="276"/>
          <w:tblHeader/>
          <w:jc w:val="right"/>
        </w:trPr>
        <w:tc>
          <w:tcPr>
            <w:tcW w:w="1673" w:type="pct"/>
            <w:noWrap/>
            <w:vAlign w:val="center"/>
            <w:hideMark/>
          </w:tcPr>
          <w:p w14:paraId="32A27DDD"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Капитални расходи</w:t>
            </w:r>
          </w:p>
        </w:tc>
        <w:tc>
          <w:tcPr>
            <w:tcW w:w="553" w:type="pct"/>
            <w:hideMark/>
          </w:tcPr>
          <w:p w14:paraId="1EC353F0" w14:textId="77777777" w:rsidR="00563D88" w:rsidRPr="001B41AD" w:rsidRDefault="00563D88" w:rsidP="00405489">
            <w:pPr>
              <w:jc w:val="right"/>
              <w:rPr>
                <w:sz w:val="16"/>
                <w:szCs w:val="16"/>
                <w:lang w:val="sr-Cyrl-CS"/>
              </w:rPr>
            </w:pPr>
            <w:r w:rsidRPr="001B41AD">
              <w:rPr>
                <w:sz w:val="16"/>
                <w:szCs w:val="16"/>
                <w:lang w:val="sr-Cyrl-CS"/>
              </w:rPr>
              <w:t>331,8</w:t>
            </w:r>
          </w:p>
        </w:tc>
        <w:tc>
          <w:tcPr>
            <w:tcW w:w="902" w:type="pct"/>
            <w:hideMark/>
          </w:tcPr>
          <w:p w14:paraId="4677F10F" w14:textId="77777777" w:rsidR="00563D88" w:rsidRPr="001B41AD" w:rsidRDefault="00563D88" w:rsidP="00405489">
            <w:pPr>
              <w:jc w:val="right"/>
              <w:rPr>
                <w:sz w:val="16"/>
                <w:szCs w:val="16"/>
                <w:lang w:val="sr-Cyrl-CS"/>
              </w:rPr>
            </w:pPr>
            <w:r w:rsidRPr="001B41AD">
              <w:rPr>
                <w:sz w:val="16"/>
                <w:szCs w:val="16"/>
                <w:lang w:val="sr-Cyrl-CS"/>
              </w:rPr>
              <w:t>342,0</w:t>
            </w:r>
          </w:p>
        </w:tc>
        <w:tc>
          <w:tcPr>
            <w:tcW w:w="962" w:type="pct"/>
          </w:tcPr>
          <w:p w14:paraId="0267A23F" w14:textId="77777777" w:rsidR="00563D88" w:rsidRPr="001B41AD" w:rsidRDefault="00563D88" w:rsidP="00405489">
            <w:pPr>
              <w:jc w:val="right"/>
              <w:rPr>
                <w:sz w:val="16"/>
                <w:szCs w:val="16"/>
                <w:lang w:val="sr-Cyrl-CS"/>
              </w:rPr>
            </w:pPr>
            <w:r w:rsidRPr="001B41AD">
              <w:rPr>
                <w:sz w:val="16"/>
                <w:szCs w:val="16"/>
                <w:lang w:val="sr-Cyrl-CS"/>
              </w:rPr>
              <w:t>3,1</w:t>
            </w:r>
          </w:p>
        </w:tc>
        <w:tc>
          <w:tcPr>
            <w:tcW w:w="910" w:type="pct"/>
            <w:hideMark/>
          </w:tcPr>
          <w:p w14:paraId="5CC7FD89" w14:textId="77777777" w:rsidR="00563D88" w:rsidRPr="001B41AD" w:rsidRDefault="00563D88" w:rsidP="00405489">
            <w:pPr>
              <w:jc w:val="right"/>
              <w:rPr>
                <w:sz w:val="16"/>
                <w:szCs w:val="16"/>
                <w:lang w:val="sr-Cyrl-CS"/>
              </w:rPr>
            </w:pPr>
            <w:r w:rsidRPr="001B41AD">
              <w:rPr>
                <w:sz w:val="16"/>
                <w:szCs w:val="16"/>
                <w:lang w:val="sr-Cyrl-CS"/>
              </w:rPr>
              <w:t>5,0</w:t>
            </w:r>
          </w:p>
        </w:tc>
      </w:tr>
      <w:tr w:rsidR="00563D88" w:rsidRPr="001B41AD" w14:paraId="60F04365" w14:textId="77777777" w:rsidTr="00405489">
        <w:trPr>
          <w:trHeight w:hRule="exact" w:val="276"/>
          <w:tblHeader/>
          <w:jc w:val="right"/>
        </w:trPr>
        <w:tc>
          <w:tcPr>
            <w:tcW w:w="1673" w:type="pct"/>
            <w:noWrap/>
            <w:vAlign w:val="center"/>
            <w:hideMark/>
          </w:tcPr>
          <w:p w14:paraId="3102771A"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Нето буџетске позајмице</w:t>
            </w:r>
          </w:p>
        </w:tc>
        <w:tc>
          <w:tcPr>
            <w:tcW w:w="553" w:type="pct"/>
            <w:hideMark/>
          </w:tcPr>
          <w:p w14:paraId="469FE18F" w14:textId="77777777" w:rsidR="00563D88" w:rsidRPr="001B41AD" w:rsidRDefault="00563D88" w:rsidP="00405489">
            <w:pPr>
              <w:jc w:val="right"/>
              <w:rPr>
                <w:sz w:val="16"/>
                <w:szCs w:val="16"/>
                <w:lang w:val="sr-Cyrl-CS"/>
              </w:rPr>
            </w:pPr>
            <w:r w:rsidRPr="001B41AD">
              <w:rPr>
                <w:sz w:val="16"/>
                <w:szCs w:val="16"/>
                <w:lang w:val="sr-Cyrl-CS"/>
              </w:rPr>
              <w:t>9,7</w:t>
            </w:r>
          </w:p>
        </w:tc>
        <w:tc>
          <w:tcPr>
            <w:tcW w:w="902" w:type="pct"/>
            <w:hideMark/>
          </w:tcPr>
          <w:p w14:paraId="7E9CFEDE" w14:textId="77777777" w:rsidR="00563D88" w:rsidRPr="001B41AD" w:rsidRDefault="00563D88" w:rsidP="00405489">
            <w:pPr>
              <w:jc w:val="right"/>
              <w:rPr>
                <w:sz w:val="16"/>
                <w:szCs w:val="16"/>
                <w:lang w:val="sr-Cyrl-CS"/>
              </w:rPr>
            </w:pPr>
            <w:r w:rsidRPr="001B41AD">
              <w:rPr>
                <w:sz w:val="16"/>
                <w:szCs w:val="16"/>
                <w:lang w:val="sr-Cyrl-CS"/>
              </w:rPr>
              <w:t>16,1</w:t>
            </w:r>
          </w:p>
        </w:tc>
        <w:tc>
          <w:tcPr>
            <w:tcW w:w="962" w:type="pct"/>
          </w:tcPr>
          <w:p w14:paraId="67EA7545" w14:textId="77777777" w:rsidR="00563D88" w:rsidRPr="001B41AD" w:rsidRDefault="00563D88" w:rsidP="00405489">
            <w:pPr>
              <w:jc w:val="right"/>
              <w:rPr>
                <w:sz w:val="16"/>
                <w:szCs w:val="16"/>
                <w:lang w:val="sr-Cyrl-CS"/>
              </w:rPr>
            </w:pPr>
            <w:r w:rsidRPr="001B41AD">
              <w:rPr>
                <w:sz w:val="16"/>
                <w:szCs w:val="16"/>
                <w:lang w:val="sr-Cyrl-CS"/>
              </w:rPr>
              <w:t>67,2</w:t>
            </w:r>
          </w:p>
        </w:tc>
        <w:tc>
          <w:tcPr>
            <w:tcW w:w="910" w:type="pct"/>
            <w:hideMark/>
          </w:tcPr>
          <w:p w14:paraId="28A1C431" w14:textId="77777777" w:rsidR="00563D88" w:rsidRPr="001B41AD" w:rsidRDefault="00563D88" w:rsidP="00405489">
            <w:pPr>
              <w:jc w:val="right"/>
              <w:rPr>
                <w:sz w:val="16"/>
                <w:szCs w:val="16"/>
                <w:lang w:val="sr-Cyrl-CS"/>
              </w:rPr>
            </w:pPr>
            <w:r w:rsidRPr="001B41AD">
              <w:rPr>
                <w:sz w:val="16"/>
                <w:szCs w:val="16"/>
                <w:lang w:val="sr-Cyrl-CS"/>
              </w:rPr>
              <w:t>18,5</w:t>
            </w:r>
          </w:p>
        </w:tc>
      </w:tr>
      <w:tr w:rsidR="00563D88" w:rsidRPr="001B41AD" w14:paraId="3C0B2EAD" w14:textId="77777777" w:rsidTr="00405489">
        <w:trPr>
          <w:trHeight w:hRule="exact" w:val="276"/>
          <w:tblHeader/>
          <w:jc w:val="right"/>
        </w:trPr>
        <w:tc>
          <w:tcPr>
            <w:tcW w:w="1673" w:type="pct"/>
            <w:noWrap/>
            <w:vAlign w:val="center"/>
            <w:hideMark/>
          </w:tcPr>
          <w:p w14:paraId="7C567159" w14:textId="77777777" w:rsidR="00563D88" w:rsidRPr="001B41AD" w:rsidRDefault="00563D88" w:rsidP="00405489">
            <w:pPr>
              <w:spacing w:after="0" w:line="240" w:lineRule="auto"/>
              <w:jc w:val="left"/>
              <w:rPr>
                <w:rFonts w:eastAsia="MS PGothic" w:cstheme="minorHAnsi"/>
                <w:color w:val="002060"/>
                <w:sz w:val="16"/>
                <w:szCs w:val="16"/>
                <w:lang w:val="sr-Cyrl-CS" w:eastAsia="ja-JP"/>
              </w:rPr>
            </w:pPr>
            <w:r w:rsidRPr="001B41AD">
              <w:rPr>
                <w:rFonts w:eastAsia="MS PGothic" w:cstheme="minorHAnsi"/>
                <w:color w:val="002060"/>
                <w:sz w:val="16"/>
                <w:szCs w:val="16"/>
                <w:lang w:val="sr-Cyrl-CS" w:eastAsia="ja-JP"/>
              </w:rPr>
              <w:t>Активиране гаранције</w:t>
            </w:r>
          </w:p>
        </w:tc>
        <w:tc>
          <w:tcPr>
            <w:tcW w:w="553" w:type="pct"/>
            <w:hideMark/>
          </w:tcPr>
          <w:p w14:paraId="1B47669C" w14:textId="77777777" w:rsidR="00563D88" w:rsidRPr="001B41AD" w:rsidRDefault="00563D88" w:rsidP="00405489">
            <w:pPr>
              <w:jc w:val="right"/>
              <w:rPr>
                <w:sz w:val="16"/>
                <w:szCs w:val="16"/>
                <w:lang w:val="sr-Cyrl-CS"/>
              </w:rPr>
            </w:pPr>
            <w:r w:rsidRPr="001B41AD">
              <w:rPr>
                <w:sz w:val="16"/>
                <w:szCs w:val="16"/>
                <w:lang w:val="sr-Cyrl-CS"/>
              </w:rPr>
              <w:t>17,7</w:t>
            </w:r>
          </w:p>
        </w:tc>
        <w:tc>
          <w:tcPr>
            <w:tcW w:w="902" w:type="pct"/>
            <w:hideMark/>
          </w:tcPr>
          <w:p w14:paraId="1D382B24" w14:textId="77777777" w:rsidR="00563D88" w:rsidRPr="001B41AD" w:rsidRDefault="00563D88" w:rsidP="00405489">
            <w:pPr>
              <w:jc w:val="right"/>
              <w:rPr>
                <w:sz w:val="16"/>
                <w:szCs w:val="16"/>
                <w:lang w:val="sr-Cyrl-CS"/>
              </w:rPr>
            </w:pPr>
            <w:r w:rsidRPr="001B41AD">
              <w:rPr>
                <w:sz w:val="16"/>
                <w:szCs w:val="16"/>
                <w:lang w:val="sr-Cyrl-CS"/>
              </w:rPr>
              <w:t>17,7</w:t>
            </w:r>
          </w:p>
        </w:tc>
        <w:tc>
          <w:tcPr>
            <w:tcW w:w="962" w:type="pct"/>
          </w:tcPr>
          <w:p w14:paraId="0EDBCDF6" w14:textId="77777777" w:rsidR="00563D88" w:rsidRPr="001B41AD" w:rsidRDefault="00563D88" w:rsidP="00405489">
            <w:pPr>
              <w:jc w:val="right"/>
              <w:rPr>
                <w:sz w:val="16"/>
                <w:szCs w:val="16"/>
                <w:lang w:val="sr-Cyrl-CS"/>
              </w:rPr>
            </w:pPr>
            <w:r w:rsidRPr="001B41AD">
              <w:rPr>
                <w:sz w:val="16"/>
                <w:szCs w:val="16"/>
                <w:lang w:val="sr-Cyrl-CS"/>
              </w:rPr>
              <w:t>0,1</w:t>
            </w:r>
          </w:p>
        </w:tc>
        <w:tc>
          <w:tcPr>
            <w:tcW w:w="910" w:type="pct"/>
            <w:hideMark/>
          </w:tcPr>
          <w:p w14:paraId="21790D97" w14:textId="77777777" w:rsidR="00563D88" w:rsidRPr="001B41AD" w:rsidRDefault="00563D88" w:rsidP="00405489">
            <w:pPr>
              <w:jc w:val="right"/>
              <w:rPr>
                <w:sz w:val="16"/>
                <w:szCs w:val="16"/>
                <w:lang w:val="sr-Cyrl-CS"/>
              </w:rPr>
            </w:pPr>
            <w:r w:rsidRPr="001B41AD">
              <w:rPr>
                <w:sz w:val="16"/>
                <w:szCs w:val="16"/>
                <w:lang w:val="sr-Cyrl-CS"/>
              </w:rPr>
              <w:t>-21,0</w:t>
            </w:r>
          </w:p>
        </w:tc>
      </w:tr>
      <w:tr w:rsidR="00563D88" w:rsidRPr="001B41AD" w14:paraId="0E3DD42C" w14:textId="77777777" w:rsidTr="00405489">
        <w:trPr>
          <w:trHeight w:hRule="exact" w:val="276"/>
          <w:tblHeader/>
          <w:jc w:val="right"/>
        </w:trPr>
        <w:tc>
          <w:tcPr>
            <w:tcW w:w="1673" w:type="pct"/>
            <w:tcBorders>
              <w:bottom w:val="single" w:sz="4" w:space="0" w:color="002060"/>
            </w:tcBorders>
            <w:shd w:val="clear" w:color="auto" w:fill="E7E6E6" w:themeFill="background2"/>
            <w:noWrap/>
            <w:vAlign w:val="center"/>
            <w:hideMark/>
          </w:tcPr>
          <w:p w14:paraId="140A6E01" w14:textId="77777777" w:rsidR="00563D88" w:rsidRPr="001B41AD" w:rsidRDefault="00563D88" w:rsidP="00405489">
            <w:pPr>
              <w:spacing w:after="0" w:line="240" w:lineRule="auto"/>
              <w:jc w:val="left"/>
              <w:rPr>
                <w:rFonts w:cstheme="minorHAnsi"/>
                <w:color w:val="002060"/>
                <w:sz w:val="16"/>
                <w:szCs w:val="16"/>
                <w:lang w:val="sr-Cyrl-CS"/>
              </w:rPr>
            </w:pPr>
            <w:r w:rsidRPr="001B41AD">
              <w:rPr>
                <w:rFonts w:eastAsia="MS PGothic" w:cstheme="minorHAnsi"/>
                <w:color w:val="002060"/>
                <w:sz w:val="16"/>
                <w:szCs w:val="16"/>
                <w:lang w:val="sr-Cyrl-CS" w:eastAsia="ja-JP"/>
              </w:rPr>
              <w:t>Фискални резултат</w:t>
            </w:r>
          </w:p>
        </w:tc>
        <w:tc>
          <w:tcPr>
            <w:tcW w:w="553" w:type="pct"/>
            <w:tcBorders>
              <w:bottom w:val="single" w:sz="4" w:space="0" w:color="002060"/>
            </w:tcBorders>
            <w:shd w:val="clear" w:color="auto" w:fill="E7E6E6" w:themeFill="background2"/>
            <w:hideMark/>
          </w:tcPr>
          <w:p w14:paraId="6F2AD6F4" w14:textId="77777777" w:rsidR="00563D88" w:rsidRPr="001B41AD" w:rsidRDefault="00563D88" w:rsidP="00405489">
            <w:pPr>
              <w:jc w:val="right"/>
              <w:rPr>
                <w:sz w:val="16"/>
                <w:szCs w:val="16"/>
                <w:lang w:val="sr-Cyrl-CS"/>
              </w:rPr>
            </w:pPr>
            <w:r w:rsidRPr="001B41AD">
              <w:rPr>
                <w:sz w:val="16"/>
                <w:szCs w:val="16"/>
                <w:lang w:val="sr-Cyrl-CS"/>
              </w:rPr>
              <w:t>27,2</w:t>
            </w:r>
          </w:p>
        </w:tc>
        <w:tc>
          <w:tcPr>
            <w:tcW w:w="902" w:type="pct"/>
            <w:tcBorders>
              <w:bottom w:val="single" w:sz="4" w:space="0" w:color="002060"/>
            </w:tcBorders>
            <w:shd w:val="clear" w:color="auto" w:fill="E7E6E6" w:themeFill="background2"/>
            <w:hideMark/>
          </w:tcPr>
          <w:p w14:paraId="5985507D" w14:textId="77777777" w:rsidR="00563D88" w:rsidRPr="001B41AD" w:rsidRDefault="00563D88" w:rsidP="00405489">
            <w:pPr>
              <w:jc w:val="right"/>
              <w:rPr>
                <w:sz w:val="16"/>
                <w:szCs w:val="16"/>
                <w:lang w:val="sr-Cyrl-CS"/>
              </w:rPr>
            </w:pPr>
            <w:r w:rsidRPr="001B41AD">
              <w:rPr>
                <w:sz w:val="16"/>
                <w:szCs w:val="16"/>
                <w:lang w:val="sr-Cyrl-CS"/>
              </w:rPr>
              <w:t>-55,8</w:t>
            </w:r>
          </w:p>
        </w:tc>
        <w:tc>
          <w:tcPr>
            <w:tcW w:w="962" w:type="pct"/>
            <w:tcBorders>
              <w:bottom w:val="single" w:sz="4" w:space="0" w:color="002060"/>
            </w:tcBorders>
            <w:shd w:val="clear" w:color="auto" w:fill="E7E6E6" w:themeFill="background2"/>
          </w:tcPr>
          <w:p w14:paraId="6A6DC35E" w14:textId="77777777" w:rsidR="00563D88" w:rsidRPr="001B41AD" w:rsidRDefault="00563D88" w:rsidP="00405489">
            <w:pPr>
              <w:jc w:val="right"/>
              <w:rPr>
                <w:sz w:val="16"/>
                <w:szCs w:val="16"/>
                <w:lang w:val="sr-Cyrl-CS"/>
              </w:rPr>
            </w:pPr>
            <w:r w:rsidRPr="001B41AD">
              <w:rPr>
                <w:sz w:val="16"/>
                <w:szCs w:val="16"/>
                <w:lang w:val="sr-Cyrl-CS"/>
              </w:rPr>
              <w:t>-305,2</w:t>
            </w:r>
          </w:p>
        </w:tc>
        <w:tc>
          <w:tcPr>
            <w:tcW w:w="910" w:type="pct"/>
            <w:tcBorders>
              <w:bottom w:val="single" w:sz="4" w:space="0" w:color="002060"/>
            </w:tcBorders>
            <w:shd w:val="clear" w:color="auto" w:fill="E7E6E6" w:themeFill="background2"/>
            <w:hideMark/>
          </w:tcPr>
          <w:p w14:paraId="0FECE5F0" w14:textId="77777777" w:rsidR="00563D88" w:rsidRPr="001B41AD" w:rsidRDefault="00563D88" w:rsidP="00405489">
            <w:pPr>
              <w:jc w:val="right"/>
              <w:rPr>
                <w:sz w:val="16"/>
                <w:szCs w:val="16"/>
                <w:lang w:val="sr-Cyrl-CS"/>
              </w:rPr>
            </w:pPr>
          </w:p>
        </w:tc>
      </w:tr>
    </w:tbl>
    <w:p w14:paraId="7501675C" w14:textId="77777777" w:rsidR="00563D88" w:rsidRPr="001B41AD" w:rsidRDefault="00563D88" w:rsidP="00563D88">
      <w:pPr>
        <w:tabs>
          <w:tab w:val="left" w:pos="623"/>
        </w:tabs>
        <w:spacing w:after="0" w:line="240" w:lineRule="auto"/>
        <w:rPr>
          <w:rFonts w:cstheme="minorHAnsi"/>
          <w:sz w:val="16"/>
          <w:szCs w:val="16"/>
          <w:lang w:val="sr-Cyrl-CS"/>
        </w:rPr>
      </w:pPr>
      <w:r w:rsidRPr="001B41AD">
        <w:rPr>
          <w:rFonts w:eastAsia="Calibri" w:cstheme="minorHAnsi"/>
          <w:bCs/>
          <w:sz w:val="16"/>
          <w:szCs w:val="16"/>
          <w:lang w:val="sr-Cyrl-CS" w:eastAsia="ja-JP"/>
        </w:rPr>
        <w:t xml:space="preserve">Извор: </w:t>
      </w:r>
      <w:r w:rsidRPr="001B41AD">
        <w:rPr>
          <w:rFonts w:cstheme="minorHAnsi"/>
          <w:sz w:val="16"/>
          <w:szCs w:val="16"/>
          <w:lang w:val="sr-Cyrl-CS"/>
        </w:rPr>
        <w:t>Министарство финансија</w:t>
      </w:r>
    </w:p>
    <w:p w14:paraId="51E72A49" w14:textId="77777777" w:rsidR="00563D88" w:rsidRPr="001B41AD" w:rsidRDefault="00563D88" w:rsidP="00563D88">
      <w:pPr>
        <w:tabs>
          <w:tab w:val="left" w:pos="623"/>
        </w:tabs>
        <w:spacing w:after="120" w:line="240" w:lineRule="auto"/>
        <w:rPr>
          <w:rFonts w:cstheme="minorHAnsi"/>
          <w:sz w:val="16"/>
          <w:szCs w:val="16"/>
          <w:lang w:val="sr-Cyrl-CS"/>
        </w:rPr>
      </w:pPr>
    </w:p>
    <w:p w14:paraId="2C4E01B8" w14:textId="77777777" w:rsidR="00563D88" w:rsidRPr="001B41AD" w:rsidRDefault="00563D88" w:rsidP="00563D88">
      <w:pPr>
        <w:spacing w:after="120"/>
        <w:rPr>
          <w:rFonts w:eastAsia="MS PGothic" w:cstheme="minorHAnsi"/>
          <w:szCs w:val="20"/>
          <w:lang w:val="sr-Cyrl-CS" w:eastAsia="ja-JP"/>
        </w:rPr>
        <w:sectPr w:rsidR="00563D88" w:rsidRPr="001B41AD" w:rsidSect="00E61B34">
          <w:type w:val="continuous"/>
          <w:pgSz w:w="12240" w:h="15840" w:code="1"/>
          <w:pgMar w:top="1440" w:right="1440" w:bottom="1440" w:left="1440" w:header="720" w:footer="720" w:gutter="0"/>
          <w:cols w:space="720"/>
          <w:docGrid w:linePitch="360"/>
        </w:sectPr>
      </w:pPr>
    </w:p>
    <w:p w14:paraId="47A4C975" w14:textId="77777777" w:rsidR="00405489"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 xml:space="preserve">Стање доцњи (преко 60 дана кашњења)* буџетских корисника и ООСО последњег дана </w:t>
      </w:r>
      <w:r w:rsidRPr="001B41AD">
        <w:rPr>
          <w:lang w:val="sr-Cyrl-CS"/>
        </w:rPr>
        <w:t xml:space="preserve">септембра </w:t>
      </w:r>
      <w:r w:rsidRPr="001B41AD">
        <w:rPr>
          <w:rFonts w:eastAsia="MS PGothic" w:cstheme="minorHAnsi"/>
          <w:szCs w:val="20"/>
          <w:lang w:val="sr-Cyrl-CS" w:eastAsia="ja-JP"/>
        </w:rPr>
        <w:t xml:space="preserve">2025. године износило је 18,4 млрд динара. Корисници буџета и ЈП „Путеви Србије” </w:t>
      </w:r>
    </w:p>
    <w:p w14:paraId="17D170A3" w14:textId="77777777" w:rsidR="00563D88" w:rsidRPr="001B41AD" w:rsidRDefault="00563D88" w:rsidP="00563D88">
      <w:pPr>
        <w:spacing w:after="120"/>
        <w:rPr>
          <w:rFonts w:eastAsia="MS PGothic" w:cstheme="minorHAnsi"/>
          <w:szCs w:val="20"/>
          <w:lang w:val="sr-Cyrl-CS" w:eastAsia="ja-JP"/>
        </w:rPr>
      </w:pPr>
      <w:r w:rsidRPr="001B41AD">
        <w:rPr>
          <w:rFonts w:eastAsia="MS PGothic" w:cstheme="minorHAnsi"/>
          <w:szCs w:val="20"/>
          <w:lang w:val="sr-Cyrl-CS" w:eastAsia="ja-JP"/>
        </w:rPr>
        <w:t>креирали су доцње у плаћању од 17,2 млрд динара, док је стање доцњи ООСО 1,2 млрд динара.</w:t>
      </w:r>
    </w:p>
    <w:p w14:paraId="58DADC9A" w14:textId="77777777" w:rsidR="00563D88" w:rsidRPr="001B41AD" w:rsidRDefault="00563D88" w:rsidP="00563D88">
      <w:pPr>
        <w:jc w:val="left"/>
        <w:rPr>
          <w:rFonts w:eastAsia="MS PGothic" w:cstheme="minorHAnsi"/>
          <w:b/>
          <w:color w:val="002060"/>
          <w:szCs w:val="20"/>
          <w:lang w:val="sr-Cyrl-CS" w:eastAsia="ja-JP"/>
        </w:rPr>
        <w:sectPr w:rsidR="00563D88" w:rsidRPr="001B41AD" w:rsidSect="00E61B34">
          <w:type w:val="continuous"/>
          <w:pgSz w:w="12240" w:h="15840" w:code="1"/>
          <w:pgMar w:top="1440" w:right="1440" w:bottom="1440" w:left="1440" w:header="720" w:footer="720" w:gutter="0"/>
          <w:cols w:num="2" w:space="720"/>
          <w:docGrid w:linePitch="360"/>
        </w:sectPr>
      </w:pPr>
    </w:p>
    <w:p w14:paraId="5F4DF369" w14:textId="77777777" w:rsidR="00405489" w:rsidRPr="001B41AD" w:rsidRDefault="00405489" w:rsidP="00563D88">
      <w:pPr>
        <w:spacing w:after="0" w:line="240" w:lineRule="auto"/>
        <w:jc w:val="center"/>
        <w:rPr>
          <w:rFonts w:eastAsia="MS PGothic" w:cstheme="minorHAnsi"/>
          <w:b/>
          <w:color w:val="002060"/>
          <w:szCs w:val="20"/>
          <w:lang w:val="sr-Cyrl-CS" w:eastAsia="ja-JP"/>
        </w:rPr>
      </w:pPr>
    </w:p>
    <w:p w14:paraId="4C7FD976" w14:textId="77777777" w:rsidR="00563D88" w:rsidRPr="001B41AD" w:rsidRDefault="00563D88" w:rsidP="00563D88">
      <w:pPr>
        <w:spacing w:after="0" w:line="240" w:lineRule="auto"/>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Табела 8. Стање доцњи буџетских корисника и ООСО</w:t>
      </w:r>
    </w:p>
    <w:tbl>
      <w:tblPr>
        <w:tblStyle w:val="LightShading-Accent3355"/>
        <w:tblpPr w:leftFromText="180" w:rightFromText="180" w:vertAnchor="text" w:horzAnchor="margin" w:tblpY="56"/>
        <w:tblW w:w="4879" w:type="pct"/>
        <w:tblBorders>
          <w:top w:val="none" w:sz="0" w:space="0" w:color="auto"/>
          <w:bottom w:val="none" w:sz="0" w:space="0" w:color="auto"/>
        </w:tblBorders>
        <w:tblLook w:val="04A0" w:firstRow="1" w:lastRow="0" w:firstColumn="1" w:lastColumn="0" w:noHBand="0" w:noVBand="1"/>
      </w:tblPr>
      <w:tblGrid>
        <w:gridCol w:w="5451"/>
        <w:gridCol w:w="1841"/>
        <w:gridCol w:w="1841"/>
      </w:tblGrid>
      <w:tr w:rsidR="00563D88" w:rsidRPr="001B41AD" w14:paraId="0C999218" w14:textId="77777777" w:rsidTr="0040548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left w:val="none" w:sz="0" w:space="0" w:color="auto"/>
              <w:bottom w:val="single" w:sz="4" w:space="0" w:color="002060"/>
              <w:right w:val="none" w:sz="0" w:space="0" w:color="auto"/>
            </w:tcBorders>
            <w:noWrap/>
            <w:hideMark/>
          </w:tcPr>
          <w:p w14:paraId="5FC6674C" w14:textId="77777777" w:rsidR="00563D88" w:rsidRPr="001B41AD" w:rsidRDefault="00563D88" w:rsidP="00405489">
            <w:pPr>
              <w:jc w:val="right"/>
              <w:rPr>
                <w:rFonts w:cstheme="minorHAnsi"/>
                <w:b w:val="0"/>
                <w:color w:val="002060"/>
                <w:sz w:val="16"/>
                <w:szCs w:val="16"/>
                <w:lang w:val="sr-Cyrl-CS"/>
              </w:rPr>
            </w:pPr>
            <w:r w:rsidRPr="001B41AD">
              <w:rPr>
                <w:rFonts w:cstheme="minorHAnsi"/>
                <w:color w:val="002060"/>
                <w:sz w:val="16"/>
                <w:szCs w:val="16"/>
                <w:lang w:val="sr-Cyrl-CS"/>
              </w:rPr>
              <w:t> </w:t>
            </w:r>
          </w:p>
        </w:tc>
        <w:tc>
          <w:tcPr>
            <w:tcW w:w="1008" w:type="pct"/>
            <w:tcBorders>
              <w:top w:val="single" w:sz="4" w:space="0" w:color="002060"/>
              <w:left w:val="none" w:sz="0" w:space="0" w:color="auto"/>
              <w:bottom w:val="single" w:sz="4" w:space="0" w:color="002060"/>
              <w:right w:val="none" w:sz="0" w:space="0" w:color="auto"/>
            </w:tcBorders>
          </w:tcPr>
          <w:p w14:paraId="5975A9DF" w14:textId="77777777" w:rsidR="00563D88" w:rsidRPr="001B41AD" w:rsidRDefault="00563D88" w:rsidP="00405489">
            <w:pPr>
              <w:jc w:val="right"/>
              <w:cnfStyle w:val="100000000000" w:firstRow="1" w:lastRow="0" w:firstColumn="0" w:lastColumn="0" w:oddVBand="0" w:evenVBand="0" w:oddHBand="0" w:evenHBand="0" w:firstRowFirstColumn="0" w:firstRowLastColumn="0" w:lastRowFirstColumn="0" w:lastRowLastColumn="0"/>
              <w:rPr>
                <w:rFonts w:cstheme="minorHAnsi"/>
                <w:b w:val="0"/>
                <w:color w:val="002060"/>
                <w:sz w:val="16"/>
                <w:szCs w:val="16"/>
                <w:lang w:val="sr-Cyrl-CS"/>
              </w:rPr>
            </w:pPr>
            <w:r w:rsidRPr="001B41AD">
              <w:rPr>
                <w:rFonts w:cstheme="minorHAnsi"/>
                <w:color w:val="002060"/>
                <w:sz w:val="16"/>
                <w:szCs w:val="16"/>
                <w:lang w:val="sr-Cyrl-CS"/>
              </w:rPr>
              <w:t>31.12.2024.</w:t>
            </w:r>
          </w:p>
        </w:tc>
        <w:tc>
          <w:tcPr>
            <w:tcW w:w="1008" w:type="pct"/>
            <w:tcBorders>
              <w:top w:val="single" w:sz="4" w:space="0" w:color="002060"/>
              <w:left w:val="none" w:sz="0" w:space="0" w:color="auto"/>
              <w:bottom w:val="single" w:sz="4" w:space="0" w:color="002060"/>
              <w:right w:val="none" w:sz="0" w:space="0" w:color="auto"/>
            </w:tcBorders>
          </w:tcPr>
          <w:p w14:paraId="1202B2FF" w14:textId="77777777" w:rsidR="00563D88" w:rsidRPr="001B41AD" w:rsidRDefault="00563D88" w:rsidP="00405489">
            <w:pPr>
              <w:jc w:val="right"/>
              <w:cnfStyle w:val="100000000000" w:firstRow="1" w:lastRow="0" w:firstColumn="0" w:lastColumn="0" w:oddVBand="0" w:evenVBand="0" w:oddHBand="0" w:evenHBand="0" w:firstRowFirstColumn="0" w:firstRowLastColumn="0" w:lastRowFirstColumn="0" w:lastRowLastColumn="0"/>
              <w:rPr>
                <w:rFonts w:cstheme="minorHAnsi"/>
                <w:b w:val="0"/>
                <w:color w:val="002060"/>
                <w:sz w:val="16"/>
                <w:szCs w:val="16"/>
                <w:lang w:val="sr-Cyrl-CS"/>
              </w:rPr>
            </w:pPr>
            <w:r w:rsidRPr="001B41AD">
              <w:rPr>
                <w:rFonts w:cstheme="minorHAnsi"/>
                <w:color w:val="002060"/>
                <w:sz w:val="16"/>
                <w:szCs w:val="16"/>
                <w:lang w:val="sr-Cyrl-CS"/>
              </w:rPr>
              <w:t>30.9.2025.</w:t>
            </w:r>
          </w:p>
        </w:tc>
      </w:tr>
      <w:tr w:rsidR="00563D88" w:rsidRPr="001B41AD" w14:paraId="4B7CEE27"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left w:val="none" w:sz="0" w:space="0" w:color="auto"/>
              <w:right w:val="none" w:sz="0" w:space="0" w:color="auto"/>
            </w:tcBorders>
            <w:shd w:val="clear" w:color="auto" w:fill="auto"/>
            <w:noWrap/>
            <w:hideMark/>
          </w:tcPr>
          <w:p w14:paraId="7A8651B2" w14:textId="77777777" w:rsidR="00563D88" w:rsidRPr="001B41AD" w:rsidRDefault="00563D88" w:rsidP="00405489">
            <w:pPr>
              <w:rPr>
                <w:rFonts w:cstheme="minorHAnsi"/>
                <w:b w:val="0"/>
                <w:color w:val="002060"/>
                <w:sz w:val="16"/>
                <w:szCs w:val="16"/>
                <w:lang w:val="sr-Cyrl-CS"/>
              </w:rPr>
            </w:pPr>
            <w:r w:rsidRPr="001B41AD">
              <w:rPr>
                <w:rFonts w:cstheme="minorHAnsi"/>
                <w:color w:val="002060"/>
                <w:sz w:val="16"/>
                <w:szCs w:val="16"/>
                <w:lang w:val="sr-Cyrl-CS"/>
              </w:rPr>
              <w:t xml:space="preserve">Буџетски корисници и ЈП „Путеви Србије” </w:t>
            </w:r>
          </w:p>
        </w:tc>
        <w:tc>
          <w:tcPr>
            <w:tcW w:w="1008" w:type="pct"/>
            <w:tcBorders>
              <w:top w:val="single" w:sz="4" w:space="0" w:color="002060"/>
              <w:left w:val="none" w:sz="0" w:space="0" w:color="auto"/>
              <w:right w:val="none" w:sz="0" w:space="0" w:color="auto"/>
            </w:tcBorders>
            <w:shd w:val="clear" w:color="auto" w:fill="auto"/>
          </w:tcPr>
          <w:p w14:paraId="0DF91599" w14:textId="77777777" w:rsidR="00563D88" w:rsidRPr="001B41AD" w:rsidRDefault="00563D88" w:rsidP="00405489">
            <w:pPr>
              <w:ind w:firstLine="709"/>
              <w:jc w:val="right"/>
              <w:cnfStyle w:val="000000100000" w:firstRow="0" w:lastRow="0" w:firstColumn="0" w:lastColumn="0" w:oddVBand="0" w:evenVBand="0" w:oddHBand="1" w:evenHBand="0" w:firstRowFirstColumn="0" w:firstRowLastColumn="0" w:lastRowFirstColumn="0" w:lastRowLastColumn="0"/>
              <w:rPr>
                <w:rFonts w:cstheme="minorHAnsi"/>
                <w:color w:val="002060"/>
                <w:sz w:val="16"/>
                <w:szCs w:val="16"/>
                <w:lang w:val="sr-Cyrl-CS"/>
              </w:rPr>
            </w:pPr>
            <w:r w:rsidRPr="001B41AD">
              <w:rPr>
                <w:rFonts w:cstheme="minorHAnsi"/>
                <w:color w:val="002060"/>
                <w:sz w:val="16"/>
                <w:szCs w:val="16"/>
                <w:lang w:val="sr-Cyrl-CS"/>
              </w:rPr>
              <w:t>9,4</w:t>
            </w:r>
          </w:p>
        </w:tc>
        <w:tc>
          <w:tcPr>
            <w:tcW w:w="1008" w:type="pct"/>
            <w:tcBorders>
              <w:top w:val="single" w:sz="4" w:space="0" w:color="002060"/>
              <w:left w:val="none" w:sz="0" w:space="0" w:color="auto"/>
              <w:right w:val="none" w:sz="0" w:space="0" w:color="auto"/>
            </w:tcBorders>
            <w:shd w:val="clear" w:color="auto" w:fill="auto"/>
          </w:tcPr>
          <w:p w14:paraId="27BE52D8" w14:textId="77777777" w:rsidR="00563D88" w:rsidRPr="001B41AD" w:rsidRDefault="00563D88" w:rsidP="00405489">
            <w:pPr>
              <w:ind w:firstLine="709"/>
              <w:jc w:val="right"/>
              <w:cnfStyle w:val="000000100000" w:firstRow="0" w:lastRow="0" w:firstColumn="0" w:lastColumn="0" w:oddVBand="0" w:evenVBand="0" w:oddHBand="1" w:evenHBand="0" w:firstRowFirstColumn="0" w:firstRowLastColumn="0" w:lastRowFirstColumn="0" w:lastRowLastColumn="0"/>
              <w:rPr>
                <w:rFonts w:cstheme="minorHAnsi"/>
                <w:color w:val="002060"/>
                <w:sz w:val="16"/>
                <w:szCs w:val="16"/>
                <w:lang w:val="sr-Cyrl-CS"/>
              </w:rPr>
            </w:pPr>
            <w:r w:rsidRPr="001B41AD">
              <w:rPr>
                <w:rFonts w:cstheme="minorHAnsi"/>
                <w:color w:val="002060"/>
                <w:sz w:val="16"/>
                <w:szCs w:val="16"/>
                <w:lang w:val="sr-Cyrl-CS"/>
              </w:rPr>
              <w:t>17,2</w:t>
            </w:r>
          </w:p>
        </w:tc>
      </w:tr>
      <w:tr w:rsidR="00563D88" w:rsidRPr="001B41AD" w14:paraId="6FAEABEE"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2984" w:type="pct"/>
            <w:noWrap/>
            <w:hideMark/>
          </w:tcPr>
          <w:p w14:paraId="12C9252A" w14:textId="77777777" w:rsidR="00563D88" w:rsidRPr="001B41AD" w:rsidRDefault="00563D88" w:rsidP="00405489">
            <w:pPr>
              <w:rPr>
                <w:rFonts w:cstheme="minorHAnsi"/>
                <w:b w:val="0"/>
                <w:color w:val="002060"/>
                <w:sz w:val="16"/>
                <w:szCs w:val="16"/>
                <w:lang w:val="sr-Cyrl-CS"/>
              </w:rPr>
            </w:pPr>
            <w:r w:rsidRPr="001B41AD">
              <w:rPr>
                <w:rFonts w:cstheme="minorHAnsi"/>
                <w:color w:val="002060"/>
                <w:sz w:val="16"/>
                <w:szCs w:val="16"/>
                <w:lang w:val="sr-Cyrl-CS"/>
              </w:rPr>
              <w:t>ООСО</w:t>
            </w:r>
          </w:p>
        </w:tc>
        <w:tc>
          <w:tcPr>
            <w:tcW w:w="1008" w:type="pct"/>
          </w:tcPr>
          <w:p w14:paraId="49A36B50" w14:textId="77777777" w:rsidR="00563D88" w:rsidRPr="001B41AD" w:rsidRDefault="00563D88" w:rsidP="00405489">
            <w:pPr>
              <w:ind w:firstLine="709"/>
              <w:jc w:val="right"/>
              <w:cnfStyle w:val="000000000000" w:firstRow="0" w:lastRow="0" w:firstColumn="0" w:lastColumn="0" w:oddVBand="0" w:evenVBand="0" w:oddHBand="0" w:evenHBand="0" w:firstRowFirstColumn="0" w:firstRowLastColumn="0" w:lastRowFirstColumn="0" w:lastRowLastColumn="0"/>
              <w:rPr>
                <w:rFonts w:cstheme="minorHAnsi"/>
                <w:color w:val="002060"/>
                <w:sz w:val="16"/>
                <w:szCs w:val="16"/>
                <w:lang w:val="sr-Cyrl-CS"/>
              </w:rPr>
            </w:pPr>
            <w:r w:rsidRPr="001B41AD">
              <w:rPr>
                <w:rFonts w:cstheme="minorHAnsi"/>
                <w:color w:val="002060"/>
                <w:sz w:val="16"/>
                <w:szCs w:val="16"/>
                <w:lang w:val="sr-Cyrl-CS"/>
              </w:rPr>
              <w:t>1,2</w:t>
            </w:r>
          </w:p>
        </w:tc>
        <w:tc>
          <w:tcPr>
            <w:tcW w:w="1008" w:type="pct"/>
          </w:tcPr>
          <w:p w14:paraId="1D58B89A" w14:textId="77777777" w:rsidR="00563D88" w:rsidRPr="001B41AD" w:rsidRDefault="00563D88" w:rsidP="00405489">
            <w:pPr>
              <w:ind w:firstLine="709"/>
              <w:jc w:val="right"/>
              <w:cnfStyle w:val="000000000000" w:firstRow="0" w:lastRow="0" w:firstColumn="0" w:lastColumn="0" w:oddVBand="0" w:evenVBand="0" w:oddHBand="0" w:evenHBand="0" w:firstRowFirstColumn="0" w:firstRowLastColumn="0" w:lastRowFirstColumn="0" w:lastRowLastColumn="0"/>
              <w:rPr>
                <w:rFonts w:cstheme="minorHAnsi"/>
                <w:color w:val="002060"/>
                <w:sz w:val="16"/>
                <w:szCs w:val="16"/>
                <w:lang w:val="sr-Cyrl-CS"/>
              </w:rPr>
            </w:pPr>
            <w:r w:rsidRPr="001B41AD">
              <w:rPr>
                <w:rFonts w:cstheme="minorHAnsi"/>
                <w:color w:val="002060"/>
                <w:sz w:val="16"/>
                <w:szCs w:val="16"/>
                <w:lang w:val="sr-Cyrl-CS"/>
              </w:rPr>
              <w:t>1,2</w:t>
            </w:r>
          </w:p>
        </w:tc>
      </w:tr>
      <w:tr w:rsidR="00563D88" w:rsidRPr="001B41AD" w14:paraId="14BBD263"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84" w:type="pct"/>
            <w:tcBorders>
              <w:left w:val="none" w:sz="0" w:space="0" w:color="auto"/>
              <w:bottom w:val="single" w:sz="4" w:space="0" w:color="002060"/>
              <w:right w:val="none" w:sz="0" w:space="0" w:color="auto"/>
            </w:tcBorders>
            <w:shd w:val="clear" w:color="auto" w:fill="auto"/>
            <w:noWrap/>
            <w:hideMark/>
          </w:tcPr>
          <w:p w14:paraId="1B06CE50" w14:textId="77777777" w:rsidR="00563D88" w:rsidRPr="001B41AD" w:rsidRDefault="00563D88" w:rsidP="00405489">
            <w:pPr>
              <w:rPr>
                <w:rFonts w:cstheme="minorHAnsi"/>
                <w:b w:val="0"/>
                <w:color w:val="002060"/>
                <w:sz w:val="16"/>
                <w:szCs w:val="16"/>
                <w:lang w:val="sr-Cyrl-CS"/>
              </w:rPr>
            </w:pPr>
            <w:r w:rsidRPr="001B41AD">
              <w:rPr>
                <w:rFonts w:cstheme="minorHAnsi"/>
                <w:color w:val="002060"/>
                <w:sz w:val="16"/>
                <w:szCs w:val="16"/>
                <w:lang w:val="sr-Cyrl-CS"/>
              </w:rPr>
              <w:t>УКУПНО</w:t>
            </w:r>
          </w:p>
        </w:tc>
        <w:tc>
          <w:tcPr>
            <w:tcW w:w="1008" w:type="pct"/>
            <w:tcBorders>
              <w:left w:val="none" w:sz="0" w:space="0" w:color="auto"/>
              <w:bottom w:val="single" w:sz="4" w:space="0" w:color="002060"/>
              <w:right w:val="none" w:sz="0" w:space="0" w:color="auto"/>
            </w:tcBorders>
            <w:shd w:val="clear" w:color="auto" w:fill="auto"/>
          </w:tcPr>
          <w:p w14:paraId="6F25887C" w14:textId="77777777" w:rsidR="00563D88" w:rsidRPr="001B41AD" w:rsidRDefault="00563D88" w:rsidP="00405489">
            <w:pPr>
              <w:ind w:firstLine="709"/>
              <w:jc w:val="right"/>
              <w:cnfStyle w:val="000000100000" w:firstRow="0" w:lastRow="0" w:firstColumn="0" w:lastColumn="0" w:oddVBand="0" w:evenVBand="0" w:oddHBand="1" w:evenHBand="0" w:firstRowFirstColumn="0" w:firstRowLastColumn="0" w:lastRowFirstColumn="0" w:lastRowLastColumn="0"/>
              <w:rPr>
                <w:rFonts w:cstheme="minorHAnsi"/>
                <w:color w:val="002060"/>
                <w:sz w:val="16"/>
                <w:szCs w:val="16"/>
                <w:lang w:val="sr-Cyrl-CS"/>
              </w:rPr>
            </w:pPr>
            <w:r w:rsidRPr="001B41AD">
              <w:rPr>
                <w:rFonts w:cstheme="minorHAnsi"/>
                <w:color w:val="002060"/>
                <w:sz w:val="16"/>
                <w:szCs w:val="16"/>
                <w:lang w:val="sr-Cyrl-CS"/>
              </w:rPr>
              <w:t>10,6</w:t>
            </w:r>
          </w:p>
        </w:tc>
        <w:tc>
          <w:tcPr>
            <w:tcW w:w="1008" w:type="pct"/>
            <w:tcBorders>
              <w:left w:val="none" w:sz="0" w:space="0" w:color="auto"/>
              <w:bottom w:val="single" w:sz="4" w:space="0" w:color="002060"/>
              <w:right w:val="none" w:sz="0" w:space="0" w:color="auto"/>
            </w:tcBorders>
            <w:shd w:val="clear" w:color="auto" w:fill="auto"/>
          </w:tcPr>
          <w:p w14:paraId="0DF1EA72" w14:textId="77777777" w:rsidR="00563D88" w:rsidRPr="001B41AD" w:rsidRDefault="00563D88" w:rsidP="00405489">
            <w:pPr>
              <w:ind w:firstLine="709"/>
              <w:jc w:val="right"/>
              <w:cnfStyle w:val="000000100000" w:firstRow="0" w:lastRow="0" w:firstColumn="0" w:lastColumn="0" w:oddVBand="0" w:evenVBand="0" w:oddHBand="1" w:evenHBand="0" w:firstRowFirstColumn="0" w:firstRowLastColumn="0" w:lastRowFirstColumn="0" w:lastRowLastColumn="0"/>
              <w:rPr>
                <w:rFonts w:cstheme="minorHAnsi"/>
                <w:color w:val="002060"/>
                <w:sz w:val="16"/>
                <w:szCs w:val="16"/>
                <w:lang w:val="sr-Cyrl-CS"/>
              </w:rPr>
            </w:pPr>
            <w:r w:rsidRPr="001B41AD">
              <w:rPr>
                <w:rFonts w:cstheme="minorHAnsi"/>
                <w:color w:val="002060"/>
                <w:sz w:val="16"/>
                <w:szCs w:val="16"/>
                <w:lang w:val="sr-Cyrl-CS"/>
              </w:rPr>
              <w:t>18,4</w:t>
            </w:r>
          </w:p>
        </w:tc>
      </w:tr>
    </w:tbl>
    <w:p w14:paraId="0482D192" w14:textId="77777777" w:rsidR="00563D88" w:rsidRPr="001B41AD" w:rsidRDefault="00563D88" w:rsidP="00563D88">
      <w:pPr>
        <w:spacing w:after="0" w:line="240" w:lineRule="auto"/>
        <w:rPr>
          <w:rFonts w:eastAsia="MS PGothic" w:cstheme="minorHAnsi"/>
          <w:sz w:val="16"/>
          <w:szCs w:val="16"/>
          <w:lang w:val="sr-Cyrl-CS" w:eastAsia="ja-JP"/>
        </w:rPr>
      </w:pPr>
      <w:r w:rsidRPr="001B41AD">
        <w:rPr>
          <w:rFonts w:eastAsia="Calibri" w:cstheme="minorHAnsi"/>
          <w:bCs/>
          <w:sz w:val="14"/>
          <w:szCs w:val="14"/>
          <w:lang w:val="sr-Cyrl-CS" w:eastAsia="ja-JP"/>
        </w:rPr>
        <w:t xml:space="preserve">Извор: </w:t>
      </w:r>
      <w:r w:rsidRPr="001B41AD">
        <w:rPr>
          <w:rFonts w:cstheme="minorHAnsi"/>
          <w:sz w:val="14"/>
          <w:szCs w:val="14"/>
          <w:lang w:val="sr-Cyrl-CS"/>
        </w:rPr>
        <w:t xml:space="preserve">Министарство финансија; </w:t>
      </w:r>
      <w:r w:rsidRPr="001B41AD">
        <w:rPr>
          <w:rFonts w:eastAsia="MS PGothic" w:cstheme="minorHAnsi"/>
          <w:sz w:val="14"/>
          <w:szCs w:val="14"/>
          <w:lang w:val="sr-Cyrl-CS" w:eastAsia="ja-JP"/>
        </w:rPr>
        <w:t>* У складу са дефиницијом која се користи за потребе праћења спровођења аранжмана са ММФ</w:t>
      </w:r>
      <w:r w:rsidRPr="001B41AD">
        <w:rPr>
          <w:rFonts w:eastAsia="MS PGothic" w:cstheme="minorHAnsi"/>
          <w:sz w:val="16"/>
          <w:szCs w:val="16"/>
          <w:lang w:val="sr-Cyrl-CS" w:eastAsia="ja-JP"/>
        </w:rPr>
        <w:t>.</w:t>
      </w:r>
    </w:p>
    <w:p w14:paraId="29AE8AF5" w14:textId="77777777" w:rsidR="00563D88" w:rsidRPr="001B41AD" w:rsidRDefault="00563D88" w:rsidP="00563D88">
      <w:pPr>
        <w:spacing w:after="0" w:line="240" w:lineRule="auto"/>
        <w:rPr>
          <w:rFonts w:eastAsia="MS PGothic" w:cstheme="minorHAnsi"/>
          <w:sz w:val="16"/>
          <w:szCs w:val="16"/>
          <w:lang w:val="sr-Cyrl-CS" w:eastAsia="ja-JP"/>
        </w:rPr>
      </w:pPr>
    </w:p>
    <w:p w14:paraId="2815A655" w14:textId="77777777" w:rsidR="00563D88" w:rsidRPr="001B41AD" w:rsidRDefault="00563D88" w:rsidP="00563D88">
      <w:pPr>
        <w:spacing w:after="0" w:line="240" w:lineRule="auto"/>
        <w:rPr>
          <w:rFonts w:eastAsia="MS PGothic" w:cstheme="minorHAnsi"/>
          <w:sz w:val="16"/>
          <w:szCs w:val="16"/>
          <w:lang w:val="sr-Cyrl-CS" w:eastAsia="ja-JP"/>
        </w:rPr>
      </w:pPr>
    </w:p>
    <w:p w14:paraId="619ACFBC" w14:textId="77777777" w:rsidR="00563D88" w:rsidRPr="001B41AD" w:rsidRDefault="00563D88" w:rsidP="00563D88">
      <w:pPr>
        <w:spacing w:after="0" w:line="240" w:lineRule="auto"/>
        <w:rPr>
          <w:rFonts w:eastAsia="MS PGothic" w:cstheme="minorHAnsi"/>
          <w:sz w:val="16"/>
          <w:szCs w:val="16"/>
          <w:lang w:val="sr-Cyrl-CS" w:eastAsia="ja-JP"/>
        </w:rPr>
      </w:pPr>
    </w:p>
    <w:p w14:paraId="0B205CBB" w14:textId="77777777" w:rsidR="00563D88" w:rsidRPr="001B41AD" w:rsidRDefault="00563D88" w:rsidP="00563D88">
      <w:pPr>
        <w:spacing w:after="0" w:line="240" w:lineRule="auto"/>
        <w:rPr>
          <w:rFonts w:eastAsia="MS PGothic" w:cstheme="minorHAnsi"/>
          <w:sz w:val="16"/>
          <w:szCs w:val="16"/>
          <w:lang w:val="sr-Cyrl-CS" w:eastAsia="ja-JP"/>
        </w:rPr>
      </w:pPr>
    </w:p>
    <w:p w14:paraId="739227F4" w14:textId="77777777" w:rsidR="00563D88" w:rsidRPr="001B41AD" w:rsidRDefault="00563D88" w:rsidP="00563D88">
      <w:pPr>
        <w:spacing w:after="0" w:line="240" w:lineRule="auto"/>
        <w:rPr>
          <w:rFonts w:eastAsia="MS PGothic" w:cstheme="minorHAnsi"/>
          <w:sz w:val="16"/>
          <w:szCs w:val="16"/>
          <w:lang w:val="sr-Cyrl-CS" w:eastAsia="ja-JP"/>
        </w:rPr>
      </w:pPr>
    </w:p>
    <w:p w14:paraId="4913BA6B" w14:textId="77777777" w:rsidR="00563D88" w:rsidRPr="001B41AD" w:rsidRDefault="00563D88" w:rsidP="00563D88">
      <w:pPr>
        <w:spacing w:after="0" w:line="240" w:lineRule="auto"/>
        <w:rPr>
          <w:rFonts w:eastAsia="MS PGothic" w:cstheme="minorHAnsi"/>
          <w:sz w:val="16"/>
          <w:szCs w:val="16"/>
          <w:lang w:val="sr-Cyrl-CS" w:eastAsia="ja-JP"/>
        </w:rPr>
      </w:pPr>
    </w:p>
    <w:p w14:paraId="14E3819A" w14:textId="77777777" w:rsidR="00563D88" w:rsidRPr="001B41AD" w:rsidRDefault="00563D88" w:rsidP="00563D88">
      <w:pPr>
        <w:spacing w:after="0" w:line="240" w:lineRule="auto"/>
        <w:rPr>
          <w:rFonts w:eastAsia="MS PGothic" w:cstheme="minorHAnsi"/>
          <w:sz w:val="16"/>
          <w:szCs w:val="16"/>
          <w:lang w:val="sr-Cyrl-CS" w:eastAsia="ja-JP"/>
        </w:rPr>
      </w:pPr>
    </w:p>
    <w:p w14:paraId="76EFA58B" w14:textId="77777777" w:rsidR="00563D88" w:rsidRPr="001B41AD" w:rsidRDefault="00563D88" w:rsidP="00563D88">
      <w:pPr>
        <w:spacing w:after="0" w:line="240" w:lineRule="auto"/>
        <w:rPr>
          <w:rFonts w:eastAsia="MS PGothic" w:cstheme="minorHAnsi"/>
          <w:sz w:val="16"/>
          <w:szCs w:val="16"/>
          <w:lang w:val="sr-Cyrl-CS" w:eastAsia="ja-JP"/>
        </w:rPr>
      </w:pPr>
    </w:p>
    <w:p w14:paraId="62AEB2F7" w14:textId="77777777" w:rsidR="00563D88" w:rsidRPr="001B41AD" w:rsidRDefault="00563D88" w:rsidP="00563D88">
      <w:pPr>
        <w:spacing w:after="0" w:line="240" w:lineRule="auto"/>
        <w:rPr>
          <w:rFonts w:eastAsia="MS PGothic" w:cstheme="minorHAnsi"/>
          <w:sz w:val="16"/>
          <w:szCs w:val="16"/>
          <w:lang w:val="sr-Cyrl-CS" w:eastAsia="ja-JP"/>
        </w:rPr>
      </w:pPr>
    </w:p>
    <w:p w14:paraId="6314961B" w14:textId="77777777" w:rsidR="00563D88" w:rsidRPr="001B41AD" w:rsidRDefault="00A411DF" w:rsidP="00563D88">
      <w:pPr>
        <w:spacing w:after="0" w:line="240" w:lineRule="auto"/>
        <w:rPr>
          <w:rFonts w:eastAsia="MS PGothic" w:cstheme="minorHAnsi"/>
          <w:sz w:val="16"/>
          <w:szCs w:val="16"/>
          <w:lang w:val="sr-Cyrl-CS" w:eastAsia="ja-JP"/>
        </w:rPr>
      </w:pPr>
      <w:r w:rsidRPr="001B41AD">
        <w:rPr>
          <w:rFonts w:ascii="Calibri" w:eastAsia="Calibri" w:hAnsi="Calibri" w:cs="Calibri"/>
          <w:b/>
          <w:noProof/>
          <w:color w:val="2F5496" w:themeColor="accent1" w:themeShade="BF"/>
          <w:sz w:val="24"/>
          <w:szCs w:val="24"/>
        </w:rPr>
        <w:lastRenderedPageBreak/>
        <mc:AlternateContent>
          <mc:Choice Requires="wps">
            <w:drawing>
              <wp:anchor distT="0" distB="0" distL="114300" distR="114300" simplePos="0" relativeHeight="251659264" behindDoc="1" locked="0" layoutInCell="1" allowOverlap="1" wp14:anchorId="3A5A74EF" wp14:editId="3B44C24D">
                <wp:simplePos x="0" y="0"/>
                <wp:positionH relativeFrom="margin">
                  <wp:posOffset>-266700</wp:posOffset>
                </wp:positionH>
                <wp:positionV relativeFrom="paragraph">
                  <wp:posOffset>0</wp:posOffset>
                </wp:positionV>
                <wp:extent cx="6762750" cy="7839075"/>
                <wp:effectExtent l="0" t="0" r="0" b="9525"/>
                <wp:wrapNone/>
                <wp:docPr id="106" name="Rectangle 106"/>
                <wp:cNvGraphicFramePr/>
                <a:graphic xmlns:a="http://schemas.openxmlformats.org/drawingml/2006/main">
                  <a:graphicData uri="http://schemas.microsoft.com/office/word/2010/wordprocessingShape">
                    <wps:wsp>
                      <wps:cNvSpPr/>
                      <wps:spPr>
                        <a:xfrm>
                          <a:off x="0" y="0"/>
                          <a:ext cx="6762750" cy="7839075"/>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B28CE5" id="Rectangle 106" o:spid="_x0000_s1026" style="position:absolute;margin-left:-21pt;margin-top:0;width:532.5pt;height:617.2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" fillcolor="#d9d9d9" stroked="f" strokeweight="1pt">
                <v:fill r:id="rId38" o:title="" color2="window" type="pattern"/>
                <w10:wrap anchorx="margin"/>
              </v:rect>
            </w:pict>
          </mc:Fallback>
        </mc:AlternateContent>
      </w:r>
    </w:p>
    <w:p w14:paraId="27CF64A0" w14:textId="77777777" w:rsidR="00563D88" w:rsidRPr="001B41AD" w:rsidRDefault="00563D88" w:rsidP="00563D88">
      <w:pPr>
        <w:spacing w:after="0" w:line="240" w:lineRule="auto"/>
        <w:rPr>
          <w:rFonts w:eastAsia="MS PGothic" w:cstheme="minorHAnsi"/>
          <w:sz w:val="16"/>
          <w:szCs w:val="16"/>
          <w:lang w:val="sr-Cyrl-CS" w:eastAsia="ja-JP"/>
        </w:rPr>
      </w:pPr>
    </w:p>
    <w:p w14:paraId="5A54074B" w14:textId="77777777" w:rsidR="00563D88" w:rsidRPr="001B41AD" w:rsidRDefault="00563D88" w:rsidP="00563D88">
      <w:pPr>
        <w:spacing w:after="240" w:line="240" w:lineRule="auto"/>
        <w:contextualSpacing/>
        <w:jc w:val="center"/>
        <w:rPr>
          <w:rFonts w:ascii="Calibri" w:eastAsia="Calibri" w:hAnsi="Calibri" w:cs="Calibri"/>
          <w:b/>
          <w:color w:val="2F5496" w:themeColor="accent1" w:themeShade="BF"/>
          <w:sz w:val="24"/>
          <w:szCs w:val="24"/>
          <w:lang w:val="sr-Cyrl-CS"/>
        </w:rPr>
      </w:pPr>
      <w:bookmarkStart w:id="36" w:name="_Toc11155993"/>
      <w:r w:rsidRPr="001B41AD">
        <w:rPr>
          <w:rFonts w:ascii="Calibri" w:eastAsia="Calibri" w:hAnsi="Calibri" w:cs="Calibri"/>
          <w:b/>
          <w:color w:val="2F5496" w:themeColor="accent1" w:themeShade="BF"/>
          <w:sz w:val="24"/>
          <w:szCs w:val="24"/>
          <w:lang w:val="sr-Cyrl-CS"/>
        </w:rPr>
        <w:t>S0 индикатор краткорочне фискалне одрживости</w:t>
      </w:r>
    </w:p>
    <w:p w14:paraId="64A8B8C9" w14:textId="77777777" w:rsidR="00563D88" w:rsidRPr="001B41AD" w:rsidRDefault="00563D88" w:rsidP="00563D88">
      <w:pPr>
        <w:spacing w:after="60"/>
        <w:rPr>
          <w:rFonts w:cstheme="minorHAnsi"/>
          <w:color w:val="auto"/>
          <w:szCs w:val="20"/>
          <w:lang w:val="sr-Cyrl-CS"/>
        </w:rPr>
      </w:pPr>
    </w:p>
    <w:p w14:paraId="37C5F07B" w14:textId="77777777" w:rsidR="00563D88" w:rsidRPr="001B41AD" w:rsidRDefault="00563D88" w:rsidP="00563D88">
      <w:pPr>
        <w:spacing w:after="60"/>
        <w:rPr>
          <w:rFonts w:cstheme="minorHAnsi"/>
          <w:color w:val="auto"/>
          <w:szCs w:val="20"/>
          <w:lang w:val="sr-Cyrl-CS"/>
        </w:rPr>
        <w:sectPr w:rsidR="00563D88" w:rsidRPr="001B41AD" w:rsidSect="00C95509">
          <w:headerReference w:type="even" r:id="rId113"/>
          <w:headerReference w:type="default" r:id="rId114"/>
          <w:footerReference w:type="even" r:id="rId115"/>
          <w:footerReference w:type="default" r:id="rId116"/>
          <w:headerReference w:type="first" r:id="rId117"/>
          <w:type w:val="continuous"/>
          <w:pgSz w:w="12240" w:h="15840"/>
          <w:pgMar w:top="1440" w:right="1440" w:bottom="1440" w:left="1440" w:header="720" w:footer="720" w:gutter="0"/>
          <w:cols w:space="720"/>
          <w:docGrid w:linePitch="360"/>
        </w:sectPr>
      </w:pPr>
    </w:p>
    <w:p w14:paraId="3FA76305" w14:textId="77777777" w:rsidR="00563D88" w:rsidRPr="001B41AD" w:rsidRDefault="00563D88" w:rsidP="00563D88">
      <w:pPr>
        <w:rPr>
          <w:rFonts w:cstheme="minorHAnsi"/>
          <w:szCs w:val="20"/>
          <w:lang w:val="sr-Cyrl-CS"/>
        </w:rPr>
      </w:pPr>
      <w:r w:rsidRPr="001B41AD">
        <w:rPr>
          <w:rFonts w:cstheme="minorHAnsi"/>
          <w:szCs w:val="20"/>
          <w:lang w:val="sr-Cyrl-CS"/>
        </w:rPr>
        <w:t>Европска комисија је за оцену краткорочне фискалне одрживости дизајнирала композитни индикатор S0 којим се кроз идентификацију потенцијалних краткорочних ризика у текућој години настоји да антиципира фискални стрес у наредној години. Уколико вредност S0 индикатора прелази дефинисани праг сматра се да је земља у краткорочном ризику од фискалног стреса. Поред вредности за целокупан индикатор, ради лоцирања извора из ког ризик потиче, разматрају се и вредности подиндекса и њихових компоненти. S0 композитни индикатор се састоји од два подиндекса, који у себи садрже низ варијабли фискалне и макро-финансијске одрживости. Вредност</w:t>
      </w:r>
      <w:r w:rsidR="001D7323" w:rsidRPr="001B41AD">
        <w:rPr>
          <w:rFonts w:cstheme="minorHAnsi"/>
          <w:szCs w:val="20"/>
          <w:lang w:val="sr-Cyrl-CS"/>
        </w:rPr>
        <w:t>и</w:t>
      </w:r>
      <w:r w:rsidRPr="001B41AD">
        <w:rPr>
          <w:rFonts w:cstheme="minorHAnsi"/>
          <w:szCs w:val="20"/>
          <w:lang w:val="sr-Cyrl-CS"/>
        </w:rPr>
        <w:t xml:space="preserve"> ових подиндекса</w:t>
      </w:r>
      <w:r w:rsidR="00AC05C0" w:rsidRPr="001B41AD">
        <w:rPr>
          <w:rFonts w:cstheme="minorHAnsi"/>
          <w:szCs w:val="20"/>
          <w:lang w:val="sr-Cyrl-CS"/>
        </w:rPr>
        <w:t xml:space="preserve"> испод дефинисаног прага указуј</w:t>
      </w:r>
      <w:r w:rsidR="001D7323" w:rsidRPr="001B41AD">
        <w:rPr>
          <w:rFonts w:cstheme="minorHAnsi"/>
          <w:szCs w:val="20"/>
          <w:lang w:val="sr-Cyrl-CS"/>
        </w:rPr>
        <w:t>у</w:t>
      </w:r>
      <w:r w:rsidRPr="001B41AD">
        <w:rPr>
          <w:rFonts w:cstheme="minorHAnsi"/>
          <w:szCs w:val="20"/>
          <w:lang w:val="sr-Cyrl-CS"/>
        </w:rPr>
        <w:t xml:space="preserve"> на одсуство краткорочног фискалног ризика.</w:t>
      </w:r>
    </w:p>
    <w:p w14:paraId="138E8379" w14:textId="77777777" w:rsidR="00563D88" w:rsidRPr="001B41AD" w:rsidRDefault="00563D88" w:rsidP="00563D88">
      <w:pPr>
        <w:rPr>
          <w:rFonts w:cstheme="minorHAnsi"/>
          <w:szCs w:val="20"/>
          <w:lang w:val="sr-Cyrl-CS"/>
        </w:rPr>
      </w:pPr>
      <w:r w:rsidRPr="001B41AD">
        <w:rPr>
          <w:rFonts w:cstheme="minorHAnsi"/>
          <w:szCs w:val="20"/>
          <w:lang w:val="sr-Cyrl-CS"/>
        </w:rPr>
        <w:t>У 2024. години вредности фискалног (0,12) и финансијског подиндекса (0,31) су унутар за њих дефинисаног прага, као и вредност целокупног S0 индикатора за Републику Србију (0,24), што начелно указује да не постоји опасност од појаве макроекономске нестабилности у наредном средњорочном периоду. Успешно очувана макроекономска и фискална стабилност успостављена у претходном периоду обезбедила је простор за брзе и значајне мере подршке фискалне и монетарне политике.</w:t>
      </w:r>
    </w:p>
    <w:p w14:paraId="5D566577" w14:textId="77777777" w:rsidR="00563D88" w:rsidRPr="001B41AD" w:rsidRDefault="00563D88" w:rsidP="00563D88">
      <w:pPr>
        <w:rPr>
          <w:rFonts w:cstheme="minorHAnsi"/>
          <w:szCs w:val="20"/>
          <w:lang w:val="sr-Cyrl-CS"/>
        </w:rPr>
      </w:pPr>
      <w:r w:rsidRPr="001B41AD">
        <w:rPr>
          <w:noProof/>
        </w:rPr>
        <w:drawing>
          <wp:inline distT="0" distB="0" distL="0" distR="0" wp14:anchorId="57DED6C4" wp14:editId="1AE21265">
            <wp:extent cx="3067050" cy="4756785"/>
            <wp:effectExtent l="0" t="0" r="0" b="571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567F5C06" w14:textId="77777777" w:rsidR="00563D88" w:rsidRPr="001B41AD" w:rsidRDefault="00563D88" w:rsidP="00563D88">
      <w:pPr>
        <w:rPr>
          <w:rFonts w:cstheme="minorHAnsi"/>
          <w:color w:val="auto"/>
          <w:szCs w:val="20"/>
          <w:lang w:val="sr-Cyrl-CS"/>
        </w:rPr>
      </w:pPr>
    </w:p>
    <w:p w14:paraId="6EFA2B31" w14:textId="77777777" w:rsidR="00563D88" w:rsidRPr="001B41AD" w:rsidRDefault="00563D88" w:rsidP="00563D88">
      <w:pPr>
        <w:rPr>
          <w:rFonts w:eastAsia="Calibri" w:cstheme="minorHAnsi"/>
          <w:b/>
          <w:color w:val="auto"/>
          <w:sz w:val="24"/>
          <w:szCs w:val="26"/>
          <w:lang w:val="sr-Cyrl-CS"/>
        </w:rPr>
        <w:sectPr w:rsidR="00563D88" w:rsidRPr="001B41AD" w:rsidSect="00C95509">
          <w:type w:val="continuous"/>
          <w:pgSz w:w="12240" w:h="15840"/>
          <w:pgMar w:top="1440" w:right="1440" w:bottom="1440" w:left="1440" w:header="720" w:footer="720" w:gutter="0"/>
          <w:cols w:num="2" w:space="720"/>
          <w:docGrid w:linePitch="360"/>
        </w:sectPr>
      </w:pPr>
    </w:p>
    <w:p w14:paraId="0E57EEEA" w14:textId="77777777" w:rsidR="00563D88" w:rsidRPr="001B41AD" w:rsidRDefault="00563D88" w:rsidP="00563D88">
      <w:pPr>
        <w:jc w:val="center"/>
        <w:rPr>
          <w:rFonts w:cstheme="minorHAnsi"/>
          <w:color w:val="auto"/>
          <w:szCs w:val="20"/>
          <w:lang w:val="sr-Cyrl-CS"/>
        </w:rPr>
      </w:pPr>
      <w:r w:rsidRPr="001B41AD">
        <w:rPr>
          <w:rFonts w:cstheme="minorHAnsi"/>
          <w:noProof/>
          <w:color w:val="auto"/>
        </w:rPr>
        <w:lastRenderedPageBreak/>
        <mc:AlternateContent>
          <mc:Choice Requires="wps">
            <w:drawing>
              <wp:anchor distT="0" distB="0" distL="114300" distR="114300" simplePos="0" relativeHeight="251660288" behindDoc="1" locked="0" layoutInCell="1" allowOverlap="1" wp14:anchorId="6DE86376" wp14:editId="073C9D9B">
                <wp:simplePos x="0" y="0"/>
                <wp:positionH relativeFrom="margin">
                  <wp:posOffset>-171450</wp:posOffset>
                </wp:positionH>
                <wp:positionV relativeFrom="paragraph">
                  <wp:posOffset>0</wp:posOffset>
                </wp:positionV>
                <wp:extent cx="6384290" cy="7839075"/>
                <wp:effectExtent l="0" t="0" r="0" b="9525"/>
                <wp:wrapNone/>
                <wp:docPr id="93" name="Rectangle 93"/>
                <wp:cNvGraphicFramePr/>
                <a:graphic xmlns:a="http://schemas.openxmlformats.org/drawingml/2006/main">
                  <a:graphicData uri="http://schemas.microsoft.com/office/word/2010/wordprocessingShape">
                    <wps:wsp>
                      <wps:cNvSpPr/>
                      <wps:spPr>
                        <a:xfrm>
                          <a:off x="0" y="0"/>
                          <a:ext cx="6384290" cy="7839075"/>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CF77D5" id="Rectangle 93" o:spid="_x0000_s1026" style="position:absolute;margin-left:-13.5pt;margin-top:0;width:502.7pt;height:617.2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" fillcolor="#d9d9d9" stroked="f" strokeweight="1pt">
                <v:fill r:id="rId38" o:title="" color2="window" type="pattern"/>
                <w10:wrap anchorx="margin"/>
              </v:rect>
            </w:pict>
          </mc:Fallback>
        </mc:AlternateContent>
      </w:r>
      <w:r w:rsidRPr="001B41AD">
        <w:rPr>
          <w:noProof/>
        </w:rPr>
        <w:drawing>
          <wp:inline distT="0" distB="0" distL="0" distR="0" wp14:anchorId="3B7700FA" wp14:editId="5F6D3D1A">
            <wp:extent cx="5943600" cy="2573655"/>
            <wp:effectExtent l="0" t="0" r="0" b="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5E754113" w14:textId="77777777" w:rsidR="00563D88" w:rsidRPr="001B41AD" w:rsidRDefault="00563D88" w:rsidP="00563D88">
      <w:pPr>
        <w:rPr>
          <w:rFonts w:cstheme="minorHAnsi"/>
          <w:color w:val="auto"/>
          <w:szCs w:val="20"/>
          <w:lang w:val="sr-Cyrl-CS"/>
        </w:rPr>
      </w:pPr>
    </w:p>
    <w:p w14:paraId="534E6D56" w14:textId="77777777" w:rsidR="00563D88" w:rsidRPr="001B41AD" w:rsidRDefault="00563D88" w:rsidP="00563D88">
      <w:pPr>
        <w:rPr>
          <w:rFonts w:cstheme="minorHAnsi"/>
          <w:color w:val="auto"/>
          <w:szCs w:val="20"/>
          <w:lang w:val="sr-Cyrl-CS"/>
        </w:rPr>
        <w:sectPr w:rsidR="00563D88" w:rsidRPr="001B41AD" w:rsidSect="00C95509">
          <w:type w:val="continuous"/>
          <w:pgSz w:w="12240" w:h="15840"/>
          <w:pgMar w:top="1440" w:right="1440" w:bottom="1440" w:left="1440" w:header="720" w:footer="720" w:gutter="0"/>
          <w:cols w:space="720"/>
          <w:docGrid w:linePitch="360"/>
        </w:sectPr>
      </w:pPr>
      <w:r w:rsidRPr="001B41AD">
        <w:rPr>
          <w:noProof/>
        </w:rPr>
        <w:drawing>
          <wp:inline distT="0" distB="0" distL="0" distR="0" wp14:anchorId="7CCDF6D1" wp14:editId="0482B11B">
            <wp:extent cx="6123008" cy="2552065"/>
            <wp:effectExtent l="0" t="0" r="0" b="0"/>
            <wp:docPr id="111" name="Chart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02C56A9E" w14:textId="77777777" w:rsidR="00563D88" w:rsidRPr="001B41AD" w:rsidRDefault="00563D88" w:rsidP="00563D88">
      <w:pPr>
        <w:rPr>
          <w:rFonts w:cstheme="minorHAnsi"/>
          <w:szCs w:val="20"/>
          <w:lang w:val="sr-Cyrl-CS"/>
        </w:rPr>
      </w:pPr>
    </w:p>
    <w:p w14:paraId="6A97D1DD" w14:textId="77777777" w:rsidR="00563D88" w:rsidRPr="001B41AD" w:rsidRDefault="00563D88" w:rsidP="00563D88">
      <w:pPr>
        <w:rPr>
          <w:rFonts w:cstheme="minorHAnsi"/>
          <w:szCs w:val="20"/>
          <w:lang w:val="sr-Cyrl-CS"/>
        </w:rPr>
      </w:pPr>
      <w:r w:rsidRPr="001B41AD">
        <w:rPr>
          <w:rFonts w:cstheme="minorHAnsi"/>
          <w:szCs w:val="20"/>
          <w:lang w:val="sr-Cyrl-CS"/>
        </w:rPr>
        <w:t>Обрачун S0 индикатора за Републику Србију, урађен је од стране Министарства финансија и базира се на методологији ЕК.</w:t>
      </w:r>
    </w:p>
    <w:p w14:paraId="5D5AFA68" w14:textId="77777777" w:rsidR="00563D88" w:rsidRPr="001B41AD" w:rsidRDefault="00563D88" w:rsidP="00563D88">
      <w:pPr>
        <w:rPr>
          <w:rFonts w:cstheme="minorHAnsi"/>
          <w:szCs w:val="20"/>
          <w:lang w:val="sr-Cyrl-CS"/>
        </w:rPr>
      </w:pPr>
      <w:r w:rsidRPr="001B41AD">
        <w:rPr>
          <w:rFonts w:cstheme="minorHAnsi"/>
          <w:szCs w:val="20"/>
          <w:lang w:val="sr-Cyrl-CS"/>
        </w:rPr>
        <w:t xml:space="preserve">На основу података ЕК за земље ЕУ за 2024. годину и обрачуна Министарства финансија за Републику Србију, закључујемо да већина посматраних земаља, као и Србија, није била изложена краткорочном ризику реализације фискалног стреса, будући да вредност S0 нигде не премашује дефинисани праг. </w:t>
      </w:r>
    </w:p>
    <w:p w14:paraId="06454093" w14:textId="77777777" w:rsidR="00563D88" w:rsidRPr="001B41AD" w:rsidRDefault="00563D88" w:rsidP="00563D88">
      <w:pPr>
        <w:rPr>
          <w:rFonts w:cstheme="minorHAnsi"/>
          <w:color w:val="auto"/>
          <w:szCs w:val="20"/>
          <w:lang w:val="sr-Cyrl-CS"/>
        </w:rPr>
        <w:sectPr w:rsidR="00563D88" w:rsidRPr="001B41AD" w:rsidSect="00E61B34">
          <w:headerReference w:type="even" r:id="rId121"/>
          <w:headerReference w:type="default" r:id="rId122"/>
          <w:footerReference w:type="even" r:id="rId123"/>
          <w:footerReference w:type="default" r:id="rId124"/>
          <w:headerReference w:type="first" r:id="rId125"/>
          <w:type w:val="continuous"/>
          <w:pgSz w:w="12240" w:h="15840" w:code="1"/>
          <w:pgMar w:top="1440" w:right="1440" w:bottom="1440" w:left="1440" w:header="720" w:footer="720" w:gutter="0"/>
          <w:cols w:num="2" w:space="332"/>
          <w:docGrid w:linePitch="360"/>
        </w:sectPr>
      </w:pPr>
    </w:p>
    <w:p w14:paraId="29CB043F" w14:textId="77777777" w:rsidR="00563D88" w:rsidRPr="001B41AD" w:rsidRDefault="00563D88" w:rsidP="00563D88">
      <w:pPr>
        <w:rPr>
          <w:lang w:val="sr-Cyrl-CS"/>
        </w:rPr>
      </w:pPr>
      <w:bookmarkStart w:id="37" w:name="_Toc530635107"/>
    </w:p>
    <w:p w14:paraId="6C6EAB3E" w14:textId="77777777" w:rsidR="00563D88" w:rsidRPr="001B41AD" w:rsidRDefault="00563D88" w:rsidP="00563D88">
      <w:pPr>
        <w:rPr>
          <w:rFonts w:ascii="Calibri" w:eastAsia="Calibri" w:hAnsi="Calibri" w:cs="Calibri"/>
          <w:color w:val="auto"/>
          <w:szCs w:val="20"/>
          <w:lang w:val="sr-Cyrl-CS"/>
        </w:rPr>
        <w:sectPr w:rsidR="00563D88" w:rsidRPr="001B41AD" w:rsidSect="00E61B34">
          <w:headerReference w:type="even" r:id="rId126"/>
          <w:footerReference w:type="even" r:id="rId127"/>
          <w:footerReference w:type="default" r:id="rId128"/>
          <w:headerReference w:type="first" r:id="rId129"/>
          <w:type w:val="continuous"/>
          <w:pgSz w:w="12240" w:h="15840"/>
          <w:pgMar w:top="1440" w:right="1440" w:bottom="1440" w:left="1440" w:header="720" w:footer="720" w:gutter="0"/>
          <w:cols w:space="720"/>
          <w:docGrid w:linePitch="360"/>
        </w:sectPr>
      </w:pPr>
    </w:p>
    <w:bookmarkEnd w:id="36"/>
    <w:bookmarkEnd w:id="37"/>
    <w:p w14:paraId="6CAC58DD" w14:textId="77777777" w:rsidR="00563D88" w:rsidRPr="001B41AD" w:rsidRDefault="00563D88" w:rsidP="00563D88">
      <w:pPr>
        <w:rPr>
          <w:lang w:val="sr-Cyrl-CS"/>
        </w:rPr>
      </w:pPr>
    </w:p>
    <w:p w14:paraId="2ADA137E" w14:textId="77777777" w:rsidR="00563D88" w:rsidRPr="001B41AD" w:rsidRDefault="00563D88" w:rsidP="00563D88">
      <w:pPr>
        <w:spacing w:after="0" w:line="240" w:lineRule="auto"/>
        <w:rPr>
          <w:rFonts w:eastAsia="MS PGothic" w:cstheme="minorHAnsi"/>
          <w:sz w:val="16"/>
          <w:szCs w:val="16"/>
          <w:lang w:val="sr-Cyrl-CS" w:eastAsia="ja-JP"/>
        </w:rPr>
      </w:pPr>
    </w:p>
    <w:p w14:paraId="0B2A9055" w14:textId="77777777" w:rsidR="00563D88" w:rsidRPr="001B41AD" w:rsidRDefault="00563D88" w:rsidP="00563D88">
      <w:pPr>
        <w:spacing w:after="0" w:line="240" w:lineRule="auto"/>
        <w:rPr>
          <w:rFonts w:eastAsia="MS PGothic" w:cstheme="minorHAnsi"/>
          <w:sz w:val="16"/>
          <w:szCs w:val="16"/>
          <w:lang w:val="sr-Cyrl-CS" w:eastAsia="ja-JP"/>
        </w:rPr>
      </w:pPr>
    </w:p>
    <w:p w14:paraId="7AEFD242" w14:textId="77777777" w:rsidR="00563D88" w:rsidRPr="001B41AD" w:rsidRDefault="00563D88" w:rsidP="00563D88">
      <w:pPr>
        <w:spacing w:after="0" w:line="240" w:lineRule="auto"/>
        <w:rPr>
          <w:rFonts w:eastAsia="MS PGothic" w:cstheme="minorHAnsi"/>
          <w:sz w:val="16"/>
          <w:szCs w:val="16"/>
          <w:lang w:val="sr-Cyrl-CS" w:eastAsia="ja-JP"/>
        </w:rPr>
      </w:pPr>
    </w:p>
    <w:p w14:paraId="5D6235D2" w14:textId="77777777" w:rsidR="00563D88" w:rsidRPr="001B41AD" w:rsidRDefault="00563D88" w:rsidP="00563D88">
      <w:pPr>
        <w:spacing w:after="0" w:line="240" w:lineRule="auto"/>
        <w:rPr>
          <w:rFonts w:eastAsia="MS PGothic" w:cstheme="minorHAnsi"/>
          <w:sz w:val="16"/>
          <w:szCs w:val="16"/>
          <w:lang w:val="sr-Cyrl-CS" w:eastAsia="ja-JP"/>
        </w:rPr>
      </w:pPr>
    </w:p>
    <w:p w14:paraId="1BB79F45" w14:textId="77777777" w:rsidR="00563D88" w:rsidRPr="001B41AD" w:rsidRDefault="00563D88" w:rsidP="00563D88">
      <w:pPr>
        <w:spacing w:after="0" w:line="240" w:lineRule="auto"/>
        <w:rPr>
          <w:lang w:val="sr-Cyrl-CS" w:eastAsia="ja-JP"/>
        </w:rPr>
        <w:sectPr w:rsidR="00563D88" w:rsidRPr="001B41AD" w:rsidSect="00E61B34">
          <w:type w:val="continuous"/>
          <w:pgSz w:w="12240" w:h="15840" w:code="1"/>
          <w:pgMar w:top="1440" w:right="1440" w:bottom="1440" w:left="1440" w:header="720" w:footer="720" w:gutter="0"/>
          <w:cols w:space="720"/>
          <w:docGrid w:linePitch="360"/>
        </w:sectPr>
      </w:pPr>
    </w:p>
    <w:p w14:paraId="6E65D5B5" w14:textId="77777777" w:rsidR="00563D88" w:rsidRPr="001B41AD" w:rsidRDefault="00563D88" w:rsidP="00563D88">
      <w:pPr>
        <w:tabs>
          <w:tab w:val="left" w:pos="284"/>
        </w:tabs>
        <w:rPr>
          <w:rFonts w:ascii="Calibri" w:eastAsia="Calibri" w:hAnsi="Calibri" w:cs="Calibri"/>
          <w:bCs/>
          <w:szCs w:val="72"/>
          <w:lang w:val="sr-Cyrl-CS"/>
        </w:rPr>
        <w:sectPr w:rsidR="00563D88" w:rsidRPr="001B41AD" w:rsidSect="00E61B34">
          <w:headerReference w:type="even" r:id="rId130"/>
          <w:footerReference w:type="even" r:id="rId131"/>
          <w:footerReference w:type="default" r:id="rId132"/>
          <w:footerReference w:type="first" r:id="rId133"/>
          <w:type w:val="continuous"/>
          <w:pgSz w:w="12240" w:h="15840" w:code="1"/>
          <w:pgMar w:top="1440" w:right="1440" w:bottom="1440" w:left="1440" w:header="720" w:footer="720" w:gutter="0"/>
          <w:cols w:num="2" w:space="720"/>
          <w:titlePg/>
          <w:docGrid w:linePitch="360"/>
        </w:sectPr>
      </w:pPr>
    </w:p>
    <w:p w14:paraId="53C47112" w14:textId="77777777" w:rsidR="00563D88" w:rsidRPr="001B41AD" w:rsidRDefault="00563D88" w:rsidP="00074F1D">
      <w:pPr>
        <w:jc w:val="left"/>
        <w:rPr>
          <w:rFonts w:cstheme="minorHAnsi"/>
          <w:lang w:val="sr-Cyrl-CS"/>
        </w:rPr>
      </w:pPr>
      <w:r w:rsidRPr="001B41AD">
        <w:rPr>
          <w:rFonts w:cstheme="minorHAnsi"/>
          <w:b/>
          <w:sz w:val="24"/>
          <w:lang w:val="sr-Cyrl-CS"/>
        </w:rPr>
        <w:br w:type="page"/>
      </w:r>
    </w:p>
    <w:p w14:paraId="3232A42B" w14:textId="77777777" w:rsidR="00DE7B2C" w:rsidRPr="001B41AD" w:rsidRDefault="004E78E7" w:rsidP="00DE7B2C">
      <w:pPr>
        <w:pStyle w:val="Heading2"/>
        <w:rPr>
          <w:rFonts w:asciiTheme="minorHAnsi" w:hAnsiTheme="minorHAnsi" w:cstheme="minorHAnsi"/>
          <w:b w:val="0"/>
          <w:lang w:val="sr-Cyrl-CS"/>
        </w:rPr>
      </w:pPr>
      <w:bookmarkStart w:id="38" w:name="_Toc212642470"/>
      <w:r w:rsidRPr="001B41AD">
        <w:rPr>
          <w:rFonts w:asciiTheme="minorHAnsi" w:hAnsiTheme="minorHAnsi" w:cstheme="minorHAnsi"/>
          <w:lang w:val="sr-Cyrl-CS"/>
        </w:rPr>
        <w:lastRenderedPageBreak/>
        <w:t>3</w:t>
      </w:r>
      <w:r w:rsidR="00DE7B2C" w:rsidRPr="001B41AD">
        <w:rPr>
          <w:rFonts w:asciiTheme="minorHAnsi" w:hAnsiTheme="minorHAnsi" w:cstheme="minorHAnsi"/>
          <w:lang w:val="sr-Cyrl-CS"/>
        </w:rPr>
        <w:t>. Фискалне пројекције у периоду 2026 – 2028. године</w:t>
      </w:r>
      <w:bookmarkEnd w:id="33"/>
      <w:bookmarkEnd w:id="34"/>
      <w:bookmarkEnd w:id="38"/>
    </w:p>
    <w:p w14:paraId="5BD0DD49" w14:textId="77777777" w:rsidR="00DE7B2C" w:rsidRPr="001B41AD" w:rsidRDefault="00DE7B2C" w:rsidP="00DE7B2C">
      <w:pPr>
        <w:rPr>
          <w:lang w:val="sr-Cyrl-CS" w:eastAsia="ja-JP"/>
        </w:rPr>
      </w:pPr>
    </w:p>
    <w:p w14:paraId="76C62749" w14:textId="77777777" w:rsidR="00DE7B2C" w:rsidRPr="001B41AD" w:rsidRDefault="00DE7B2C" w:rsidP="00DE7B2C">
      <w:pPr>
        <w:rPr>
          <w:lang w:val="sr-Cyrl-CS" w:eastAsia="ja-JP"/>
        </w:rPr>
        <w:sectPr w:rsidR="00DE7B2C" w:rsidRPr="001B41AD" w:rsidSect="00E61B34">
          <w:footerReference w:type="even" r:id="rId134"/>
          <w:footerReference w:type="default" r:id="rId135"/>
          <w:headerReference w:type="first" r:id="rId136"/>
          <w:type w:val="continuous"/>
          <w:pgSz w:w="12240" w:h="15840" w:code="1"/>
          <w:pgMar w:top="1440" w:right="1440" w:bottom="1440" w:left="1440" w:header="720" w:footer="720" w:gutter="0"/>
          <w:cols w:space="720"/>
          <w:titlePg/>
          <w:docGrid w:linePitch="360"/>
        </w:sectPr>
      </w:pPr>
    </w:p>
    <w:p w14:paraId="2ADE1FB2" w14:textId="77777777" w:rsidR="00B203FD" w:rsidRPr="001B41AD" w:rsidRDefault="00B203FD" w:rsidP="00B203FD">
      <w:pPr>
        <w:spacing w:after="120"/>
        <w:rPr>
          <w:lang w:val="sr-Cyrl-CS" w:eastAsia="ja-JP"/>
        </w:rPr>
      </w:pPr>
      <w:r w:rsidRPr="001B41AD">
        <w:rPr>
          <w:lang w:val="sr-Cyrl-CS" w:eastAsia="ja-JP"/>
        </w:rPr>
        <w:t>Основни циљеви фискалне политике у средњорочном периоду усмерени су на очување фискалне стабилности и даље смањ</w:t>
      </w:r>
      <w:r w:rsidR="00AB1651" w:rsidRPr="001B41AD">
        <w:rPr>
          <w:lang w:val="sr-Cyrl-CS" w:eastAsia="ja-JP"/>
        </w:rPr>
        <w:t>ивање учешћа јавног дуга у БДП</w:t>
      </w:r>
      <w:r w:rsidRPr="001B41AD">
        <w:rPr>
          <w:lang w:val="sr-Cyrl-CS" w:eastAsia="ja-JP"/>
        </w:rPr>
        <w:t>, уз истовремено обезбеђивање довољног простора за приоритетне јавне инвестиције и мере које подржавају потенцијални раст. Пројекције фискалних агрегата за период 2026–2028</w:t>
      </w:r>
      <w:r w:rsidR="00461482" w:rsidRPr="001B41AD">
        <w:rPr>
          <w:lang w:val="sr-Cyrl-CS" w:eastAsia="ja-JP"/>
        </w:rPr>
        <w:t>. године</w:t>
      </w:r>
      <w:r w:rsidRPr="001B41AD">
        <w:rPr>
          <w:lang w:val="sr-Cyrl-CS" w:eastAsia="ja-JP"/>
        </w:rPr>
        <w:t xml:space="preserve"> заснивају се на макроекономским претпоставкама и изгледима за раст, планираној пореској политици – која предвиђа даље усаглашавање са правним тековинама ЕУ – као и на фискалним и структурним мерама, укључујући унапређење пословања и корпоративног управљања у великим државним предузећима.</w:t>
      </w:r>
    </w:p>
    <w:p w14:paraId="2672B307" w14:textId="77777777" w:rsidR="00B203FD" w:rsidRPr="001B41AD" w:rsidRDefault="00B203FD" w:rsidP="00B203FD">
      <w:pPr>
        <w:spacing w:after="120"/>
        <w:rPr>
          <w:lang w:val="sr-Cyrl-CS" w:eastAsia="ja-JP"/>
        </w:rPr>
      </w:pPr>
      <w:r w:rsidRPr="001B41AD">
        <w:rPr>
          <w:lang w:val="sr-Cyrl-CS" w:eastAsia="ja-JP"/>
        </w:rPr>
        <w:t xml:space="preserve">Средњорочни фискални </w:t>
      </w:r>
      <w:r w:rsidR="00647C8E" w:rsidRPr="001B41AD">
        <w:rPr>
          <w:lang w:val="sr-Cyrl-CS" w:eastAsia="ja-JP"/>
        </w:rPr>
        <w:t>оквир</w:t>
      </w:r>
      <w:r w:rsidRPr="001B41AD">
        <w:rPr>
          <w:lang w:val="sr-Cyrl-CS" w:eastAsia="ja-JP"/>
        </w:rPr>
        <w:t xml:space="preserve"> усклађен је са инвестиционим циклусом програма „Скок у будућност“ и активностима везаним за EXPO 2027. Инвестиционо-интензивна фаз</w:t>
      </w:r>
      <w:r w:rsidR="001D3837" w:rsidRPr="001B41AD">
        <w:rPr>
          <w:lang w:val="sr-Cyrl-CS" w:eastAsia="ja-JP"/>
        </w:rPr>
        <w:t>а подразумева умерено експанзив</w:t>
      </w:r>
      <w:r w:rsidRPr="001B41AD">
        <w:rPr>
          <w:lang w:val="sr-Cyrl-CS" w:eastAsia="ja-JP"/>
        </w:rPr>
        <w:t>н</w:t>
      </w:r>
      <w:r w:rsidR="00010D4E" w:rsidRPr="001B41AD">
        <w:rPr>
          <w:lang w:val="sr-Cyrl-CS" w:eastAsia="ja-JP"/>
        </w:rPr>
        <w:t>у</w:t>
      </w:r>
      <w:r w:rsidRPr="001B41AD">
        <w:rPr>
          <w:lang w:val="sr-Cyrl-CS" w:eastAsia="ja-JP"/>
        </w:rPr>
        <w:t>, али контролисану фискалну позицију: консолидовани дефицит је</w:t>
      </w:r>
      <w:r w:rsidR="00461482" w:rsidRPr="001B41AD">
        <w:rPr>
          <w:lang w:val="sr-Cyrl-CS" w:eastAsia="ja-JP"/>
        </w:rPr>
        <w:t xml:space="preserve"> планиран на нивоу од 3</w:t>
      </w:r>
      <w:r w:rsidRPr="001B41AD">
        <w:rPr>
          <w:lang w:val="sr-Cyrl-CS" w:eastAsia="ja-JP"/>
        </w:rPr>
        <w:t>% БДП закључно са 2027. годином, уз снижавање на 2,5% БДП у 2028.</w:t>
      </w:r>
      <w:r w:rsidR="00461482" w:rsidRPr="001B41AD">
        <w:rPr>
          <w:lang w:val="sr-Cyrl-CS" w:eastAsia="ja-JP"/>
        </w:rPr>
        <w:t xml:space="preserve"> години.</w:t>
      </w:r>
      <w:r w:rsidRPr="001B41AD">
        <w:rPr>
          <w:lang w:val="sr-Cyrl-CS" w:eastAsia="ja-JP"/>
        </w:rPr>
        <w:t xml:space="preserve"> Планирана путања дефицита подупире опадајућу путању јавног дуга – са проце</w:t>
      </w:r>
      <w:r w:rsidR="00461482" w:rsidRPr="001B41AD">
        <w:rPr>
          <w:lang w:val="sr-Cyrl-CS" w:eastAsia="ja-JP"/>
        </w:rPr>
        <w:t>њених 45</w:t>
      </w:r>
      <w:r w:rsidRPr="001B41AD">
        <w:rPr>
          <w:lang w:val="sr-Cyrl-CS" w:eastAsia="ja-JP"/>
        </w:rPr>
        <w:t xml:space="preserve">% БДП у 2025. на око 44,1% у 2028. години, што је у складу са очувањем фискалног кредибилитета и отпорности на шокове. Истовремено, очуван је примарни дефицит на ниском нивоу (око 0,7% БДП до краја </w:t>
      </w:r>
      <w:r w:rsidR="00010D4E" w:rsidRPr="001B41AD">
        <w:rPr>
          <w:lang w:val="sr-Cyrl-CS" w:eastAsia="ja-JP"/>
        </w:rPr>
        <w:t>периода), како би трошак сервисирања</w:t>
      </w:r>
      <w:r w:rsidRPr="001B41AD">
        <w:rPr>
          <w:lang w:val="sr-Cyrl-CS" w:eastAsia="ja-JP"/>
        </w:rPr>
        <w:t xml:space="preserve"> дуга остао одржив у условима променљивих глобалних </w:t>
      </w:r>
      <w:r w:rsidR="00010D4E" w:rsidRPr="001B41AD">
        <w:rPr>
          <w:lang w:val="sr-Cyrl-CS" w:eastAsia="ja-JP"/>
        </w:rPr>
        <w:t>финансијских услова</w:t>
      </w:r>
      <w:r w:rsidRPr="001B41AD">
        <w:rPr>
          <w:lang w:val="sr-Cyrl-CS" w:eastAsia="ja-JP"/>
        </w:rPr>
        <w:t>.</w:t>
      </w:r>
    </w:p>
    <w:p w14:paraId="194AD256" w14:textId="77777777" w:rsidR="000F50EC" w:rsidRPr="001B41AD" w:rsidRDefault="000F50EC" w:rsidP="003C4455">
      <w:pPr>
        <w:rPr>
          <w:rFonts w:eastAsia="MS PGothic" w:cstheme="minorHAnsi"/>
          <w:b/>
          <w:color w:val="002060"/>
          <w:szCs w:val="20"/>
          <w:lang w:val="sr-Cyrl-CS" w:eastAsia="ja-JP"/>
        </w:rPr>
        <w:sectPr w:rsidR="000F50EC" w:rsidRPr="001B41AD" w:rsidSect="00E61B34">
          <w:type w:val="continuous"/>
          <w:pgSz w:w="12240" w:h="15840" w:code="1"/>
          <w:pgMar w:top="1440" w:right="1440" w:bottom="1440" w:left="1440" w:header="720" w:footer="720" w:gutter="0"/>
          <w:cols w:num="2" w:space="720"/>
          <w:docGrid w:linePitch="360"/>
        </w:sectPr>
      </w:pPr>
    </w:p>
    <w:p w14:paraId="6673E8F5" w14:textId="77777777" w:rsidR="0059423E" w:rsidRPr="001B41AD" w:rsidRDefault="0059423E" w:rsidP="003C4455">
      <w:pPr>
        <w:rPr>
          <w:rFonts w:eastAsia="MS PGothic" w:cstheme="minorHAnsi"/>
          <w:b/>
          <w:color w:val="002060"/>
          <w:szCs w:val="20"/>
          <w:lang w:val="sr-Cyrl-CS" w:eastAsia="ja-JP"/>
        </w:rPr>
      </w:pPr>
    </w:p>
    <w:p w14:paraId="07BCF64B" w14:textId="77777777" w:rsidR="000F50EC" w:rsidRPr="001B41AD" w:rsidRDefault="000F50EC" w:rsidP="000F50EC">
      <w:pPr>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Табела 9. Фискални агрегати у периоду 2024–2028. године, % БДП</w:t>
      </w:r>
    </w:p>
    <w:tbl>
      <w:tblPr>
        <w:tblStyle w:val="LightShading-Accent12214"/>
        <w:tblW w:w="5000" w:type="pct"/>
        <w:tblBorders>
          <w:top w:val="none" w:sz="0" w:space="0" w:color="auto"/>
          <w:bottom w:val="none" w:sz="0" w:space="0" w:color="auto"/>
        </w:tblBorders>
        <w:tblLook w:val="0420" w:firstRow="1" w:lastRow="0" w:firstColumn="0" w:lastColumn="0" w:noHBand="0" w:noVBand="1"/>
      </w:tblPr>
      <w:tblGrid>
        <w:gridCol w:w="3969"/>
        <w:gridCol w:w="1142"/>
        <w:gridCol w:w="1131"/>
        <w:gridCol w:w="1039"/>
        <w:gridCol w:w="1039"/>
        <w:gridCol w:w="1040"/>
      </w:tblGrid>
      <w:tr w:rsidR="000F50EC" w:rsidRPr="001B41AD" w14:paraId="72C8DF22" w14:textId="77777777" w:rsidTr="00405489">
        <w:trPr>
          <w:cnfStyle w:val="100000000000" w:firstRow="1" w:lastRow="0" w:firstColumn="0" w:lastColumn="0" w:oddVBand="0" w:evenVBand="0" w:oddHBand="0" w:evenHBand="0" w:firstRowFirstColumn="0" w:firstRowLastColumn="0" w:lastRowFirstColumn="0" w:lastRowLastColumn="0"/>
          <w:trHeight w:val="20"/>
        </w:trPr>
        <w:tc>
          <w:tcPr>
            <w:tcW w:w="2121" w:type="pct"/>
            <w:tcBorders>
              <w:top w:val="single" w:sz="4" w:space="0" w:color="002060"/>
              <w:left w:val="none" w:sz="0" w:space="0" w:color="auto"/>
              <w:bottom w:val="single" w:sz="4" w:space="0" w:color="002060"/>
              <w:right w:val="none" w:sz="0" w:space="0" w:color="auto"/>
            </w:tcBorders>
            <w:noWrap/>
            <w:vAlign w:val="center"/>
          </w:tcPr>
          <w:p w14:paraId="77415550" w14:textId="77777777" w:rsidR="000F50EC" w:rsidRPr="001B41AD" w:rsidRDefault="000F50EC" w:rsidP="00405489">
            <w:pPr>
              <w:rPr>
                <w:rFonts w:cstheme="minorHAnsi"/>
                <w:b w:val="0"/>
                <w:color w:val="002060"/>
                <w:sz w:val="18"/>
                <w:lang w:val="sr-Cyrl-CS"/>
              </w:rPr>
            </w:pPr>
            <w:r w:rsidRPr="001B41AD">
              <w:rPr>
                <w:rFonts w:cstheme="minorHAnsi"/>
                <w:color w:val="002060"/>
                <w:sz w:val="18"/>
                <w:lang w:val="sr-Cyrl-CS"/>
              </w:rPr>
              <w:t>Опис</w:t>
            </w:r>
          </w:p>
        </w:tc>
        <w:tc>
          <w:tcPr>
            <w:tcW w:w="605" w:type="pct"/>
            <w:tcBorders>
              <w:top w:val="single" w:sz="4" w:space="0" w:color="002060"/>
              <w:left w:val="none" w:sz="0" w:space="0" w:color="auto"/>
              <w:bottom w:val="single" w:sz="4" w:space="0" w:color="002060"/>
              <w:right w:val="none" w:sz="0" w:space="0" w:color="auto"/>
            </w:tcBorders>
            <w:vAlign w:val="center"/>
          </w:tcPr>
          <w:p w14:paraId="2072D580" w14:textId="77777777" w:rsidR="000F50EC" w:rsidRPr="001B41AD" w:rsidRDefault="000F50EC" w:rsidP="00405489">
            <w:pPr>
              <w:jc w:val="center"/>
              <w:rPr>
                <w:rFonts w:cstheme="minorHAnsi"/>
                <w:b w:val="0"/>
                <w:color w:val="002060"/>
                <w:sz w:val="18"/>
                <w:lang w:val="sr-Cyrl-CS"/>
              </w:rPr>
            </w:pPr>
            <w:r w:rsidRPr="001B41AD">
              <w:rPr>
                <w:rFonts w:cstheme="minorHAnsi"/>
                <w:color w:val="002060"/>
                <w:sz w:val="18"/>
                <w:lang w:val="sr-Cyrl-CS"/>
              </w:rPr>
              <w:t>Извршење</w:t>
            </w:r>
          </w:p>
        </w:tc>
        <w:tc>
          <w:tcPr>
            <w:tcW w:w="605" w:type="pct"/>
            <w:tcBorders>
              <w:top w:val="single" w:sz="4" w:space="0" w:color="002060"/>
              <w:left w:val="none" w:sz="0" w:space="0" w:color="auto"/>
              <w:bottom w:val="single" w:sz="4" w:space="0" w:color="002060"/>
              <w:right w:val="none" w:sz="0" w:space="0" w:color="auto"/>
            </w:tcBorders>
            <w:vAlign w:val="center"/>
          </w:tcPr>
          <w:p w14:paraId="707557A7" w14:textId="77777777" w:rsidR="000F50EC" w:rsidRPr="001B41AD" w:rsidRDefault="000F50EC" w:rsidP="00405489">
            <w:pPr>
              <w:jc w:val="center"/>
              <w:rPr>
                <w:rFonts w:cstheme="minorHAnsi"/>
                <w:b w:val="0"/>
                <w:color w:val="002060"/>
                <w:sz w:val="18"/>
                <w:lang w:val="sr-Cyrl-CS"/>
              </w:rPr>
            </w:pPr>
            <w:r w:rsidRPr="001B41AD">
              <w:rPr>
                <w:rFonts w:cstheme="minorHAnsi"/>
                <w:color w:val="002060"/>
                <w:sz w:val="18"/>
                <w:lang w:val="sr-Cyrl-CS"/>
              </w:rPr>
              <w:t>Процена</w:t>
            </w:r>
          </w:p>
        </w:tc>
        <w:tc>
          <w:tcPr>
            <w:tcW w:w="1668" w:type="pct"/>
            <w:gridSpan w:val="3"/>
            <w:tcBorders>
              <w:top w:val="single" w:sz="4" w:space="0" w:color="002060"/>
              <w:left w:val="none" w:sz="0" w:space="0" w:color="auto"/>
              <w:bottom w:val="single" w:sz="4" w:space="0" w:color="002060"/>
              <w:right w:val="none" w:sz="0" w:space="0" w:color="auto"/>
            </w:tcBorders>
            <w:vAlign w:val="center"/>
          </w:tcPr>
          <w:p w14:paraId="60B09ECC" w14:textId="77777777" w:rsidR="000F50EC" w:rsidRPr="001B41AD" w:rsidRDefault="000F50EC" w:rsidP="00405489">
            <w:pPr>
              <w:jc w:val="center"/>
              <w:rPr>
                <w:rFonts w:cstheme="minorHAnsi"/>
                <w:b w:val="0"/>
                <w:color w:val="002060"/>
                <w:sz w:val="18"/>
                <w:lang w:val="sr-Cyrl-CS"/>
              </w:rPr>
            </w:pPr>
            <w:r w:rsidRPr="001B41AD">
              <w:rPr>
                <w:rFonts w:cstheme="minorHAnsi"/>
                <w:color w:val="002060"/>
                <w:sz w:val="18"/>
                <w:lang w:val="sr-Cyrl-CS"/>
              </w:rPr>
              <w:t>Пројекција</w:t>
            </w:r>
          </w:p>
        </w:tc>
      </w:tr>
      <w:tr w:rsidR="000F50EC" w:rsidRPr="001B41AD" w14:paraId="53DF6C06"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tcW w:w="2121" w:type="pct"/>
            <w:tcBorders>
              <w:top w:val="single" w:sz="4" w:space="0" w:color="002060"/>
              <w:left w:val="none" w:sz="0" w:space="0" w:color="auto"/>
              <w:right w:val="none" w:sz="0" w:space="0" w:color="auto"/>
            </w:tcBorders>
            <w:shd w:val="clear" w:color="auto" w:fill="auto"/>
            <w:noWrap/>
            <w:vAlign w:val="center"/>
          </w:tcPr>
          <w:p w14:paraId="1F251231" w14:textId="77777777" w:rsidR="000F50EC" w:rsidRPr="001B41AD" w:rsidRDefault="000F50EC" w:rsidP="00405489">
            <w:pPr>
              <w:rPr>
                <w:rFonts w:cstheme="minorHAnsi"/>
                <w:color w:val="002060"/>
                <w:sz w:val="18"/>
                <w:szCs w:val="18"/>
                <w:lang w:val="sr-Cyrl-CS"/>
              </w:rPr>
            </w:pPr>
            <w:r w:rsidRPr="001B41AD">
              <w:rPr>
                <w:rFonts w:cstheme="minorHAnsi"/>
                <w:color w:val="002060"/>
                <w:sz w:val="18"/>
                <w:szCs w:val="18"/>
                <w:lang w:val="sr-Cyrl-CS"/>
              </w:rPr>
              <w:t> </w:t>
            </w:r>
          </w:p>
        </w:tc>
        <w:tc>
          <w:tcPr>
            <w:tcW w:w="605" w:type="pct"/>
            <w:tcBorders>
              <w:top w:val="single" w:sz="4" w:space="0" w:color="002060"/>
              <w:left w:val="none" w:sz="0" w:space="0" w:color="auto"/>
              <w:bottom w:val="single" w:sz="4" w:space="0" w:color="002060"/>
              <w:right w:val="none" w:sz="0" w:space="0" w:color="auto"/>
            </w:tcBorders>
            <w:shd w:val="clear" w:color="auto" w:fill="auto"/>
            <w:vAlign w:val="center"/>
          </w:tcPr>
          <w:p w14:paraId="6C379892"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2024</w:t>
            </w:r>
          </w:p>
        </w:tc>
        <w:tc>
          <w:tcPr>
            <w:tcW w:w="605" w:type="pct"/>
            <w:tcBorders>
              <w:top w:val="single" w:sz="4" w:space="0" w:color="002060"/>
              <w:left w:val="none" w:sz="0" w:space="0" w:color="auto"/>
              <w:bottom w:val="single" w:sz="4" w:space="0" w:color="002060"/>
              <w:right w:val="none" w:sz="0" w:space="0" w:color="auto"/>
            </w:tcBorders>
            <w:shd w:val="clear" w:color="auto" w:fill="auto"/>
            <w:vAlign w:val="center"/>
          </w:tcPr>
          <w:p w14:paraId="2BE510C7"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2025</w:t>
            </w:r>
          </w:p>
        </w:tc>
        <w:tc>
          <w:tcPr>
            <w:tcW w:w="556" w:type="pct"/>
            <w:tcBorders>
              <w:top w:val="single" w:sz="4" w:space="0" w:color="002060"/>
              <w:left w:val="none" w:sz="0" w:space="0" w:color="auto"/>
              <w:bottom w:val="single" w:sz="4" w:space="0" w:color="002060"/>
              <w:right w:val="none" w:sz="0" w:space="0" w:color="auto"/>
            </w:tcBorders>
            <w:shd w:val="clear" w:color="auto" w:fill="auto"/>
            <w:vAlign w:val="center"/>
          </w:tcPr>
          <w:p w14:paraId="0DC15FF6"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2026</w:t>
            </w:r>
          </w:p>
        </w:tc>
        <w:tc>
          <w:tcPr>
            <w:tcW w:w="556" w:type="pct"/>
            <w:tcBorders>
              <w:top w:val="single" w:sz="4" w:space="0" w:color="002060"/>
              <w:left w:val="none" w:sz="0" w:space="0" w:color="auto"/>
              <w:bottom w:val="single" w:sz="4" w:space="0" w:color="002060"/>
              <w:right w:val="none" w:sz="0" w:space="0" w:color="auto"/>
            </w:tcBorders>
            <w:shd w:val="clear" w:color="auto" w:fill="auto"/>
            <w:vAlign w:val="center"/>
          </w:tcPr>
          <w:p w14:paraId="4E8B26A6"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2027</w:t>
            </w:r>
          </w:p>
        </w:tc>
        <w:tc>
          <w:tcPr>
            <w:tcW w:w="556" w:type="pct"/>
            <w:tcBorders>
              <w:top w:val="single" w:sz="4" w:space="0" w:color="002060"/>
              <w:left w:val="none" w:sz="0" w:space="0" w:color="auto"/>
              <w:bottom w:val="single" w:sz="4" w:space="0" w:color="002060"/>
              <w:right w:val="none" w:sz="0" w:space="0" w:color="auto"/>
            </w:tcBorders>
            <w:shd w:val="clear" w:color="auto" w:fill="auto"/>
            <w:vAlign w:val="center"/>
          </w:tcPr>
          <w:p w14:paraId="4B5696AE"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2028</w:t>
            </w:r>
          </w:p>
        </w:tc>
      </w:tr>
      <w:tr w:rsidR="000F50EC" w:rsidRPr="001B41AD" w14:paraId="189BA059" w14:textId="77777777" w:rsidTr="00405489">
        <w:trPr>
          <w:trHeight w:val="20"/>
        </w:trPr>
        <w:tc>
          <w:tcPr>
            <w:tcW w:w="2121" w:type="pct"/>
            <w:vAlign w:val="center"/>
          </w:tcPr>
          <w:p w14:paraId="3D4001B7" w14:textId="77777777" w:rsidR="000F50EC" w:rsidRPr="001B41AD" w:rsidRDefault="000F50EC" w:rsidP="00405489">
            <w:pPr>
              <w:rPr>
                <w:rFonts w:cstheme="minorHAnsi"/>
                <w:color w:val="002060"/>
                <w:sz w:val="18"/>
                <w:szCs w:val="18"/>
                <w:lang w:val="sr-Cyrl-CS"/>
              </w:rPr>
            </w:pPr>
            <w:r w:rsidRPr="001B41AD">
              <w:rPr>
                <w:rFonts w:cstheme="minorHAnsi"/>
                <w:color w:val="002060"/>
                <w:sz w:val="18"/>
                <w:szCs w:val="18"/>
                <w:lang w:val="sr-Cyrl-CS"/>
              </w:rPr>
              <w:t>Јавни приходи</w:t>
            </w:r>
          </w:p>
        </w:tc>
        <w:tc>
          <w:tcPr>
            <w:tcW w:w="605" w:type="pct"/>
            <w:tcBorders>
              <w:top w:val="single" w:sz="4" w:space="0" w:color="002060"/>
            </w:tcBorders>
            <w:vAlign w:val="center"/>
          </w:tcPr>
          <w:p w14:paraId="5B8E93A8"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40,4</w:t>
            </w:r>
          </w:p>
        </w:tc>
        <w:tc>
          <w:tcPr>
            <w:tcW w:w="605" w:type="pct"/>
            <w:tcBorders>
              <w:top w:val="single" w:sz="4" w:space="0" w:color="002060"/>
            </w:tcBorders>
            <w:vAlign w:val="center"/>
          </w:tcPr>
          <w:p w14:paraId="07C38D7E"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40,9</w:t>
            </w:r>
          </w:p>
        </w:tc>
        <w:tc>
          <w:tcPr>
            <w:tcW w:w="556" w:type="pct"/>
            <w:tcBorders>
              <w:top w:val="single" w:sz="4" w:space="0" w:color="002060"/>
            </w:tcBorders>
            <w:vAlign w:val="center"/>
          </w:tcPr>
          <w:p w14:paraId="7417DF1B"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40,9</w:t>
            </w:r>
          </w:p>
        </w:tc>
        <w:tc>
          <w:tcPr>
            <w:tcW w:w="556" w:type="pct"/>
            <w:tcBorders>
              <w:top w:val="single" w:sz="4" w:space="0" w:color="002060"/>
            </w:tcBorders>
            <w:vAlign w:val="center"/>
          </w:tcPr>
          <w:p w14:paraId="52D701D3"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40,1</w:t>
            </w:r>
          </w:p>
        </w:tc>
        <w:tc>
          <w:tcPr>
            <w:tcW w:w="556" w:type="pct"/>
            <w:tcBorders>
              <w:top w:val="single" w:sz="4" w:space="0" w:color="002060"/>
            </w:tcBorders>
            <w:vAlign w:val="center"/>
          </w:tcPr>
          <w:p w14:paraId="1D6DCE9A"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40,0</w:t>
            </w:r>
          </w:p>
        </w:tc>
      </w:tr>
      <w:tr w:rsidR="000F50EC" w:rsidRPr="001B41AD" w14:paraId="55ABC344"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tcW w:w="2121" w:type="pct"/>
            <w:tcBorders>
              <w:left w:val="none" w:sz="0" w:space="0" w:color="auto"/>
              <w:right w:val="none" w:sz="0" w:space="0" w:color="auto"/>
            </w:tcBorders>
            <w:shd w:val="clear" w:color="auto" w:fill="auto"/>
            <w:vAlign w:val="center"/>
          </w:tcPr>
          <w:p w14:paraId="256324DD" w14:textId="77777777" w:rsidR="000F50EC" w:rsidRPr="001B41AD" w:rsidRDefault="000F50EC" w:rsidP="00405489">
            <w:pPr>
              <w:rPr>
                <w:rFonts w:cstheme="minorHAnsi"/>
                <w:color w:val="002060"/>
                <w:sz w:val="18"/>
                <w:szCs w:val="18"/>
                <w:lang w:val="sr-Cyrl-CS"/>
              </w:rPr>
            </w:pPr>
            <w:r w:rsidRPr="001B41AD">
              <w:rPr>
                <w:rFonts w:cstheme="minorHAnsi"/>
                <w:color w:val="002060"/>
                <w:sz w:val="18"/>
                <w:szCs w:val="18"/>
                <w:lang w:val="sr-Cyrl-CS"/>
              </w:rPr>
              <w:t>Јавни расходи</w:t>
            </w:r>
          </w:p>
        </w:tc>
        <w:tc>
          <w:tcPr>
            <w:tcW w:w="605" w:type="pct"/>
            <w:tcBorders>
              <w:left w:val="none" w:sz="0" w:space="0" w:color="auto"/>
              <w:right w:val="none" w:sz="0" w:space="0" w:color="auto"/>
            </w:tcBorders>
            <w:shd w:val="clear" w:color="auto" w:fill="auto"/>
            <w:vAlign w:val="center"/>
          </w:tcPr>
          <w:p w14:paraId="678A0468"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42,4</w:t>
            </w:r>
          </w:p>
        </w:tc>
        <w:tc>
          <w:tcPr>
            <w:tcW w:w="605" w:type="pct"/>
            <w:tcBorders>
              <w:left w:val="none" w:sz="0" w:space="0" w:color="auto"/>
              <w:right w:val="none" w:sz="0" w:space="0" w:color="auto"/>
            </w:tcBorders>
            <w:shd w:val="clear" w:color="auto" w:fill="auto"/>
            <w:vAlign w:val="center"/>
          </w:tcPr>
          <w:p w14:paraId="34D7E69E"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43,9</w:t>
            </w:r>
          </w:p>
        </w:tc>
        <w:tc>
          <w:tcPr>
            <w:tcW w:w="556" w:type="pct"/>
            <w:tcBorders>
              <w:left w:val="none" w:sz="0" w:space="0" w:color="auto"/>
              <w:right w:val="none" w:sz="0" w:space="0" w:color="auto"/>
            </w:tcBorders>
            <w:shd w:val="clear" w:color="auto" w:fill="auto"/>
            <w:vAlign w:val="center"/>
          </w:tcPr>
          <w:p w14:paraId="59B71742"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43,9</w:t>
            </w:r>
          </w:p>
        </w:tc>
        <w:tc>
          <w:tcPr>
            <w:tcW w:w="556" w:type="pct"/>
            <w:tcBorders>
              <w:left w:val="none" w:sz="0" w:space="0" w:color="auto"/>
              <w:right w:val="none" w:sz="0" w:space="0" w:color="auto"/>
            </w:tcBorders>
            <w:shd w:val="clear" w:color="auto" w:fill="auto"/>
            <w:vAlign w:val="center"/>
          </w:tcPr>
          <w:p w14:paraId="60043357"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43,1</w:t>
            </w:r>
          </w:p>
        </w:tc>
        <w:tc>
          <w:tcPr>
            <w:tcW w:w="556" w:type="pct"/>
            <w:tcBorders>
              <w:left w:val="none" w:sz="0" w:space="0" w:color="auto"/>
              <w:right w:val="none" w:sz="0" w:space="0" w:color="auto"/>
            </w:tcBorders>
            <w:shd w:val="clear" w:color="auto" w:fill="auto"/>
            <w:vAlign w:val="center"/>
          </w:tcPr>
          <w:p w14:paraId="1C326DD2"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42,5</w:t>
            </w:r>
          </w:p>
        </w:tc>
      </w:tr>
      <w:tr w:rsidR="000F50EC" w:rsidRPr="001B41AD" w14:paraId="4B864B06" w14:textId="77777777" w:rsidTr="00405489">
        <w:trPr>
          <w:trHeight w:val="20"/>
        </w:trPr>
        <w:tc>
          <w:tcPr>
            <w:tcW w:w="2121" w:type="pct"/>
            <w:vAlign w:val="center"/>
          </w:tcPr>
          <w:p w14:paraId="396EE776" w14:textId="77777777" w:rsidR="000F50EC" w:rsidRPr="001B41AD" w:rsidRDefault="000F50EC" w:rsidP="00405489">
            <w:pPr>
              <w:rPr>
                <w:rFonts w:cstheme="minorHAnsi"/>
                <w:color w:val="002060"/>
                <w:sz w:val="18"/>
                <w:szCs w:val="18"/>
                <w:lang w:val="sr-Cyrl-CS"/>
              </w:rPr>
            </w:pPr>
          </w:p>
        </w:tc>
        <w:tc>
          <w:tcPr>
            <w:tcW w:w="605" w:type="pct"/>
            <w:vAlign w:val="center"/>
          </w:tcPr>
          <w:p w14:paraId="6EB278F3" w14:textId="77777777" w:rsidR="000F50EC" w:rsidRPr="001B41AD" w:rsidRDefault="000F50EC" w:rsidP="00405489">
            <w:pPr>
              <w:jc w:val="center"/>
              <w:rPr>
                <w:rFonts w:cstheme="minorHAnsi"/>
                <w:color w:val="002060"/>
                <w:sz w:val="18"/>
                <w:szCs w:val="18"/>
                <w:lang w:val="sr-Cyrl-CS"/>
              </w:rPr>
            </w:pPr>
          </w:p>
        </w:tc>
        <w:tc>
          <w:tcPr>
            <w:tcW w:w="605" w:type="pct"/>
            <w:vAlign w:val="center"/>
          </w:tcPr>
          <w:p w14:paraId="4FD6EF5F" w14:textId="77777777" w:rsidR="000F50EC" w:rsidRPr="001B41AD" w:rsidRDefault="000F50EC" w:rsidP="00405489">
            <w:pPr>
              <w:jc w:val="center"/>
              <w:rPr>
                <w:rFonts w:cstheme="minorHAnsi"/>
                <w:sz w:val="18"/>
                <w:szCs w:val="18"/>
                <w:lang w:val="sr-Cyrl-CS"/>
              </w:rPr>
            </w:pPr>
          </w:p>
        </w:tc>
        <w:tc>
          <w:tcPr>
            <w:tcW w:w="556" w:type="pct"/>
            <w:vAlign w:val="center"/>
          </w:tcPr>
          <w:p w14:paraId="03A9FB56" w14:textId="77777777" w:rsidR="000F50EC" w:rsidRPr="001B41AD" w:rsidRDefault="000F50EC" w:rsidP="00405489">
            <w:pPr>
              <w:jc w:val="center"/>
              <w:rPr>
                <w:rFonts w:cstheme="minorHAnsi"/>
                <w:color w:val="1F3864" w:themeColor="accent1" w:themeShade="80"/>
                <w:sz w:val="18"/>
                <w:szCs w:val="18"/>
                <w:lang w:val="sr-Cyrl-CS"/>
              </w:rPr>
            </w:pPr>
          </w:p>
        </w:tc>
        <w:tc>
          <w:tcPr>
            <w:tcW w:w="556" w:type="pct"/>
            <w:vAlign w:val="center"/>
          </w:tcPr>
          <w:p w14:paraId="2B1BD455" w14:textId="77777777" w:rsidR="000F50EC" w:rsidRPr="001B41AD" w:rsidRDefault="000F50EC" w:rsidP="00405489">
            <w:pPr>
              <w:jc w:val="center"/>
              <w:rPr>
                <w:rFonts w:cstheme="minorHAnsi"/>
                <w:color w:val="1F3864" w:themeColor="accent1" w:themeShade="80"/>
                <w:sz w:val="18"/>
                <w:szCs w:val="18"/>
                <w:lang w:val="sr-Cyrl-CS"/>
              </w:rPr>
            </w:pPr>
          </w:p>
        </w:tc>
        <w:tc>
          <w:tcPr>
            <w:tcW w:w="556" w:type="pct"/>
            <w:vAlign w:val="center"/>
          </w:tcPr>
          <w:p w14:paraId="65AD7C4C" w14:textId="77777777" w:rsidR="000F50EC" w:rsidRPr="001B41AD" w:rsidRDefault="000F50EC" w:rsidP="00405489">
            <w:pPr>
              <w:jc w:val="center"/>
              <w:rPr>
                <w:rFonts w:cstheme="minorHAnsi"/>
                <w:color w:val="1F3864" w:themeColor="accent1" w:themeShade="80"/>
                <w:sz w:val="18"/>
                <w:szCs w:val="18"/>
                <w:lang w:val="sr-Cyrl-CS"/>
              </w:rPr>
            </w:pPr>
          </w:p>
        </w:tc>
      </w:tr>
      <w:tr w:rsidR="000F50EC" w:rsidRPr="001B41AD" w14:paraId="333662BF"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tcW w:w="2121" w:type="pct"/>
            <w:tcBorders>
              <w:left w:val="none" w:sz="0" w:space="0" w:color="auto"/>
              <w:right w:val="none" w:sz="0" w:space="0" w:color="auto"/>
            </w:tcBorders>
            <w:shd w:val="clear" w:color="auto" w:fill="auto"/>
            <w:vAlign w:val="center"/>
          </w:tcPr>
          <w:p w14:paraId="79F8EFBB" w14:textId="77777777" w:rsidR="000F50EC" w:rsidRPr="001B41AD" w:rsidRDefault="000F50EC" w:rsidP="00405489">
            <w:pPr>
              <w:rPr>
                <w:rFonts w:cstheme="minorHAnsi"/>
                <w:color w:val="002060"/>
                <w:sz w:val="18"/>
                <w:szCs w:val="18"/>
                <w:lang w:val="sr-Cyrl-CS"/>
              </w:rPr>
            </w:pPr>
            <w:r w:rsidRPr="001B41AD">
              <w:rPr>
                <w:rFonts w:cstheme="minorHAnsi"/>
                <w:color w:val="002060"/>
                <w:sz w:val="18"/>
                <w:szCs w:val="18"/>
                <w:lang w:val="sr-Cyrl-CS"/>
              </w:rPr>
              <w:t>Консолидовани фискални резултат</w:t>
            </w:r>
          </w:p>
        </w:tc>
        <w:tc>
          <w:tcPr>
            <w:tcW w:w="605" w:type="pct"/>
            <w:tcBorders>
              <w:left w:val="none" w:sz="0" w:space="0" w:color="auto"/>
              <w:right w:val="none" w:sz="0" w:space="0" w:color="auto"/>
            </w:tcBorders>
            <w:shd w:val="clear" w:color="auto" w:fill="auto"/>
            <w:vAlign w:val="center"/>
          </w:tcPr>
          <w:p w14:paraId="5E11CEDF"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-2,0</w:t>
            </w:r>
          </w:p>
        </w:tc>
        <w:tc>
          <w:tcPr>
            <w:tcW w:w="605" w:type="pct"/>
            <w:tcBorders>
              <w:left w:val="none" w:sz="0" w:space="0" w:color="auto"/>
              <w:right w:val="none" w:sz="0" w:space="0" w:color="auto"/>
            </w:tcBorders>
            <w:shd w:val="clear" w:color="auto" w:fill="auto"/>
            <w:vAlign w:val="center"/>
          </w:tcPr>
          <w:p w14:paraId="6C3A1740"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-3,0</w:t>
            </w:r>
          </w:p>
        </w:tc>
        <w:tc>
          <w:tcPr>
            <w:tcW w:w="556" w:type="pct"/>
            <w:tcBorders>
              <w:left w:val="none" w:sz="0" w:space="0" w:color="auto"/>
              <w:right w:val="none" w:sz="0" w:space="0" w:color="auto"/>
            </w:tcBorders>
            <w:shd w:val="clear" w:color="auto" w:fill="auto"/>
            <w:vAlign w:val="center"/>
          </w:tcPr>
          <w:p w14:paraId="0B9AF514"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-3,0</w:t>
            </w:r>
          </w:p>
        </w:tc>
        <w:tc>
          <w:tcPr>
            <w:tcW w:w="556" w:type="pct"/>
            <w:tcBorders>
              <w:left w:val="none" w:sz="0" w:space="0" w:color="auto"/>
              <w:right w:val="none" w:sz="0" w:space="0" w:color="auto"/>
            </w:tcBorders>
            <w:shd w:val="clear" w:color="auto" w:fill="auto"/>
            <w:vAlign w:val="center"/>
          </w:tcPr>
          <w:p w14:paraId="52B8B96F"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-3,0</w:t>
            </w:r>
          </w:p>
        </w:tc>
        <w:tc>
          <w:tcPr>
            <w:tcW w:w="556" w:type="pct"/>
            <w:tcBorders>
              <w:left w:val="none" w:sz="0" w:space="0" w:color="auto"/>
              <w:right w:val="none" w:sz="0" w:space="0" w:color="auto"/>
            </w:tcBorders>
            <w:shd w:val="clear" w:color="auto" w:fill="auto"/>
            <w:vAlign w:val="center"/>
          </w:tcPr>
          <w:p w14:paraId="13AEC7DF"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-2,5</w:t>
            </w:r>
          </w:p>
        </w:tc>
      </w:tr>
      <w:tr w:rsidR="000F50EC" w:rsidRPr="001B41AD" w14:paraId="26380679" w14:textId="77777777" w:rsidTr="00405489">
        <w:trPr>
          <w:trHeight w:val="20"/>
        </w:trPr>
        <w:tc>
          <w:tcPr>
            <w:tcW w:w="2121" w:type="pct"/>
            <w:vAlign w:val="center"/>
          </w:tcPr>
          <w:p w14:paraId="4876FDB9" w14:textId="77777777" w:rsidR="000F50EC" w:rsidRPr="001B41AD" w:rsidRDefault="000F50EC" w:rsidP="00405489">
            <w:pPr>
              <w:rPr>
                <w:rFonts w:cstheme="minorHAnsi"/>
                <w:color w:val="002060"/>
                <w:sz w:val="18"/>
                <w:szCs w:val="18"/>
                <w:lang w:val="sr-Cyrl-CS"/>
              </w:rPr>
            </w:pPr>
            <w:r w:rsidRPr="001B41AD">
              <w:rPr>
                <w:rFonts w:cstheme="minorHAnsi"/>
                <w:color w:val="002060"/>
                <w:sz w:val="18"/>
                <w:szCs w:val="18"/>
                <w:lang w:val="sr-Cyrl-CS"/>
              </w:rPr>
              <w:t>Примарни консолидовани резултат</w:t>
            </w:r>
          </w:p>
        </w:tc>
        <w:tc>
          <w:tcPr>
            <w:tcW w:w="605" w:type="pct"/>
            <w:vAlign w:val="center"/>
          </w:tcPr>
          <w:p w14:paraId="17F06EDD"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-0,3</w:t>
            </w:r>
          </w:p>
        </w:tc>
        <w:tc>
          <w:tcPr>
            <w:tcW w:w="605" w:type="pct"/>
            <w:vAlign w:val="center"/>
          </w:tcPr>
          <w:p w14:paraId="7DD9C0CA"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-1,2</w:t>
            </w:r>
          </w:p>
        </w:tc>
        <w:tc>
          <w:tcPr>
            <w:tcW w:w="556" w:type="pct"/>
            <w:vAlign w:val="center"/>
          </w:tcPr>
          <w:p w14:paraId="25C6018A"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-1,2</w:t>
            </w:r>
          </w:p>
        </w:tc>
        <w:tc>
          <w:tcPr>
            <w:tcW w:w="556" w:type="pct"/>
            <w:vAlign w:val="center"/>
          </w:tcPr>
          <w:p w14:paraId="3835E439"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-1,2</w:t>
            </w:r>
          </w:p>
        </w:tc>
        <w:tc>
          <w:tcPr>
            <w:tcW w:w="556" w:type="pct"/>
            <w:vAlign w:val="center"/>
          </w:tcPr>
          <w:p w14:paraId="0681376D"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-0,7</w:t>
            </w:r>
          </w:p>
        </w:tc>
      </w:tr>
      <w:tr w:rsidR="000F50EC" w:rsidRPr="001B41AD" w14:paraId="3DF90BAA"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tcW w:w="2121" w:type="pct"/>
            <w:tcBorders>
              <w:left w:val="none" w:sz="0" w:space="0" w:color="auto"/>
              <w:right w:val="none" w:sz="0" w:space="0" w:color="auto"/>
            </w:tcBorders>
            <w:shd w:val="clear" w:color="auto" w:fill="auto"/>
            <w:vAlign w:val="center"/>
          </w:tcPr>
          <w:p w14:paraId="4E5D1A6F" w14:textId="77777777" w:rsidR="000F50EC" w:rsidRPr="001B41AD" w:rsidRDefault="000F50EC" w:rsidP="00405489">
            <w:pPr>
              <w:rPr>
                <w:rFonts w:cstheme="minorHAnsi"/>
                <w:color w:val="002060"/>
                <w:sz w:val="18"/>
                <w:szCs w:val="18"/>
                <w:lang w:val="sr-Cyrl-CS"/>
              </w:rPr>
            </w:pPr>
          </w:p>
        </w:tc>
        <w:tc>
          <w:tcPr>
            <w:tcW w:w="605" w:type="pct"/>
            <w:tcBorders>
              <w:left w:val="none" w:sz="0" w:space="0" w:color="auto"/>
              <w:right w:val="none" w:sz="0" w:space="0" w:color="auto"/>
            </w:tcBorders>
            <w:shd w:val="clear" w:color="auto" w:fill="auto"/>
            <w:vAlign w:val="center"/>
          </w:tcPr>
          <w:p w14:paraId="64CC034B" w14:textId="77777777" w:rsidR="000F50EC" w:rsidRPr="001B41AD" w:rsidRDefault="000F50EC" w:rsidP="00405489">
            <w:pPr>
              <w:jc w:val="center"/>
              <w:rPr>
                <w:rFonts w:cstheme="minorHAnsi"/>
                <w:color w:val="002060"/>
                <w:sz w:val="18"/>
                <w:szCs w:val="18"/>
                <w:lang w:val="sr-Cyrl-CS"/>
              </w:rPr>
            </w:pPr>
          </w:p>
        </w:tc>
        <w:tc>
          <w:tcPr>
            <w:tcW w:w="605" w:type="pct"/>
            <w:tcBorders>
              <w:left w:val="none" w:sz="0" w:space="0" w:color="auto"/>
              <w:right w:val="none" w:sz="0" w:space="0" w:color="auto"/>
            </w:tcBorders>
            <w:shd w:val="clear" w:color="auto" w:fill="auto"/>
            <w:vAlign w:val="center"/>
          </w:tcPr>
          <w:p w14:paraId="01A72E77" w14:textId="77777777" w:rsidR="000F50EC" w:rsidRPr="001B41AD" w:rsidRDefault="000F50EC" w:rsidP="00405489">
            <w:pPr>
              <w:jc w:val="center"/>
              <w:rPr>
                <w:rFonts w:cstheme="minorHAnsi"/>
                <w:color w:val="002060"/>
                <w:sz w:val="18"/>
                <w:szCs w:val="18"/>
                <w:lang w:val="sr-Cyrl-CS"/>
              </w:rPr>
            </w:pPr>
          </w:p>
        </w:tc>
        <w:tc>
          <w:tcPr>
            <w:tcW w:w="556" w:type="pct"/>
            <w:tcBorders>
              <w:left w:val="none" w:sz="0" w:space="0" w:color="auto"/>
              <w:right w:val="none" w:sz="0" w:space="0" w:color="auto"/>
            </w:tcBorders>
            <w:shd w:val="clear" w:color="auto" w:fill="auto"/>
            <w:vAlign w:val="center"/>
          </w:tcPr>
          <w:p w14:paraId="05AE3305" w14:textId="77777777" w:rsidR="000F50EC" w:rsidRPr="001B41AD" w:rsidRDefault="000F50EC" w:rsidP="00405489">
            <w:pPr>
              <w:jc w:val="center"/>
              <w:rPr>
                <w:rFonts w:cstheme="minorHAnsi"/>
                <w:color w:val="002060"/>
                <w:sz w:val="18"/>
                <w:szCs w:val="18"/>
                <w:lang w:val="sr-Cyrl-CS"/>
              </w:rPr>
            </w:pPr>
          </w:p>
        </w:tc>
        <w:tc>
          <w:tcPr>
            <w:tcW w:w="556" w:type="pct"/>
            <w:tcBorders>
              <w:left w:val="none" w:sz="0" w:space="0" w:color="auto"/>
              <w:right w:val="none" w:sz="0" w:space="0" w:color="auto"/>
            </w:tcBorders>
            <w:shd w:val="clear" w:color="auto" w:fill="auto"/>
            <w:vAlign w:val="center"/>
          </w:tcPr>
          <w:p w14:paraId="06E80B9B" w14:textId="77777777" w:rsidR="000F50EC" w:rsidRPr="001B41AD" w:rsidRDefault="000F50EC" w:rsidP="00405489">
            <w:pPr>
              <w:jc w:val="center"/>
              <w:rPr>
                <w:rFonts w:cstheme="minorHAnsi"/>
                <w:color w:val="002060"/>
                <w:sz w:val="18"/>
                <w:szCs w:val="18"/>
                <w:lang w:val="sr-Cyrl-CS"/>
              </w:rPr>
            </w:pPr>
          </w:p>
        </w:tc>
        <w:tc>
          <w:tcPr>
            <w:tcW w:w="556" w:type="pct"/>
            <w:tcBorders>
              <w:left w:val="none" w:sz="0" w:space="0" w:color="auto"/>
              <w:right w:val="none" w:sz="0" w:space="0" w:color="auto"/>
            </w:tcBorders>
            <w:shd w:val="clear" w:color="auto" w:fill="auto"/>
            <w:vAlign w:val="center"/>
          </w:tcPr>
          <w:p w14:paraId="0F11EE8B" w14:textId="77777777" w:rsidR="000F50EC" w:rsidRPr="001B41AD" w:rsidRDefault="000F50EC" w:rsidP="00405489">
            <w:pPr>
              <w:jc w:val="center"/>
              <w:rPr>
                <w:rFonts w:cstheme="minorHAnsi"/>
                <w:color w:val="002060"/>
                <w:sz w:val="18"/>
                <w:szCs w:val="18"/>
                <w:lang w:val="sr-Cyrl-CS"/>
              </w:rPr>
            </w:pPr>
          </w:p>
        </w:tc>
      </w:tr>
      <w:tr w:rsidR="000F50EC" w:rsidRPr="001B41AD" w14:paraId="2AC71C68" w14:textId="77777777" w:rsidTr="00405489">
        <w:trPr>
          <w:trHeight w:val="20"/>
        </w:trPr>
        <w:tc>
          <w:tcPr>
            <w:tcW w:w="2121" w:type="pct"/>
            <w:vAlign w:val="center"/>
          </w:tcPr>
          <w:p w14:paraId="16415B7F" w14:textId="77777777" w:rsidR="000F50EC" w:rsidRPr="001B41AD" w:rsidRDefault="000F50EC" w:rsidP="00405489">
            <w:pPr>
              <w:rPr>
                <w:rFonts w:cstheme="minorHAnsi"/>
                <w:color w:val="002060"/>
                <w:sz w:val="18"/>
                <w:szCs w:val="18"/>
                <w:lang w:val="sr-Cyrl-CS"/>
              </w:rPr>
            </w:pPr>
            <w:r w:rsidRPr="001B41AD">
              <w:rPr>
                <w:rFonts w:cstheme="minorHAnsi"/>
                <w:color w:val="002060"/>
                <w:sz w:val="18"/>
                <w:szCs w:val="18"/>
                <w:lang w:val="sr-Cyrl-CS"/>
              </w:rPr>
              <w:t>Дуг сектора државе</w:t>
            </w:r>
          </w:p>
        </w:tc>
        <w:tc>
          <w:tcPr>
            <w:tcW w:w="605" w:type="pct"/>
            <w:vAlign w:val="center"/>
          </w:tcPr>
          <w:p w14:paraId="645FE1EA"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46,9</w:t>
            </w:r>
          </w:p>
        </w:tc>
        <w:tc>
          <w:tcPr>
            <w:tcW w:w="605" w:type="pct"/>
            <w:vAlign w:val="center"/>
          </w:tcPr>
          <w:p w14:paraId="4D6AB27C"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45,0</w:t>
            </w:r>
          </w:p>
        </w:tc>
        <w:tc>
          <w:tcPr>
            <w:tcW w:w="556" w:type="pct"/>
            <w:vAlign w:val="center"/>
          </w:tcPr>
          <w:p w14:paraId="114E2F25"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44,5</w:t>
            </w:r>
          </w:p>
        </w:tc>
        <w:tc>
          <w:tcPr>
            <w:tcW w:w="556" w:type="pct"/>
            <w:vAlign w:val="center"/>
          </w:tcPr>
          <w:p w14:paraId="7F7347B9"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44,3</w:t>
            </w:r>
          </w:p>
        </w:tc>
        <w:tc>
          <w:tcPr>
            <w:tcW w:w="556" w:type="pct"/>
            <w:vAlign w:val="center"/>
          </w:tcPr>
          <w:p w14:paraId="049387A3" w14:textId="77777777" w:rsidR="000F50EC" w:rsidRPr="001B41AD" w:rsidRDefault="000F50EC" w:rsidP="00405489">
            <w:pPr>
              <w:jc w:val="center"/>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44,1</w:t>
            </w:r>
          </w:p>
        </w:tc>
      </w:tr>
      <w:tr w:rsidR="000F50EC" w:rsidRPr="001B41AD" w14:paraId="220AFF81"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tcW w:w="2121" w:type="pct"/>
            <w:tcBorders>
              <w:left w:val="none" w:sz="0" w:space="0" w:color="auto"/>
              <w:bottom w:val="single" w:sz="4" w:space="0" w:color="002060"/>
              <w:right w:val="none" w:sz="0" w:space="0" w:color="auto"/>
            </w:tcBorders>
            <w:shd w:val="clear" w:color="auto" w:fill="auto"/>
            <w:vAlign w:val="center"/>
          </w:tcPr>
          <w:p w14:paraId="3399915B" w14:textId="77777777" w:rsidR="000F50EC" w:rsidRPr="001B41AD" w:rsidRDefault="000F50EC" w:rsidP="00405489">
            <w:pPr>
              <w:rPr>
                <w:rFonts w:cstheme="minorHAnsi"/>
                <w:color w:val="002060"/>
                <w:sz w:val="18"/>
                <w:szCs w:val="18"/>
                <w:lang w:val="sr-Cyrl-CS"/>
              </w:rPr>
            </w:pPr>
            <w:r w:rsidRPr="001B41AD">
              <w:rPr>
                <w:rFonts w:cstheme="minorHAnsi"/>
                <w:color w:val="002060"/>
                <w:sz w:val="18"/>
                <w:szCs w:val="18"/>
                <w:lang w:val="sr-Cyrl-CS"/>
              </w:rPr>
              <w:t>Реална стопа раста БДП</w:t>
            </w:r>
          </w:p>
        </w:tc>
        <w:tc>
          <w:tcPr>
            <w:tcW w:w="605" w:type="pct"/>
            <w:tcBorders>
              <w:left w:val="none" w:sz="0" w:space="0" w:color="auto"/>
              <w:bottom w:val="single" w:sz="4" w:space="0" w:color="002060"/>
              <w:right w:val="none" w:sz="0" w:space="0" w:color="auto"/>
            </w:tcBorders>
            <w:shd w:val="clear" w:color="auto" w:fill="auto"/>
            <w:vAlign w:val="center"/>
          </w:tcPr>
          <w:p w14:paraId="256A2627"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3,9%</w:t>
            </w:r>
          </w:p>
        </w:tc>
        <w:tc>
          <w:tcPr>
            <w:tcW w:w="605" w:type="pct"/>
            <w:tcBorders>
              <w:left w:val="none" w:sz="0" w:space="0" w:color="auto"/>
              <w:bottom w:val="single" w:sz="4" w:space="0" w:color="002060"/>
              <w:right w:val="none" w:sz="0" w:space="0" w:color="auto"/>
            </w:tcBorders>
            <w:shd w:val="clear" w:color="auto" w:fill="auto"/>
            <w:vAlign w:val="center"/>
          </w:tcPr>
          <w:p w14:paraId="744674B1"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2,3%</w:t>
            </w:r>
          </w:p>
        </w:tc>
        <w:tc>
          <w:tcPr>
            <w:tcW w:w="556" w:type="pct"/>
            <w:tcBorders>
              <w:left w:val="none" w:sz="0" w:space="0" w:color="auto"/>
              <w:bottom w:val="single" w:sz="4" w:space="0" w:color="002060"/>
              <w:right w:val="none" w:sz="0" w:space="0" w:color="auto"/>
            </w:tcBorders>
            <w:shd w:val="clear" w:color="auto" w:fill="auto"/>
            <w:vAlign w:val="center"/>
          </w:tcPr>
          <w:p w14:paraId="4DF791ED"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3,0%</w:t>
            </w:r>
          </w:p>
        </w:tc>
        <w:tc>
          <w:tcPr>
            <w:tcW w:w="556" w:type="pct"/>
            <w:tcBorders>
              <w:left w:val="none" w:sz="0" w:space="0" w:color="auto"/>
              <w:bottom w:val="single" w:sz="4" w:space="0" w:color="002060"/>
              <w:right w:val="none" w:sz="0" w:space="0" w:color="auto"/>
            </w:tcBorders>
            <w:shd w:val="clear" w:color="auto" w:fill="auto"/>
            <w:vAlign w:val="center"/>
          </w:tcPr>
          <w:p w14:paraId="2DA61308"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5,0%</w:t>
            </w:r>
          </w:p>
        </w:tc>
        <w:tc>
          <w:tcPr>
            <w:tcW w:w="556" w:type="pct"/>
            <w:tcBorders>
              <w:left w:val="none" w:sz="0" w:space="0" w:color="auto"/>
              <w:bottom w:val="single" w:sz="4" w:space="0" w:color="002060"/>
              <w:right w:val="none" w:sz="0" w:space="0" w:color="auto"/>
            </w:tcBorders>
            <w:shd w:val="clear" w:color="auto" w:fill="auto"/>
            <w:vAlign w:val="center"/>
          </w:tcPr>
          <w:p w14:paraId="5734DCE4" w14:textId="77777777" w:rsidR="000F50EC" w:rsidRPr="001B41AD" w:rsidRDefault="000F50EC" w:rsidP="00405489">
            <w:pPr>
              <w:jc w:val="center"/>
              <w:rPr>
                <w:rFonts w:cstheme="minorHAnsi"/>
                <w:color w:val="002060"/>
                <w:sz w:val="18"/>
                <w:szCs w:val="18"/>
                <w:lang w:val="sr-Cyrl-CS"/>
              </w:rPr>
            </w:pPr>
            <w:r w:rsidRPr="001B41AD">
              <w:rPr>
                <w:rFonts w:cstheme="minorHAnsi"/>
                <w:color w:val="002060"/>
                <w:sz w:val="18"/>
                <w:szCs w:val="18"/>
                <w:lang w:val="sr-Cyrl-CS"/>
              </w:rPr>
              <w:t>3,5%</w:t>
            </w:r>
          </w:p>
        </w:tc>
      </w:tr>
    </w:tbl>
    <w:p w14:paraId="1AF8C830" w14:textId="77777777" w:rsidR="000F50EC" w:rsidRPr="001B41AD" w:rsidRDefault="000F50EC" w:rsidP="000F50EC">
      <w:pPr>
        <w:spacing w:after="240" w:line="276" w:lineRule="auto"/>
        <w:rPr>
          <w:rFonts w:cstheme="minorHAnsi"/>
          <w:sz w:val="16"/>
          <w:szCs w:val="20"/>
          <w:lang w:val="sr-Cyrl-CS"/>
        </w:rPr>
      </w:pPr>
      <w:r w:rsidRPr="001B41AD">
        <w:rPr>
          <w:rFonts w:eastAsia="Calibri" w:cstheme="minorHAnsi"/>
          <w:bCs/>
          <w:sz w:val="16"/>
          <w:szCs w:val="20"/>
          <w:lang w:val="sr-Cyrl-CS" w:eastAsia="ja-JP"/>
        </w:rPr>
        <w:t xml:space="preserve">Извор: </w:t>
      </w:r>
      <w:r w:rsidRPr="001B41AD">
        <w:rPr>
          <w:rFonts w:cstheme="minorHAnsi"/>
          <w:sz w:val="16"/>
          <w:szCs w:val="20"/>
          <w:lang w:val="sr-Cyrl-CS"/>
        </w:rPr>
        <w:t>Министарство финансија</w:t>
      </w:r>
    </w:p>
    <w:p w14:paraId="5524A87C" w14:textId="77777777" w:rsidR="000F50EC" w:rsidRPr="001B41AD" w:rsidRDefault="000F50EC" w:rsidP="000F50EC">
      <w:pPr>
        <w:rPr>
          <w:rFonts w:eastAsia="Calibri" w:cstheme="minorHAnsi"/>
          <w:sz w:val="16"/>
          <w:szCs w:val="20"/>
          <w:lang w:val="sr-Cyrl-CS" w:eastAsia="ja-JP"/>
        </w:rPr>
        <w:sectPr w:rsidR="000F50EC" w:rsidRPr="001B41AD" w:rsidSect="000F50EC">
          <w:type w:val="continuous"/>
          <w:pgSz w:w="12240" w:h="15840" w:code="1"/>
          <w:pgMar w:top="1440" w:right="1440" w:bottom="1440" w:left="1440" w:header="720" w:footer="720" w:gutter="0"/>
          <w:cols w:space="720"/>
          <w:docGrid w:linePitch="360"/>
        </w:sectPr>
      </w:pPr>
    </w:p>
    <w:p w14:paraId="7A608F16" w14:textId="77777777" w:rsidR="00B203FD" w:rsidRPr="001B41AD" w:rsidRDefault="00B203FD" w:rsidP="00B203FD">
      <w:pPr>
        <w:spacing w:after="120"/>
        <w:rPr>
          <w:lang w:val="sr-Cyrl-CS" w:eastAsia="ja-JP"/>
        </w:rPr>
      </w:pPr>
      <w:r w:rsidRPr="001B41AD">
        <w:rPr>
          <w:lang w:val="sr-Cyrl-CS" w:eastAsia="ja-JP"/>
        </w:rPr>
        <w:t>На расходној страни, приоритет остају капиталне инвестиције са јасним мултипликат</w:t>
      </w:r>
      <w:r w:rsidR="00F3055F" w:rsidRPr="001B41AD">
        <w:rPr>
          <w:lang w:val="sr-Cyrl-CS" w:eastAsia="ja-JP"/>
        </w:rPr>
        <w:t>ивним</w:t>
      </w:r>
      <w:r w:rsidRPr="001B41AD">
        <w:rPr>
          <w:lang w:val="sr-Cyrl-CS" w:eastAsia="ja-JP"/>
        </w:rPr>
        <w:t xml:space="preserve"> ефектима – транспортна и енергетска инфраструктура, дигитализација, зелена транзиција и пројекти повезани са </w:t>
      </w:r>
      <w:r w:rsidRPr="001B41AD">
        <w:rPr>
          <w:i/>
          <w:lang w:val="sr-Cyrl-CS" w:eastAsia="ja-JP"/>
        </w:rPr>
        <w:t>EXPO 2027</w:t>
      </w:r>
      <w:r w:rsidRPr="001B41AD">
        <w:rPr>
          <w:lang w:val="sr-Cyrl-CS" w:eastAsia="ja-JP"/>
        </w:rPr>
        <w:t xml:space="preserve"> – уз појачану дисциплину у текућој потрошњи. Реформа управљања јавним инвестицијама има за циљ повећање ефикасности и транспарентности, како би се подржала продуктивност и дугорочни раст. </w:t>
      </w:r>
    </w:p>
    <w:p w14:paraId="655E2A5D" w14:textId="77777777" w:rsidR="00B203FD" w:rsidRPr="001B41AD" w:rsidRDefault="00B203FD" w:rsidP="00B203FD">
      <w:pPr>
        <w:spacing w:after="120"/>
        <w:rPr>
          <w:lang w:val="sr-Cyrl-CS" w:eastAsia="ja-JP"/>
        </w:rPr>
      </w:pPr>
      <w:r w:rsidRPr="001B41AD">
        <w:rPr>
          <w:lang w:val="sr-Cyrl-CS" w:eastAsia="ja-JP"/>
        </w:rPr>
        <w:t>На приходној страни, фискална политика је усмерена на даље постепено см</w:t>
      </w:r>
      <w:r w:rsidR="00B54C4D" w:rsidRPr="001B41AD">
        <w:rPr>
          <w:lang w:val="sr-Cyrl-CS" w:eastAsia="ja-JP"/>
        </w:rPr>
        <w:t xml:space="preserve">ањење пореског оптерећења рада </w:t>
      </w:r>
      <w:r w:rsidRPr="001B41AD">
        <w:rPr>
          <w:lang w:val="sr-Cyrl-CS" w:eastAsia="ja-JP"/>
        </w:rPr>
        <w:t xml:space="preserve">и проширење пореске базе кроз бољу наплату и борбу против сиве економије. </w:t>
      </w:r>
      <w:r w:rsidRPr="001B41AD">
        <w:rPr>
          <w:lang w:val="sr-Cyrl-CS" w:eastAsia="ja-JP"/>
        </w:rPr>
        <w:t xml:space="preserve">Наставља се модернизација пореске администрације (е-фактуре, е-фискализација, ризик-базиране контроле итд.) и усклађивање са прописима ЕУ. Пројекција прихода за 2026–2028 </w:t>
      </w:r>
      <w:r w:rsidR="00461482" w:rsidRPr="001B41AD">
        <w:rPr>
          <w:lang w:val="sr-Cyrl-CS" w:eastAsia="ja-JP"/>
        </w:rPr>
        <w:t>израђен</w:t>
      </w:r>
      <w:r w:rsidRPr="001B41AD">
        <w:rPr>
          <w:lang w:val="sr-Cyrl-CS" w:eastAsia="ja-JP"/>
        </w:rPr>
        <w:t>а је на основу:</w:t>
      </w:r>
    </w:p>
    <w:p w14:paraId="688C16DC" w14:textId="77777777" w:rsidR="00B203FD" w:rsidRPr="001B41AD" w:rsidRDefault="00B203FD" w:rsidP="00204810">
      <w:pPr>
        <w:pStyle w:val="ListParagraph"/>
        <w:numPr>
          <w:ilvl w:val="0"/>
          <w:numId w:val="14"/>
        </w:numPr>
        <w:spacing w:after="120"/>
        <w:rPr>
          <w:lang w:val="sr-Cyrl-CS" w:eastAsia="ja-JP"/>
        </w:rPr>
      </w:pPr>
      <w:r w:rsidRPr="001B41AD">
        <w:rPr>
          <w:lang w:val="sr-Cyrl-CS" w:eastAsia="ja-JP"/>
        </w:rPr>
        <w:t>пројекција кључних макроекономских индикатора (БДП и компоненте тражње, инфлација, курс, трговина, запосленост и зараде);</w:t>
      </w:r>
    </w:p>
    <w:p w14:paraId="6155F765" w14:textId="77777777" w:rsidR="00B203FD" w:rsidRPr="001B41AD" w:rsidRDefault="00B203FD" w:rsidP="00204810">
      <w:pPr>
        <w:pStyle w:val="ListParagraph"/>
        <w:numPr>
          <w:ilvl w:val="0"/>
          <w:numId w:val="14"/>
        </w:numPr>
        <w:spacing w:after="120"/>
        <w:rPr>
          <w:lang w:val="sr-Cyrl-CS" w:eastAsia="ja-JP"/>
        </w:rPr>
      </w:pPr>
      <w:r w:rsidRPr="001B41AD">
        <w:rPr>
          <w:lang w:val="sr-Cyrl-CS" w:eastAsia="ja-JP"/>
        </w:rPr>
        <w:t xml:space="preserve">важеће и планиране измене пореске политике и </w:t>
      </w:r>
    </w:p>
    <w:p w14:paraId="3A00D919" w14:textId="77777777" w:rsidR="0023112B" w:rsidRPr="001B41AD" w:rsidRDefault="00B203FD" w:rsidP="00204810">
      <w:pPr>
        <w:pStyle w:val="ListParagraph"/>
        <w:numPr>
          <w:ilvl w:val="0"/>
          <w:numId w:val="14"/>
        </w:numPr>
        <w:spacing w:after="120"/>
        <w:rPr>
          <w:lang w:val="sr-Cyrl-CS" w:eastAsia="ja-JP"/>
        </w:rPr>
        <w:sectPr w:rsidR="0023112B" w:rsidRPr="001B41AD" w:rsidSect="0023112B">
          <w:type w:val="continuous"/>
          <w:pgSz w:w="12240" w:h="15840" w:code="1"/>
          <w:pgMar w:top="1440" w:right="1440" w:bottom="1440" w:left="1440" w:header="720" w:footer="720" w:gutter="0"/>
          <w:cols w:num="2" w:space="720"/>
          <w:docGrid w:linePitch="360"/>
        </w:sectPr>
      </w:pPr>
      <w:r w:rsidRPr="001B41AD">
        <w:rPr>
          <w:lang w:val="sr-Cyrl-CS" w:eastAsia="ja-JP"/>
        </w:rPr>
        <w:t>ефекте фискалних и структурних мера у наредном периоду</w:t>
      </w:r>
    </w:p>
    <w:p w14:paraId="4D957424" w14:textId="77777777" w:rsidR="00591E8E" w:rsidRPr="001B41AD" w:rsidRDefault="00591E8E" w:rsidP="00591E8E">
      <w:pPr>
        <w:spacing w:after="0"/>
        <w:rPr>
          <w:rFonts w:cstheme="minorHAnsi"/>
          <w:b/>
          <w:color w:val="002060"/>
          <w:lang w:val="sr-Cyrl-CS"/>
        </w:rPr>
      </w:pPr>
    </w:p>
    <w:p w14:paraId="79955DAB" w14:textId="77777777" w:rsidR="000F50EC" w:rsidRPr="001B41AD" w:rsidRDefault="0059423E" w:rsidP="00591E8E">
      <w:pPr>
        <w:spacing w:after="0"/>
        <w:rPr>
          <w:rFonts w:cstheme="minorHAnsi"/>
          <w:b/>
          <w:color w:val="002060"/>
          <w:lang w:val="sr-Cyrl-CS"/>
        </w:rPr>
      </w:pPr>
      <w:r w:rsidRPr="001B41AD">
        <w:rPr>
          <w:noProof/>
        </w:rPr>
        <w:lastRenderedPageBreak/>
        <w:drawing>
          <wp:anchor distT="0" distB="0" distL="114300" distR="114300" simplePos="0" relativeHeight="251663360" behindDoc="1" locked="0" layoutInCell="1" allowOverlap="1" wp14:anchorId="24D111FB" wp14:editId="03AB945E">
            <wp:simplePos x="0" y="0"/>
            <wp:positionH relativeFrom="column">
              <wp:align>right</wp:align>
            </wp:positionH>
            <wp:positionV relativeFrom="paragraph">
              <wp:posOffset>257175</wp:posOffset>
            </wp:positionV>
            <wp:extent cx="2752725" cy="1856105"/>
            <wp:effectExtent l="0" t="0" r="0" b="0"/>
            <wp:wrapTight wrapText="bothSides">
              <wp:wrapPolygon edited="0">
                <wp:start x="0" y="0"/>
                <wp:lineTo x="0" y="21282"/>
                <wp:lineTo x="21376" y="21282"/>
                <wp:lineTo x="21376" y="0"/>
                <wp:lineTo x="0" y="0"/>
              </wp:wrapPolygon>
            </wp:wrapTight>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14:sizeRelH relativeFrom="margin">
              <wp14:pctWidth>0</wp14:pctWidth>
            </wp14:sizeRelH>
            <wp14:sizeRelV relativeFrom="margin">
              <wp14:pctHeight>0</wp14:pctHeight>
            </wp14:sizeRelV>
          </wp:anchor>
        </w:drawing>
      </w:r>
      <w:r w:rsidR="000F50EC" w:rsidRPr="001B41AD">
        <w:rPr>
          <w:rFonts w:cstheme="minorHAnsi"/>
          <w:b/>
          <w:color w:val="002060"/>
          <w:lang w:val="sr-Cyrl-CS"/>
        </w:rPr>
        <w:t>Фискални резултат и дуг сектора државе, % БДП</w:t>
      </w:r>
    </w:p>
    <w:p w14:paraId="72376C18" w14:textId="77777777" w:rsidR="0059423E" w:rsidRPr="001B41AD" w:rsidRDefault="00B203FD" w:rsidP="001D3837">
      <w:pPr>
        <w:spacing w:after="0" w:line="240" w:lineRule="auto"/>
        <w:rPr>
          <w:lang w:val="sr-Cyrl-CS" w:eastAsia="ja-JP"/>
        </w:rPr>
      </w:pPr>
      <w:r w:rsidRPr="001B41AD">
        <w:rPr>
          <w:lang w:val="sr-Cyrl-CS" w:eastAsia="ja-JP"/>
        </w:rPr>
        <w:t>Посебан приоритет јесте управљање ризицима који произлазе из глобалне фрагментације, рестриктивнијих трговинских режима и климатских политика. У том контексту, фискална политика предвиђа</w:t>
      </w:r>
      <w:r w:rsidR="00010D4E" w:rsidRPr="001B41AD">
        <w:rPr>
          <w:lang w:val="sr-Cyrl-CS" w:eastAsia="ja-JP"/>
        </w:rPr>
        <w:t xml:space="preserve"> заштитне</w:t>
      </w:r>
      <w:r w:rsidRPr="001B41AD">
        <w:rPr>
          <w:lang w:val="sr-Cyrl-CS" w:eastAsia="ja-JP"/>
        </w:rPr>
        <w:t xml:space="preserve"> механизме: конзервативно буџетирање прихода </w:t>
      </w:r>
      <w:r w:rsidR="00D0255D" w:rsidRPr="001B41AD">
        <w:rPr>
          <w:lang w:val="sr-Cyrl-CS" w:eastAsia="ja-JP"/>
        </w:rPr>
        <w:t>у условима изражене</w:t>
      </w:r>
      <w:r w:rsidR="002F5C60" w:rsidRPr="001B41AD">
        <w:rPr>
          <w:lang w:val="sr-Cyrl-CS" w:eastAsia="ja-JP"/>
        </w:rPr>
        <w:t xml:space="preserve"> </w:t>
      </w:r>
      <w:r w:rsidR="001D3837" w:rsidRPr="001B41AD">
        <w:rPr>
          <w:lang w:val="sr-Cyrl-CS" w:eastAsia="ja-JP"/>
        </w:rPr>
        <w:t>неизвесности</w:t>
      </w:r>
      <w:r w:rsidRPr="001B41AD">
        <w:rPr>
          <w:lang w:val="sr-Cyrl-CS" w:eastAsia="ja-JP"/>
        </w:rPr>
        <w:t xml:space="preserve">, </w:t>
      </w:r>
      <w:r w:rsidR="002F5C60" w:rsidRPr="001B41AD">
        <w:rPr>
          <w:lang w:val="sr-Cyrl-CS" w:eastAsia="ja-JP"/>
        </w:rPr>
        <w:t xml:space="preserve">фискалне </w:t>
      </w:r>
      <w:r w:rsidRPr="001B41AD">
        <w:rPr>
          <w:lang w:val="sr-Cyrl-CS" w:eastAsia="ja-JP"/>
        </w:rPr>
        <w:t xml:space="preserve">резерве </w:t>
      </w:r>
      <w:r w:rsidR="002F5C60" w:rsidRPr="001B41AD">
        <w:rPr>
          <w:lang w:val="sr-Cyrl-CS" w:eastAsia="ja-JP"/>
        </w:rPr>
        <w:t xml:space="preserve">у </w:t>
      </w:r>
      <w:r w:rsidR="002F5C60" w:rsidRPr="001B41AD">
        <w:rPr>
          <w:lang w:val="sr-Cyrl-CS" w:eastAsia="ja-JP"/>
        </w:rPr>
        <w:t>случају</w:t>
      </w:r>
      <w:r w:rsidR="00275209" w:rsidRPr="001B41AD">
        <w:rPr>
          <w:lang w:val="sr-Cyrl-CS" w:eastAsia="ja-JP"/>
        </w:rPr>
        <w:t xml:space="preserve"> шокова</w:t>
      </w:r>
      <w:r w:rsidRPr="001B41AD">
        <w:rPr>
          <w:lang w:val="sr-Cyrl-CS" w:eastAsia="ja-JP"/>
        </w:rPr>
        <w:t>, као и ј</w:t>
      </w:r>
      <w:r w:rsidR="002F5C60" w:rsidRPr="001B41AD">
        <w:rPr>
          <w:lang w:val="sr-Cyrl-CS" w:eastAsia="ja-JP"/>
        </w:rPr>
        <w:t>ачање активног управљања дугом</w:t>
      </w:r>
      <w:r w:rsidRPr="001B41AD">
        <w:rPr>
          <w:lang w:val="sr-Cyrl-CS" w:eastAsia="ja-JP"/>
        </w:rPr>
        <w:t xml:space="preserve">. Ови инструменти смањују осетљивост </w:t>
      </w:r>
    </w:p>
    <w:p w14:paraId="533AC20A" w14:textId="77777777" w:rsidR="00B203FD" w:rsidRPr="001B41AD" w:rsidRDefault="00B203FD" w:rsidP="001D3837">
      <w:pPr>
        <w:spacing w:after="0" w:line="240" w:lineRule="auto"/>
        <w:rPr>
          <w:lang w:val="sr-Cyrl-CS" w:eastAsia="ja-JP"/>
        </w:rPr>
      </w:pPr>
      <w:r w:rsidRPr="001B41AD">
        <w:rPr>
          <w:lang w:val="sr-Cyrl-CS" w:eastAsia="ja-JP"/>
        </w:rPr>
        <w:t>буџета на спољне шокове и чувају простор за контрациклично деловање уколико ризици ескалирају.</w:t>
      </w:r>
    </w:p>
    <w:p w14:paraId="1032D413" w14:textId="77777777" w:rsidR="00B203FD" w:rsidRPr="001B41AD" w:rsidRDefault="00B203FD" w:rsidP="001D3837">
      <w:pPr>
        <w:spacing w:after="0" w:line="240" w:lineRule="auto"/>
        <w:rPr>
          <w:lang w:val="sr-Cyrl-CS" w:eastAsia="ja-JP"/>
        </w:rPr>
      </w:pPr>
      <w:r w:rsidRPr="001B41AD">
        <w:rPr>
          <w:lang w:val="sr-Cyrl-CS" w:eastAsia="ja-JP"/>
        </w:rPr>
        <w:t>Реструктурирање и професионализација управљања државним предузећима кључни су за смањење квазифискалних ризика и повећање ефикасности јавних услуга. Планови пословања засновани на мерљивим перформансама, транспарентнији финансијски извештаји, увођење тржишних принципа усмерени су на боље у</w:t>
      </w:r>
      <w:r w:rsidR="002F5C60" w:rsidRPr="001B41AD">
        <w:rPr>
          <w:lang w:val="sr-Cyrl-CS" w:eastAsia="ja-JP"/>
        </w:rPr>
        <w:t>прављање инвестиционим циклусом</w:t>
      </w:r>
      <w:r w:rsidRPr="001B41AD">
        <w:rPr>
          <w:lang w:val="sr-Cyrl-CS" w:eastAsia="ja-JP"/>
        </w:rPr>
        <w:t>.</w:t>
      </w:r>
    </w:p>
    <w:p w14:paraId="08FE9999" w14:textId="77777777" w:rsidR="00DE7B2C" w:rsidRPr="001B41AD" w:rsidRDefault="00B203FD" w:rsidP="001D3837">
      <w:pPr>
        <w:spacing w:after="0" w:line="240" w:lineRule="auto"/>
        <w:rPr>
          <w:lang w:val="sr-Cyrl-CS" w:eastAsia="ja-JP"/>
        </w:rPr>
        <w:sectPr w:rsidR="00DE7B2C" w:rsidRPr="001B41AD" w:rsidSect="0059423E">
          <w:type w:val="continuous"/>
          <w:pgSz w:w="12240" w:h="15840" w:code="1"/>
          <w:pgMar w:top="1440" w:right="1440" w:bottom="1440" w:left="1440" w:header="720" w:footer="720" w:gutter="0"/>
          <w:cols w:num="2" w:space="720"/>
          <w:docGrid w:linePitch="360"/>
        </w:sectPr>
      </w:pPr>
      <w:r w:rsidRPr="001B41AD">
        <w:rPr>
          <w:lang w:val="sr-Cyrl-CS" w:eastAsia="ja-JP"/>
        </w:rPr>
        <w:t xml:space="preserve">Фискална правила и средњорочно </w:t>
      </w:r>
      <w:r w:rsidR="00C84F11" w:rsidRPr="001B41AD">
        <w:rPr>
          <w:lang w:val="sr-Cyrl-CS" w:eastAsia="ja-JP"/>
        </w:rPr>
        <w:t xml:space="preserve">фискално </w:t>
      </w:r>
      <w:r w:rsidRPr="001B41AD">
        <w:rPr>
          <w:lang w:val="sr-Cyrl-CS" w:eastAsia="ja-JP"/>
        </w:rPr>
        <w:t>планирање остају стожер кредибилитета. К</w:t>
      </w:r>
      <w:r w:rsidR="00461482" w:rsidRPr="001B41AD">
        <w:rPr>
          <w:lang w:val="sr-Cyrl-CS" w:eastAsia="ja-JP"/>
        </w:rPr>
        <w:t>онтролисани дефицити (3% БДП</w:t>
      </w:r>
      <w:r w:rsidRPr="001B41AD">
        <w:rPr>
          <w:lang w:val="sr-Cyrl-CS" w:eastAsia="ja-JP"/>
        </w:rPr>
        <w:t xml:space="preserve"> до 2027</w:t>
      </w:r>
      <w:r w:rsidR="00461482" w:rsidRPr="001B41AD">
        <w:rPr>
          <w:lang w:val="sr-Cyrl-CS" w:eastAsia="ja-JP"/>
        </w:rPr>
        <w:t>. године</w:t>
      </w:r>
      <w:r w:rsidRPr="001B41AD">
        <w:rPr>
          <w:lang w:val="sr-Cyrl-CS" w:eastAsia="ja-JP"/>
        </w:rPr>
        <w:t>, 2,5% у 2028</w:t>
      </w:r>
      <w:r w:rsidR="00461482" w:rsidRPr="001B41AD">
        <w:rPr>
          <w:lang w:val="sr-Cyrl-CS" w:eastAsia="ja-JP"/>
        </w:rPr>
        <w:t>. години</w:t>
      </w:r>
      <w:r w:rsidRPr="001B41AD">
        <w:rPr>
          <w:lang w:val="sr-Cyrl-CS" w:eastAsia="ja-JP"/>
        </w:rPr>
        <w:t>), с</w:t>
      </w:r>
      <w:r w:rsidR="00450A51" w:rsidRPr="001B41AD">
        <w:rPr>
          <w:lang w:val="sr-Cyrl-CS" w:eastAsia="ja-JP"/>
        </w:rPr>
        <w:t>табилан однос прихода и расхода, уз</w:t>
      </w:r>
      <w:r w:rsidR="002F5C60" w:rsidRPr="001B41AD">
        <w:rPr>
          <w:lang w:val="sr-Cyrl-CS" w:eastAsia="ja-JP"/>
        </w:rPr>
        <w:t xml:space="preserve"> опадајући јавни дуг</w:t>
      </w:r>
      <w:r w:rsidR="00450A51" w:rsidRPr="001B41AD">
        <w:rPr>
          <w:lang w:val="sr-Cyrl-CS" w:eastAsia="ja-JP"/>
        </w:rPr>
        <w:t>, о</w:t>
      </w:r>
      <w:r w:rsidRPr="001B41AD">
        <w:rPr>
          <w:lang w:val="sr-Cyrl-CS" w:eastAsia="ja-JP"/>
        </w:rPr>
        <w:t>безбеђуј</w:t>
      </w:r>
      <w:r w:rsidR="00450A51" w:rsidRPr="001B41AD">
        <w:rPr>
          <w:lang w:val="sr-Cyrl-CS" w:eastAsia="ja-JP"/>
        </w:rPr>
        <w:t>у</w:t>
      </w:r>
      <w:r w:rsidRPr="001B41AD">
        <w:rPr>
          <w:lang w:val="sr-Cyrl-CS" w:eastAsia="ja-JP"/>
        </w:rPr>
        <w:t xml:space="preserve"> равнотежу између подршке расту и очувања стабилности, у складу са </w:t>
      </w:r>
      <w:r w:rsidR="001D3837" w:rsidRPr="001B41AD">
        <w:rPr>
          <w:lang w:val="sr-Cyrl-CS" w:eastAsia="ja-JP"/>
        </w:rPr>
        <w:t>најбољим међународним праксама.</w:t>
      </w:r>
    </w:p>
    <w:p w14:paraId="2A573B01" w14:textId="77777777" w:rsidR="00DE7B2C" w:rsidRPr="001B41AD" w:rsidRDefault="00DE7B2C" w:rsidP="001D3837">
      <w:pPr>
        <w:spacing w:after="0" w:line="240" w:lineRule="auto"/>
        <w:rPr>
          <w:rFonts w:eastAsia="MS PGothic" w:cstheme="minorHAnsi"/>
          <w:b/>
          <w:color w:val="002060"/>
          <w:szCs w:val="20"/>
          <w:lang w:val="sr-Cyrl-CS" w:eastAsia="ja-JP"/>
        </w:rPr>
        <w:sectPr w:rsidR="00DE7B2C" w:rsidRPr="001B41AD" w:rsidSect="00E61B34">
          <w:type w:val="continuous"/>
          <w:pgSz w:w="12240" w:h="15840" w:code="1"/>
          <w:pgMar w:top="1440" w:right="1440" w:bottom="1440" w:left="1440" w:header="720" w:footer="720" w:gutter="0"/>
          <w:cols w:num="2" w:space="720"/>
          <w:docGrid w:linePitch="360"/>
        </w:sectPr>
      </w:pPr>
    </w:p>
    <w:p w14:paraId="6F7F6695" w14:textId="77777777" w:rsidR="00DE7B2C" w:rsidRPr="001B41AD" w:rsidRDefault="00DE7B2C" w:rsidP="001D3837">
      <w:pPr>
        <w:spacing w:after="0" w:line="240" w:lineRule="auto"/>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Табела 10. Укупни приходи и донације у периоду 2024 – 2028. године, % БДП</w:t>
      </w:r>
    </w:p>
    <w:tbl>
      <w:tblPr>
        <w:tblStyle w:val="LightShading-Accent12114"/>
        <w:tblW w:w="5000" w:type="pct"/>
        <w:tblBorders>
          <w:top w:val="none" w:sz="0" w:space="0" w:color="auto"/>
          <w:bottom w:val="none" w:sz="0" w:space="0" w:color="auto"/>
        </w:tblBorders>
        <w:tblLook w:val="0420" w:firstRow="1" w:lastRow="0" w:firstColumn="0" w:lastColumn="0" w:noHBand="0" w:noVBand="1"/>
      </w:tblPr>
      <w:tblGrid>
        <w:gridCol w:w="3822"/>
        <w:gridCol w:w="1142"/>
        <w:gridCol w:w="1132"/>
        <w:gridCol w:w="1086"/>
        <w:gridCol w:w="1088"/>
        <w:gridCol w:w="1090"/>
      </w:tblGrid>
      <w:tr w:rsidR="00DE7B2C" w:rsidRPr="001B41AD" w14:paraId="72B45A1B" w14:textId="77777777" w:rsidTr="001B5D96">
        <w:trPr>
          <w:cnfStyle w:val="100000000000" w:firstRow="1" w:lastRow="0" w:firstColumn="0" w:lastColumn="0" w:oddVBand="0" w:evenVBand="0" w:oddHBand="0" w:evenHBand="0" w:firstRowFirstColumn="0" w:firstRowLastColumn="0" w:lastRowFirstColumn="0" w:lastRowLastColumn="0"/>
          <w:trHeight w:val="20"/>
        </w:trPr>
        <w:tc>
          <w:tcPr>
            <w:tcW w:w="2043" w:type="pct"/>
            <w:tcBorders>
              <w:top w:val="single" w:sz="4" w:space="0" w:color="002060"/>
              <w:left w:val="none" w:sz="0" w:space="0" w:color="auto"/>
              <w:bottom w:val="single" w:sz="4" w:space="0" w:color="002060"/>
              <w:right w:val="none" w:sz="0" w:space="0" w:color="auto"/>
            </w:tcBorders>
            <w:noWrap/>
            <w:vAlign w:val="center"/>
          </w:tcPr>
          <w:p w14:paraId="058F5E70" w14:textId="77777777" w:rsidR="00DE7B2C" w:rsidRPr="001B41AD" w:rsidRDefault="00DE7B2C" w:rsidP="00E61B34">
            <w:pPr>
              <w:keepLines/>
              <w:widowControl w:val="0"/>
              <w:shd w:val="clear" w:color="auto" w:fill="FFFFFF" w:themeFill="background1"/>
              <w:spacing w:line="276" w:lineRule="auto"/>
              <w:rPr>
                <w:rFonts w:eastAsia="Times New Roman" w:cstheme="minorHAnsi"/>
                <w:b w:val="0"/>
                <w:color w:val="002060"/>
                <w:sz w:val="18"/>
                <w:szCs w:val="18"/>
                <w:lang w:val="sr-Cyrl-CS"/>
              </w:rPr>
            </w:pPr>
            <w:r w:rsidRPr="001B41AD">
              <w:rPr>
                <w:rFonts w:cstheme="minorHAnsi"/>
                <w:color w:val="002060"/>
                <w:sz w:val="18"/>
                <w:lang w:val="sr-Cyrl-CS"/>
              </w:rPr>
              <w:t>Опис</w:t>
            </w:r>
          </w:p>
        </w:tc>
        <w:tc>
          <w:tcPr>
            <w:tcW w:w="605" w:type="pct"/>
            <w:tcBorders>
              <w:top w:val="single" w:sz="4" w:space="0" w:color="002060"/>
              <w:left w:val="none" w:sz="0" w:space="0" w:color="auto"/>
              <w:bottom w:val="single" w:sz="4" w:space="0" w:color="002060"/>
              <w:right w:val="none" w:sz="0" w:space="0" w:color="auto"/>
            </w:tcBorders>
            <w:vAlign w:val="center"/>
          </w:tcPr>
          <w:p w14:paraId="6826AF59" w14:textId="77777777" w:rsidR="00DE7B2C" w:rsidRPr="001B41AD" w:rsidRDefault="00DE7B2C" w:rsidP="00E61B34">
            <w:pPr>
              <w:keepNext/>
              <w:widowControl w:val="0"/>
              <w:shd w:val="clear" w:color="auto" w:fill="FFFFFF" w:themeFill="background1"/>
              <w:spacing w:line="276" w:lineRule="auto"/>
              <w:jc w:val="right"/>
              <w:rPr>
                <w:rFonts w:eastAsia="Times New Roman" w:cstheme="minorHAnsi"/>
                <w:b w:val="0"/>
                <w:color w:val="002060"/>
                <w:sz w:val="18"/>
                <w:szCs w:val="18"/>
                <w:lang w:val="sr-Cyrl-CS"/>
              </w:rPr>
            </w:pPr>
            <w:r w:rsidRPr="001B41AD">
              <w:rPr>
                <w:rFonts w:cstheme="minorHAnsi"/>
                <w:color w:val="002060"/>
                <w:sz w:val="18"/>
                <w:lang w:val="sr-Cyrl-CS"/>
              </w:rPr>
              <w:t>Извршење</w:t>
            </w:r>
          </w:p>
        </w:tc>
        <w:tc>
          <w:tcPr>
            <w:tcW w:w="606" w:type="pct"/>
            <w:tcBorders>
              <w:top w:val="single" w:sz="4" w:space="0" w:color="002060"/>
              <w:left w:val="none" w:sz="0" w:space="0" w:color="auto"/>
              <w:bottom w:val="single" w:sz="4" w:space="0" w:color="002060"/>
              <w:right w:val="none" w:sz="0" w:space="0" w:color="auto"/>
            </w:tcBorders>
            <w:vAlign w:val="center"/>
          </w:tcPr>
          <w:p w14:paraId="2F21E02B" w14:textId="77777777" w:rsidR="00DE7B2C" w:rsidRPr="001B41AD" w:rsidRDefault="00DE7B2C" w:rsidP="00E61B34">
            <w:pPr>
              <w:keepNext/>
              <w:widowControl w:val="0"/>
              <w:shd w:val="clear" w:color="auto" w:fill="FFFFFF" w:themeFill="background1"/>
              <w:spacing w:line="276" w:lineRule="auto"/>
              <w:jc w:val="right"/>
              <w:rPr>
                <w:rFonts w:eastAsia="Times New Roman" w:cstheme="minorHAnsi"/>
                <w:b w:val="0"/>
                <w:color w:val="002060"/>
                <w:sz w:val="18"/>
                <w:szCs w:val="18"/>
                <w:lang w:val="sr-Cyrl-CS"/>
              </w:rPr>
            </w:pPr>
            <w:r w:rsidRPr="001B41AD">
              <w:rPr>
                <w:rFonts w:cstheme="minorHAnsi"/>
                <w:color w:val="002060"/>
                <w:sz w:val="18"/>
                <w:lang w:val="sr-Cyrl-CS"/>
              </w:rPr>
              <w:t>Процена</w:t>
            </w:r>
          </w:p>
        </w:tc>
        <w:tc>
          <w:tcPr>
            <w:tcW w:w="1746" w:type="pct"/>
            <w:gridSpan w:val="3"/>
            <w:tcBorders>
              <w:top w:val="single" w:sz="4" w:space="0" w:color="002060"/>
              <w:left w:val="none" w:sz="0" w:space="0" w:color="auto"/>
              <w:bottom w:val="single" w:sz="4" w:space="0" w:color="002060"/>
              <w:right w:val="none" w:sz="0" w:space="0" w:color="auto"/>
            </w:tcBorders>
            <w:vAlign w:val="center"/>
          </w:tcPr>
          <w:p w14:paraId="41A1AE9B" w14:textId="77777777" w:rsidR="00DE7B2C" w:rsidRPr="001B41AD" w:rsidRDefault="00DE7B2C" w:rsidP="00E61B34">
            <w:pPr>
              <w:keepNext/>
              <w:widowControl w:val="0"/>
              <w:shd w:val="clear" w:color="auto" w:fill="FFFFFF" w:themeFill="background1"/>
              <w:spacing w:line="276" w:lineRule="auto"/>
              <w:jc w:val="center"/>
              <w:rPr>
                <w:rFonts w:eastAsia="Times New Roman" w:cstheme="minorHAnsi"/>
                <w:b w:val="0"/>
                <w:color w:val="002060"/>
                <w:sz w:val="18"/>
                <w:szCs w:val="18"/>
                <w:lang w:val="sr-Cyrl-CS"/>
              </w:rPr>
            </w:pPr>
            <w:r w:rsidRPr="001B41AD">
              <w:rPr>
                <w:rFonts w:cstheme="minorHAnsi"/>
                <w:color w:val="002060"/>
                <w:sz w:val="18"/>
                <w:lang w:val="sr-Cyrl-CS"/>
              </w:rPr>
              <w:t>Пројекција</w:t>
            </w:r>
          </w:p>
        </w:tc>
      </w:tr>
      <w:tr w:rsidR="00DE7B2C" w:rsidRPr="001B41AD" w14:paraId="4B0D200D"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tcBorders>
              <w:top w:val="single" w:sz="4" w:space="0" w:color="002060"/>
              <w:left w:val="none" w:sz="0" w:space="0" w:color="auto"/>
              <w:right w:val="none" w:sz="0" w:space="0" w:color="auto"/>
            </w:tcBorders>
            <w:shd w:val="clear" w:color="auto" w:fill="FFFFFF" w:themeFill="background1"/>
            <w:noWrap/>
          </w:tcPr>
          <w:p w14:paraId="0BF1A9EF" w14:textId="77777777" w:rsidR="00DE7B2C" w:rsidRPr="001B41AD" w:rsidRDefault="00DE7B2C" w:rsidP="00E61B34">
            <w:pPr>
              <w:keepLines/>
              <w:widowControl w:val="0"/>
              <w:shd w:val="clear" w:color="auto" w:fill="FFFFFF" w:themeFill="background1"/>
              <w:spacing w:line="276" w:lineRule="auto"/>
              <w:rPr>
                <w:rFonts w:eastAsia="Times New Roman" w:cstheme="minorHAnsi"/>
                <w:bCs/>
                <w:color w:val="002060"/>
                <w:sz w:val="18"/>
                <w:szCs w:val="18"/>
                <w:lang w:val="sr-Cyrl-CS"/>
              </w:rPr>
            </w:pPr>
          </w:p>
        </w:tc>
        <w:tc>
          <w:tcPr>
            <w:tcW w:w="605" w:type="pct"/>
            <w:tcBorders>
              <w:top w:val="single" w:sz="4" w:space="0" w:color="002060"/>
              <w:left w:val="none" w:sz="0" w:space="0" w:color="auto"/>
              <w:bottom w:val="single" w:sz="4" w:space="0" w:color="002060"/>
              <w:right w:val="none" w:sz="0" w:space="0" w:color="auto"/>
            </w:tcBorders>
            <w:shd w:val="clear" w:color="auto" w:fill="FFFFFF" w:themeFill="background1"/>
          </w:tcPr>
          <w:p w14:paraId="5110ED7F" w14:textId="77777777" w:rsidR="00DE7B2C" w:rsidRPr="001B41AD" w:rsidRDefault="00DE7B2C" w:rsidP="00E61B34">
            <w:pPr>
              <w:keepNext/>
              <w:widowControl w:val="0"/>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2024</w:t>
            </w:r>
          </w:p>
        </w:tc>
        <w:tc>
          <w:tcPr>
            <w:tcW w:w="606" w:type="pct"/>
            <w:tcBorders>
              <w:top w:val="single" w:sz="4" w:space="0" w:color="002060"/>
              <w:left w:val="none" w:sz="0" w:space="0" w:color="auto"/>
              <w:bottom w:val="single" w:sz="4" w:space="0" w:color="002060"/>
              <w:right w:val="none" w:sz="0" w:space="0" w:color="auto"/>
            </w:tcBorders>
            <w:shd w:val="clear" w:color="auto" w:fill="FFFFFF" w:themeFill="background1"/>
          </w:tcPr>
          <w:p w14:paraId="1173F968" w14:textId="77777777" w:rsidR="00DE7B2C" w:rsidRPr="001B41AD" w:rsidRDefault="00DE7B2C" w:rsidP="00E61B34">
            <w:pPr>
              <w:keepNext/>
              <w:widowControl w:val="0"/>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2025</w:t>
            </w:r>
          </w:p>
        </w:tc>
        <w:tc>
          <w:tcPr>
            <w:tcW w:w="581" w:type="pct"/>
            <w:tcBorders>
              <w:top w:val="single" w:sz="4" w:space="0" w:color="002060"/>
              <w:left w:val="none" w:sz="0" w:space="0" w:color="auto"/>
              <w:bottom w:val="single" w:sz="4" w:space="0" w:color="002060"/>
              <w:right w:val="none" w:sz="0" w:space="0" w:color="auto"/>
            </w:tcBorders>
            <w:shd w:val="clear" w:color="auto" w:fill="FFFFFF" w:themeFill="background1"/>
          </w:tcPr>
          <w:p w14:paraId="2933BD36" w14:textId="77777777" w:rsidR="00DE7B2C" w:rsidRPr="001B41AD" w:rsidRDefault="00DE7B2C" w:rsidP="00E61B34">
            <w:pPr>
              <w:keepNext/>
              <w:widowControl w:val="0"/>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2026</w:t>
            </w:r>
          </w:p>
        </w:tc>
        <w:tc>
          <w:tcPr>
            <w:tcW w:w="582" w:type="pct"/>
            <w:tcBorders>
              <w:top w:val="single" w:sz="4" w:space="0" w:color="002060"/>
              <w:left w:val="none" w:sz="0" w:space="0" w:color="auto"/>
              <w:bottom w:val="single" w:sz="4" w:space="0" w:color="002060"/>
              <w:right w:val="none" w:sz="0" w:space="0" w:color="auto"/>
            </w:tcBorders>
            <w:shd w:val="clear" w:color="auto" w:fill="FFFFFF" w:themeFill="background1"/>
          </w:tcPr>
          <w:p w14:paraId="40EE7D76" w14:textId="77777777" w:rsidR="00DE7B2C" w:rsidRPr="001B41AD" w:rsidRDefault="00DE7B2C" w:rsidP="00E61B34">
            <w:pPr>
              <w:keepNext/>
              <w:widowControl w:val="0"/>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2027</w:t>
            </w:r>
          </w:p>
        </w:tc>
        <w:tc>
          <w:tcPr>
            <w:tcW w:w="583" w:type="pct"/>
            <w:tcBorders>
              <w:top w:val="single" w:sz="4" w:space="0" w:color="002060"/>
              <w:left w:val="none" w:sz="0" w:space="0" w:color="auto"/>
              <w:bottom w:val="single" w:sz="4" w:space="0" w:color="002060"/>
              <w:right w:val="none" w:sz="0" w:space="0" w:color="auto"/>
            </w:tcBorders>
            <w:shd w:val="clear" w:color="auto" w:fill="FFFFFF" w:themeFill="background1"/>
          </w:tcPr>
          <w:p w14:paraId="184FDE3A" w14:textId="77777777" w:rsidR="00DE7B2C" w:rsidRPr="001B41AD" w:rsidRDefault="00DE7B2C" w:rsidP="00E61B34">
            <w:pPr>
              <w:keepNext/>
              <w:widowControl w:val="0"/>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2028</w:t>
            </w:r>
          </w:p>
        </w:tc>
      </w:tr>
      <w:tr w:rsidR="00DE7B2C" w:rsidRPr="001B41AD" w14:paraId="3D62EF9A" w14:textId="77777777" w:rsidTr="001B5D96">
        <w:trPr>
          <w:trHeight w:val="20"/>
        </w:trPr>
        <w:tc>
          <w:tcPr>
            <w:tcW w:w="2043" w:type="pct"/>
            <w:shd w:val="clear" w:color="auto" w:fill="FFFFFF" w:themeFill="background1"/>
          </w:tcPr>
          <w:p w14:paraId="5193696A" w14:textId="77777777" w:rsidR="00DE7B2C" w:rsidRPr="001B41AD" w:rsidRDefault="00DE7B2C" w:rsidP="00E61B34">
            <w:pPr>
              <w:keepLines/>
              <w:widowControl w:val="0"/>
              <w:shd w:val="clear" w:color="auto" w:fill="FFFFFF" w:themeFill="background1"/>
              <w:spacing w:line="276" w:lineRule="auto"/>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ЈАВНИ ПРИХОДИ</w:t>
            </w:r>
          </w:p>
        </w:tc>
        <w:tc>
          <w:tcPr>
            <w:tcW w:w="605" w:type="pct"/>
            <w:tcBorders>
              <w:top w:val="single" w:sz="4" w:space="0" w:color="002060"/>
            </w:tcBorders>
            <w:vAlign w:val="center"/>
          </w:tcPr>
          <w:p w14:paraId="1F3FE76B"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40,4</w:t>
            </w:r>
          </w:p>
        </w:tc>
        <w:tc>
          <w:tcPr>
            <w:tcW w:w="606" w:type="pct"/>
            <w:tcBorders>
              <w:top w:val="single" w:sz="4" w:space="0" w:color="002060"/>
            </w:tcBorders>
            <w:noWrap/>
            <w:vAlign w:val="center"/>
          </w:tcPr>
          <w:p w14:paraId="719DBA87"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40,9</w:t>
            </w:r>
          </w:p>
        </w:tc>
        <w:tc>
          <w:tcPr>
            <w:tcW w:w="581" w:type="pct"/>
            <w:tcBorders>
              <w:top w:val="single" w:sz="4" w:space="0" w:color="002060"/>
            </w:tcBorders>
            <w:noWrap/>
            <w:vAlign w:val="center"/>
          </w:tcPr>
          <w:p w14:paraId="4B09B1E5" w14:textId="77777777" w:rsidR="00DE7B2C" w:rsidRPr="001B41AD" w:rsidRDefault="005A017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w:t>
            </w:r>
            <w:r w:rsidR="00C039FA" w:rsidRPr="001B41AD">
              <w:rPr>
                <w:rFonts w:cstheme="minorHAnsi"/>
                <w:color w:val="002060"/>
                <w:sz w:val="18"/>
                <w:szCs w:val="18"/>
                <w:lang w:val="sr-Cyrl-CS"/>
              </w:rPr>
              <w:t>0,9</w:t>
            </w:r>
          </w:p>
        </w:tc>
        <w:tc>
          <w:tcPr>
            <w:tcW w:w="582" w:type="pct"/>
            <w:tcBorders>
              <w:top w:val="single" w:sz="4" w:space="0" w:color="002060"/>
            </w:tcBorders>
            <w:noWrap/>
            <w:vAlign w:val="center"/>
          </w:tcPr>
          <w:p w14:paraId="4DFA8AE9" w14:textId="77777777" w:rsidR="00DE7B2C" w:rsidRPr="001B41AD" w:rsidRDefault="005A017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40,</w:t>
            </w:r>
            <w:r w:rsidR="00C039FA" w:rsidRPr="001B41AD">
              <w:rPr>
                <w:rFonts w:cstheme="minorHAnsi"/>
                <w:color w:val="002060"/>
                <w:sz w:val="18"/>
                <w:szCs w:val="18"/>
                <w:lang w:val="sr-Cyrl-CS"/>
              </w:rPr>
              <w:t>1</w:t>
            </w:r>
          </w:p>
        </w:tc>
        <w:tc>
          <w:tcPr>
            <w:tcW w:w="583" w:type="pct"/>
            <w:tcBorders>
              <w:top w:val="single" w:sz="4" w:space="0" w:color="002060"/>
            </w:tcBorders>
            <w:noWrap/>
            <w:vAlign w:val="center"/>
          </w:tcPr>
          <w:p w14:paraId="1FAFFBFE" w14:textId="77777777" w:rsidR="00DE7B2C" w:rsidRPr="001B41AD" w:rsidRDefault="005A017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40,</w:t>
            </w:r>
            <w:r w:rsidR="00C039FA" w:rsidRPr="001B41AD">
              <w:rPr>
                <w:rFonts w:cstheme="minorHAnsi"/>
                <w:color w:val="002060"/>
                <w:sz w:val="18"/>
                <w:szCs w:val="18"/>
                <w:lang w:val="sr-Cyrl-CS"/>
              </w:rPr>
              <w:t>0</w:t>
            </w:r>
          </w:p>
        </w:tc>
      </w:tr>
      <w:tr w:rsidR="00DE7B2C" w:rsidRPr="001B41AD" w14:paraId="3B64F863"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tcBorders>
              <w:left w:val="none" w:sz="0" w:space="0" w:color="auto"/>
              <w:right w:val="none" w:sz="0" w:space="0" w:color="auto"/>
            </w:tcBorders>
            <w:shd w:val="clear" w:color="auto" w:fill="FFFFFF" w:themeFill="background1"/>
          </w:tcPr>
          <w:p w14:paraId="178EC6DB" w14:textId="77777777" w:rsidR="00DE7B2C" w:rsidRPr="001B41AD" w:rsidRDefault="00DE7B2C" w:rsidP="00E61B34">
            <w:pPr>
              <w:keepLines/>
              <w:widowControl w:val="0"/>
              <w:shd w:val="clear" w:color="auto" w:fill="FFFFFF" w:themeFill="background1"/>
              <w:spacing w:line="276" w:lineRule="auto"/>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Текући приходи</w:t>
            </w:r>
          </w:p>
        </w:tc>
        <w:tc>
          <w:tcPr>
            <w:tcW w:w="605" w:type="pct"/>
            <w:tcBorders>
              <w:left w:val="none" w:sz="0" w:space="0" w:color="auto"/>
              <w:right w:val="none" w:sz="0" w:space="0" w:color="auto"/>
            </w:tcBorders>
            <w:shd w:val="clear" w:color="auto" w:fill="FFFFFF" w:themeFill="background1"/>
          </w:tcPr>
          <w:p w14:paraId="5B6F8637"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40,2</w:t>
            </w:r>
          </w:p>
        </w:tc>
        <w:tc>
          <w:tcPr>
            <w:tcW w:w="606" w:type="pct"/>
            <w:tcBorders>
              <w:left w:val="none" w:sz="0" w:space="0" w:color="auto"/>
              <w:right w:val="none" w:sz="0" w:space="0" w:color="auto"/>
            </w:tcBorders>
            <w:shd w:val="clear" w:color="auto" w:fill="FFFFFF" w:themeFill="background1"/>
            <w:noWrap/>
          </w:tcPr>
          <w:p w14:paraId="607CD0D5"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40,5</w:t>
            </w:r>
          </w:p>
        </w:tc>
        <w:tc>
          <w:tcPr>
            <w:tcW w:w="581" w:type="pct"/>
            <w:tcBorders>
              <w:left w:val="none" w:sz="0" w:space="0" w:color="auto"/>
              <w:right w:val="none" w:sz="0" w:space="0" w:color="auto"/>
            </w:tcBorders>
            <w:shd w:val="clear" w:color="auto" w:fill="FFFFFF" w:themeFill="background1"/>
            <w:noWrap/>
          </w:tcPr>
          <w:p w14:paraId="2F6467F4"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40,</w:t>
            </w:r>
            <w:r w:rsidR="00C039FA" w:rsidRPr="001B41AD">
              <w:rPr>
                <w:rFonts w:cstheme="minorHAnsi"/>
                <w:color w:val="002060"/>
                <w:sz w:val="18"/>
                <w:szCs w:val="18"/>
                <w:lang w:val="sr-Cyrl-CS"/>
              </w:rPr>
              <w:t>6</w:t>
            </w:r>
          </w:p>
        </w:tc>
        <w:tc>
          <w:tcPr>
            <w:tcW w:w="582" w:type="pct"/>
            <w:tcBorders>
              <w:left w:val="none" w:sz="0" w:space="0" w:color="auto"/>
              <w:right w:val="none" w:sz="0" w:space="0" w:color="auto"/>
            </w:tcBorders>
            <w:shd w:val="clear" w:color="auto" w:fill="FFFFFF" w:themeFill="background1"/>
            <w:noWrap/>
          </w:tcPr>
          <w:p w14:paraId="39F4B6AF"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39,</w:t>
            </w:r>
            <w:r w:rsidR="00C039FA" w:rsidRPr="001B41AD">
              <w:rPr>
                <w:rFonts w:cstheme="minorHAnsi"/>
                <w:color w:val="002060"/>
                <w:sz w:val="18"/>
                <w:szCs w:val="18"/>
                <w:lang w:val="sr-Cyrl-CS"/>
              </w:rPr>
              <w:t>8</w:t>
            </w:r>
          </w:p>
        </w:tc>
        <w:tc>
          <w:tcPr>
            <w:tcW w:w="583" w:type="pct"/>
            <w:tcBorders>
              <w:left w:val="none" w:sz="0" w:space="0" w:color="auto"/>
              <w:right w:val="none" w:sz="0" w:space="0" w:color="auto"/>
            </w:tcBorders>
            <w:shd w:val="clear" w:color="auto" w:fill="FFFFFF" w:themeFill="background1"/>
            <w:noWrap/>
          </w:tcPr>
          <w:p w14:paraId="7C113681"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39,</w:t>
            </w:r>
            <w:r w:rsidR="00C039FA" w:rsidRPr="001B41AD">
              <w:rPr>
                <w:rFonts w:cstheme="minorHAnsi"/>
                <w:color w:val="002060"/>
                <w:sz w:val="18"/>
                <w:szCs w:val="18"/>
                <w:lang w:val="sr-Cyrl-CS"/>
              </w:rPr>
              <w:t>7</w:t>
            </w:r>
          </w:p>
        </w:tc>
      </w:tr>
      <w:tr w:rsidR="00DE7B2C" w:rsidRPr="001B41AD" w14:paraId="693CD2A6" w14:textId="77777777" w:rsidTr="001B5D96">
        <w:trPr>
          <w:trHeight w:val="20"/>
        </w:trPr>
        <w:tc>
          <w:tcPr>
            <w:tcW w:w="2043" w:type="pct"/>
            <w:shd w:val="clear" w:color="auto" w:fill="FFFFFF" w:themeFill="background1"/>
          </w:tcPr>
          <w:p w14:paraId="2B99BBD1" w14:textId="77777777" w:rsidR="00DE7B2C" w:rsidRPr="001B41AD" w:rsidRDefault="00DE7B2C" w:rsidP="00E61B34">
            <w:pPr>
              <w:keepLines/>
              <w:widowControl w:val="0"/>
              <w:shd w:val="clear" w:color="auto" w:fill="FFFFFF" w:themeFill="background1"/>
              <w:spacing w:line="276" w:lineRule="auto"/>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 xml:space="preserve"> Порески приходи</w:t>
            </w:r>
          </w:p>
        </w:tc>
        <w:tc>
          <w:tcPr>
            <w:tcW w:w="605" w:type="pct"/>
            <w:shd w:val="clear" w:color="auto" w:fill="FFFFFF" w:themeFill="background1"/>
          </w:tcPr>
          <w:p w14:paraId="43C71033"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35,9</w:t>
            </w:r>
          </w:p>
        </w:tc>
        <w:tc>
          <w:tcPr>
            <w:tcW w:w="606" w:type="pct"/>
            <w:shd w:val="clear" w:color="auto" w:fill="FFFFFF" w:themeFill="background1"/>
            <w:noWrap/>
          </w:tcPr>
          <w:p w14:paraId="46C5551C"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36,1</w:t>
            </w:r>
          </w:p>
        </w:tc>
        <w:tc>
          <w:tcPr>
            <w:tcW w:w="581" w:type="pct"/>
            <w:shd w:val="clear" w:color="auto" w:fill="FFFFFF" w:themeFill="background1"/>
            <w:noWrap/>
          </w:tcPr>
          <w:p w14:paraId="1B5EF22F"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36,</w:t>
            </w:r>
            <w:r w:rsidR="005A017D" w:rsidRPr="001B41AD">
              <w:rPr>
                <w:rFonts w:cstheme="minorHAnsi"/>
                <w:color w:val="002060"/>
                <w:sz w:val="18"/>
                <w:szCs w:val="18"/>
                <w:lang w:val="sr-Cyrl-CS"/>
              </w:rPr>
              <w:t>5</w:t>
            </w:r>
          </w:p>
        </w:tc>
        <w:tc>
          <w:tcPr>
            <w:tcW w:w="582" w:type="pct"/>
            <w:shd w:val="clear" w:color="auto" w:fill="FFFFFF" w:themeFill="background1"/>
            <w:noWrap/>
          </w:tcPr>
          <w:p w14:paraId="247DB4D7" w14:textId="77777777" w:rsidR="00DE7B2C" w:rsidRPr="001B41AD" w:rsidRDefault="005A017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36,1</w:t>
            </w:r>
          </w:p>
        </w:tc>
        <w:tc>
          <w:tcPr>
            <w:tcW w:w="583" w:type="pct"/>
            <w:shd w:val="clear" w:color="auto" w:fill="FFFFFF" w:themeFill="background1"/>
            <w:noWrap/>
          </w:tcPr>
          <w:p w14:paraId="058F65B0" w14:textId="77777777" w:rsidR="00DE7B2C" w:rsidRPr="001B41AD" w:rsidRDefault="005A017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36,1</w:t>
            </w:r>
          </w:p>
        </w:tc>
      </w:tr>
      <w:tr w:rsidR="00DE7B2C" w:rsidRPr="001B41AD" w14:paraId="212B577E"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tcBorders>
              <w:left w:val="none" w:sz="0" w:space="0" w:color="auto"/>
              <w:right w:val="none" w:sz="0" w:space="0" w:color="auto"/>
            </w:tcBorders>
            <w:shd w:val="clear" w:color="auto" w:fill="FFFFFF" w:themeFill="background1"/>
          </w:tcPr>
          <w:p w14:paraId="5D6A0F9B" w14:textId="77777777" w:rsidR="00DE7B2C" w:rsidRPr="001B41AD" w:rsidRDefault="00DE7B2C" w:rsidP="00E61B34">
            <w:pPr>
              <w:keepLines/>
              <w:widowControl w:val="0"/>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Порез на доходак грађана</w:t>
            </w:r>
          </w:p>
        </w:tc>
        <w:tc>
          <w:tcPr>
            <w:tcW w:w="605" w:type="pct"/>
            <w:tcBorders>
              <w:left w:val="none" w:sz="0" w:space="0" w:color="auto"/>
              <w:right w:val="none" w:sz="0" w:space="0" w:color="auto"/>
            </w:tcBorders>
            <w:shd w:val="clear" w:color="auto" w:fill="FFFFFF" w:themeFill="background1"/>
          </w:tcPr>
          <w:p w14:paraId="48E59D53"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4,1</w:t>
            </w:r>
          </w:p>
        </w:tc>
        <w:tc>
          <w:tcPr>
            <w:tcW w:w="606" w:type="pct"/>
            <w:tcBorders>
              <w:left w:val="none" w:sz="0" w:space="0" w:color="auto"/>
              <w:right w:val="none" w:sz="0" w:space="0" w:color="auto"/>
            </w:tcBorders>
            <w:shd w:val="clear" w:color="auto" w:fill="FFFFFF" w:themeFill="background1"/>
            <w:noWrap/>
          </w:tcPr>
          <w:p w14:paraId="2BD16833"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4,2</w:t>
            </w:r>
          </w:p>
        </w:tc>
        <w:tc>
          <w:tcPr>
            <w:tcW w:w="581" w:type="pct"/>
            <w:tcBorders>
              <w:left w:val="none" w:sz="0" w:space="0" w:color="auto"/>
              <w:right w:val="none" w:sz="0" w:space="0" w:color="auto"/>
            </w:tcBorders>
            <w:shd w:val="clear" w:color="auto" w:fill="FFFFFF" w:themeFill="background1"/>
            <w:noWrap/>
          </w:tcPr>
          <w:p w14:paraId="1B972759"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w:t>
            </w:r>
            <w:r w:rsidR="005A017D" w:rsidRPr="001B41AD">
              <w:rPr>
                <w:rFonts w:cstheme="minorHAnsi"/>
                <w:color w:val="002060"/>
                <w:sz w:val="18"/>
                <w:szCs w:val="18"/>
                <w:lang w:val="sr-Cyrl-CS"/>
              </w:rPr>
              <w:t>2</w:t>
            </w:r>
          </w:p>
        </w:tc>
        <w:tc>
          <w:tcPr>
            <w:tcW w:w="582" w:type="pct"/>
            <w:tcBorders>
              <w:left w:val="none" w:sz="0" w:space="0" w:color="auto"/>
              <w:right w:val="none" w:sz="0" w:space="0" w:color="auto"/>
            </w:tcBorders>
            <w:shd w:val="clear" w:color="auto" w:fill="FFFFFF" w:themeFill="background1"/>
            <w:noWrap/>
          </w:tcPr>
          <w:p w14:paraId="10CD4B5D"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4,2</w:t>
            </w:r>
          </w:p>
        </w:tc>
        <w:tc>
          <w:tcPr>
            <w:tcW w:w="583" w:type="pct"/>
            <w:tcBorders>
              <w:left w:val="none" w:sz="0" w:space="0" w:color="auto"/>
              <w:right w:val="none" w:sz="0" w:space="0" w:color="auto"/>
            </w:tcBorders>
            <w:shd w:val="clear" w:color="auto" w:fill="FFFFFF" w:themeFill="background1"/>
            <w:noWrap/>
          </w:tcPr>
          <w:p w14:paraId="2ED0F3F2"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w:t>
            </w:r>
            <w:r w:rsidR="005A017D" w:rsidRPr="001B41AD">
              <w:rPr>
                <w:rFonts w:cstheme="minorHAnsi"/>
                <w:color w:val="002060"/>
                <w:sz w:val="18"/>
                <w:szCs w:val="18"/>
                <w:lang w:val="sr-Cyrl-CS"/>
              </w:rPr>
              <w:t>3</w:t>
            </w:r>
          </w:p>
        </w:tc>
      </w:tr>
      <w:tr w:rsidR="00DE7B2C" w:rsidRPr="001B41AD" w14:paraId="5A4070D9" w14:textId="77777777" w:rsidTr="001B5D96">
        <w:trPr>
          <w:trHeight w:val="20"/>
        </w:trPr>
        <w:tc>
          <w:tcPr>
            <w:tcW w:w="2043" w:type="pct"/>
            <w:shd w:val="clear" w:color="auto" w:fill="FFFFFF" w:themeFill="background1"/>
          </w:tcPr>
          <w:p w14:paraId="16C848AE" w14:textId="77777777" w:rsidR="00DE7B2C" w:rsidRPr="001B41AD" w:rsidRDefault="00DE7B2C" w:rsidP="00E61B34">
            <w:pPr>
              <w:keepLines/>
              <w:widowControl w:val="0"/>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Порез на добит правних лица</w:t>
            </w:r>
          </w:p>
        </w:tc>
        <w:tc>
          <w:tcPr>
            <w:tcW w:w="605" w:type="pct"/>
            <w:shd w:val="clear" w:color="auto" w:fill="FFFFFF" w:themeFill="background1"/>
          </w:tcPr>
          <w:p w14:paraId="1C98EEC4"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3,0</w:t>
            </w:r>
          </w:p>
        </w:tc>
        <w:tc>
          <w:tcPr>
            <w:tcW w:w="606" w:type="pct"/>
            <w:shd w:val="clear" w:color="auto" w:fill="FFFFFF" w:themeFill="background1"/>
            <w:noWrap/>
          </w:tcPr>
          <w:p w14:paraId="320C877B"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2,8</w:t>
            </w:r>
          </w:p>
        </w:tc>
        <w:tc>
          <w:tcPr>
            <w:tcW w:w="581" w:type="pct"/>
            <w:shd w:val="clear" w:color="auto" w:fill="FFFFFF" w:themeFill="background1"/>
            <w:noWrap/>
          </w:tcPr>
          <w:p w14:paraId="25B64EF4"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2,7</w:t>
            </w:r>
          </w:p>
        </w:tc>
        <w:tc>
          <w:tcPr>
            <w:tcW w:w="582" w:type="pct"/>
            <w:shd w:val="clear" w:color="auto" w:fill="FFFFFF" w:themeFill="background1"/>
            <w:noWrap/>
          </w:tcPr>
          <w:p w14:paraId="5DFFB53D"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2,6</w:t>
            </w:r>
          </w:p>
        </w:tc>
        <w:tc>
          <w:tcPr>
            <w:tcW w:w="583" w:type="pct"/>
            <w:shd w:val="clear" w:color="auto" w:fill="FFFFFF" w:themeFill="background1"/>
            <w:noWrap/>
          </w:tcPr>
          <w:p w14:paraId="35D8D3C1"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2,6</w:t>
            </w:r>
          </w:p>
        </w:tc>
      </w:tr>
      <w:tr w:rsidR="00DE7B2C" w:rsidRPr="001B41AD" w14:paraId="76A860CA"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tcBorders>
              <w:left w:val="none" w:sz="0" w:space="0" w:color="auto"/>
              <w:right w:val="none" w:sz="0" w:space="0" w:color="auto"/>
            </w:tcBorders>
            <w:shd w:val="clear" w:color="auto" w:fill="FFFFFF" w:themeFill="background1"/>
          </w:tcPr>
          <w:p w14:paraId="75361796" w14:textId="77777777" w:rsidR="00DE7B2C" w:rsidRPr="001B41AD" w:rsidRDefault="00DE7B2C" w:rsidP="00E61B34">
            <w:pPr>
              <w:keepLines/>
              <w:widowControl w:val="0"/>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ПДВ</w:t>
            </w:r>
          </w:p>
        </w:tc>
        <w:tc>
          <w:tcPr>
            <w:tcW w:w="605" w:type="pct"/>
            <w:tcBorders>
              <w:left w:val="none" w:sz="0" w:space="0" w:color="auto"/>
              <w:right w:val="none" w:sz="0" w:space="0" w:color="auto"/>
            </w:tcBorders>
            <w:shd w:val="clear" w:color="auto" w:fill="FFFFFF" w:themeFill="background1"/>
          </w:tcPr>
          <w:p w14:paraId="3733BEC4"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9,8</w:t>
            </w:r>
          </w:p>
        </w:tc>
        <w:tc>
          <w:tcPr>
            <w:tcW w:w="606" w:type="pct"/>
            <w:tcBorders>
              <w:left w:val="none" w:sz="0" w:space="0" w:color="auto"/>
              <w:right w:val="none" w:sz="0" w:space="0" w:color="auto"/>
            </w:tcBorders>
            <w:shd w:val="clear" w:color="auto" w:fill="FFFFFF" w:themeFill="background1"/>
            <w:noWrap/>
          </w:tcPr>
          <w:p w14:paraId="572A46FC"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9,7</w:t>
            </w:r>
          </w:p>
        </w:tc>
        <w:tc>
          <w:tcPr>
            <w:tcW w:w="581" w:type="pct"/>
            <w:tcBorders>
              <w:left w:val="none" w:sz="0" w:space="0" w:color="auto"/>
              <w:right w:val="none" w:sz="0" w:space="0" w:color="auto"/>
            </w:tcBorders>
            <w:shd w:val="clear" w:color="auto" w:fill="FFFFFF" w:themeFill="background1"/>
            <w:noWrap/>
          </w:tcPr>
          <w:p w14:paraId="0BF20CF7"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9</w:t>
            </w:r>
            <w:r w:rsidR="00C1400D" w:rsidRPr="001B41AD">
              <w:rPr>
                <w:rFonts w:cstheme="minorHAnsi"/>
                <w:color w:val="002060"/>
                <w:sz w:val="18"/>
                <w:szCs w:val="18"/>
                <w:lang w:val="sr-Cyrl-CS"/>
              </w:rPr>
              <w:t>,</w:t>
            </w:r>
            <w:r w:rsidR="005A017D" w:rsidRPr="001B41AD">
              <w:rPr>
                <w:rFonts w:cstheme="minorHAnsi"/>
                <w:color w:val="002060"/>
                <w:sz w:val="18"/>
                <w:szCs w:val="18"/>
                <w:lang w:val="sr-Cyrl-CS"/>
              </w:rPr>
              <w:t>8</w:t>
            </w:r>
          </w:p>
        </w:tc>
        <w:tc>
          <w:tcPr>
            <w:tcW w:w="582" w:type="pct"/>
            <w:tcBorders>
              <w:left w:val="none" w:sz="0" w:space="0" w:color="auto"/>
              <w:right w:val="none" w:sz="0" w:space="0" w:color="auto"/>
            </w:tcBorders>
            <w:shd w:val="clear" w:color="auto" w:fill="FFFFFF" w:themeFill="background1"/>
            <w:noWrap/>
          </w:tcPr>
          <w:p w14:paraId="5FE803EB"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9,</w:t>
            </w:r>
            <w:r w:rsidR="005A017D" w:rsidRPr="001B41AD">
              <w:rPr>
                <w:rFonts w:cstheme="minorHAnsi"/>
                <w:color w:val="002060"/>
                <w:sz w:val="18"/>
                <w:szCs w:val="18"/>
                <w:lang w:val="sr-Cyrl-CS"/>
              </w:rPr>
              <w:t>7</w:t>
            </w:r>
          </w:p>
        </w:tc>
        <w:tc>
          <w:tcPr>
            <w:tcW w:w="583" w:type="pct"/>
            <w:tcBorders>
              <w:left w:val="none" w:sz="0" w:space="0" w:color="auto"/>
              <w:right w:val="none" w:sz="0" w:space="0" w:color="auto"/>
            </w:tcBorders>
            <w:shd w:val="clear" w:color="auto" w:fill="FFFFFF" w:themeFill="background1"/>
            <w:noWrap/>
          </w:tcPr>
          <w:p w14:paraId="62EB444E"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9,</w:t>
            </w:r>
            <w:r w:rsidR="005A017D" w:rsidRPr="001B41AD">
              <w:rPr>
                <w:rFonts w:cstheme="minorHAnsi"/>
                <w:color w:val="002060"/>
                <w:sz w:val="18"/>
                <w:szCs w:val="18"/>
                <w:lang w:val="sr-Cyrl-CS"/>
              </w:rPr>
              <w:t>7</w:t>
            </w:r>
          </w:p>
        </w:tc>
      </w:tr>
      <w:tr w:rsidR="00DE7B2C" w:rsidRPr="001B41AD" w14:paraId="494FDCFA" w14:textId="77777777" w:rsidTr="001B5D96">
        <w:trPr>
          <w:trHeight w:val="20"/>
        </w:trPr>
        <w:tc>
          <w:tcPr>
            <w:tcW w:w="2043" w:type="pct"/>
            <w:shd w:val="clear" w:color="auto" w:fill="FFFFFF" w:themeFill="background1"/>
          </w:tcPr>
          <w:p w14:paraId="34961A46" w14:textId="77777777" w:rsidR="00DE7B2C" w:rsidRPr="001B41AD" w:rsidRDefault="00DE7B2C" w:rsidP="00E61B34">
            <w:pPr>
              <w:keepLines/>
              <w:widowControl w:val="0"/>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Акцизе</w:t>
            </w:r>
          </w:p>
        </w:tc>
        <w:tc>
          <w:tcPr>
            <w:tcW w:w="605" w:type="pct"/>
            <w:shd w:val="clear" w:color="auto" w:fill="FFFFFF" w:themeFill="background1"/>
          </w:tcPr>
          <w:p w14:paraId="7D7AB0B0"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4,3</w:t>
            </w:r>
          </w:p>
        </w:tc>
        <w:tc>
          <w:tcPr>
            <w:tcW w:w="606" w:type="pct"/>
            <w:shd w:val="clear" w:color="auto" w:fill="FFFFFF" w:themeFill="background1"/>
            <w:noWrap/>
          </w:tcPr>
          <w:p w14:paraId="66D95828"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4,2</w:t>
            </w:r>
          </w:p>
        </w:tc>
        <w:tc>
          <w:tcPr>
            <w:tcW w:w="581" w:type="pct"/>
            <w:shd w:val="clear" w:color="auto" w:fill="FFFFFF" w:themeFill="background1"/>
            <w:noWrap/>
          </w:tcPr>
          <w:p w14:paraId="3B17D910" w14:textId="77777777" w:rsidR="00DE7B2C" w:rsidRPr="001B41AD" w:rsidRDefault="005A017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4,1</w:t>
            </w:r>
          </w:p>
        </w:tc>
        <w:tc>
          <w:tcPr>
            <w:tcW w:w="582" w:type="pct"/>
            <w:shd w:val="clear" w:color="auto" w:fill="FFFFFF" w:themeFill="background1"/>
            <w:noWrap/>
          </w:tcPr>
          <w:p w14:paraId="1CEF0F2F" w14:textId="77777777" w:rsidR="00DE7B2C" w:rsidRPr="001B41AD" w:rsidRDefault="005A017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3,9</w:t>
            </w:r>
          </w:p>
        </w:tc>
        <w:tc>
          <w:tcPr>
            <w:tcW w:w="583" w:type="pct"/>
            <w:shd w:val="clear" w:color="auto" w:fill="FFFFFF" w:themeFill="background1"/>
            <w:noWrap/>
          </w:tcPr>
          <w:p w14:paraId="1A2645C9"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3,7</w:t>
            </w:r>
          </w:p>
        </w:tc>
      </w:tr>
      <w:tr w:rsidR="00DE7B2C" w:rsidRPr="001B41AD" w14:paraId="18E12363"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tcBorders>
              <w:left w:val="none" w:sz="0" w:space="0" w:color="auto"/>
              <w:right w:val="none" w:sz="0" w:space="0" w:color="auto"/>
            </w:tcBorders>
            <w:shd w:val="clear" w:color="auto" w:fill="FFFFFF" w:themeFill="background1"/>
          </w:tcPr>
          <w:p w14:paraId="17DD3C10" w14:textId="77777777" w:rsidR="00DE7B2C" w:rsidRPr="001B41AD" w:rsidRDefault="00DE7B2C" w:rsidP="00E61B34">
            <w:pPr>
              <w:keepLines/>
              <w:widowControl w:val="0"/>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Царине</w:t>
            </w:r>
          </w:p>
        </w:tc>
        <w:tc>
          <w:tcPr>
            <w:tcW w:w="605" w:type="pct"/>
            <w:tcBorders>
              <w:left w:val="none" w:sz="0" w:space="0" w:color="auto"/>
              <w:right w:val="none" w:sz="0" w:space="0" w:color="auto"/>
            </w:tcBorders>
            <w:shd w:val="clear" w:color="auto" w:fill="FFFFFF" w:themeFill="background1"/>
          </w:tcPr>
          <w:p w14:paraId="1D55F21A"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0,9</w:t>
            </w:r>
          </w:p>
        </w:tc>
        <w:tc>
          <w:tcPr>
            <w:tcW w:w="606" w:type="pct"/>
            <w:tcBorders>
              <w:left w:val="none" w:sz="0" w:space="0" w:color="auto"/>
              <w:right w:val="none" w:sz="0" w:space="0" w:color="auto"/>
            </w:tcBorders>
            <w:shd w:val="clear" w:color="auto" w:fill="FFFFFF" w:themeFill="background1"/>
            <w:noWrap/>
          </w:tcPr>
          <w:p w14:paraId="0535A372"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0,9</w:t>
            </w:r>
          </w:p>
        </w:tc>
        <w:tc>
          <w:tcPr>
            <w:tcW w:w="581" w:type="pct"/>
            <w:tcBorders>
              <w:left w:val="none" w:sz="0" w:space="0" w:color="auto"/>
              <w:right w:val="none" w:sz="0" w:space="0" w:color="auto"/>
            </w:tcBorders>
            <w:shd w:val="clear" w:color="auto" w:fill="FFFFFF" w:themeFill="background1"/>
            <w:noWrap/>
          </w:tcPr>
          <w:p w14:paraId="75CBF147"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0,9</w:t>
            </w:r>
          </w:p>
        </w:tc>
        <w:tc>
          <w:tcPr>
            <w:tcW w:w="582" w:type="pct"/>
            <w:tcBorders>
              <w:left w:val="none" w:sz="0" w:space="0" w:color="auto"/>
              <w:right w:val="none" w:sz="0" w:space="0" w:color="auto"/>
            </w:tcBorders>
            <w:shd w:val="clear" w:color="auto" w:fill="FFFFFF" w:themeFill="background1"/>
            <w:noWrap/>
          </w:tcPr>
          <w:p w14:paraId="2BF418B8"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0,9</w:t>
            </w:r>
          </w:p>
        </w:tc>
        <w:tc>
          <w:tcPr>
            <w:tcW w:w="583" w:type="pct"/>
            <w:tcBorders>
              <w:left w:val="none" w:sz="0" w:space="0" w:color="auto"/>
              <w:right w:val="none" w:sz="0" w:space="0" w:color="auto"/>
            </w:tcBorders>
            <w:shd w:val="clear" w:color="auto" w:fill="FFFFFF" w:themeFill="background1"/>
            <w:noWrap/>
          </w:tcPr>
          <w:p w14:paraId="4E652249"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0,9</w:t>
            </w:r>
          </w:p>
        </w:tc>
      </w:tr>
      <w:tr w:rsidR="00DE7B2C" w:rsidRPr="001B41AD" w14:paraId="78D4C4F3" w14:textId="77777777" w:rsidTr="001B5D96">
        <w:trPr>
          <w:trHeight w:val="20"/>
        </w:trPr>
        <w:tc>
          <w:tcPr>
            <w:tcW w:w="2043" w:type="pct"/>
            <w:shd w:val="clear" w:color="auto" w:fill="FFFFFF" w:themeFill="background1"/>
          </w:tcPr>
          <w:p w14:paraId="101750C7" w14:textId="77777777" w:rsidR="00DE7B2C" w:rsidRPr="001B41AD" w:rsidRDefault="00DE7B2C" w:rsidP="00E61B34">
            <w:pPr>
              <w:keepLines/>
              <w:widowControl w:val="0"/>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Остали порески приходи</w:t>
            </w:r>
          </w:p>
        </w:tc>
        <w:tc>
          <w:tcPr>
            <w:tcW w:w="605" w:type="pct"/>
            <w:shd w:val="clear" w:color="auto" w:fill="FFFFFF" w:themeFill="background1"/>
          </w:tcPr>
          <w:p w14:paraId="6982A487"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1,2</w:t>
            </w:r>
          </w:p>
        </w:tc>
        <w:tc>
          <w:tcPr>
            <w:tcW w:w="606" w:type="pct"/>
            <w:shd w:val="clear" w:color="auto" w:fill="FFFFFF" w:themeFill="background1"/>
            <w:noWrap/>
          </w:tcPr>
          <w:p w14:paraId="53EEBEC3"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1,2</w:t>
            </w:r>
          </w:p>
        </w:tc>
        <w:tc>
          <w:tcPr>
            <w:tcW w:w="581" w:type="pct"/>
            <w:shd w:val="clear" w:color="auto" w:fill="FFFFFF" w:themeFill="background1"/>
            <w:noWrap/>
          </w:tcPr>
          <w:p w14:paraId="09191204"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1,2</w:t>
            </w:r>
          </w:p>
        </w:tc>
        <w:tc>
          <w:tcPr>
            <w:tcW w:w="582" w:type="pct"/>
            <w:shd w:val="clear" w:color="auto" w:fill="FFFFFF" w:themeFill="background1"/>
            <w:noWrap/>
          </w:tcPr>
          <w:p w14:paraId="21D4C865"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1,1</w:t>
            </w:r>
          </w:p>
        </w:tc>
        <w:tc>
          <w:tcPr>
            <w:tcW w:w="583" w:type="pct"/>
            <w:shd w:val="clear" w:color="auto" w:fill="FFFFFF" w:themeFill="background1"/>
            <w:noWrap/>
          </w:tcPr>
          <w:p w14:paraId="7B189338"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1,1</w:t>
            </w:r>
          </w:p>
        </w:tc>
      </w:tr>
      <w:tr w:rsidR="00DE7B2C" w:rsidRPr="001B41AD" w14:paraId="3583B400"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tcBorders>
              <w:left w:val="none" w:sz="0" w:space="0" w:color="auto"/>
              <w:right w:val="none" w:sz="0" w:space="0" w:color="auto"/>
            </w:tcBorders>
            <w:shd w:val="clear" w:color="auto" w:fill="FFFFFF" w:themeFill="background1"/>
          </w:tcPr>
          <w:p w14:paraId="159496FD" w14:textId="77777777" w:rsidR="00DE7B2C" w:rsidRPr="001B41AD" w:rsidRDefault="00DE7B2C" w:rsidP="00E61B34">
            <w:pPr>
              <w:keepLines/>
              <w:widowControl w:val="0"/>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Доприноси</w:t>
            </w:r>
          </w:p>
        </w:tc>
        <w:tc>
          <w:tcPr>
            <w:tcW w:w="605" w:type="pct"/>
            <w:tcBorders>
              <w:left w:val="none" w:sz="0" w:space="0" w:color="auto"/>
              <w:right w:val="none" w:sz="0" w:space="0" w:color="auto"/>
            </w:tcBorders>
            <w:shd w:val="clear" w:color="auto" w:fill="FFFFFF" w:themeFill="background1"/>
          </w:tcPr>
          <w:p w14:paraId="0071335E"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12,6</w:t>
            </w:r>
          </w:p>
        </w:tc>
        <w:tc>
          <w:tcPr>
            <w:tcW w:w="606" w:type="pct"/>
            <w:tcBorders>
              <w:left w:val="none" w:sz="0" w:space="0" w:color="auto"/>
              <w:right w:val="none" w:sz="0" w:space="0" w:color="auto"/>
            </w:tcBorders>
            <w:shd w:val="clear" w:color="auto" w:fill="FFFFFF" w:themeFill="background1"/>
            <w:noWrap/>
          </w:tcPr>
          <w:p w14:paraId="11CC4D41"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13,2</w:t>
            </w:r>
          </w:p>
        </w:tc>
        <w:tc>
          <w:tcPr>
            <w:tcW w:w="581" w:type="pct"/>
            <w:tcBorders>
              <w:left w:val="none" w:sz="0" w:space="0" w:color="auto"/>
              <w:right w:val="none" w:sz="0" w:space="0" w:color="auto"/>
            </w:tcBorders>
            <w:shd w:val="clear" w:color="auto" w:fill="FFFFFF" w:themeFill="background1"/>
            <w:noWrap/>
          </w:tcPr>
          <w:p w14:paraId="65BC819E"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13,</w:t>
            </w:r>
            <w:r w:rsidR="005A017D" w:rsidRPr="001B41AD">
              <w:rPr>
                <w:rFonts w:cstheme="minorHAnsi"/>
                <w:color w:val="002060"/>
                <w:sz w:val="18"/>
                <w:szCs w:val="18"/>
                <w:lang w:val="sr-Cyrl-CS"/>
              </w:rPr>
              <w:t>6</w:t>
            </w:r>
          </w:p>
        </w:tc>
        <w:tc>
          <w:tcPr>
            <w:tcW w:w="582" w:type="pct"/>
            <w:tcBorders>
              <w:left w:val="none" w:sz="0" w:space="0" w:color="auto"/>
              <w:right w:val="none" w:sz="0" w:space="0" w:color="auto"/>
            </w:tcBorders>
            <w:shd w:val="clear" w:color="auto" w:fill="FFFFFF" w:themeFill="background1"/>
            <w:noWrap/>
          </w:tcPr>
          <w:p w14:paraId="0BC568ED"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13,</w:t>
            </w:r>
            <w:r w:rsidR="005A017D" w:rsidRPr="001B41AD">
              <w:rPr>
                <w:rFonts w:cstheme="minorHAnsi"/>
                <w:color w:val="002060"/>
                <w:sz w:val="18"/>
                <w:szCs w:val="18"/>
                <w:lang w:val="sr-Cyrl-CS"/>
              </w:rPr>
              <w:t>7</w:t>
            </w:r>
          </w:p>
        </w:tc>
        <w:tc>
          <w:tcPr>
            <w:tcW w:w="583" w:type="pct"/>
            <w:tcBorders>
              <w:left w:val="none" w:sz="0" w:space="0" w:color="auto"/>
              <w:right w:val="none" w:sz="0" w:space="0" w:color="auto"/>
            </w:tcBorders>
            <w:shd w:val="clear" w:color="auto" w:fill="FFFFFF" w:themeFill="background1"/>
            <w:noWrap/>
          </w:tcPr>
          <w:p w14:paraId="2F56F1B7" w14:textId="77777777" w:rsidR="00DE7B2C" w:rsidRPr="001B41AD" w:rsidRDefault="005A017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13,9</w:t>
            </w:r>
          </w:p>
        </w:tc>
      </w:tr>
      <w:tr w:rsidR="00DE7B2C" w:rsidRPr="001B41AD" w14:paraId="2916437D" w14:textId="77777777" w:rsidTr="001B5D96">
        <w:trPr>
          <w:trHeight w:val="20"/>
        </w:trPr>
        <w:tc>
          <w:tcPr>
            <w:tcW w:w="2043" w:type="pct"/>
            <w:shd w:val="clear" w:color="auto" w:fill="FFFFFF" w:themeFill="background1"/>
          </w:tcPr>
          <w:p w14:paraId="189D3886" w14:textId="77777777" w:rsidR="00DE7B2C" w:rsidRPr="001B41AD" w:rsidRDefault="00DE7B2C" w:rsidP="00E61B34">
            <w:pPr>
              <w:keepLines/>
              <w:widowControl w:val="0"/>
              <w:shd w:val="clear" w:color="auto" w:fill="FFFFFF" w:themeFill="background1"/>
              <w:spacing w:line="276" w:lineRule="auto"/>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 xml:space="preserve"> Непорески приходи</w:t>
            </w:r>
          </w:p>
        </w:tc>
        <w:tc>
          <w:tcPr>
            <w:tcW w:w="605" w:type="pct"/>
            <w:shd w:val="clear" w:color="auto" w:fill="FFFFFF" w:themeFill="background1"/>
          </w:tcPr>
          <w:p w14:paraId="628E1BF5"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4,3</w:t>
            </w:r>
          </w:p>
        </w:tc>
        <w:tc>
          <w:tcPr>
            <w:tcW w:w="606" w:type="pct"/>
            <w:shd w:val="clear" w:color="auto" w:fill="FFFFFF" w:themeFill="background1"/>
            <w:noWrap/>
          </w:tcPr>
          <w:p w14:paraId="00D37773"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4,4</w:t>
            </w:r>
          </w:p>
        </w:tc>
        <w:tc>
          <w:tcPr>
            <w:tcW w:w="581" w:type="pct"/>
            <w:shd w:val="clear" w:color="auto" w:fill="FFFFFF" w:themeFill="background1"/>
            <w:noWrap/>
          </w:tcPr>
          <w:p w14:paraId="4B9A2A67"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w:t>
            </w:r>
            <w:r w:rsidR="00C039FA" w:rsidRPr="001B41AD">
              <w:rPr>
                <w:rFonts w:cstheme="minorHAnsi"/>
                <w:color w:val="002060"/>
                <w:sz w:val="18"/>
                <w:szCs w:val="18"/>
                <w:lang w:val="sr-Cyrl-CS"/>
              </w:rPr>
              <w:t>1</w:t>
            </w:r>
          </w:p>
        </w:tc>
        <w:tc>
          <w:tcPr>
            <w:tcW w:w="582" w:type="pct"/>
            <w:shd w:val="clear" w:color="auto" w:fill="FFFFFF" w:themeFill="background1"/>
            <w:noWrap/>
          </w:tcPr>
          <w:p w14:paraId="74599106"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w:t>
            </w:r>
            <w:r w:rsidR="00C039FA" w:rsidRPr="001B41AD">
              <w:rPr>
                <w:rFonts w:cstheme="minorHAnsi"/>
                <w:color w:val="002060"/>
                <w:sz w:val="18"/>
                <w:szCs w:val="18"/>
                <w:lang w:val="sr-Cyrl-CS"/>
              </w:rPr>
              <w:t>7</w:t>
            </w:r>
          </w:p>
        </w:tc>
        <w:tc>
          <w:tcPr>
            <w:tcW w:w="583" w:type="pct"/>
            <w:shd w:val="clear" w:color="auto" w:fill="FFFFFF" w:themeFill="background1"/>
            <w:noWrap/>
          </w:tcPr>
          <w:p w14:paraId="2B1D9628"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w:t>
            </w:r>
            <w:r w:rsidR="00C039FA" w:rsidRPr="001B41AD">
              <w:rPr>
                <w:rFonts w:cstheme="minorHAnsi"/>
                <w:color w:val="002060"/>
                <w:sz w:val="18"/>
                <w:szCs w:val="18"/>
                <w:lang w:val="sr-Cyrl-CS"/>
              </w:rPr>
              <w:t>6</w:t>
            </w:r>
          </w:p>
        </w:tc>
      </w:tr>
      <w:tr w:rsidR="00DE7B2C" w:rsidRPr="001B41AD" w14:paraId="0EC4C579"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tcBorders>
              <w:left w:val="none" w:sz="0" w:space="0" w:color="auto"/>
              <w:bottom w:val="single" w:sz="4" w:space="0" w:color="002060"/>
              <w:right w:val="none" w:sz="0" w:space="0" w:color="auto"/>
            </w:tcBorders>
            <w:shd w:val="clear" w:color="auto" w:fill="FFFFFF" w:themeFill="background1"/>
          </w:tcPr>
          <w:p w14:paraId="5627ECC6" w14:textId="77777777" w:rsidR="00DE7B2C" w:rsidRPr="001B41AD" w:rsidRDefault="00DE7B2C" w:rsidP="00E61B34">
            <w:pPr>
              <w:keepLines/>
              <w:widowControl w:val="0"/>
              <w:shd w:val="clear" w:color="auto" w:fill="FFFFFF" w:themeFill="background1"/>
              <w:spacing w:line="276" w:lineRule="auto"/>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Донације</w:t>
            </w:r>
          </w:p>
        </w:tc>
        <w:tc>
          <w:tcPr>
            <w:tcW w:w="605" w:type="pct"/>
            <w:tcBorders>
              <w:left w:val="none" w:sz="0" w:space="0" w:color="auto"/>
              <w:bottom w:val="single" w:sz="4" w:space="0" w:color="002060"/>
              <w:right w:val="none" w:sz="0" w:space="0" w:color="auto"/>
            </w:tcBorders>
            <w:shd w:val="clear" w:color="auto" w:fill="FFFFFF" w:themeFill="background1"/>
          </w:tcPr>
          <w:p w14:paraId="54B34404"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0,2</w:t>
            </w:r>
          </w:p>
        </w:tc>
        <w:tc>
          <w:tcPr>
            <w:tcW w:w="606" w:type="pct"/>
            <w:tcBorders>
              <w:left w:val="none" w:sz="0" w:space="0" w:color="auto"/>
              <w:bottom w:val="single" w:sz="4" w:space="0" w:color="002060"/>
              <w:right w:val="none" w:sz="0" w:space="0" w:color="auto"/>
            </w:tcBorders>
            <w:shd w:val="clear" w:color="auto" w:fill="FFFFFF" w:themeFill="background1"/>
            <w:noWrap/>
          </w:tcPr>
          <w:p w14:paraId="7C45305B"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0,4</w:t>
            </w:r>
          </w:p>
        </w:tc>
        <w:tc>
          <w:tcPr>
            <w:tcW w:w="581" w:type="pct"/>
            <w:tcBorders>
              <w:left w:val="none" w:sz="0" w:space="0" w:color="auto"/>
              <w:bottom w:val="single" w:sz="4" w:space="0" w:color="002060"/>
              <w:right w:val="none" w:sz="0" w:space="0" w:color="auto"/>
            </w:tcBorders>
            <w:shd w:val="clear" w:color="auto" w:fill="FFFFFF" w:themeFill="background1"/>
            <w:noWrap/>
          </w:tcPr>
          <w:p w14:paraId="055D0A46"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w:t>
            </w:r>
            <w:r w:rsidR="00C039FA" w:rsidRPr="001B41AD">
              <w:rPr>
                <w:rFonts w:cstheme="minorHAnsi"/>
                <w:color w:val="002060"/>
                <w:sz w:val="18"/>
                <w:szCs w:val="18"/>
                <w:lang w:val="sr-Cyrl-CS"/>
              </w:rPr>
              <w:t>3</w:t>
            </w:r>
          </w:p>
        </w:tc>
        <w:tc>
          <w:tcPr>
            <w:tcW w:w="582" w:type="pct"/>
            <w:tcBorders>
              <w:left w:val="none" w:sz="0" w:space="0" w:color="auto"/>
              <w:bottom w:val="single" w:sz="4" w:space="0" w:color="002060"/>
              <w:right w:val="none" w:sz="0" w:space="0" w:color="auto"/>
            </w:tcBorders>
            <w:shd w:val="clear" w:color="auto" w:fill="FFFFFF" w:themeFill="background1"/>
            <w:noWrap/>
          </w:tcPr>
          <w:p w14:paraId="5D5FD29B" w14:textId="77777777" w:rsidR="00DE7B2C" w:rsidRPr="001B41AD" w:rsidRDefault="00DE7B2C"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w:t>
            </w:r>
            <w:r w:rsidR="00C039FA" w:rsidRPr="001B41AD">
              <w:rPr>
                <w:rFonts w:cstheme="minorHAnsi"/>
                <w:color w:val="002060"/>
                <w:sz w:val="18"/>
                <w:szCs w:val="18"/>
                <w:lang w:val="sr-Cyrl-CS"/>
              </w:rPr>
              <w:t>3</w:t>
            </w:r>
          </w:p>
        </w:tc>
        <w:tc>
          <w:tcPr>
            <w:tcW w:w="583" w:type="pct"/>
            <w:tcBorders>
              <w:left w:val="none" w:sz="0" w:space="0" w:color="auto"/>
              <w:bottom w:val="single" w:sz="4" w:space="0" w:color="002060"/>
              <w:right w:val="none" w:sz="0" w:space="0" w:color="auto"/>
            </w:tcBorders>
            <w:shd w:val="clear" w:color="auto" w:fill="FFFFFF" w:themeFill="background1"/>
            <w:noWrap/>
          </w:tcPr>
          <w:p w14:paraId="401F6079" w14:textId="77777777" w:rsidR="00DE7B2C" w:rsidRPr="001B41AD" w:rsidRDefault="00C1400D" w:rsidP="00E61B34">
            <w:pPr>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w:t>
            </w:r>
            <w:r w:rsidR="00C039FA" w:rsidRPr="001B41AD">
              <w:rPr>
                <w:rFonts w:cstheme="minorHAnsi"/>
                <w:color w:val="002060"/>
                <w:sz w:val="18"/>
                <w:szCs w:val="18"/>
                <w:lang w:val="sr-Cyrl-CS"/>
              </w:rPr>
              <w:t>3</w:t>
            </w:r>
          </w:p>
        </w:tc>
      </w:tr>
    </w:tbl>
    <w:p w14:paraId="2DD85952" w14:textId="77777777" w:rsidR="00DE7B2C" w:rsidRPr="001B41AD" w:rsidRDefault="00DE7B2C" w:rsidP="00DE7B2C">
      <w:pPr>
        <w:spacing w:before="40" w:after="120" w:line="276" w:lineRule="auto"/>
        <w:jc w:val="left"/>
        <w:rPr>
          <w:rFonts w:cstheme="minorHAnsi"/>
          <w:sz w:val="16"/>
          <w:szCs w:val="20"/>
          <w:lang w:val="sr-Cyrl-CS"/>
        </w:rPr>
        <w:sectPr w:rsidR="00DE7B2C" w:rsidRPr="001B41AD" w:rsidSect="0059423E">
          <w:type w:val="continuous"/>
          <w:pgSz w:w="12240" w:h="15840" w:code="1"/>
          <w:pgMar w:top="1440" w:right="1440" w:bottom="1800" w:left="1440" w:header="720" w:footer="720" w:gutter="0"/>
          <w:cols w:space="720"/>
          <w:docGrid w:linePitch="360"/>
        </w:sectPr>
      </w:pPr>
      <w:r w:rsidRPr="001B41AD">
        <w:rPr>
          <w:rFonts w:eastAsia="Calibri" w:cstheme="minorHAnsi"/>
          <w:bCs/>
          <w:sz w:val="16"/>
          <w:szCs w:val="20"/>
          <w:lang w:val="sr-Cyrl-CS" w:eastAsia="ja-JP"/>
        </w:rPr>
        <w:t xml:space="preserve">Извор: </w:t>
      </w:r>
      <w:r w:rsidRPr="001B41AD">
        <w:rPr>
          <w:rFonts w:cstheme="minorHAnsi"/>
          <w:sz w:val="16"/>
          <w:szCs w:val="20"/>
          <w:lang w:val="sr-Cyrl-CS"/>
        </w:rPr>
        <w:t>Министарство финансија</w:t>
      </w:r>
    </w:p>
    <w:p w14:paraId="5FE778A0" w14:textId="77777777" w:rsidR="002F5C60" w:rsidRPr="001B41AD" w:rsidRDefault="002F5C60" w:rsidP="002F5C60">
      <w:pPr>
        <w:spacing w:after="120"/>
        <w:rPr>
          <w:color w:val="44546A"/>
          <w:lang w:val="sr-Cyrl-CS"/>
        </w:rPr>
      </w:pPr>
      <w:r w:rsidRPr="001B41AD">
        <w:rPr>
          <w:color w:val="44546A"/>
          <w:lang w:val="sr-Cyrl-CS"/>
        </w:rPr>
        <w:t xml:space="preserve">Економско окружење, и спољно и унутрашње, током 2025. </w:t>
      </w:r>
      <w:r w:rsidR="000B66F5" w:rsidRPr="001B41AD">
        <w:rPr>
          <w:color w:val="44546A"/>
          <w:lang w:val="sr-Cyrl-CS"/>
        </w:rPr>
        <w:t>године и</w:t>
      </w:r>
      <w:r w:rsidR="00010D4E" w:rsidRPr="001B41AD">
        <w:rPr>
          <w:color w:val="44546A"/>
          <w:lang w:val="sr-Cyrl-CS"/>
        </w:rPr>
        <w:t xml:space="preserve"> процене за</w:t>
      </w:r>
      <w:r w:rsidR="00461482" w:rsidRPr="001B41AD">
        <w:rPr>
          <w:color w:val="44546A"/>
          <w:lang w:val="sr-Cyrl-CS"/>
        </w:rPr>
        <w:t xml:space="preserve"> 2026. годину</w:t>
      </w:r>
      <w:r w:rsidR="000B66F5" w:rsidRPr="001B41AD">
        <w:rPr>
          <w:color w:val="44546A"/>
          <w:lang w:val="sr-Cyrl-CS"/>
        </w:rPr>
        <w:t xml:space="preserve"> карактерише</w:t>
      </w:r>
      <w:r w:rsidRPr="001B41AD">
        <w:rPr>
          <w:color w:val="44546A"/>
          <w:lang w:val="sr-Cyrl-CS"/>
        </w:rPr>
        <w:t xml:space="preserve"> изражена неизвесност и појачани ризици. Поред општих макроекономских кретања, на привредну активност и фискалне агрегате могу утицати и специфична питања на нивоу појединих предузећа или индустрија. Неизвесност у погледу снабдевања енергентима</w:t>
      </w:r>
      <w:r w:rsidR="00461482" w:rsidRPr="001B41AD">
        <w:rPr>
          <w:color w:val="44546A"/>
          <w:lang w:val="sr-Cyrl-CS"/>
        </w:rPr>
        <w:t xml:space="preserve"> и</w:t>
      </w:r>
      <w:r w:rsidRPr="001B41AD">
        <w:rPr>
          <w:color w:val="44546A"/>
          <w:lang w:val="sr-Cyrl-CS"/>
        </w:rPr>
        <w:t xml:space="preserve"> ограничења у извозу челика на тржиште Европске уније представљају потенцијалне изворе шокова за економију. И</w:t>
      </w:r>
      <w:r w:rsidR="004A471A" w:rsidRPr="001B41AD">
        <w:rPr>
          <w:color w:val="44546A"/>
          <w:lang w:val="sr-Cyrl-CS"/>
        </w:rPr>
        <w:t>мајући у виду наведене непредвидиве</w:t>
      </w:r>
      <w:r w:rsidRPr="001B41AD">
        <w:rPr>
          <w:color w:val="44546A"/>
          <w:lang w:val="sr-Cyrl-CS"/>
        </w:rPr>
        <w:t xml:space="preserve"> околности, </w:t>
      </w:r>
      <w:r w:rsidRPr="001B41AD">
        <w:rPr>
          <w:bCs/>
          <w:color w:val="44546A"/>
          <w:lang w:val="sr-Cyrl-CS"/>
        </w:rPr>
        <w:t>фискалне пројекције у средњем року су формулисане конзервативно</w:t>
      </w:r>
      <w:r w:rsidRPr="001B41AD">
        <w:rPr>
          <w:color w:val="44546A"/>
          <w:lang w:val="sr-Cyrl-CS"/>
        </w:rPr>
        <w:t xml:space="preserve">, чиме се </w:t>
      </w:r>
      <w:r w:rsidRPr="001B41AD">
        <w:rPr>
          <w:color w:val="44546A"/>
          <w:lang w:val="sr-Cyrl-CS"/>
        </w:rPr>
        <w:t>обезбеђује довољан маневарски простор за деловање економске политике у случају материјализације ризика.</w:t>
      </w:r>
    </w:p>
    <w:p w14:paraId="4E0B8A29" w14:textId="77777777" w:rsidR="002F5C60" w:rsidRPr="001B41AD" w:rsidRDefault="002F5C60" w:rsidP="002F5C60">
      <w:pPr>
        <w:spacing w:after="120"/>
        <w:rPr>
          <w:b/>
          <w:bCs/>
          <w:color w:val="44546A"/>
          <w:lang w:val="sr-Cyrl-CS"/>
        </w:rPr>
      </w:pPr>
      <w:r w:rsidRPr="001B41AD">
        <w:rPr>
          <w:b/>
          <w:bCs/>
          <w:color w:val="1F3864" w:themeColor="accent1" w:themeShade="80"/>
          <w:lang w:val="sr-Cyrl-CS"/>
        </w:rPr>
        <w:t>Јавни приходи – структура, динамика и детерминанте</w:t>
      </w:r>
      <w:r w:rsidR="004A471A" w:rsidRPr="001B41AD">
        <w:rPr>
          <w:b/>
          <w:bCs/>
          <w:color w:val="1F3864" w:themeColor="accent1" w:themeShade="80"/>
          <w:lang w:val="sr-Cyrl-CS"/>
        </w:rPr>
        <w:t xml:space="preserve">. </w:t>
      </w:r>
      <w:r w:rsidRPr="001B41AD">
        <w:rPr>
          <w:color w:val="44546A"/>
          <w:lang w:val="sr-Cyrl-CS"/>
        </w:rPr>
        <w:t>Опадајући тренд укупних јавних приход</w:t>
      </w:r>
      <w:r w:rsidR="004A471A" w:rsidRPr="001B41AD">
        <w:rPr>
          <w:color w:val="44546A"/>
          <w:lang w:val="sr-Cyrl-CS"/>
        </w:rPr>
        <w:t>а, посматрано као учешће у БДП</w:t>
      </w:r>
      <w:r w:rsidRPr="001B41AD">
        <w:rPr>
          <w:color w:val="44546A"/>
          <w:lang w:val="sr-Cyrl-CS"/>
        </w:rPr>
        <w:t xml:space="preserve">, представља очекивану последицу пројектоване структуре средњорочног раста српске привреде, у којој доминирају сектори са нижим фискалним мултипликатором. Пројекција прихода полази од претпоставке </w:t>
      </w:r>
      <w:r w:rsidRPr="001B41AD">
        <w:rPr>
          <w:bCs/>
          <w:color w:val="44546A"/>
          <w:lang w:val="sr-Cyrl-CS"/>
        </w:rPr>
        <w:t>одржавања постојећег степена наплате</w:t>
      </w:r>
      <w:r w:rsidRPr="001B41AD">
        <w:rPr>
          <w:color w:val="44546A"/>
          <w:lang w:val="sr-Cyrl-CS"/>
        </w:rPr>
        <w:t>.</w:t>
      </w:r>
    </w:p>
    <w:p w14:paraId="2BC02049" w14:textId="0AC4E716" w:rsidR="002F5C60" w:rsidRPr="001B41AD" w:rsidRDefault="002F5C60" w:rsidP="002F5C60">
      <w:pPr>
        <w:spacing w:after="120"/>
        <w:rPr>
          <w:b/>
          <w:bCs/>
          <w:color w:val="44546A"/>
          <w:lang w:val="sr-Cyrl-CS"/>
        </w:rPr>
      </w:pPr>
      <w:r w:rsidRPr="001B41AD">
        <w:rPr>
          <w:b/>
          <w:bCs/>
          <w:color w:val="1F3864" w:themeColor="accent1" w:themeShade="80"/>
          <w:lang w:val="sr-Cyrl-CS"/>
        </w:rPr>
        <w:lastRenderedPageBreak/>
        <w:t>Порези на доходак</w:t>
      </w:r>
      <w:r w:rsidR="004A471A" w:rsidRPr="001B41AD">
        <w:rPr>
          <w:b/>
          <w:bCs/>
          <w:color w:val="1F3864" w:themeColor="accent1" w:themeShade="80"/>
          <w:lang w:val="sr-Cyrl-CS"/>
        </w:rPr>
        <w:t xml:space="preserve">. </w:t>
      </w:r>
      <w:r w:rsidRPr="001B41AD">
        <w:rPr>
          <w:color w:val="44546A"/>
          <w:lang w:val="sr-Cyrl-CS"/>
        </w:rPr>
        <w:t xml:space="preserve">Преовлађујући облик пореза на доходак у </w:t>
      </w:r>
      <w:r w:rsidR="00F375DA" w:rsidRPr="001B41AD">
        <w:rPr>
          <w:color w:val="44546A"/>
          <w:lang w:val="sr-Cyrl-CS"/>
        </w:rPr>
        <w:t xml:space="preserve">Републици </w:t>
      </w:r>
      <w:r w:rsidRPr="001B41AD">
        <w:rPr>
          <w:color w:val="44546A"/>
          <w:lang w:val="sr-Cyrl-CS"/>
        </w:rPr>
        <w:t xml:space="preserve">Србији јесте </w:t>
      </w:r>
      <w:r w:rsidRPr="001B41AD">
        <w:rPr>
          <w:bCs/>
          <w:color w:val="44546A"/>
          <w:lang w:val="sr-Cyrl-CS"/>
        </w:rPr>
        <w:t>порез на зараде</w:t>
      </w:r>
      <w:r w:rsidRPr="001B41AD">
        <w:rPr>
          <w:color w:val="44546A"/>
          <w:lang w:val="sr-Cyrl-CS"/>
        </w:rPr>
        <w:t>, те су кретања масе зарада и запослености кључни фактори који одређују његову динамику. Очекује се да ће након 2027. године</w:t>
      </w:r>
      <w:r w:rsidR="00461482" w:rsidRPr="001B41AD">
        <w:rPr>
          <w:color w:val="44546A"/>
          <w:lang w:val="sr-Cyrl-CS"/>
        </w:rPr>
        <w:t xml:space="preserve"> учешће пореза на зараде у БДП</w:t>
      </w:r>
      <w:r w:rsidRPr="001B41AD">
        <w:rPr>
          <w:color w:val="44546A"/>
          <w:lang w:val="sr-Cyrl-CS"/>
        </w:rPr>
        <w:t xml:space="preserve"> благо порасти, као резултат повећања запослености и реалних зарада, уз утицај измене неопорезивог цензуса.</w:t>
      </w:r>
      <w:r w:rsidR="000B66F5" w:rsidRPr="001B41AD">
        <w:rPr>
          <w:b/>
          <w:bCs/>
          <w:color w:val="44546A"/>
          <w:lang w:val="sr-Cyrl-CS"/>
        </w:rPr>
        <w:t xml:space="preserve"> </w:t>
      </w:r>
      <w:r w:rsidRPr="001B41AD">
        <w:rPr>
          <w:color w:val="44546A"/>
          <w:lang w:val="sr-Cyrl-CS"/>
        </w:rPr>
        <w:t xml:space="preserve">У 2026. години предвиђено је повећање неопорезивог цензуса за </w:t>
      </w:r>
      <w:r w:rsidRPr="001B41AD">
        <w:rPr>
          <w:bCs/>
          <w:color w:val="44546A"/>
          <w:lang w:val="sr-Cyrl-CS"/>
        </w:rPr>
        <w:t>20,4%</w:t>
      </w:r>
      <w:r w:rsidRPr="001B41AD">
        <w:rPr>
          <w:color w:val="44546A"/>
          <w:lang w:val="sr-Cyrl-CS"/>
        </w:rPr>
        <w:t xml:space="preserve">, ради даљег смањења пореског оптерећења рада. Ефекат ове мере процењује се на смањење прихода за </w:t>
      </w:r>
      <w:r w:rsidRPr="001B41AD">
        <w:rPr>
          <w:bCs/>
          <w:color w:val="44546A"/>
          <w:lang w:val="sr-Cyrl-CS"/>
        </w:rPr>
        <w:t>24,5 милијарди динара</w:t>
      </w:r>
      <w:r w:rsidRPr="001B41AD">
        <w:rPr>
          <w:color w:val="44546A"/>
          <w:lang w:val="sr-Cyrl-CS"/>
        </w:rPr>
        <w:t xml:space="preserve">, од чега се </w:t>
      </w:r>
      <w:r w:rsidRPr="001B41AD">
        <w:rPr>
          <w:bCs/>
          <w:color w:val="44546A"/>
          <w:lang w:val="sr-Cyrl-CS"/>
        </w:rPr>
        <w:t>17 милијарди</w:t>
      </w:r>
      <w:r w:rsidRPr="001B41AD">
        <w:rPr>
          <w:color w:val="44546A"/>
          <w:lang w:val="sr-Cyrl-CS"/>
        </w:rPr>
        <w:t xml:space="preserve"> односи на порез на зараде, а </w:t>
      </w:r>
      <w:r w:rsidRPr="001B41AD">
        <w:rPr>
          <w:bCs/>
          <w:color w:val="44546A"/>
          <w:lang w:val="sr-Cyrl-CS"/>
        </w:rPr>
        <w:t>7,5 милијарди</w:t>
      </w:r>
      <w:r w:rsidRPr="001B41AD">
        <w:rPr>
          <w:color w:val="44546A"/>
          <w:lang w:val="sr-Cyrl-CS"/>
        </w:rPr>
        <w:t xml:space="preserve"> на доприносе за обавезно социјално осигурање, услед умањења основице за обрачун.</w:t>
      </w:r>
    </w:p>
    <w:p w14:paraId="04A35EC0" w14:textId="77777777" w:rsidR="002F5C60" w:rsidRPr="001B41AD" w:rsidRDefault="002F5C60" w:rsidP="002F5C60">
      <w:pPr>
        <w:spacing w:after="120"/>
        <w:rPr>
          <w:color w:val="44546A"/>
          <w:lang w:val="sr-Cyrl-CS"/>
        </w:rPr>
      </w:pPr>
      <w:r w:rsidRPr="001B41AD">
        <w:rPr>
          <w:color w:val="44546A"/>
          <w:lang w:val="sr-Cyrl-CS"/>
        </w:rPr>
        <w:t>Остали облици пореза на доходак – као што су порез на дивиденде, порез на приходе од камата и годишњи порез на доходак грађана – очекује се да ће расти умереним темпом, у складу са општим кретањима економске активности. Комбинација динамике пореза на зараде и осталих облика пореза на доходак указује на стаб</w:t>
      </w:r>
      <w:r w:rsidR="004A471A" w:rsidRPr="001B41AD">
        <w:rPr>
          <w:color w:val="44546A"/>
          <w:lang w:val="sr-Cyrl-CS"/>
        </w:rPr>
        <w:t>илно учешће ових прихода у БДП</w:t>
      </w:r>
      <w:r w:rsidRPr="001B41AD">
        <w:rPr>
          <w:color w:val="44546A"/>
          <w:lang w:val="sr-Cyrl-CS"/>
        </w:rPr>
        <w:t xml:space="preserve"> током целог периода, уз благи раст након 2027. године.</w:t>
      </w:r>
    </w:p>
    <w:p w14:paraId="0A769125" w14:textId="77777777" w:rsidR="002F5C60" w:rsidRPr="001B41AD" w:rsidRDefault="002F5C60" w:rsidP="002F5C60">
      <w:pPr>
        <w:spacing w:after="120"/>
        <w:rPr>
          <w:b/>
          <w:bCs/>
          <w:color w:val="44546A"/>
          <w:lang w:val="sr-Cyrl-CS"/>
        </w:rPr>
      </w:pPr>
      <w:r w:rsidRPr="001B41AD">
        <w:rPr>
          <w:b/>
          <w:bCs/>
          <w:color w:val="1F3864" w:themeColor="accent1" w:themeShade="80"/>
          <w:lang w:val="sr-Cyrl-CS"/>
        </w:rPr>
        <w:t>Доприноси за социјално осигурање</w:t>
      </w:r>
      <w:r w:rsidR="004A471A" w:rsidRPr="001B41AD">
        <w:rPr>
          <w:b/>
          <w:bCs/>
          <w:color w:val="1F3864" w:themeColor="accent1" w:themeShade="80"/>
          <w:lang w:val="sr-Cyrl-CS"/>
        </w:rPr>
        <w:t xml:space="preserve">. </w:t>
      </w:r>
      <w:r w:rsidR="004A471A" w:rsidRPr="001B41AD">
        <w:rPr>
          <w:color w:val="44546A"/>
          <w:lang w:val="sr-Cyrl-CS"/>
        </w:rPr>
        <w:t>Кретање учешћа доприноса у БДП</w:t>
      </w:r>
      <w:r w:rsidRPr="001B41AD">
        <w:rPr>
          <w:color w:val="44546A"/>
          <w:lang w:val="sr-Cyrl-CS"/>
        </w:rPr>
        <w:t xml:space="preserve"> прати путању пореза на зараде, јер се заснива на истим претпоставкама о расту зарада и запослености. Ипак, повећање неопорезивог цензуса има мањи утицај на доприносе него на порез на зараде. У складу са очекиваним растом масе зарада, и доприноси ће бележи</w:t>
      </w:r>
      <w:r w:rsidR="004A471A" w:rsidRPr="001B41AD">
        <w:rPr>
          <w:color w:val="44546A"/>
          <w:lang w:val="sr-Cyrl-CS"/>
        </w:rPr>
        <w:t>ти благо повећање учешћа у БДП</w:t>
      </w:r>
      <w:r w:rsidRPr="001B41AD">
        <w:rPr>
          <w:color w:val="44546A"/>
          <w:lang w:val="sr-Cyrl-CS"/>
        </w:rPr>
        <w:t xml:space="preserve"> у наредном периоду.</w:t>
      </w:r>
    </w:p>
    <w:p w14:paraId="01AADE0F" w14:textId="2270900D" w:rsidR="002F5C60" w:rsidRPr="001B41AD" w:rsidRDefault="002F5C60" w:rsidP="002F5C60">
      <w:pPr>
        <w:spacing w:after="120"/>
        <w:rPr>
          <w:b/>
          <w:bCs/>
          <w:color w:val="44546A"/>
          <w:lang w:val="sr-Cyrl-CS"/>
        </w:rPr>
      </w:pPr>
      <w:r w:rsidRPr="001B41AD">
        <w:rPr>
          <w:b/>
          <w:bCs/>
          <w:color w:val="1F3864" w:themeColor="accent1" w:themeShade="80"/>
          <w:lang w:val="sr-Cyrl-CS"/>
        </w:rPr>
        <w:t>Порез на добит правних лица</w:t>
      </w:r>
      <w:r w:rsidR="004A471A" w:rsidRPr="001B41AD">
        <w:rPr>
          <w:b/>
          <w:bCs/>
          <w:color w:val="1F3864" w:themeColor="accent1" w:themeShade="80"/>
          <w:lang w:val="sr-Cyrl-CS"/>
        </w:rPr>
        <w:t xml:space="preserve">. </w:t>
      </w:r>
      <w:r w:rsidR="00E6186B" w:rsidRPr="001B41AD">
        <w:rPr>
          <w:szCs w:val="20"/>
          <w:lang w:val="sr-Cyrl-CS"/>
        </w:rPr>
        <w:t>Приходи од пореза на добит правних лица у периоду 2026 – 2028. године пројектовани су у складу са пројекцијом основних макроекономских показатеља, а пре свега динамиком привредног раста која опредељује профитабилност корпоративног сектора</w:t>
      </w:r>
      <w:r w:rsidRPr="001B41AD">
        <w:rPr>
          <w:color w:val="44546A"/>
          <w:lang w:val="sr-Cyrl-CS"/>
        </w:rPr>
        <w:t xml:space="preserve">. Процена прихода по овом основу носи одређени степен неизвесности због могућности коришћења пореских кредита, </w:t>
      </w:r>
      <w:r w:rsidR="000B66F5" w:rsidRPr="001B41AD">
        <w:rPr>
          <w:color w:val="44546A"/>
          <w:lang w:val="sr-Cyrl-CS"/>
        </w:rPr>
        <w:t>повраћаја</w:t>
      </w:r>
      <w:r w:rsidRPr="001B41AD">
        <w:rPr>
          <w:color w:val="44546A"/>
          <w:lang w:val="sr-Cyrl-CS"/>
        </w:rPr>
        <w:t xml:space="preserve"> и разлика између рачуноводственог и пореског биланса. Очекује се да ће се до 2028. године наплата стабил</w:t>
      </w:r>
      <w:r w:rsidR="000B66F5" w:rsidRPr="001B41AD">
        <w:rPr>
          <w:color w:val="44546A"/>
          <w:lang w:val="sr-Cyrl-CS"/>
        </w:rPr>
        <w:t>изовати у складу са растом БДП</w:t>
      </w:r>
      <w:r w:rsidRPr="001B41AD">
        <w:rPr>
          <w:color w:val="44546A"/>
          <w:lang w:val="sr-Cyrl-CS"/>
        </w:rPr>
        <w:t>.</w:t>
      </w:r>
    </w:p>
    <w:p w14:paraId="13159FF9" w14:textId="77777777" w:rsidR="002F5C60" w:rsidRPr="001B41AD" w:rsidRDefault="002F5C60" w:rsidP="002F5C60">
      <w:pPr>
        <w:spacing w:after="120"/>
        <w:rPr>
          <w:b/>
          <w:bCs/>
          <w:color w:val="44546A"/>
          <w:lang w:val="sr-Cyrl-CS"/>
        </w:rPr>
      </w:pPr>
      <w:r w:rsidRPr="001B41AD">
        <w:rPr>
          <w:b/>
          <w:bCs/>
          <w:color w:val="1F3864" w:themeColor="accent1" w:themeShade="80"/>
          <w:lang w:val="sr-Cyrl-CS"/>
        </w:rPr>
        <w:t>Порез на додату вредност</w:t>
      </w:r>
      <w:r w:rsidR="004A471A" w:rsidRPr="001B41AD">
        <w:rPr>
          <w:b/>
          <w:bCs/>
          <w:color w:val="1F3864" w:themeColor="accent1" w:themeShade="80"/>
          <w:lang w:val="sr-Cyrl-CS"/>
        </w:rPr>
        <w:t>.</w:t>
      </w:r>
      <w:r w:rsidR="004A471A" w:rsidRPr="001B41AD">
        <w:rPr>
          <w:bCs/>
          <w:color w:val="1F3864" w:themeColor="accent1" w:themeShade="80"/>
          <w:lang w:val="sr-Cyrl-CS"/>
        </w:rPr>
        <w:t xml:space="preserve"> </w:t>
      </w:r>
      <w:r w:rsidRPr="001B41AD">
        <w:rPr>
          <w:color w:val="44546A"/>
          <w:lang w:val="sr-Cyrl-CS"/>
        </w:rPr>
        <w:t>Г</w:t>
      </w:r>
      <w:r w:rsidR="004A471A" w:rsidRPr="001B41AD">
        <w:rPr>
          <w:color w:val="44546A"/>
          <w:lang w:val="sr-Cyrl-CS"/>
        </w:rPr>
        <w:t>лавна детерминанта кретања ПДВ</w:t>
      </w:r>
      <w:r w:rsidRPr="001B41AD">
        <w:rPr>
          <w:color w:val="44546A"/>
          <w:lang w:val="sr-Cyrl-CS"/>
        </w:rPr>
        <w:t xml:space="preserve"> јесте </w:t>
      </w:r>
      <w:r w:rsidRPr="001B41AD">
        <w:rPr>
          <w:bCs/>
          <w:color w:val="44546A"/>
          <w:lang w:val="sr-Cyrl-CS"/>
        </w:rPr>
        <w:t>домаћа тражња вођена расположивим дохотком становништва</w:t>
      </w:r>
      <w:r w:rsidRPr="001B41AD">
        <w:rPr>
          <w:color w:val="44546A"/>
          <w:lang w:val="sr-Cyrl-CS"/>
        </w:rPr>
        <w:t>. Расположиви доходак зависи од кретања зарада, пензија, социјалних трансфера, дознака и кредитне активности банака</w:t>
      </w:r>
      <w:r w:rsidR="00C77180" w:rsidRPr="001B41AD">
        <w:rPr>
          <w:color w:val="44546A"/>
          <w:lang w:val="sr-Cyrl-CS"/>
        </w:rPr>
        <w:t xml:space="preserve"> према становништву</w:t>
      </w:r>
      <w:r w:rsidRPr="001B41AD">
        <w:rPr>
          <w:color w:val="44546A"/>
          <w:lang w:val="sr-Cyrl-CS"/>
        </w:rPr>
        <w:t>. Ризи</w:t>
      </w:r>
      <w:r w:rsidR="00C77180" w:rsidRPr="001B41AD">
        <w:rPr>
          <w:color w:val="44546A"/>
          <w:lang w:val="sr-Cyrl-CS"/>
        </w:rPr>
        <w:t>ци по остварење пројекције ПДВ</w:t>
      </w:r>
      <w:r w:rsidRPr="001B41AD">
        <w:rPr>
          <w:color w:val="44546A"/>
          <w:lang w:val="sr-Cyrl-CS"/>
        </w:rPr>
        <w:t xml:space="preserve"> произлазе из могућих осцилација у расту зарада у приватном сектору, динамици потрошње и ефикасности сузбијања сиве економије. Иако је у текућој години наплата </w:t>
      </w:r>
      <w:r w:rsidR="00C77180" w:rsidRPr="001B41AD">
        <w:rPr>
          <w:color w:val="44546A"/>
          <w:lang w:val="sr-Cyrl-CS"/>
        </w:rPr>
        <w:t>ПДВ</w:t>
      </w:r>
      <w:r w:rsidRPr="001B41AD">
        <w:rPr>
          <w:color w:val="44546A"/>
          <w:lang w:val="sr-Cyrl-CS"/>
        </w:rPr>
        <w:t xml:space="preserve"> била испод очекивања, делом због повећане штедње домаћинстава, у наредном периоду очекује се </w:t>
      </w:r>
      <w:r w:rsidRPr="001B41AD">
        <w:rPr>
          <w:bCs/>
          <w:color w:val="44546A"/>
          <w:lang w:val="sr-Cyrl-CS"/>
        </w:rPr>
        <w:t>опоравак и стабилизација</w:t>
      </w:r>
      <w:r w:rsidRPr="001B41AD">
        <w:rPr>
          <w:color w:val="44546A"/>
          <w:lang w:val="sr-Cyrl-CS"/>
        </w:rPr>
        <w:t xml:space="preserve"> </w:t>
      </w:r>
      <w:r w:rsidR="00C77180" w:rsidRPr="001B41AD">
        <w:rPr>
          <w:color w:val="44546A"/>
          <w:lang w:val="sr-Cyrl-CS"/>
        </w:rPr>
        <w:t>наплате</w:t>
      </w:r>
      <w:r w:rsidRPr="001B41AD">
        <w:rPr>
          <w:color w:val="44546A"/>
          <w:lang w:val="sr-Cyrl-CS"/>
        </w:rPr>
        <w:t xml:space="preserve">, </w:t>
      </w:r>
      <w:r w:rsidR="00C77180" w:rsidRPr="001B41AD">
        <w:rPr>
          <w:color w:val="44546A"/>
          <w:lang w:val="sr-Cyrl-CS"/>
        </w:rPr>
        <w:t>уз благо повећање учешћа у БДП</w:t>
      </w:r>
      <w:r w:rsidRPr="001B41AD">
        <w:rPr>
          <w:color w:val="44546A"/>
          <w:lang w:val="sr-Cyrl-CS"/>
        </w:rPr>
        <w:t xml:space="preserve"> у 2026.</w:t>
      </w:r>
    </w:p>
    <w:p w14:paraId="3FA6C19E" w14:textId="77777777" w:rsidR="002F5C60" w:rsidRPr="001B41AD" w:rsidRDefault="002F5C60" w:rsidP="002F5C60">
      <w:pPr>
        <w:spacing w:after="120"/>
        <w:rPr>
          <w:color w:val="44546A"/>
          <w:lang w:val="sr-Cyrl-CS"/>
        </w:rPr>
      </w:pPr>
      <w:r w:rsidRPr="001B41AD">
        <w:rPr>
          <w:color w:val="44546A"/>
          <w:lang w:val="sr-Cyrl-CS"/>
        </w:rPr>
        <w:t xml:space="preserve">Повећање ефикасности наплате биће подстакнуто наставком модернизације пореске администрације – дигитализацијом процеса, интеграцијом евиденција и унапређењем анализа ризика. Ефекти борбе против сиве економије нису експлицитно укључени у средњорочне пројекције прихода, али представљају </w:t>
      </w:r>
      <w:r w:rsidRPr="001B41AD">
        <w:rPr>
          <w:bCs/>
          <w:color w:val="44546A"/>
          <w:lang w:val="sr-Cyrl-CS"/>
        </w:rPr>
        <w:t>позитиван ризик</w:t>
      </w:r>
      <w:r w:rsidRPr="001B41AD">
        <w:rPr>
          <w:color w:val="44546A"/>
          <w:lang w:val="sr-Cyrl-CS"/>
        </w:rPr>
        <w:t xml:space="preserve"> за </w:t>
      </w:r>
      <w:r w:rsidR="00C77180" w:rsidRPr="001B41AD">
        <w:rPr>
          <w:color w:val="44546A"/>
          <w:lang w:val="sr-Cyrl-CS"/>
        </w:rPr>
        <w:t>фискалне</w:t>
      </w:r>
      <w:r w:rsidRPr="001B41AD">
        <w:rPr>
          <w:color w:val="44546A"/>
          <w:lang w:val="sr-Cyrl-CS"/>
        </w:rPr>
        <w:t xml:space="preserve"> перформансе.</w:t>
      </w:r>
    </w:p>
    <w:p w14:paraId="7B5E90AE" w14:textId="77777777" w:rsidR="002F5C60" w:rsidRPr="001B41AD" w:rsidRDefault="002F5C60" w:rsidP="002F5C60">
      <w:pPr>
        <w:spacing w:after="120"/>
        <w:rPr>
          <w:b/>
          <w:bCs/>
          <w:color w:val="44546A"/>
          <w:lang w:val="sr-Cyrl-CS"/>
        </w:rPr>
      </w:pPr>
      <w:r w:rsidRPr="001B41AD">
        <w:rPr>
          <w:b/>
          <w:bCs/>
          <w:color w:val="1F3864" w:themeColor="accent1" w:themeShade="80"/>
          <w:lang w:val="sr-Cyrl-CS"/>
        </w:rPr>
        <w:t>Акцизе</w:t>
      </w:r>
      <w:r w:rsidR="00C77180" w:rsidRPr="001B41AD">
        <w:rPr>
          <w:b/>
          <w:bCs/>
          <w:color w:val="1F3864" w:themeColor="accent1" w:themeShade="80"/>
          <w:lang w:val="sr-Cyrl-CS"/>
        </w:rPr>
        <w:t xml:space="preserve">. </w:t>
      </w:r>
      <w:r w:rsidRPr="001B41AD">
        <w:rPr>
          <w:color w:val="44546A"/>
          <w:lang w:val="sr-Cyrl-CS"/>
        </w:rPr>
        <w:t xml:space="preserve">Пројекција прихода од акциза заснива се на важећој акцизној политици и пројектованој потрошњи акцизних производа. У наредним годинама не очекује се раст потрошње нафтних деривата, док је код дуванских производа предвиђен даљи пад тржишта. Приходи од акциза на алкохол, кафу и електричну енергију крећу се у складу са постојећом структуром потрошње, а од 2026. године уводи се </w:t>
      </w:r>
      <w:r w:rsidRPr="001B41AD">
        <w:rPr>
          <w:bCs/>
          <w:color w:val="44546A"/>
          <w:lang w:val="sr-Cyrl-CS"/>
        </w:rPr>
        <w:t xml:space="preserve">акциза на </w:t>
      </w:r>
      <w:r w:rsidR="00184E32" w:rsidRPr="001B41AD">
        <w:rPr>
          <w:bCs/>
          <w:color w:val="44546A"/>
          <w:lang w:val="sr-Cyrl-CS"/>
        </w:rPr>
        <w:t>компримовани</w:t>
      </w:r>
      <w:r w:rsidRPr="001B41AD">
        <w:rPr>
          <w:bCs/>
          <w:color w:val="44546A"/>
          <w:lang w:val="sr-Cyrl-CS"/>
        </w:rPr>
        <w:t xml:space="preserve"> гас</w:t>
      </w:r>
      <w:r w:rsidRPr="001B41AD">
        <w:rPr>
          <w:color w:val="44546A"/>
          <w:lang w:val="sr-Cyrl-CS"/>
        </w:rPr>
        <w:t xml:space="preserve"> који се користи за погон моторних возила. Укупно посматрано, очекује се </w:t>
      </w:r>
      <w:r w:rsidR="00463003" w:rsidRPr="001B41AD">
        <w:rPr>
          <w:bCs/>
          <w:color w:val="44546A"/>
          <w:lang w:val="sr-Cyrl-CS"/>
        </w:rPr>
        <w:t>благо</w:t>
      </w:r>
      <w:r w:rsidRPr="001B41AD">
        <w:rPr>
          <w:bCs/>
          <w:color w:val="44546A"/>
          <w:lang w:val="sr-Cyrl-CS"/>
        </w:rPr>
        <w:t xml:space="preserve"> опадајући тренд акцизних прихода</w:t>
      </w:r>
      <w:r w:rsidRPr="001B41AD">
        <w:rPr>
          <w:color w:val="44546A"/>
          <w:lang w:val="sr-Cyrl-CS"/>
        </w:rPr>
        <w:t xml:space="preserve">, будући да ће инфлација, као основни фактор номиналног раста акциза, </w:t>
      </w:r>
      <w:r w:rsidR="00543E33" w:rsidRPr="001B41AD">
        <w:rPr>
          <w:color w:val="44546A"/>
          <w:lang w:val="sr-Cyrl-CS"/>
        </w:rPr>
        <w:t>расти спорије од номиналног БДП</w:t>
      </w:r>
      <w:r w:rsidRPr="001B41AD">
        <w:rPr>
          <w:color w:val="44546A"/>
          <w:lang w:val="sr-Cyrl-CS"/>
        </w:rPr>
        <w:t>.</w:t>
      </w:r>
    </w:p>
    <w:p w14:paraId="75E14B95" w14:textId="77777777" w:rsidR="0001660B" w:rsidRPr="001B41AD" w:rsidRDefault="002F5C60" w:rsidP="002F5C60">
      <w:pPr>
        <w:spacing w:after="120"/>
        <w:rPr>
          <w:color w:val="44546A"/>
          <w:lang w:val="sr-Cyrl-CS"/>
        </w:rPr>
      </w:pPr>
      <w:r w:rsidRPr="001B41AD">
        <w:rPr>
          <w:b/>
          <w:bCs/>
          <w:color w:val="1F3864" w:themeColor="accent1" w:themeShade="80"/>
          <w:lang w:val="sr-Cyrl-CS"/>
        </w:rPr>
        <w:t>Царине и остали порески приходи</w:t>
      </w:r>
      <w:r w:rsidR="00543E33" w:rsidRPr="001B41AD">
        <w:rPr>
          <w:b/>
          <w:bCs/>
          <w:color w:val="1F3864" w:themeColor="accent1" w:themeShade="80"/>
          <w:lang w:val="sr-Cyrl-CS"/>
        </w:rPr>
        <w:t xml:space="preserve">. </w:t>
      </w:r>
      <w:r w:rsidRPr="001B41AD">
        <w:rPr>
          <w:color w:val="44546A"/>
          <w:lang w:val="sr-Cyrl-CS"/>
        </w:rPr>
        <w:t xml:space="preserve">Приходи од царина стабилизују се на нивоу од око </w:t>
      </w:r>
      <w:r w:rsidR="00463003" w:rsidRPr="001B41AD">
        <w:rPr>
          <w:bCs/>
          <w:color w:val="44546A"/>
          <w:lang w:val="sr-Cyrl-CS"/>
        </w:rPr>
        <w:t>0,9% БДП</w:t>
      </w:r>
      <w:r w:rsidRPr="001B41AD">
        <w:rPr>
          <w:color w:val="44546A"/>
          <w:lang w:val="sr-Cyrl-CS"/>
        </w:rPr>
        <w:t xml:space="preserve">, у складу са очекиваним кретањем увоза. </w:t>
      </w:r>
    </w:p>
    <w:p w14:paraId="5F1D9461" w14:textId="77777777" w:rsidR="002F5C60" w:rsidRPr="001B41AD" w:rsidRDefault="002F5C60" w:rsidP="002F5C60">
      <w:pPr>
        <w:spacing w:after="120"/>
        <w:rPr>
          <w:b/>
          <w:bCs/>
          <w:color w:val="44546A"/>
          <w:lang w:val="sr-Cyrl-CS"/>
        </w:rPr>
      </w:pPr>
      <w:r w:rsidRPr="001B41AD">
        <w:rPr>
          <w:color w:val="44546A"/>
          <w:lang w:val="sr-Cyrl-CS"/>
        </w:rPr>
        <w:t xml:space="preserve">Остали порески приходи, укључујући </w:t>
      </w:r>
      <w:r w:rsidRPr="001B41AD">
        <w:rPr>
          <w:bCs/>
          <w:color w:val="44546A"/>
          <w:lang w:val="sr-Cyrl-CS"/>
        </w:rPr>
        <w:t>порез на имовину</w:t>
      </w:r>
      <w:r w:rsidRPr="001B41AD">
        <w:rPr>
          <w:color w:val="44546A"/>
          <w:lang w:val="sr-Cyrl-CS"/>
        </w:rPr>
        <w:t xml:space="preserve"> који чини око 70% ове категорије, очекује се да </w:t>
      </w:r>
      <w:r w:rsidR="00543E33" w:rsidRPr="001B41AD">
        <w:rPr>
          <w:color w:val="44546A"/>
          <w:lang w:val="sr-Cyrl-CS"/>
        </w:rPr>
        <w:t>ће имати стабилно учешће у БДП</w:t>
      </w:r>
      <w:r w:rsidRPr="001B41AD">
        <w:rPr>
          <w:color w:val="44546A"/>
          <w:lang w:val="sr-Cyrl-CS"/>
        </w:rPr>
        <w:t xml:space="preserve">. Номинално повећање прихода по овом основу може уследити услед проширења пореске базе (бољи обухват непокретности), што није укључено у </w:t>
      </w:r>
      <w:r w:rsidR="00543E33" w:rsidRPr="001B41AD">
        <w:rPr>
          <w:color w:val="44546A"/>
          <w:lang w:val="sr-Cyrl-CS"/>
        </w:rPr>
        <w:t>основни фискални сценарио</w:t>
      </w:r>
      <w:r w:rsidRPr="001B41AD">
        <w:rPr>
          <w:color w:val="44546A"/>
          <w:lang w:val="sr-Cyrl-CS"/>
        </w:rPr>
        <w:t xml:space="preserve"> и представља позитиван </w:t>
      </w:r>
      <w:r w:rsidRPr="001B41AD">
        <w:rPr>
          <w:color w:val="44546A"/>
          <w:lang w:val="sr-Cyrl-CS"/>
        </w:rPr>
        <w:lastRenderedPageBreak/>
        <w:t>потенцијал</w:t>
      </w:r>
      <w:r w:rsidR="00543E33" w:rsidRPr="001B41AD">
        <w:rPr>
          <w:color w:val="44546A"/>
          <w:lang w:val="sr-Cyrl-CS"/>
        </w:rPr>
        <w:t>ни приход</w:t>
      </w:r>
      <w:r w:rsidRPr="001B41AD">
        <w:rPr>
          <w:color w:val="44546A"/>
          <w:lang w:val="sr-Cyrl-CS"/>
        </w:rPr>
        <w:t>. Остали локални порези (на употребу, држање и ношење добара) пројектовани су у складу са инфлаторним кретањима, с обзиром да је инфлација уграђена у већину ових облика опорезивања.</w:t>
      </w:r>
    </w:p>
    <w:p w14:paraId="0CD233D2" w14:textId="77777777" w:rsidR="002F5C60" w:rsidRPr="001B41AD" w:rsidRDefault="002F5C60" w:rsidP="002F5C60">
      <w:pPr>
        <w:spacing w:after="120"/>
        <w:rPr>
          <w:b/>
          <w:bCs/>
          <w:color w:val="44546A"/>
          <w:lang w:val="sr-Cyrl-CS"/>
        </w:rPr>
      </w:pPr>
      <w:r w:rsidRPr="001B41AD">
        <w:rPr>
          <w:b/>
          <w:bCs/>
          <w:color w:val="1F3864" w:themeColor="accent1" w:themeShade="80"/>
          <w:lang w:val="sr-Cyrl-CS"/>
        </w:rPr>
        <w:t>Непорески приходи и донације</w:t>
      </w:r>
      <w:r w:rsidR="00543E33" w:rsidRPr="001B41AD">
        <w:rPr>
          <w:b/>
          <w:bCs/>
          <w:color w:val="1F3864" w:themeColor="accent1" w:themeShade="80"/>
          <w:lang w:val="sr-Cyrl-CS"/>
        </w:rPr>
        <w:t xml:space="preserve">. </w:t>
      </w:r>
      <w:r w:rsidR="00543E33" w:rsidRPr="001B41AD">
        <w:rPr>
          <w:bCs/>
          <w:color w:val="44546A"/>
          <w:lang w:val="sr-Cyrl-CS"/>
        </w:rPr>
        <w:t>Пројектован н</w:t>
      </w:r>
      <w:r w:rsidRPr="001B41AD">
        <w:rPr>
          <w:color w:val="44546A"/>
          <w:lang w:val="sr-Cyrl-CS"/>
        </w:rPr>
        <w:t xml:space="preserve">иво непореских прихода у </w:t>
      </w:r>
      <w:r w:rsidR="001D3837" w:rsidRPr="001B41AD">
        <w:rPr>
          <w:color w:val="44546A"/>
          <w:lang w:val="sr-Cyrl-CS"/>
        </w:rPr>
        <w:t>наредном</w:t>
      </w:r>
      <w:r w:rsidR="00543E33" w:rsidRPr="001B41AD">
        <w:rPr>
          <w:color w:val="44546A"/>
          <w:lang w:val="sr-Cyrl-CS"/>
        </w:rPr>
        <w:t xml:space="preserve"> </w:t>
      </w:r>
      <w:r w:rsidRPr="001B41AD">
        <w:rPr>
          <w:color w:val="44546A"/>
          <w:lang w:val="sr-Cyrl-CS"/>
        </w:rPr>
        <w:t xml:space="preserve">периоду одражава утицај </w:t>
      </w:r>
      <w:r w:rsidR="00543E33" w:rsidRPr="001B41AD">
        <w:rPr>
          <w:color w:val="44546A"/>
          <w:lang w:val="sr-Cyrl-CS"/>
        </w:rPr>
        <w:t xml:space="preserve">наплате </w:t>
      </w:r>
      <w:r w:rsidRPr="001B41AD">
        <w:rPr>
          <w:bCs/>
          <w:color w:val="44546A"/>
          <w:lang w:val="sr-Cyrl-CS"/>
        </w:rPr>
        <w:t>ванредних и једнократних прихода</w:t>
      </w:r>
      <w:r w:rsidRPr="001B41AD">
        <w:rPr>
          <w:color w:val="44546A"/>
          <w:lang w:val="sr-Cyrl-CS"/>
        </w:rPr>
        <w:t>, укључујући приходе од аукције 5G лиценци.</w:t>
      </w:r>
      <w:r w:rsidR="003600AF" w:rsidRPr="001B41AD">
        <w:rPr>
          <w:rFonts w:eastAsia="MS PGothic" w:cstheme="minorHAnsi"/>
          <w:color w:val="44546A"/>
          <w:szCs w:val="20"/>
          <w:lang w:val="sr-Cyrl-CS" w:eastAsia="ja-JP"/>
        </w:rPr>
        <w:t xml:space="preserve"> </w:t>
      </w:r>
      <w:r w:rsidR="003600AF" w:rsidRPr="001B41AD">
        <w:rPr>
          <w:color w:val="44546A"/>
          <w:lang w:val="sr-Cyrl-CS"/>
        </w:rPr>
        <w:t xml:space="preserve">У 2025. и 2026. години очекује се приход од аукције лиценци за 5G технологију. Осим тога, у 2026. години је предвиђено увођење </w:t>
      </w:r>
      <w:r w:rsidR="00D119CF" w:rsidRPr="001B41AD">
        <w:rPr>
          <w:color w:val="44546A"/>
          <w:lang w:val="sr-Cyrl-CS"/>
        </w:rPr>
        <w:t>прихода из осталих извора финансирања</w:t>
      </w:r>
      <w:r w:rsidR="003600AF" w:rsidRPr="001B41AD">
        <w:rPr>
          <w:color w:val="44546A"/>
          <w:lang w:val="sr-Cyrl-CS"/>
        </w:rPr>
        <w:t xml:space="preserve"> установа високог и вишег образовања у систем извештавања што додатно амортизује смањење ванредних прихода у односу на ову годину. </w:t>
      </w:r>
      <w:r w:rsidRPr="001B41AD">
        <w:rPr>
          <w:color w:val="44546A"/>
          <w:lang w:val="sr-Cyrl-CS"/>
        </w:rPr>
        <w:t>Након овог периода, у</w:t>
      </w:r>
      <w:r w:rsidR="00463003" w:rsidRPr="001B41AD">
        <w:rPr>
          <w:color w:val="44546A"/>
          <w:lang w:val="sr-Cyrl-CS"/>
        </w:rPr>
        <w:t>чешће непореских прихода у БДП</w:t>
      </w:r>
      <w:r w:rsidRPr="001B41AD">
        <w:rPr>
          <w:color w:val="44546A"/>
          <w:lang w:val="sr-Cyrl-CS"/>
        </w:rPr>
        <w:t xml:space="preserve"> постеп</w:t>
      </w:r>
      <w:r w:rsidR="003600AF" w:rsidRPr="001B41AD">
        <w:rPr>
          <w:color w:val="44546A"/>
          <w:lang w:val="sr-Cyrl-CS"/>
        </w:rPr>
        <w:t>ено ће се смањивати и у</w:t>
      </w:r>
      <w:r w:rsidRPr="001B41AD">
        <w:rPr>
          <w:color w:val="44546A"/>
          <w:lang w:val="sr-Cyrl-CS"/>
        </w:rPr>
        <w:t xml:space="preserve"> 2028. </w:t>
      </w:r>
      <w:r w:rsidR="003600AF" w:rsidRPr="001B41AD">
        <w:rPr>
          <w:color w:val="44546A"/>
          <w:lang w:val="sr-Cyrl-CS"/>
        </w:rPr>
        <w:t xml:space="preserve">години ће износити </w:t>
      </w:r>
      <w:r w:rsidRPr="001B41AD">
        <w:rPr>
          <w:color w:val="44546A"/>
          <w:lang w:val="sr-Cyrl-CS"/>
        </w:rPr>
        <w:t xml:space="preserve">око </w:t>
      </w:r>
      <w:r w:rsidR="00463003" w:rsidRPr="001B41AD">
        <w:rPr>
          <w:bCs/>
          <w:color w:val="44546A"/>
          <w:lang w:val="sr-Cyrl-CS"/>
        </w:rPr>
        <w:t>3,6% БДП</w:t>
      </w:r>
      <w:r w:rsidRPr="001B41AD">
        <w:rPr>
          <w:color w:val="44546A"/>
          <w:lang w:val="sr-Cyrl-CS"/>
        </w:rPr>
        <w:t>.</w:t>
      </w:r>
    </w:p>
    <w:p w14:paraId="771AA5F3" w14:textId="77777777" w:rsidR="002F5C60" w:rsidRPr="001B41AD" w:rsidRDefault="002F5C60" w:rsidP="002F5C60">
      <w:pPr>
        <w:spacing w:after="120"/>
        <w:rPr>
          <w:color w:val="44546A"/>
          <w:lang w:val="sr-Cyrl-CS"/>
        </w:rPr>
      </w:pPr>
      <w:r w:rsidRPr="001B41AD">
        <w:rPr>
          <w:color w:val="44546A"/>
          <w:lang w:val="sr-Cyrl-CS"/>
        </w:rPr>
        <w:t xml:space="preserve">Ванредни непорески приходи – као што су уплате добити јавних предузећа и агенција, дивиденде, </w:t>
      </w:r>
      <w:r w:rsidR="003600AF" w:rsidRPr="001B41AD">
        <w:rPr>
          <w:color w:val="44546A"/>
          <w:lang w:val="sr-Cyrl-CS"/>
        </w:rPr>
        <w:t xml:space="preserve">приходи по основу наплаћених потраживања АОД, </w:t>
      </w:r>
      <w:r w:rsidRPr="001B41AD">
        <w:rPr>
          <w:color w:val="44546A"/>
          <w:lang w:val="sr-Cyrl-CS"/>
        </w:rPr>
        <w:t>премије</w:t>
      </w:r>
      <w:r w:rsidR="003600AF" w:rsidRPr="001B41AD">
        <w:rPr>
          <w:color w:val="44546A"/>
          <w:lang w:val="sr-Cyrl-CS"/>
        </w:rPr>
        <w:t xml:space="preserve"> </w:t>
      </w:r>
      <w:r w:rsidR="00461482" w:rsidRPr="001B41AD">
        <w:rPr>
          <w:color w:val="44546A"/>
          <w:lang w:val="sr-Cyrl-CS"/>
        </w:rPr>
        <w:t xml:space="preserve">од емисије ХоВ </w:t>
      </w:r>
      <w:r w:rsidR="003600AF" w:rsidRPr="001B41AD">
        <w:rPr>
          <w:color w:val="44546A"/>
          <w:lang w:val="sr-Cyrl-CS"/>
        </w:rPr>
        <w:t>итд.</w:t>
      </w:r>
      <w:r w:rsidRPr="001B41AD">
        <w:rPr>
          <w:color w:val="44546A"/>
          <w:lang w:val="sr-Cyrl-CS"/>
        </w:rPr>
        <w:t xml:space="preserve"> остају по својој природи неизвесни, и по износу и по времену уплате. Редовни непорески</w:t>
      </w:r>
      <w:r w:rsidR="003600AF" w:rsidRPr="001B41AD">
        <w:rPr>
          <w:color w:val="44546A"/>
          <w:lang w:val="sr-Cyrl-CS"/>
        </w:rPr>
        <w:t xml:space="preserve"> приходи (таксе, накнаде, казне итд.</w:t>
      </w:r>
      <w:r w:rsidRPr="001B41AD">
        <w:rPr>
          <w:color w:val="44546A"/>
          <w:lang w:val="sr-Cyrl-CS"/>
        </w:rPr>
        <w:t>) индексирају се са оствареном инфлацијом или растом основице, што обезбеђује њихову номиналну стабилност.</w:t>
      </w:r>
    </w:p>
    <w:p w14:paraId="545D50FD" w14:textId="77777777" w:rsidR="002F5C60" w:rsidRPr="001B41AD" w:rsidRDefault="002F5C60" w:rsidP="002F5C60">
      <w:pPr>
        <w:spacing w:after="120"/>
        <w:rPr>
          <w:color w:val="44546A"/>
          <w:lang w:val="sr-Cyrl-CS"/>
        </w:rPr>
      </w:pPr>
      <w:r w:rsidRPr="001B41AD">
        <w:rPr>
          <w:color w:val="44546A"/>
          <w:lang w:val="sr-Cyrl-CS"/>
        </w:rPr>
        <w:t xml:space="preserve">Паралелно са приближавањем чланству у Европској унији, повећава се обим расположивих средстава из </w:t>
      </w:r>
      <w:r w:rsidRPr="001B41AD">
        <w:rPr>
          <w:bCs/>
          <w:color w:val="44546A"/>
          <w:lang w:val="sr-Cyrl-CS"/>
        </w:rPr>
        <w:t>ИПА и ИПАРД фондова</w:t>
      </w:r>
      <w:r w:rsidRPr="001B41AD">
        <w:rPr>
          <w:color w:val="44546A"/>
          <w:lang w:val="sr-Cyrl-CS"/>
        </w:rPr>
        <w:t xml:space="preserve">, који представљају доминантан извор прихода од донација. У пројекције су укључена и средства по основу секторске буџетске подршке ЕУ. Приходи од донација су </w:t>
      </w:r>
      <w:r w:rsidRPr="001B41AD">
        <w:rPr>
          <w:bCs/>
          <w:color w:val="44546A"/>
          <w:lang w:val="sr-Cyrl-CS"/>
        </w:rPr>
        <w:t>фискално неутрални</w:t>
      </w:r>
      <w:r w:rsidRPr="001B41AD">
        <w:rPr>
          <w:color w:val="44546A"/>
          <w:lang w:val="sr-Cyrl-CS"/>
        </w:rPr>
        <w:t>, јер су у истом износу приказани и на страни расхода.</w:t>
      </w:r>
    </w:p>
    <w:p w14:paraId="1AF8E18A" w14:textId="123D0A13" w:rsidR="002F5C60" w:rsidRPr="001B41AD" w:rsidRDefault="003C4455" w:rsidP="002F5C60">
      <w:pPr>
        <w:spacing w:after="120"/>
        <w:rPr>
          <w:bCs/>
          <w:color w:val="44546A"/>
          <w:lang w:val="sr-Cyrl-CS"/>
        </w:rPr>
      </w:pPr>
      <w:r w:rsidRPr="001B41AD">
        <w:rPr>
          <w:b/>
          <w:bCs/>
          <w:color w:val="1F3864" w:themeColor="accent1" w:themeShade="80"/>
          <w:lang w:val="sr-Cyrl-CS"/>
        </w:rPr>
        <w:t>Расходи, плате</w:t>
      </w:r>
      <w:r w:rsidR="002F5C60" w:rsidRPr="001B41AD">
        <w:rPr>
          <w:b/>
          <w:bCs/>
          <w:color w:val="1F3864" w:themeColor="accent1" w:themeShade="80"/>
          <w:lang w:val="sr-Cyrl-CS"/>
        </w:rPr>
        <w:t xml:space="preserve"> и социјална компонента</w:t>
      </w:r>
      <w:r w:rsidR="003600AF" w:rsidRPr="001B41AD">
        <w:rPr>
          <w:b/>
          <w:bCs/>
          <w:color w:val="1F3864" w:themeColor="accent1" w:themeShade="80"/>
          <w:lang w:val="sr-Cyrl-CS"/>
        </w:rPr>
        <w:t xml:space="preserve">. </w:t>
      </w:r>
      <w:r w:rsidR="002F5C60" w:rsidRPr="001B41AD">
        <w:rPr>
          <w:color w:val="44546A"/>
          <w:lang w:val="sr-Cyrl-CS"/>
        </w:rPr>
        <w:t>Одговорна фискална политика, у комбинацији са стабилним макроекономским перформансама у претходном периоду, омогућила је постепено релаксирање политике плата и пензија и значајно повећање капиталних улагања као кључне компоненте раста. Посебна пажња посвећена је унапређењу ефикасности</w:t>
      </w:r>
      <w:r w:rsidR="003600AF" w:rsidRPr="001B41AD">
        <w:rPr>
          <w:color w:val="44546A"/>
          <w:lang w:val="sr-Cyrl-CS"/>
        </w:rPr>
        <w:t xml:space="preserve"> реализације капиталних расхода државе</w:t>
      </w:r>
      <w:r w:rsidR="002F5C60" w:rsidRPr="001B41AD">
        <w:rPr>
          <w:color w:val="44546A"/>
          <w:lang w:val="sr-Cyrl-CS"/>
        </w:rPr>
        <w:t>.</w:t>
      </w:r>
      <w:r w:rsidR="003600AF" w:rsidRPr="001B41AD">
        <w:rPr>
          <w:b/>
          <w:bCs/>
          <w:color w:val="44546A"/>
          <w:lang w:val="sr-Cyrl-CS"/>
        </w:rPr>
        <w:t xml:space="preserve"> </w:t>
      </w:r>
      <w:r w:rsidR="002F5C60" w:rsidRPr="001B41AD">
        <w:rPr>
          <w:color w:val="44546A"/>
          <w:lang w:val="sr-Cyrl-CS"/>
        </w:rPr>
        <w:t xml:space="preserve">Социјална компонента буџета побољшана је бољим таргетирањем програма социјалне помоћи и већим издвајањима за здравство и образовање. Плате и пензије, које заједно чине више од </w:t>
      </w:r>
      <w:r w:rsidR="002F5C60" w:rsidRPr="001B41AD">
        <w:rPr>
          <w:bCs/>
          <w:color w:val="44546A"/>
          <w:lang w:val="sr-Cyrl-CS"/>
        </w:rPr>
        <w:t>45% укупних расхода сектора државе</w:t>
      </w:r>
      <w:r w:rsidR="002F5C60" w:rsidRPr="001B41AD">
        <w:rPr>
          <w:color w:val="44546A"/>
          <w:lang w:val="sr-Cyrl-CS"/>
        </w:rPr>
        <w:t xml:space="preserve">, остају предмет пажљивог надзора, јер је њихова стабилизација </w:t>
      </w:r>
      <w:r w:rsidR="002F5C60" w:rsidRPr="001B41AD">
        <w:rPr>
          <w:bCs/>
          <w:color w:val="44546A"/>
          <w:lang w:val="sr-Cyrl-CS"/>
        </w:rPr>
        <w:t>од пресудног значаја за одрживост јавних финансија</w:t>
      </w:r>
      <w:r w:rsidR="002F5C60" w:rsidRPr="001B41AD">
        <w:rPr>
          <w:color w:val="44546A"/>
          <w:lang w:val="sr-Cyrl-CS"/>
        </w:rPr>
        <w:t xml:space="preserve"> у средњем року.</w:t>
      </w:r>
    </w:p>
    <w:p w14:paraId="58F126A0" w14:textId="77777777" w:rsidR="002F5C60" w:rsidRPr="001B41AD" w:rsidRDefault="002F5C60" w:rsidP="00DE7B2C">
      <w:pPr>
        <w:spacing w:after="120"/>
        <w:rPr>
          <w:color w:val="FF0000"/>
          <w:lang w:val="sr-Cyrl-CS"/>
        </w:rPr>
      </w:pPr>
    </w:p>
    <w:p w14:paraId="3663AA82" w14:textId="77777777" w:rsidR="00DE7B2C" w:rsidRPr="001B41AD" w:rsidRDefault="00DE7B2C" w:rsidP="00DE7B2C">
      <w:pPr>
        <w:spacing w:after="120"/>
        <w:rPr>
          <w:rFonts w:eastAsia="MS PGothic" w:cstheme="minorHAnsi"/>
          <w:szCs w:val="20"/>
          <w:lang w:val="sr-Cyrl-CS" w:eastAsia="ja-JP"/>
        </w:rPr>
        <w:sectPr w:rsidR="00DE7B2C" w:rsidRPr="001B41AD" w:rsidSect="00E61B34">
          <w:type w:val="continuous"/>
          <w:pgSz w:w="12240" w:h="15840" w:code="1"/>
          <w:pgMar w:top="1440" w:right="1440" w:bottom="1440" w:left="1440" w:header="720" w:footer="720" w:gutter="0"/>
          <w:cols w:num="2" w:space="720"/>
          <w:docGrid w:linePitch="360"/>
        </w:sectPr>
      </w:pPr>
    </w:p>
    <w:p w14:paraId="289103A9" w14:textId="77777777" w:rsidR="00DE7B2C" w:rsidRPr="001B41AD" w:rsidRDefault="00DE7B2C" w:rsidP="00F2324C">
      <w:pPr>
        <w:keepLines/>
        <w:jc w:val="center"/>
        <w:rPr>
          <w:lang w:val="sr-Cyrl-CS" w:eastAsia="ja-JP"/>
        </w:rPr>
      </w:pPr>
      <w:r w:rsidRPr="001B41AD">
        <w:rPr>
          <w:rFonts w:eastAsia="MS PGothic" w:cstheme="minorHAnsi"/>
          <w:b/>
          <w:color w:val="002060"/>
          <w:szCs w:val="20"/>
          <w:lang w:val="sr-Cyrl-CS" w:eastAsia="ja-JP"/>
        </w:rPr>
        <w:t>Табела 11. Укупни расходи у периоду 2024 – 2028. године, % БДП</w:t>
      </w:r>
    </w:p>
    <w:tbl>
      <w:tblPr>
        <w:tblStyle w:val="LightShading-Accent12214"/>
        <w:tblW w:w="4952" w:type="pct"/>
        <w:tblLook w:val="0420" w:firstRow="1" w:lastRow="0" w:firstColumn="0" w:lastColumn="0" w:noHBand="0" w:noVBand="1"/>
      </w:tblPr>
      <w:tblGrid>
        <w:gridCol w:w="3647"/>
        <w:gridCol w:w="1194"/>
        <w:gridCol w:w="1194"/>
        <w:gridCol w:w="1077"/>
        <w:gridCol w:w="1077"/>
        <w:gridCol w:w="1081"/>
      </w:tblGrid>
      <w:tr w:rsidR="00DE7B2C" w:rsidRPr="001B41AD" w14:paraId="37B71AFA" w14:textId="77777777" w:rsidTr="00E61B34">
        <w:trPr>
          <w:cnfStyle w:val="100000000000" w:firstRow="1" w:lastRow="0" w:firstColumn="0" w:lastColumn="0" w:oddVBand="0" w:evenVBand="0" w:oddHBand="0" w:evenHBand="0" w:firstRowFirstColumn="0" w:firstRowLastColumn="0" w:lastRowFirstColumn="0" w:lastRowLastColumn="0"/>
          <w:trHeight w:val="49"/>
        </w:trPr>
        <w:tc>
          <w:tcPr>
            <w:tcW w:w="1967" w:type="pct"/>
            <w:tcBorders>
              <w:top w:val="single" w:sz="4" w:space="0" w:color="002060"/>
              <w:left w:val="none" w:sz="0" w:space="0" w:color="auto"/>
              <w:bottom w:val="single" w:sz="4" w:space="0" w:color="002060"/>
              <w:right w:val="none" w:sz="0" w:space="0" w:color="auto"/>
            </w:tcBorders>
            <w:noWrap/>
            <w:vAlign w:val="center"/>
          </w:tcPr>
          <w:p w14:paraId="5E463A57" w14:textId="77777777" w:rsidR="00DE7B2C" w:rsidRPr="001B41AD" w:rsidRDefault="00DE7B2C" w:rsidP="00F2324C">
            <w:pPr>
              <w:keepLines/>
              <w:shd w:val="clear" w:color="auto" w:fill="FFFFFF" w:themeFill="background1"/>
              <w:spacing w:line="276" w:lineRule="auto"/>
              <w:rPr>
                <w:rFonts w:eastAsia="Times New Roman" w:cstheme="minorHAnsi"/>
                <w:b w:val="0"/>
                <w:color w:val="002060"/>
                <w:sz w:val="18"/>
                <w:szCs w:val="18"/>
                <w:lang w:val="sr-Cyrl-CS"/>
              </w:rPr>
            </w:pPr>
            <w:r w:rsidRPr="001B41AD">
              <w:rPr>
                <w:rFonts w:cstheme="minorHAnsi"/>
                <w:color w:val="002060"/>
                <w:sz w:val="18"/>
                <w:lang w:val="sr-Cyrl-CS"/>
              </w:rPr>
              <w:t>Опис</w:t>
            </w:r>
          </w:p>
        </w:tc>
        <w:tc>
          <w:tcPr>
            <w:tcW w:w="644" w:type="pct"/>
            <w:tcBorders>
              <w:top w:val="single" w:sz="4" w:space="0" w:color="002060"/>
              <w:left w:val="none" w:sz="0" w:space="0" w:color="auto"/>
              <w:bottom w:val="single" w:sz="4" w:space="0" w:color="002060"/>
              <w:right w:val="none" w:sz="0" w:space="0" w:color="auto"/>
            </w:tcBorders>
            <w:vAlign w:val="center"/>
          </w:tcPr>
          <w:p w14:paraId="4739148A" w14:textId="77777777" w:rsidR="00DE7B2C" w:rsidRPr="001B41AD" w:rsidRDefault="00DE7B2C" w:rsidP="00F2324C">
            <w:pPr>
              <w:keepLines/>
              <w:shd w:val="clear" w:color="auto" w:fill="FFFFFF" w:themeFill="background1"/>
              <w:spacing w:line="276" w:lineRule="auto"/>
              <w:jc w:val="right"/>
              <w:rPr>
                <w:rFonts w:eastAsia="Times New Roman" w:cstheme="minorHAnsi"/>
                <w:b w:val="0"/>
                <w:color w:val="002060"/>
                <w:sz w:val="18"/>
                <w:szCs w:val="18"/>
                <w:lang w:val="sr-Cyrl-CS"/>
              </w:rPr>
            </w:pPr>
            <w:r w:rsidRPr="001B41AD">
              <w:rPr>
                <w:rFonts w:cstheme="minorHAnsi"/>
                <w:color w:val="002060"/>
                <w:sz w:val="18"/>
                <w:lang w:val="sr-Cyrl-CS"/>
              </w:rPr>
              <w:t>Извршење</w:t>
            </w:r>
          </w:p>
        </w:tc>
        <w:tc>
          <w:tcPr>
            <w:tcW w:w="644" w:type="pct"/>
            <w:tcBorders>
              <w:top w:val="single" w:sz="4" w:space="0" w:color="002060"/>
              <w:left w:val="none" w:sz="0" w:space="0" w:color="auto"/>
              <w:bottom w:val="single" w:sz="4" w:space="0" w:color="002060"/>
              <w:right w:val="none" w:sz="0" w:space="0" w:color="auto"/>
            </w:tcBorders>
            <w:vAlign w:val="center"/>
          </w:tcPr>
          <w:p w14:paraId="73D5D26A" w14:textId="77777777" w:rsidR="00DE7B2C" w:rsidRPr="001B41AD" w:rsidRDefault="00DE7B2C" w:rsidP="00F2324C">
            <w:pPr>
              <w:keepLines/>
              <w:shd w:val="clear" w:color="auto" w:fill="FFFFFF" w:themeFill="background1"/>
              <w:spacing w:line="276" w:lineRule="auto"/>
              <w:jc w:val="right"/>
              <w:rPr>
                <w:rFonts w:eastAsia="Times New Roman" w:cstheme="minorHAnsi"/>
                <w:b w:val="0"/>
                <w:color w:val="002060"/>
                <w:sz w:val="18"/>
                <w:szCs w:val="18"/>
                <w:lang w:val="sr-Cyrl-CS"/>
              </w:rPr>
            </w:pPr>
            <w:r w:rsidRPr="001B41AD">
              <w:rPr>
                <w:rFonts w:cstheme="minorHAnsi"/>
                <w:color w:val="002060"/>
                <w:sz w:val="18"/>
                <w:lang w:val="sr-Cyrl-CS"/>
              </w:rPr>
              <w:t>Процена</w:t>
            </w:r>
          </w:p>
        </w:tc>
        <w:tc>
          <w:tcPr>
            <w:tcW w:w="1745" w:type="pct"/>
            <w:gridSpan w:val="3"/>
            <w:tcBorders>
              <w:top w:val="single" w:sz="4" w:space="0" w:color="002060"/>
              <w:left w:val="none" w:sz="0" w:space="0" w:color="auto"/>
              <w:bottom w:val="single" w:sz="4" w:space="0" w:color="002060"/>
              <w:right w:val="none" w:sz="0" w:space="0" w:color="auto"/>
            </w:tcBorders>
            <w:vAlign w:val="center"/>
          </w:tcPr>
          <w:p w14:paraId="6CF61601" w14:textId="77777777" w:rsidR="00DE7B2C" w:rsidRPr="001B41AD" w:rsidRDefault="00DE7B2C" w:rsidP="00F2324C">
            <w:pPr>
              <w:keepLines/>
              <w:shd w:val="clear" w:color="auto" w:fill="FFFFFF" w:themeFill="background1"/>
              <w:spacing w:line="276" w:lineRule="auto"/>
              <w:jc w:val="center"/>
              <w:rPr>
                <w:rFonts w:eastAsia="Times New Roman" w:cstheme="minorHAnsi"/>
                <w:b w:val="0"/>
                <w:color w:val="002060"/>
                <w:sz w:val="18"/>
                <w:szCs w:val="18"/>
                <w:lang w:val="sr-Cyrl-CS"/>
              </w:rPr>
            </w:pPr>
            <w:r w:rsidRPr="001B41AD">
              <w:rPr>
                <w:rFonts w:cstheme="minorHAnsi"/>
                <w:color w:val="002060"/>
                <w:sz w:val="18"/>
                <w:lang w:val="sr-Cyrl-CS"/>
              </w:rPr>
              <w:t>Пројекција</w:t>
            </w:r>
          </w:p>
        </w:tc>
      </w:tr>
      <w:tr w:rsidR="00DE7B2C" w:rsidRPr="001B41AD" w14:paraId="6500163E"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tcBorders>
              <w:top w:val="single" w:sz="4" w:space="0" w:color="002060"/>
              <w:left w:val="none" w:sz="0" w:space="0" w:color="auto"/>
              <w:bottom w:val="nil"/>
              <w:right w:val="none" w:sz="0" w:space="0" w:color="auto"/>
            </w:tcBorders>
            <w:shd w:val="clear" w:color="auto" w:fill="FFFFFF" w:themeFill="background1"/>
            <w:noWrap/>
          </w:tcPr>
          <w:p w14:paraId="0692B0FB" w14:textId="77777777" w:rsidR="00DE7B2C" w:rsidRPr="001B41AD" w:rsidRDefault="00DE7B2C" w:rsidP="00F2324C">
            <w:pPr>
              <w:keepLines/>
              <w:shd w:val="clear" w:color="auto" w:fill="FFFFFF" w:themeFill="background1"/>
              <w:spacing w:line="276" w:lineRule="auto"/>
              <w:rPr>
                <w:rFonts w:eastAsia="Times New Roman" w:cstheme="minorHAnsi"/>
                <w:bCs/>
                <w:color w:val="002060"/>
                <w:sz w:val="18"/>
                <w:szCs w:val="18"/>
                <w:lang w:val="sr-Cyrl-CS"/>
              </w:rPr>
            </w:pPr>
          </w:p>
        </w:tc>
        <w:tc>
          <w:tcPr>
            <w:tcW w:w="644" w:type="pct"/>
            <w:tcBorders>
              <w:top w:val="single" w:sz="4" w:space="0" w:color="002060"/>
              <w:left w:val="none" w:sz="0" w:space="0" w:color="auto"/>
              <w:bottom w:val="single" w:sz="4" w:space="0" w:color="002060"/>
              <w:right w:val="none" w:sz="0" w:space="0" w:color="auto"/>
            </w:tcBorders>
            <w:shd w:val="clear" w:color="auto" w:fill="FFFFFF" w:themeFill="background1"/>
          </w:tcPr>
          <w:p w14:paraId="449C3D96" w14:textId="77777777" w:rsidR="00DE7B2C" w:rsidRPr="001B41AD" w:rsidRDefault="00DE7B2C" w:rsidP="00F2324C">
            <w:pPr>
              <w:keepLines/>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2024</w:t>
            </w:r>
          </w:p>
        </w:tc>
        <w:tc>
          <w:tcPr>
            <w:tcW w:w="644" w:type="pct"/>
            <w:tcBorders>
              <w:top w:val="single" w:sz="4" w:space="0" w:color="002060"/>
              <w:left w:val="none" w:sz="0" w:space="0" w:color="auto"/>
              <w:bottom w:val="single" w:sz="4" w:space="0" w:color="002060"/>
              <w:right w:val="none" w:sz="0" w:space="0" w:color="auto"/>
            </w:tcBorders>
            <w:shd w:val="clear" w:color="auto" w:fill="FFFFFF" w:themeFill="background1"/>
          </w:tcPr>
          <w:p w14:paraId="38F38A5F" w14:textId="77777777" w:rsidR="00DE7B2C" w:rsidRPr="001B41AD" w:rsidRDefault="00DE7B2C" w:rsidP="00F2324C">
            <w:pPr>
              <w:keepLines/>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2025</w:t>
            </w:r>
          </w:p>
        </w:tc>
        <w:tc>
          <w:tcPr>
            <w:tcW w:w="581" w:type="pct"/>
            <w:tcBorders>
              <w:top w:val="single" w:sz="4" w:space="0" w:color="002060"/>
              <w:left w:val="none" w:sz="0" w:space="0" w:color="auto"/>
              <w:bottom w:val="single" w:sz="4" w:space="0" w:color="002060"/>
              <w:right w:val="none" w:sz="0" w:space="0" w:color="auto"/>
            </w:tcBorders>
            <w:shd w:val="clear" w:color="auto" w:fill="FFFFFF" w:themeFill="background1"/>
          </w:tcPr>
          <w:p w14:paraId="7210210C" w14:textId="77777777" w:rsidR="00DE7B2C" w:rsidRPr="001B41AD" w:rsidRDefault="00DE7B2C" w:rsidP="00F2324C">
            <w:pPr>
              <w:keepLines/>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2026</w:t>
            </w:r>
          </w:p>
        </w:tc>
        <w:tc>
          <w:tcPr>
            <w:tcW w:w="581" w:type="pct"/>
            <w:tcBorders>
              <w:top w:val="single" w:sz="4" w:space="0" w:color="002060"/>
              <w:left w:val="none" w:sz="0" w:space="0" w:color="auto"/>
              <w:bottom w:val="single" w:sz="4" w:space="0" w:color="002060"/>
              <w:right w:val="none" w:sz="0" w:space="0" w:color="auto"/>
            </w:tcBorders>
            <w:shd w:val="clear" w:color="auto" w:fill="FFFFFF" w:themeFill="background1"/>
          </w:tcPr>
          <w:p w14:paraId="6FD0AE96" w14:textId="77777777" w:rsidR="00DE7B2C" w:rsidRPr="001B41AD" w:rsidRDefault="00DE7B2C" w:rsidP="00F2324C">
            <w:pPr>
              <w:keepLines/>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2027</w:t>
            </w:r>
          </w:p>
        </w:tc>
        <w:tc>
          <w:tcPr>
            <w:tcW w:w="583" w:type="pct"/>
            <w:tcBorders>
              <w:top w:val="single" w:sz="4" w:space="0" w:color="002060"/>
              <w:left w:val="none" w:sz="0" w:space="0" w:color="auto"/>
              <w:bottom w:val="single" w:sz="4" w:space="0" w:color="002060"/>
              <w:right w:val="none" w:sz="0" w:space="0" w:color="auto"/>
            </w:tcBorders>
            <w:shd w:val="clear" w:color="auto" w:fill="FFFFFF" w:themeFill="background1"/>
          </w:tcPr>
          <w:p w14:paraId="33C6999E" w14:textId="77777777" w:rsidR="00DE7B2C" w:rsidRPr="001B41AD" w:rsidRDefault="00DE7B2C" w:rsidP="00F2324C">
            <w:pPr>
              <w:keepLines/>
              <w:shd w:val="clear" w:color="auto" w:fill="FFFFFF" w:themeFill="background1"/>
              <w:spacing w:line="276" w:lineRule="auto"/>
              <w:jc w:val="right"/>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2028</w:t>
            </w:r>
          </w:p>
        </w:tc>
      </w:tr>
      <w:tr w:rsidR="00DE7B2C" w:rsidRPr="001B41AD" w14:paraId="088C9154" w14:textId="77777777" w:rsidTr="00E61B34">
        <w:trPr>
          <w:trHeight w:val="49"/>
        </w:trPr>
        <w:tc>
          <w:tcPr>
            <w:tcW w:w="1967" w:type="pct"/>
            <w:tcBorders>
              <w:top w:val="nil"/>
            </w:tcBorders>
            <w:shd w:val="clear" w:color="auto" w:fill="FFFFFF" w:themeFill="background1"/>
          </w:tcPr>
          <w:p w14:paraId="4F622C2D" w14:textId="77777777" w:rsidR="00DE7B2C" w:rsidRPr="001B41AD" w:rsidRDefault="00DE7B2C" w:rsidP="00F2324C">
            <w:pPr>
              <w:keepLines/>
              <w:shd w:val="clear" w:color="auto" w:fill="FFFFFF" w:themeFill="background1"/>
              <w:spacing w:line="276" w:lineRule="auto"/>
              <w:rPr>
                <w:rFonts w:cstheme="minorHAnsi"/>
                <w:color w:val="002060"/>
                <w:sz w:val="18"/>
                <w:szCs w:val="18"/>
                <w:lang w:val="sr-Cyrl-CS"/>
              </w:rPr>
            </w:pPr>
            <w:r w:rsidRPr="001B41AD">
              <w:rPr>
                <w:rFonts w:cstheme="minorHAnsi"/>
                <w:color w:val="002060"/>
                <w:sz w:val="18"/>
                <w:szCs w:val="18"/>
                <w:lang w:val="sr-Cyrl-CS"/>
              </w:rPr>
              <w:t>ЈАВНИ РАСХОДИ</w:t>
            </w:r>
          </w:p>
        </w:tc>
        <w:tc>
          <w:tcPr>
            <w:tcW w:w="644" w:type="pct"/>
            <w:tcBorders>
              <w:top w:val="single" w:sz="4" w:space="0" w:color="002060"/>
            </w:tcBorders>
            <w:shd w:val="clear" w:color="auto" w:fill="FFFFFF" w:themeFill="background1"/>
          </w:tcPr>
          <w:p w14:paraId="0445AA85"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42,4</w:t>
            </w:r>
          </w:p>
        </w:tc>
        <w:tc>
          <w:tcPr>
            <w:tcW w:w="644" w:type="pct"/>
            <w:tcBorders>
              <w:top w:val="single" w:sz="4" w:space="0" w:color="002060"/>
            </w:tcBorders>
            <w:shd w:val="clear" w:color="auto" w:fill="FFFFFF" w:themeFill="background1"/>
            <w:noWrap/>
          </w:tcPr>
          <w:p w14:paraId="7FAB6091"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43,9</w:t>
            </w:r>
          </w:p>
        </w:tc>
        <w:tc>
          <w:tcPr>
            <w:tcW w:w="581" w:type="pct"/>
            <w:tcBorders>
              <w:top w:val="single" w:sz="4" w:space="0" w:color="002060"/>
            </w:tcBorders>
            <w:shd w:val="clear" w:color="auto" w:fill="FFFFFF" w:themeFill="background1"/>
            <w:noWrap/>
          </w:tcPr>
          <w:p w14:paraId="6CA499FA" w14:textId="77777777" w:rsidR="00DE7B2C" w:rsidRPr="001B41AD" w:rsidRDefault="00070973"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43,9</w:t>
            </w:r>
          </w:p>
        </w:tc>
        <w:tc>
          <w:tcPr>
            <w:tcW w:w="581" w:type="pct"/>
            <w:tcBorders>
              <w:top w:val="single" w:sz="4" w:space="0" w:color="002060"/>
            </w:tcBorders>
            <w:shd w:val="clear" w:color="auto" w:fill="FFFFFF" w:themeFill="background1"/>
            <w:noWrap/>
          </w:tcPr>
          <w:p w14:paraId="01B3FD0B"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43,</w:t>
            </w:r>
            <w:r w:rsidR="00070973" w:rsidRPr="001B41AD">
              <w:rPr>
                <w:rFonts w:cstheme="minorHAnsi"/>
                <w:color w:val="002060"/>
                <w:sz w:val="18"/>
                <w:szCs w:val="18"/>
                <w:lang w:val="sr-Cyrl-CS"/>
              </w:rPr>
              <w:t>1</w:t>
            </w:r>
          </w:p>
        </w:tc>
        <w:tc>
          <w:tcPr>
            <w:tcW w:w="583" w:type="pct"/>
            <w:tcBorders>
              <w:top w:val="single" w:sz="4" w:space="0" w:color="002060"/>
            </w:tcBorders>
            <w:shd w:val="clear" w:color="auto" w:fill="FFFFFF" w:themeFill="background1"/>
            <w:noWrap/>
          </w:tcPr>
          <w:p w14:paraId="70FF2DCA"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42,</w:t>
            </w:r>
            <w:r w:rsidR="00070973" w:rsidRPr="001B41AD">
              <w:rPr>
                <w:rFonts w:cstheme="minorHAnsi"/>
                <w:color w:val="002060"/>
                <w:sz w:val="18"/>
                <w:szCs w:val="18"/>
                <w:lang w:val="sr-Cyrl-CS"/>
              </w:rPr>
              <w:t>5</w:t>
            </w:r>
          </w:p>
        </w:tc>
      </w:tr>
      <w:tr w:rsidR="00DE7B2C" w:rsidRPr="001B41AD" w14:paraId="4F16EDAD"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tcBorders>
              <w:left w:val="none" w:sz="0" w:space="0" w:color="auto"/>
              <w:right w:val="none" w:sz="0" w:space="0" w:color="auto"/>
            </w:tcBorders>
            <w:shd w:val="clear" w:color="auto" w:fill="FFFFFF" w:themeFill="background1"/>
          </w:tcPr>
          <w:p w14:paraId="13B00023" w14:textId="77777777" w:rsidR="00DE7B2C" w:rsidRPr="001B41AD" w:rsidRDefault="00DE7B2C" w:rsidP="00F2324C">
            <w:pPr>
              <w:keepLines/>
              <w:shd w:val="clear" w:color="auto" w:fill="FFFFFF" w:themeFill="background1"/>
              <w:spacing w:line="276" w:lineRule="auto"/>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 xml:space="preserve"> Текући расходи</w:t>
            </w:r>
          </w:p>
        </w:tc>
        <w:tc>
          <w:tcPr>
            <w:tcW w:w="644" w:type="pct"/>
            <w:tcBorders>
              <w:left w:val="none" w:sz="0" w:space="0" w:color="auto"/>
              <w:right w:val="none" w:sz="0" w:space="0" w:color="auto"/>
            </w:tcBorders>
            <w:shd w:val="clear" w:color="auto" w:fill="FFFFFF" w:themeFill="background1"/>
          </w:tcPr>
          <w:p w14:paraId="6201F02A"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34,7</w:t>
            </w:r>
          </w:p>
        </w:tc>
        <w:tc>
          <w:tcPr>
            <w:tcW w:w="644" w:type="pct"/>
            <w:tcBorders>
              <w:left w:val="none" w:sz="0" w:space="0" w:color="auto"/>
              <w:right w:val="none" w:sz="0" w:space="0" w:color="auto"/>
            </w:tcBorders>
            <w:shd w:val="clear" w:color="auto" w:fill="FFFFFF" w:themeFill="background1"/>
            <w:noWrap/>
          </w:tcPr>
          <w:p w14:paraId="7F6776F6"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36,3</w:t>
            </w:r>
          </w:p>
        </w:tc>
        <w:tc>
          <w:tcPr>
            <w:tcW w:w="581" w:type="pct"/>
            <w:tcBorders>
              <w:left w:val="none" w:sz="0" w:space="0" w:color="auto"/>
              <w:right w:val="none" w:sz="0" w:space="0" w:color="auto"/>
            </w:tcBorders>
            <w:shd w:val="clear" w:color="auto" w:fill="FFFFFF" w:themeFill="background1"/>
            <w:noWrap/>
          </w:tcPr>
          <w:p w14:paraId="3F4BB74D"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37,0</w:t>
            </w:r>
          </w:p>
        </w:tc>
        <w:tc>
          <w:tcPr>
            <w:tcW w:w="581" w:type="pct"/>
            <w:tcBorders>
              <w:left w:val="none" w:sz="0" w:space="0" w:color="auto"/>
              <w:right w:val="none" w:sz="0" w:space="0" w:color="auto"/>
            </w:tcBorders>
            <w:shd w:val="clear" w:color="auto" w:fill="FFFFFF" w:themeFill="background1"/>
            <w:noWrap/>
          </w:tcPr>
          <w:p w14:paraId="56C3C93B"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36</w:t>
            </w:r>
            <w:r w:rsidR="00DE7B2C" w:rsidRPr="001B41AD">
              <w:rPr>
                <w:rFonts w:cstheme="minorHAnsi"/>
                <w:color w:val="002060"/>
                <w:sz w:val="18"/>
                <w:szCs w:val="18"/>
                <w:lang w:val="sr-Cyrl-CS"/>
              </w:rPr>
              <w:t>,</w:t>
            </w:r>
            <w:r w:rsidR="00070973" w:rsidRPr="001B41AD">
              <w:rPr>
                <w:rFonts w:cstheme="minorHAnsi"/>
                <w:color w:val="002060"/>
                <w:sz w:val="18"/>
                <w:szCs w:val="18"/>
                <w:lang w:val="sr-Cyrl-CS"/>
              </w:rPr>
              <w:t>4</w:t>
            </w:r>
          </w:p>
        </w:tc>
        <w:tc>
          <w:tcPr>
            <w:tcW w:w="583" w:type="pct"/>
            <w:tcBorders>
              <w:left w:val="none" w:sz="0" w:space="0" w:color="auto"/>
              <w:right w:val="none" w:sz="0" w:space="0" w:color="auto"/>
            </w:tcBorders>
            <w:shd w:val="clear" w:color="auto" w:fill="FFFFFF" w:themeFill="background1"/>
            <w:noWrap/>
          </w:tcPr>
          <w:p w14:paraId="300BC87B"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36,</w:t>
            </w:r>
            <w:r w:rsidR="00070973" w:rsidRPr="001B41AD">
              <w:rPr>
                <w:rFonts w:cstheme="minorHAnsi"/>
                <w:color w:val="002060"/>
                <w:sz w:val="18"/>
                <w:szCs w:val="18"/>
                <w:lang w:val="sr-Cyrl-CS"/>
              </w:rPr>
              <w:t>1</w:t>
            </w:r>
          </w:p>
        </w:tc>
      </w:tr>
      <w:tr w:rsidR="00DE7B2C" w:rsidRPr="001B41AD" w14:paraId="7FB79751" w14:textId="77777777" w:rsidTr="00E61B34">
        <w:trPr>
          <w:trHeight w:val="49"/>
        </w:trPr>
        <w:tc>
          <w:tcPr>
            <w:tcW w:w="1967" w:type="pct"/>
            <w:shd w:val="clear" w:color="auto" w:fill="FFFFFF" w:themeFill="background1"/>
          </w:tcPr>
          <w:p w14:paraId="3DA8DB44" w14:textId="77777777" w:rsidR="00DE7B2C" w:rsidRPr="001B41AD" w:rsidRDefault="00DE7B2C" w:rsidP="00F2324C">
            <w:pPr>
              <w:keepLines/>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Расходи за запослене</w:t>
            </w:r>
          </w:p>
        </w:tc>
        <w:tc>
          <w:tcPr>
            <w:tcW w:w="644" w:type="pct"/>
            <w:shd w:val="clear" w:color="auto" w:fill="FFFFFF" w:themeFill="background1"/>
          </w:tcPr>
          <w:p w14:paraId="11F09C3E"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9,3</w:t>
            </w:r>
          </w:p>
        </w:tc>
        <w:tc>
          <w:tcPr>
            <w:tcW w:w="644" w:type="pct"/>
            <w:shd w:val="clear" w:color="auto" w:fill="FFFFFF" w:themeFill="background1"/>
            <w:noWrap/>
          </w:tcPr>
          <w:p w14:paraId="56A6B683"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9,9</w:t>
            </w:r>
          </w:p>
        </w:tc>
        <w:tc>
          <w:tcPr>
            <w:tcW w:w="581" w:type="pct"/>
            <w:shd w:val="clear" w:color="auto" w:fill="FFFFFF" w:themeFill="background1"/>
            <w:noWrap/>
          </w:tcPr>
          <w:p w14:paraId="54B49E13"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10,</w:t>
            </w:r>
            <w:r w:rsidR="00620A5D" w:rsidRPr="001B41AD">
              <w:rPr>
                <w:rFonts w:cstheme="minorHAnsi"/>
                <w:color w:val="002060"/>
                <w:sz w:val="18"/>
                <w:szCs w:val="18"/>
                <w:lang w:val="sr-Cyrl-CS"/>
              </w:rPr>
              <w:t>2</w:t>
            </w:r>
          </w:p>
        </w:tc>
        <w:tc>
          <w:tcPr>
            <w:tcW w:w="581" w:type="pct"/>
            <w:shd w:val="clear" w:color="auto" w:fill="FFFFFF" w:themeFill="background1"/>
            <w:noWrap/>
          </w:tcPr>
          <w:p w14:paraId="30211A9E"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10,2</w:t>
            </w:r>
          </w:p>
        </w:tc>
        <w:tc>
          <w:tcPr>
            <w:tcW w:w="583" w:type="pct"/>
            <w:shd w:val="clear" w:color="auto" w:fill="FFFFFF" w:themeFill="background1"/>
            <w:noWrap/>
          </w:tcPr>
          <w:p w14:paraId="0106DF77"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10,2</w:t>
            </w:r>
          </w:p>
        </w:tc>
      </w:tr>
      <w:tr w:rsidR="00DE7B2C" w:rsidRPr="001B41AD" w14:paraId="1803B3D6"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tcBorders>
              <w:left w:val="none" w:sz="0" w:space="0" w:color="auto"/>
              <w:right w:val="none" w:sz="0" w:space="0" w:color="auto"/>
            </w:tcBorders>
            <w:shd w:val="clear" w:color="auto" w:fill="FFFFFF" w:themeFill="background1"/>
          </w:tcPr>
          <w:p w14:paraId="4134FC62" w14:textId="77777777" w:rsidR="00DE7B2C" w:rsidRPr="001B41AD" w:rsidRDefault="00DE7B2C" w:rsidP="00F2324C">
            <w:pPr>
              <w:keepLines/>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Куповина робе и услуга</w:t>
            </w:r>
          </w:p>
        </w:tc>
        <w:tc>
          <w:tcPr>
            <w:tcW w:w="644" w:type="pct"/>
            <w:tcBorders>
              <w:left w:val="none" w:sz="0" w:space="0" w:color="auto"/>
              <w:right w:val="none" w:sz="0" w:space="0" w:color="auto"/>
            </w:tcBorders>
            <w:shd w:val="clear" w:color="auto" w:fill="FFFFFF" w:themeFill="background1"/>
          </w:tcPr>
          <w:p w14:paraId="28C307A8"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6,9</w:t>
            </w:r>
          </w:p>
        </w:tc>
        <w:tc>
          <w:tcPr>
            <w:tcW w:w="644" w:type="pct"/>
            <w:tcBorders>
              <w:left w:val="none" w:sz="0" w:space="0" w:color="auto"/>
              <w:right w:val="none" w:sz="0" w:space="0" w:color="auto"/>
            </w:tcBorders>
            <w:shd w:val="clear" w:color="auto" w:fill="FFFFFF" w:themeFill="background1"/>
            <w:noWrap/>
          </w:tcPr>
          <w:p w14:paraId="5D097984"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7,5</w:t>
            </w:r>
          </w:p>
        </w:tc>
        <w:tc>
          <w:tcPr>
            <w:tcW w:w="581" w:type="pct"/>
            <w:tcBorders>
              <w:left w:val="none" w:sz="0" w:space="0" w:color="auto"/>
              <w:right w:val="none" w:sz="0" w:space="0" w:color="auto"/>
            </w:tcBorders>
            <w:shd w:val="clear" w:color="auto" w:fill="FFFFFF" w:themeFill="background1"/>
            <w:noWrap/>
          </w:tcPr>
          <w:p w14:paraId="4F87B3B7"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7,6</w:t>
            </w:r>
          </w:p>
        </w:tc>
        <w:tc>
          <w:tcPr>
            <w:tcW w:w="581" w:type="pct"/>
            <w:tcBorders>
              <w:left w:val="none" w:sz="0" w:space="0" w:color="auto"/>
              <w:right w:val="none" w:sz="0" w:space="0" w:color="auto"/>
            </w:tcBorders>
            <w:shd w:val="clear" w:color="auto" w:fill="FFFFFF" w:themeFill="background1"/>
            <w:noWrap/>
          </w:tcPr>
          <w:p w14:paraId="24064980"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7,</w:t>
            </w:r>
            <w:r w:rsidR="00070973" w:rsidRPr="001B41AD">
              <w:rPr>
                <w:rFonts w:cstheme="minorHAnsi"/>
                <w:color w:val="002060"/>
                <w:sz w:val="18"/>
                <w:szCs w:val="18"/>
                <w:lang w:val="sr-Cyrl-CS"/>
              </w:rPr>
              <w:t>5</w:t>
            </w:r>
          </w:p>
        </w:tc>
        <w:tc>
          <w:tcPr>
            <w:tcW w:w="583" w:type="pct"/>
            <w:tcBorders>
              <w:left w:val="none" w:sz="0" w:space="0" w:color="auto"/>
              <w:right w:val="none" w:sz="0" w:space="0" w:color="auto"/>
            </w:tcBorders>
            <w:shd w:val="clear" w:color="auto" w:fill="FFFFFF" w:themeFill="background1"/>
            <w:noWrap/>
          </w:tcPr>
          <w:p w14:paraId="203E7B0F"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7,</w:t>
            </w:r>
            <w:r w:rsidR="00070973" w:rsidRPr="001B41AD">
              <w:rPr>
                <w:rFonts w:cstheme="minorHAnsi"/>
                <w:color w:val="002060"/>
                <w:sz w:val="18"/>
                <w:szCs w:val="18"/>
                <w:lang w:val="sr-Cyrl-CS"/>
              </w:rPr>
              <w:t>4</w:t>
            </w:r>
          </w:p>
        </w:tc>
      </w:tr>
      <w:tr w:rsidR="00DE7B2C" w:rsidRPr="001B41AD" w14:paraId="70570977" w14:textId="77777777" w:rsidTr="00E61B34">
        <w:trPr>
          <w:trHeight w:val="49"/>
        </w:trPr>
        <w:tc>
          <w:tcPr>
            <w:tcW w:w="1967" w:type="pct"/>
            <w:shd w:val="clear" w:color="auto" w:fill="FFFFFF" w:themeFill="background1"/>
          </w:tcPr>
          <w:p w14:paraId="6116D3DC" w14:textId="77777777" w:rsidR="00DE7B2C" w:rsidRPr="001B41AD" w:rsidRDefault="00DE7B2C" w:rsidP="00F2324C">
            <w:pPr>
              <w:keepLines/>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Отплата камата</w:t>
            </w:r>
          </w:p>
        </w:tc>
        <w:tc>
          <w:tcPr>
            <w:tcW w:w="644" w:type="pct"/>
            <w:shd w:val="clear" w:color="auto" w:fill="FFFFFF" w:themeFill="background1"/>
          </w:tcPr>
          <w:p w14:paraId="43CA84D3"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1,9</w:t>
            </w:r>
          </w:p>
        </w:tc>
        <w:tc>
          <w:tcPr>
            <w:tcW w:w="644" w:type="pct"/>
            <w:shd w:val="clear" w:color="auto" w:fill="FFFFFF" w:themeFill="background1"/>
            <w:noWrap/>
          </w:tcPr>
          <w:p w14:paraId="4B566DB1"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1,9</w:t>
            </w:r>
          </w:p>
        </w:tc>
        <w:tc>
          <w:tcPr>
            <w:tcW w:w="581" w:type="pct"/>
            <w:shd w:val="clear" w:color="auto" w:fill="FFFFFF" w:themeFill="background1"/>
            <w:noWrap/>
          </w:tcPr>
          <w:p w14:paraId="4DBAED60"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1,9</w:t>
            </w:r>
          </w:p>
        </w:tc>
        <w:tc>
          <w:tcPr>
            <w:tcW w:w="581" w:type="pct"/>
            <w:shd w:val="clear" w:color="auto" w:fill="FFFFFF" w:themeFill="background1"/>
            <w:noWrap/>
          </w:tcPr>
          <w:p w14:paraId="1731600F"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1,9</w:t>
            </w:r>
          </w:p>
        </w:tc>
        <w:tc>
          <w:tcPr>
            <w:tcW w:w="583" w:type="pct"/>
            <w:shd w:val="clear" w:color="auto" w:fill="FFFFFF" w:themeFill="background1"/>
            <w:noWrap/>
          </w:tcPr>
          <w:p w14:paraId="5C3ECD4E"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1,9</w:t>
            </w:r>
          </w:p>
        </w:tc>
      </w:tr>
      <w:tr w:rsidR="00DE7B2C" w:rsidRPr="001B41AD" w14:paraId="687F9673"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tcBorders>
              <w:left w:val="none" w:sz="0" w:space="0" w:color="auto"/>
              <w:right w:val="none" w:sz="0" w:space="0" w:color="auto"/>
            </w:tcBorders>
            <w:shd w:val="clear" w:color="auto" w:fill="FFFFFF" w:themeFill="background1"/>
          </w:tcPr>
          <w:p w14:paraId="56131C28" w14:textId="77777777" w:rsidR="00DE7B2C" w:rsidRPr="001B41AD" w:rsidRDefault="00DE7B2C" w:rsidP="00F2324C">
            <w:pPr>
              <w:keepLines/>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Субвенције</w:t>
            </w:r>
          </w:p>
        </w:tc>
        <w:tc>
          <w:tcPr>
            <w:tcW w:w="644" w:type="pct"/>
            <w:tcBorders>
              <w:left w:val="none" w:sz="0" w:space="0" w:color="auto"/>
              <w:right w:val="none" w:sz="0" w:space="0" w:color="auto"/>
            </w:tcBorders>
            <w:shd w:val="clear" w:color="auto" w:fill="FFFFFF" w:themeFill="background1"/>
          </w:tcPr>
          <w:p w14:paraId="362C032C"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2,4</w:t>
            </w:r>
          </w:p>
        </w:tc>
        <w:tc>
          <w:tcPr>
            <w:tcW w:w="644" w:type="pct"/>
            <w:tcBorders>
              <w:left w:val="none" w:sz="0" w:space="0" w:color="auto"/>
              <w:right w:val="none" w:sz="0" w:space="0" w:color="auto"/>
            </w:tcBorders>
            <w:shd w:val="clear" w:color="auto" w:fill="FFFFFF" w:themeFill="background1"/>
            <w:noWrap/>
          </w:tcPr>
          <w:p w14:paraId="51828441"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2,4</w:t>
            </w:r>
          </w:p>
        </w:tc>
        <w:tc>
          <w:tcPr>
            <w:tcW w:w="581" w:type="pct"/>
            <w:tcBorders>
              <w:left w:val="none" w:sz="0" w:space="0" w:color="auto"/>
              <w:right w:val="none" w:sz="0" w:space="0" w:color="auto"/>
            </w:tcBorders>
            <w:shd w:val="clear" w:color="auto" w:fill="FFFFFF" w:themeFill="background1"/>
            <w:noWrap/>
          </w:tcPr>
          <w:p w14:paraId="17188037"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2,2</w:t>
            </w:r>
          </w:p>
        </w:tc>
        <w:tc>
          <w:tcPr>
            <w:tcW w:w="581" w:type="pct"/>
            <w:tcBorders>
              <w:left w:val="none" w:sz="0" w:space="0" w:color="auto"/>
              <w:right w:val="none" w:sz="0" w:space="0" w:color="auto"/>
            </w:tcBorders>
            <w:shd w:val="clear" w:color="auto" w:fill="FFFFFF" w:themeFill="background1"/>
            <w:noWrap/>
          </w:tcPr>
          <w:p w14:paraId="21FB8637"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2,1</w:t>
            </w:r>
          </w:p>
        </w:tc>
        <w:tc>
          <w:tcPr>
            <w:tcW w:w="583" w:type="pct"/>
            <w:tcBorders>
              <w:left w:val="none" w:sz="0" w:space="0" w:color="auto"/>
              <w:right w:val="none" w:sz="0" w:space="0" w:color="auto"/>
            </w:tcBorders>
            <w:shd w:val="clear" w:color="auto" w:fill="FFFFFF" w:themeFill="background1"/>
            <w:noWrap/>
          </w:tcPr>
          <w:p w14:paraId="4958A35A"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2,1</w:t>
            </w:r>
          </w:p>
        </w:tc>
      </w:tr>
      <w:tr w:rsidR="00DE7B2C" w:rsidRPr="001B41AD" w14:paraId="5761A0D1" w14:textId="77777777" w:rsidTr="00E61B34">
        <w:trPr>
          <w:trHeight w:val="49"/>
        </w:trPr>
        <w:tc>
          <w:tcPr>
            <w:tcW w:w="1967" w:type="pct"/>
            <w:shd w:val="clear" w:color="auto" w:fill="FFFFFF" w:themeFill="background1"/>
          </w:tcPr>
          <w:p w14:paraId="01BBA30E" w14:textId="77777777" w:rsidR="00DE7B2C" w:rsidRPr="001B41AD" w:rsidRDefault="00DE7B2C" w:rsidP="00F2324C">
            <w:pPr>
              <w:keepLines/>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Социјална помоћ и трансфери</w:t>
            </w:r>
          </w:p>
        </w:tc>
        <w:tc>
          <w:tcPr>
            <w:tcW w:w="644" w:type="pct"/>
            <w:shd w:val="clear" w:color="auto" w:fill="FFFFFF" w:themeFill="background1"/>
          </w:tcPr>
          <w:p w14:paraId="166B0B6F"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12,9</w:t>
            </w:r>
          </w:p>
        </w:tc>
        <w:tc>
          <w:tcPr>
            <w:tcW w:w="644" w:type="pct"/>
            <w:shd w:val="clear" w:color="auto" w:fill="FFFFFF" w:themeFill="background1"/>
            <w:noWrap/>
          </w:tcPr>
          <w:p w14:paraId="23A24F69"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13,</w:t>
            </w:r>
            <w:r w:rsidR="006C6F64" w:rsidRPr="001B41AD">
              <w:rPr>
                <w:rFonts w:cstheme="minorHAnsi"/>
                <w:color w:val="002060"/>
                <w:sz w:val="18"/>
                <w:szCs w:val="18"/>
                <w:lang w:val="sr-Cyrl-CS"/>
              </w:rPr>
              <w:t>4</w:t>
            </w:r>
          </w:p>
        </w:tc>
        <w:tc>
          <w:tcPr>
            <w:tcW w:w="581" w:type="pct"/>
            <w:shd w:val="clear" w:color="auto" w:fill="FFFFFF" w:themeFill="background1"/>
            <w:noWrap/>
          </w:tcPr>
          <w:p w14:paraId="24CD2E76"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w:t>
            </w:r>
            <w:r w:rsidR="00620A5D" w:rsidRPr="001B41AD">
              <w:rPr>
                <w:rFonts w:cstheme="minorHAnsi"/>
                <w:color w:val="002060"/>
                <w:sz w:val="18"/>
                <w:szCs w:val="18"/>
                <w:lang w:val="sr-Cyrl-CS"/>
              </w:rPr>
              <w:t>3,9</w:t>
            </w:r>
          </w:p>
        </w:tc>
        <w:tc>
          <w:tcPr>
            <w:tcW w:w="581" w:type="pct"/>
            <w:shd w:val="clear" w:color="auto" w:fill="FFFFFF" w:themeFill="background1"/>
            <w:noWrap/>
          </w:tcPr>
          <w:p w14:paraId="6E7C2AFF"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13,7</w:t>
            </w:r>
          </w:p>
        </w:tc>
        <w:tc>
          <w:tcPr>
            <w:tcW w:w="583" w:type="pct"/>
            <w:shd w:val="clear" w:color="auto" w:fill="FFFFFF" w:themeFill="background1"/>
            <w:noWrap/>
          </w:tcPr>
          <w:p w14:paraId="2C8A7971"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13,4</w:t>
            </w:r>
          </w:p>
        </w:tc>
      </w:tr>
      <w:tr w:rsidR="00DE7B2C" w:rsidRPr="001B41AD" w14:paraId="60CC06F1" w14:textId="77777777" w:rsidTr="00E61B34">
        <w:trPr>
          <w:cnfStyle w:val="000000100000" w:firstRow="0" w:lastRow="0" w:firstColumn="0" w:lastColumn="0" w:oddVBand="0" w:evenVBand="0" w:oddHBand="1" w:evenHBand="0" w:firstRowFirstColumn="0" w:firstRowLastColumn="0" w:lastRowFirstColumn="0" w:lastRowLastColumn="0"/>
          <w:trHeight w:val="104"/>
        </w:trPr>
        <w:tc>
          <w:tcPr>
            <w:tcW w:w="1967" w:type="pct"/>
            <w:tcBorders>
              <w:left w:val="none" w:sz="0" w:space="0" w:color="auto"/>
              <w:right w:val="none" w:sz="0" w:space="0" w:color="auto"/>
            </w:tcBorders>
            <w:shd w:val="clear" w:color="auto" w:fill="FFFFFF" w:themeFill="background1"/>
          </w:tcPr>
          <w:p w14:paraId="576357AD" w14:textId="77777777" w:rsidR="00DE7B2C" w:rsidRPr="001B41AD" w:rsidRDefault="00DE7B2C" w:rsidP="00F2324C">
            <w:pPr>
              <w:keepLines/>
              <w:shd w:val="clear" w:color="auto" w:fill="FFFFFF" w:themeFill="background1"/>
              <w:spacing w:line="276" w:lineRule="auto"/>
              <w:ind w:left="397"/>
              <w:rPr>
                <w:rFonts w:eastAsia="Times New Roman" w:cstheme="minorHAnsi"/>
                <w:bCs/>
                <w:i/>
                <w:color w:val="002060"/>
                <w:sz w:val="18"/>
                <w:szCs w:val="18"/>
                <w:lang w:val="sr-Cyrl-CS"/>
              </w:rPr>
            </w:pPr>
            <w:r w:rsidRPr="001B41AD">
              <w:rPr>
                <w:rFonts w:eastAsia="Times New Roman" w:cstheme="minorHAnsi"/>
                <w:bCs/>
                <w:i/>
                <w:color w:val="002060"/>
                <w:sz w:val="18"/>
                <w:szCs w:val="18"/>
                <w:lang w:val="sr-Cyrl-CS"/>
              </w:rPr>
              <w:t>од чега пензије</w:t>
            </w:r>
          </w:p>
        </w:tc>
        <w:tc>
          <w:tcPr>
            <w:tcW w:w="644" w:type="pct"/>
            <w:tcBorders>
              <w:left w:val="none" w:sz="0" w:space="0" w:color="auto"/>
              <w:right w:val="none" w:sz="0" w:space="0" w:color="auto"/>
            </w:tcBorders>
            <w:shd w:val="clear" w:color="auto" w:fill="FFFFFF" w:themeFill="background1"/>
          </w:tcPr>
          <w:p w14:paraId="19277B51" w14:textId="77777777" w:rsidR="00DE7B2C" w:rsidRPr="001B41AD" w:rsidRDefault="006C6F64" w:rsidP="00F2324C">
            <w:pPr>
              <w:keepLines/>
              <w:shd w:val="clear" w:color="auto" w:fill="FFFFFF" w:themeFill="background1"/>
              <w:spacing w:line="276" w:lineRule="auto"/>
              <w:jc w:val="right"/>
              <w:rPr>
                <w:rFonts w:cstheme="minorHAnsi"/>
                <w:i/>
                <w:color w:val="002060"/>
                <w:sz w:val="18"/>
                <w:szCs w:val="18"/>
                <w:lang w:val="sr-Cyrl-CS"/>
              </w:rPr>
            </w:pPr>
            <w:r w:rsidRPr="001B41AD">
              <w:rPr>
                <w:rFonts w:cstheme="minorHAnsi"/>
                <w:i/>
                <w:color w:val="002060"/>
                <w:sz w:val="18"/>
                <w:szCs w:val="18"/>
                <w:lang w:val="sr-Cyrl-CS"/>
              </w:rPr>
              <w:t>9,5</w:t>
            </w:r>
          </w:p>
        </w:tc>
        <w:tc>
          <w:tcPr>
            <w:tcW w:w="644" w:type="pct"/>
            <w:tcBorders>
              <w:left w:val="none" w:sz="0" w:space="0" w:color="auto"/>
              <w:right w:val="none" w:sz="0" w:space="0" w:color="auto"/>
            </w:tcBorders>
            <w:shd w:val="clear" w:color="auto" w:fill="FFFFFF" w:themeFill="background1"/>
            <w:noWrap/>
          </w:tcPr>
          <w:p w14:paraId="1AB28262" w14:textId="77777777" w:rsidR="00DE7B2C" w:rsidRPr="001B41AD" w:rsidRDefault="00DE7B2C" w:rsidP="00F2324C">
            <w:pPr>
              <w:keepLines/>
              <w:shd w:val="clear" w:color="auto" w:fill="FFFFFF" w:themeFill="background1"/>
              <w:spacing w:line="276" w:lineRule="auto"/>
              <w:jc w:val="right"/>
              <w:rPr>
                <w:rFonts w:cstheme="minorHAnsi"/>
                <w:i/>
                <w:color w:val="002060"/>
                <w:sz w:val="18"/>
                <w:szCs w:val="18"/>
                <w:lang w:val="sr-Cyrl-CS"/>
              </w:rPr>
            </w:pPr>
            <w:r w:rsidRPr="001B41AD">
              <w:rPr>
                <w:rFonts w:cstheme="minorHAnsi"/>
                <w:i/>
                <w:color w:val="002060"/>
                <w:sz w:val="18"/>
                <w:szCs w:val="18"/>
                <w:lang w:val="sr-Cyrl-CS"/>
              </w:rPr>
              <w:t>10,1</w:t>
            </w:r>
          </w:p>
        </w:tc>
        <w:tc>
          <w:tcPr>
            <w:tcW w:w="581" w:type="pct"/>
            <w:tcBorders>
              <w:left w:val="none" w:sz="0" w:space="0" w:color="auto"/>
              <w:right w:val="none" w:sz="0" w:space="0" w:color="auto"/>
            </w:tcBorders>
            <w:shd w:val="clear" w:color="auto" w:fill="FFFFFF" w:themeFill="background1"/>
            <w:noWrap/>
          </w:tcPr>
          <w:p w14:paraId="4D40A6AB" w14:textId="77777777" w:rsidR="00DE7B2C" w:rsidRPr="001B41AD" w:rsidRDefault="00620A5D" w:rsidP="00F2324C">
            <w:pPr>
              <w:keepLines/>
              <w:shd w:val="clear" w:color="auto" w:fill="FFFFFF" w:themeFill="background1"/>
              <w:spacing w:line="276" w:lineRule="auto"/>
              <w:jc w:val="right"/>
              <w:rPr>
                <w:rFonts w:cstheme="minorHAnsi"/>
                <w:i/>
                <w:color w:val="002060"/>
                <w:sz w:val="18"/>
                <w:szCs w:val="18"/>
                <w:lang w:val="sr-Cyrl-CS"/>
              </w:rPr>
            </w:pPr>
            <w:r w:rsidRPr="001B41AD">
              <w:rPr>
                <w:rFonts w:cstheme="minorHAnsi"/>
                <w:i/>
                <w:color w:val="002060"/>
                <w:sz w:val="18"/>
                <w:szCs w:val="18"/>
                <w:lang w:val="sr-Cyrl-CS"/>
              </w:rPr>
              <w:t>10,6</w:t>
            </w:r>
          </w:p>
        </w:tc>
        <w:tc>
          <w:tcPr>
            <w:tcW w:w="581" w:type="pct"/>
            <w:tcBorders>
              <w:left w:val="none" w:sz="0" w:space="0" w:color="auto"/>
              <w:right w:val="none" w:sz="0" w:space="0" w:color="auto"/>
            </w:tcBorders>
            <w:shd w:val="clear" w:color="auto" w:fill="FFFFFF" w:themeFill="background1"/>
            <w:noWrap/>
          </w:tcPr>
          <w:p w14:paraId="4446C962" w14:textId="77777777" w:rsidR="00DE7B2C" w:rsidRPr="001B41AD" w:rsidRDefault="00620A5D" w:rsidP="00F2324C">
            <w:pPr>
              <w:keepLines/>
              <w:shd w:val="clear" w:color="auto" w:fill="FFFFFF" w:themeFill="background1"/>
              <w:spacing w:line="276" w:lineRule="auto"/>
              <w:jc w:val="right"/>
              <w:rPr>
                <w:rFonts w:cstheme="minorHAnsi"/>
                <w:i/>
                <w:color w:val="002060"/>
                <w:sz w:val="18"/>
                <w:szCs w:val="18"/>
                <w:lang w:val="sr-Cyrl-CS"/>
              </w:rPr>
            </w:pPr>
            <w:r w:rsidRPr="001B41AD">
              <w:rPr>
                <w:rFonts w:cstheme="minorHAnsi"/>
                <w:i/>
                <w:color w:val="002060"/>
                <w:sz w:val="18"/>
                <w:szCs w:val="18"/>
                <w:lang w:val="sr-Cyrl-CS"/>
              </w:rPr>
              <w:t>10,5</w:t>
            </w:r>
          </w:p>
        </w:tc>
        <w:tc>
          <w:tcPr>
            <w:tcW w:w="583" w:type="pct"/>
            <w:tcBorders>
              <w:left w:val="none" w:sz="0" w:space="0" w:color="auto"/>
              <w:right w:val="none" w:sz="0" w:space="0" w:color="auto"/>
            </w:tcBorders>
            <w:shd w:val="clear" w:color="auto" w:fill="FFFFFF" w:themeFill="background1"/>
            <w:noWrap/>
          </w:tcPr>
          <w:p w14:paraId="6AA89794" w14:textId="77777777" w:rsidR="00DE7B2C" w:rsidRPr="001B41AD" w:rsidRDefault="00620A5D" w:rsidP="00F2324C">
            <w:pPr>
              <w:keepLines/>
              <w:shd w:val="clear" w:color="auto" w:fill="FFFFFF" w:themeFill="background1"/>
              <w:spacing w:line="276" w:lineRule="auto"/>
              <w:jc w:val="right"/>
              <w:rPr>
                <w:rFonts w:cstheme="minorHAnsi"/>
                <w:i/>
                <w:color w:val="002060"/>
                <w:sz w:val="18"/>
                <w:szCs w:val="18"/>
                <w:lang w:val="sr-Cyrl-CS"/>
              </w:rPr>
            </w:pPr>
            <w:r w:rsidRPr="001B41AD">
              <w:rPr>
                <w:rFonts w:cstheme="minorHAnsi"/>
                <w:i/>
                <w:color w:val="002060"/>
                <w:sz w:val="18"/>
                <w:szCs w:val="18"/>
                <w:lang w:val="sr-Cyrl-CS"/>
              </w:rPr>
              <w:t>10,2</w:t>
            </w:r>
          </w:p>
        </w:tc>
      </w:tr>
      <w:tr w:rsidR="00DE7B2C" w:rsidRPr="001B41AD" w14:paraId="0ACA34D4" w14:textId="77777777" w:rsidTr="00E61B34">
        <w:trPr>
          <w:trHeight w:val="49"/>
        </w:trPr>
        <w:tc>
          <w:tcPr>
            <w:tcW w:w="1967" w:type="pct"/>
            <w:shd w:val="clear" w:color="auto" w:fill="FFFFFF" w:themeFill="background1"/>
          </w:tcPr>
          <w:p w14:paraId="0E334743" w14:textId="77777777" w:rsidR="00DE7B2C" w:rsidRPr="001B41AD" w:rsidRDefault="00DE7B2C" w:rsidP="00F2324C">
            <w:pPr>
              <w:keepLines/>
              <w:shd w:val="clear" w:color="auto" w:fill="FFFFFF" w:themeFill="background1"/>
              <w:spacing w:line="276" w:lineRule="auto"/>
              <w:ind w:left="284"/>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Остали текући расходи</w:t>
            </w:r>
          </w:p>
        </w:tc>
        <w:tc>
          <w:tcPr>
            <w:tcW w:w="644" w:type="pct"/>
            <w:shd w:val="clear" w:color="auto" w:fill="FFFFFF" w:themeFill="background1"/>
          </w:tcPr>
          <w:p w14:paraId="6041848B"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1,2</w:t>
            </w:r>
          </w:p>
        </w:tc>
        <w:tc>
          <w:tcPr>
            <w:tcW w:w="644" w:type="pct"/>
            <w:shd w:val="clear" w:color="auto" w:fill="FFFFFF" w:themeFill="background1"/>
            <w:noWrap/>
          </w:tcPr>
          <w:p w14:paraId="4C86B2F8"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w:t>
            </w:r>
            <w:r w:rsidR="00620A5D" w:rsidRPr="001B41AD">
              <w:rPr>
                <w:rFonts w:cstheme="minorHAnsi"/>
                <w:color w:val="002060"/>
                <w:sz w:val="18"/>
                <w:szCs w:val="18"/>
                <w:lang w:val="sr-Cyrl-CS"/>
              </w:rPr>
              <w:t>3</w:t>
            </w:r>
          </w:p>
        </w:tc>
        <w:tc>
          <w:tcPr>
            <w:tcW w:w="581" w:type="pct"/>
            <w:shd w:val="clear" w:color="auto" w:fill="FFFFFF" w:themeFill="background1"/>
            <w:noWrap/>
          </w:tcPr>
          <w:p w14:paraId="668CB234"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1,2</w:t>
            </w:r>
          </w:p>
        </w:tc>
        <w:tc>
          <w:tcPr>
            <w:tcW w:w="581" w:type="pct"/>
            <w:shd w:val="clear" w:color="auto" w:fill="FFFFFF" w:themeFill="background1"/>
            <w:noWrap/>
          </w:tcPr>
          <w:p w14:paraId="3E9D5420"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w:t>
            </w:r>
            <w:r w:rsidR="00070973" w:rsidRPr="001B41AD">
              <w:rPr>
                <w:rFonts w:cstheme="minorHAnsi"/>
                <w:color w:val="002060"/>
                <w:sz w:val="18"/>
                <w:szCs w:val="18"/>
                <w:lang w:val="sr-Cyrl-CS"/>
              </w:rPr>
              <w:t>1</w:t>
            </w:r>
          </w:p>
        </w:tc>
        <w:tc>
          <w:tcPr>
            <w:tcW w:w="583" w:type="pct"/>
            <w:shd w:val="clear" w:color="auto" w:fill="FFFFFF" w:themeFill="background1"/>
            <w:noWrap/>
          </w:tcPr>
          <w:p w14:paraId="34B1244C"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1,1</w:t>
            </w:r>
          </w:p>
        </w:tc>
      </w:tr>
      <w:tr w:rsidR="00DE7B2C" w:rsidRPr="001B41AD" w14:paraId="4EC7504A"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tcBorders>
              <w:left w:val="none" w:sz="0" w:space="0" w:color="auto"/>
              <w:right w:val="none" w:sz="0" w:space="0" w:color="auto"/>
            </w:tcBorders>
            <w:shd w:val="clear" w:color="auto" w:fill="FFFFFF" w:themeFill="background1"/>
          </w:tcPr>
          <w:p w14:paraId="0A596BDB" w14:textId="77777777" w:rsidR="00DE7B2C" w:rsidRPr="001B41AD" w:rsidRDefault="00DE7B2C" w:rsidP="00F2324C">
            <w:pPr>
              <w:keepLines/>
              <w:shd w:val="clear" w:color="auto" w:fill="FFFFFF" w:themeFill="background1"/>
              <w:spacing w:line="276" w:lineRule="auto"/>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 xml:space="preserve"> Капитални расходи</w:t>
            </w:r>
          </w:p>
        </w:tc>
        <w:tc>
          <w:tcPr>
            <w:tcW w:w="644" w:type="pct"/>
            <w:tcBorders>
              <w:left w:val="none" w:sz="0" w:space="0" w:color="auto"/>
              <w:right w:val="none" w:sz="0" w:space="0" w:color="auto"/>
            </w:tcBorders>
            <w:shd w:val="clear" w:color="auto" w:fill="FFFFFF" w:themeFill="background1"/>
          </w:tcPr>
          <w:p w14:paraId="238B64EF"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7,2</w:t>
            </w:r>
          </w:p>
        </w:tc>
        <w:tc>
          <w:tcPr>
            <w:tcW w:w="644" w:type="pct"/>
            <w:tcBorders>
              <w:left w:val="none" w:sz="0" w:space="0" w:color="auto"/>
              <w:right w:val="none" w:sz="0" w:space="0" w:color="auto"/>
            </w:tcBorders>
            <w:shd w:val="clear" w:color="auto" w:fill="FFFFFF" w:themeFill="background1"/>
            <w:noWrap/>
          </w:tcPr>
          <w:p w14:paraId="35ABFD64"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7,1</w:t>
            </w:r>
          </w:p>
        </w:tc>
        <w:tc>
          <w:tcPr>
            <w:tcW w:w="581" w:type="pct"/>
            <w:tcBorders>
              <w:left w:val="none" w:sz="0" w:space="0" w:color="auto"/>
              <w:right w:val="none" w:sz="0" w:space="0" w:color="auto"/>
            </w:tcBorders>
            <w:shd w:val="clear" w:color="auto" w:fill="FFFFFF" w:themeFill="background1"/>
            <w:noWrap/>
          </w:tcPr>
          <w:p w14:paraId="2224B3A1"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6,</w:t>
            </w:r>
            <w:r w:rsidR="00070973" w:rsidRPr="001B41AD">
              <w:rPr>
                <w:rFonts w:cstheme="minorHAnsi"/>
                <w:color w:val="002060"/>
                <w:sz w:val="18"/>
                <w:szCs w:val="18"/>
                <w:lang w:val="sr-Cyrl-CS"/>
              </w:rPr>
              <w:t>7</w:t>
            </w:r>
          </w:p>
        </w:tc>
        <w:tc>
          <w:tcPr>
            <w:tcW w:w="581" w:type="pct"/>
            <w:tcBorders>
              <w:left w:val="none" w:sz="0" w:space="0" w:color="auto"/>
              <w:right w:val="none" w:sz="0" w:space="0" w:color="auto"/>
            </w:tcBorders>
            <w:shd w:val="clear" w:color="auto" w:fill="FFFFFF" w:themeFill="background1"/>
            <w:noWrap/>
          </w:tcPr>
          <w:p w14:paraId="750BFA35"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6,</w:t>
            </w:r>
            <w:r w:rsidR="00070973" w:rsidRPr="001B41AD">
              <w:rPr>
                <w:rFonts w:cstheme="minorHAnsi"/>
                <w:color w:val="002060"/>
                <w:sz w:val="18"/>
                <w:szCs w:val="18"/>
                <w:lang w:val="sr-Cyrl-CS"/>
              </w:rPr>
              <w:t>4</w:t>
            </w:r>
          </w:p>
        </w:tc>
        <w:tc>
          <w:tcPr>
            <w:tcW w:w="583" w:type="pct"/>
            <w:tcBorders>
              <w:left w:val="none" w:sz="0" w:space="0" w:color="auto"/>
              <w:right w:val="none" w:sz="0" w:space="0" w:color="auto"/>
            </w:tcBorders>
            <w:shd w:val="clear" w:color="auto" w:fill="FFFFFF" w:themeFill="background1"/>
            <w:noWrap/>
          </w:tcPr>
          <w:p w14:paraId="678AB179"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6,</w:t>
            </w:r>
            <w:r w:rsidR="00070973" w:rsidRPr="001B41AD">
              <w:rPr>
                <w:rFonts w:cstheme="minorHAnsi"/>
                <w:color w:val="002060"/>
                <w:sz w:val="18"/>
                <w:szCs w:val="18"/>
                <w:lang w:val="sr-Cyrl-CS"/>
              </w:rPr>
              <w:t>1</w:t>
            </w:r>
          </w:p>
        </w:tc>
      </w:tr>
      <w:tr w:rsidR="00DE7B2C" w:rsidRPr="001B41AD" w14:paraId="22261058" w14:textId="77777777" w:rsidTr="00E61B34">
        <w:trPr>
          <w:trHeight w:val="49"/>
        </w:trPr>
        <w:tc>
          <w:tcPr>
            <w:tcW w:w="1967" w:type="pct"/>
            <w:tcBorders>
              <w:bottom w:val="nil"/>
            </w:tcBorders>
            <w:shd w:val="clear" w:color="auto" w:fill="FFFFFF" w:themeFill="background1"/>
            <w:noWrap/>
          </w:tcPr>
          <w:p w14:paraId="4F5FFED9" w14:textId="77777777" w:rsidR="00DE7B2C" w:rsidRPr="001B41AD" w:rsidRDefault="00DE7B2C" w:rsidP="00F2324C">
            <w:pPr>
              <w:keepLines/>
              <w:shd w:val="clear" w:color="auto" w:fill="FFFFFF" w:themeFill="background1"/>
              <w:spacing w:line="276" w:lineRule="auto"/>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 xml:space="preserve"> Нето буџетске позајмице</w:t>
            </w:r>
          </w:p>
        </w:tc>
        <w:tc>
          <w:tcPr>
            <w:tcW w:w="644" w:type="pct"/>
            <w:tcBorders>
              <w:bottom w:val="nil"/>
            </w:tcBorders>
            <w:shd w:val="clear" w:color="auto" w:fill="FFFFFF" w:themeFill="background1"/>
          </w:tcPr>
          <w:p w14:paraId="30C0AE1D"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0,2</w:t>
            </w:r>
          </w:p>
        </w:tc>
        <w:tc>
          <w:tcPr>
            <w:tcW w:w="644" w:type="pct"/>
            <w:tcBorders>
              <w:bottom w:val="nil"/>
            </w:tcBorders>
            <w:shd w:val="clear" w:color="auto" w:fill="FFFFFF" w:themeFill="background1"/>
            <w:noWrap/>
          </w:tcPr>
          <w:p w14:paraId="6AE45BDC" w14:textId="77777777" w:rsidR="00DE7B2C" w:rsidRPr="001B41AD" w:rsidRDefault="006C6F64"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0,2</w:t>
            </w:r>
          </w:p>
        </w:tc>
        <w:tc>
          <w:tcPr>
            <w:tcW w:w="581" w:type="pct"/>
            <w:tcBorders>
              <w:bottom w:val="nil"/>
            </w:tcBorders>
            <w:shd w:val="clear" w:color="auto" w:fill="FFFFFF" w:themeFill="background1"/>
            <w:noWrap/>
          </w:tcPr>
          <w:p w14:paraId="55A4F225"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0,1</w:t>
            </w:r>
          </w:p>
        </w:tc>
        <w:tc>
          <w:tcPr>
            <w:tcW w:w="581" w:type="pct"/>
            <w:tcBorders>
              <w:bottom w:val="nil"/>
            </w:tcBorders>
            <w:shd w:val="clear" w:color="auto" w:fill="FFFFFF" w:themeFill="background1"/>
            <w:noWrap/>
          </w:tcPr>
          <w:p w14:paraId="33EA4C96"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0,1</w:t>
            </w:r>
          </w:p>
        </w:tc>
        <w:tc>
          <w:tcPr>
            <w:tcW w:w="583" w:type="pct"/>
            <w:tcBorders>
              <w:bottom w:val="nil"/>
            </w:tcBorders>
            <w:shd w:val="clear" w:color="auto" w:fill="FFFFFF" w:themeFill="background1"/>
            <w:noWrap/>
          </w:tcPr>
          <w:p w14:paraId="3E88D37C" w14:textId="77777777" w:rsidR="00DE7B2C" w:rsidRPr="001B41AD" w:rsidRDefault="00620A5D"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0,1</w:t>
            </w:r>
          </w:p>
        </w:tc>
      </w:tr>
      <w:tr w:rsidR="00DE7B2C" w:rsidRPr="001B41AD" w14:paraId="700F739B" w14:textId="77777777" w:rsidTr="00E61B34">
        <w:trPr>
          <w:cnfStyle w:val="000000100000" w:firstRow="0" w:lastRow="0" w:firstColumn="0" w:lastColumn="0" w:oddVBand="0" w:evenVBand="0" w:oddHBand="1" w:evenHBand="0" w:firstRowFirstColumn="0" w:firstRowLastColumn="0" w:lastRowFirstColumn="0" w:lastRowLastColumn="0"/>
          <w:trHeight w:val="95"/>
        </w:trPr>
        <w:tc>
          <w:tcPr>
            <w:tcW w:w="1967" w:type="pct"/>
            <w:tcBorders>
              <w:top w:val="nil"/>
              <w:left w:val="none" w:sz="0" w:space="0" w:color="auto"/>
              <w:bottom w:val="single" w:sz="4" w:space="0" w:color="002060"/>
              <w:right w:val="none" w:sz="0" w:space="0" w:color="auto"/>
            </w:tcBorders>
            <w:shd w:val="clear" w:color="auto" w:fill="FFFFFF" w:themeFill="background1"/>
            <w:noWrap/>
          </w:tcPr>
          <w:p w14:paraId="294DC0B5" w14:textId="77777777" w:rsidR="00DE7B2C" w:rsidRPr="001B41AD" w:rsidRDefault="00DE7B2C" w:rsidP="00F2324C">
            <w:pPr>
              <w:keepLines/>
              <w:shd w:val="clear" w:color="auto" w:fill="FFFFFF" w:themeFill="background1"/>
              <w:spacing w:line="276" w:lineRule="auto"/>
              <w:rPr>
                <w:rFonts w:eastAsia="Times New Roman" w:cstheme="minorHAnsi"/>
                <w:bCs/>
                <w:color w:val="002060"/>
                <w:sz w:val="18"/>
                <w:szCs w:val="18"/>
                <w:lang w:val="sr-Cyrl-CS"/>
              </w:rPr>
            </w:pPr>
            <w:r w:rsidRPr="001B41AD">
              <w:rPr>
                <w:rFonts w:eastAsia="Times New Roman" w:cstheme="minorHAnsi"/>
                <w:bCs/>
                <w:color w:val="002060"/>
                <w:sz w:val="18"/>
                <w:szCs w:val="18"/>
                <w:lang w:val="sr-Cyrl-CS"/>
              </w:rPr>
              <w:t xml:space="preserve"> Отплата по основу гаранција</w:t>
            </w:r>
          </w:p>
        </w:tc>
        <w:tc>
          <w:tcPr>
            <w:tcW w:w="644" w:type="pct"/>
            <w:tcBorders>
              <w:top w:val="nil"/>
              <w:left w:val="none" w:sz="0" w:space="0" w:color="auto"/>
              <w:bottom w:val="single" w:sz="4" w:space="0" w:color="002060"/>
              <w:right w:val="none" w:sz="0" w:space="0" w:color="auto"/>
            </w:tcBorders>
            <w:shd w:val="clear" w:color="auto" w:fill="FFFFFF" w:themeFill="background1"/>
          </w:tcPr>
          <w:p w14:paraId="26E6B732"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0,3</w:t>
            </w:r>
          </w:p>
        </w:tc>
        <w:tc>
          <w:tcPr>
            <w:tcW w:w="644" w:type="pct"/>
            <w:tcBorders>
              <w:top w:val="nil"/>
              <w:left w:val="none" w:sz="0" w:space="0" w:color="auto"/>
              <w:bottom w:val="single" w:sz="4" w:space="0" w:color="002060"/>
              <w:right w:val="none" w:sz="0" w:space="0" w:color="auto"/>
            </w:tcBorders>
            <w:shd w:val="clear" w:color="auto" w:fill="FFFFFF" w:themeFill="background1"/>
            <w:noWrap/>
          </w:tcPr>
          <w:p w14:paraId="7C0ED207"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0,2</w:t>
            </w:r>
          </w:p>
        </w:tc>
        <w:tc>
          <w:tcPr>
            <w:tcW w:w="581" w:type="pct"/>
            <w:tcBorders>
              <w:top w:val="nil"/>
              <w:left w:val="none" w:sz="0" w:space="0" w:color="auto"/>
              <w:bottom w:val="single" w:sz="4" w:space="0" w:color="002060"/>
              <w:right w:val="none" w:sz="0" w:space="0" w:color="auto"/>
            </w:tcBorders>
            <w:shd w:val="clear" w:color="auto" w:fill="FFFFFF" w:themeFill="background1"/>
            <w:noWrap/>
          </w:tcPr>
          <w:p w14:paraId="5F9C40B7"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0,2</w:t>
            </w:r>
          </w:p>
        </w:tc>
        <w:tc>
          <w:tcPr>
            <w:tcW w:w="581" w:type="pct"/>
            <w:tcBorders>
              <w:top w:val="nil"/>
              <w:left w:val="none" w:sz="0" w:space="0" w:color="auto"/>
              <w:bottom w:val="single" w:sz="4" w:space="0" w:color="002060"/>
              <w:right w:val="none" w:sz="0" w:space="0" w:color="auto"/>
            </w:tcBorders>
            <w:shd w:val="clear" w:color="auto" w:fill="FFFFFF" w:themeFill="background1"/>
            <w:noWrap/>
          </w:tcPr>
          <w:p w14:paraId="086B9529"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0,2</w:t>
            </w:r>
          </w:p>
        </w:tc>
        <w:tc>
          <w:tcPr>
            <w:tcW w:w="583" w:type="pct"/>
            <w:tcBorders>
              <w:top w:val="nil"/>
              <w:left w:val="none" w:sz="0" w:space="0" w:color="auto"/>
              <w:bottom w:val="single" w:sz="4" w:space="0" w:color="002060"/>
              <w:right w:val="none" w:sz="0" w:space="0" w:color="auto"/>
            </w:tcBorders>
            <w:shd w:val="clear" w:color="auto" w:fill="FFFFFF" w:themeFill="background1"/>
            <w:noWrap/>
          </w:tcPr>
          <w:p w14:paraId="2245EFDB" w14:textId="77777777" w:rsidR="00DE7B2C" w:rsidRPr="001B41AD" w:rsidRDefault="00DE7B2C" w:rsidP="00F2324C">
            <w:pPr>
              <w:keepLines/>
              <w:shd w:val="clear" w:color="auto" w:fill="FFFFFF" w:themeFill="background1"/>
              <w:spacing w:line="276" w:lineRule="auto"/>
              <w:jc w:val="right"/>
              <w:rPr>
                <w:rFonts w:cstheme="minorHAnsi"/>
                <w:color w:val="002060"/>
                <w:sz w:val="18"/>
                <w:szCs w:val="18"/>
                <w:lang w:val="sr-Cyrl-CS"/>
              </w:rPr>
            </w:pPr>
            <w:r w:rsidRPr="001B41AD">
              <w:rPr>
                <w:rFonts w:cstheme="minorHAnsi"/>
                <w:color w:val="002060"/>
                <w:sz w:val="18"/>
                <w:szCs w:val="18"/>
                <w:lang w:val="sr-Cyrl-CS"/>
              </w:rPr>
              <w:t>0,2</w:t>
            </w:r>
          </w:p>
        </w:tc>
      </w:tr>
    </w:tbl>
    <w:p w14:paraId="1BD2F35A" w14:textId="77777777" w:rsidR="00DE7B2C" w:rsidRPr="001B41AD" w:rsidRDefault="00DE7B2C" w:rsidP="00F2324C">
      <w:pPr>
        <w:keepLines/>
        <w:spacing w:before="40" w:after="120" w:line="276" w:lineRule="auto"/>
        <w:jc w:val="left"/>
        <w:rPr>
          <w:rFonts w:cstheme="minorHAnsi"/>
          <w:sz w:val="16"/>
          <w:szCs w:val="20"/>
          <w:lang w:val="sr-Cyrl-CS"/>
        </w:rPr>
        <w:sectPr w:rsidR="00DE7B2C" w:rsidRPr="001B41AD" w:rsidSect="00E61B34">
          <w:type w:val="continuous"/>
          <w:pgSz w:w="12240" w:h="15840" w:code="1"/>
          <w:pgMar w:top="1440" w:right="1440" w:bottom="1440" w:left="1440" w:header="720" w:footer="720" w:gutter="0"/>
          <w:cols w:space="720"/>
          <w:docGrid w:linePitch="360"/>
        </w:sectPr>
      </w:pPr>
      <w:r w:rsidRPr="001B41AD">
        <w:rPr>
          <w:rFonts w:eastAsia="Calibri" w:cstheme="minorHAnsi"/>
          <w:bCs/>
          <w:sz w:val="16"/>
          <w:szCs w:val="20"/>
          <w:lang w:val="sr-Cyrl-CS" w:eastAsia="ja-JP"/>
        </w:rPr>
        <w:t xml:space="preserve">Извор: </w:t>
      </w:r>
      <w:r w:rsidRPr="001B41AD">
        <w:rPr>
          <w:rFonts w:cstheme="minorHAnsi"/>
          <w:sz w:val="16"/>
          <w:szCs w:val="20"/>
          <w:lang w:val="sr-Cyrl-CS"/>
        </w:rPr>
        <w:t>Министарство финансија</w:t>
      </w:r>
    </w:p>
    <w:p w14:paraId="06CE88DC" w14:textId="77777777" w:rsidR="003600AF" w:rsidRPr="001B41AD" w:rsidRDefault="003600AF" w:rsidP="003600AF">
      <w:pPr>
        <w:spacing w:after="120"/>
        <w:rPr>
          <w:rFonts w:eastAsia="Calibri" w:cstheme="minorHAnsi"/>
          <w:szCs w:val="20"/>
          <w:lang w:val="sr-Cyrl-CS" w:eastAsia="ja-JP"/>
        </w:rPr>
      </w:pPr>
      <w:r w:rsidRPr="001B41AD">
        <w:rPr>
          <w:rFonts w:eastAsia="Calibri" w:cstheme="minorHAnsi"/>
          <w:szCs w:val="20"/>
          <w:lang w:val="sr-Cyrl-CS" w:eastAsia="ja-JP"/>
        </w:rPr>
        <w:lastRenderedPageBreak/>
        <w:t>Фискални простор предвиђен за раст зарада у наредном периоду повећаваће се умерено и контролисано, уз доследн</w:t>
      </w:r>
      <w:r w:rsidR="00DB3CDA" w:rsidRPr="001B41AD">
        <w:rPr>
          <w:rFonts w:eastAsia="Calibri" w:cstheme="minorHAnsi"/>
          <w:szCs w:val="20"/>
          <w:lang w:val="sr-Cyrl-CS" w:eastAsia="ja-JP"/>
        </w:rPr>
        <w:t>о праћење њиховог учешћа у БДП</w:t>
      </w:r>
      <w:r w:rsidRPr="001B41AD">
        <w:rPr>
          <w:rFonts w:eastAsia="Calibri" w:cstheme="minorHAnsi"/>
          <w:szCs w:val="20"/>
          <w:lang w:val="sr-Cyrl-CS" w:eastAsia="ja-JP"/>
        </w:rPr>
        <w:t>. Планирани раст у 2025. години превасходно је последица проширења обухвата сектора државе и повећања зарада у образовању и здравству током године, при чему је циљ да се унапређење плата спроводи у оквирима одрживости јавних финансија и уз очување кључних фискалних показатеља.</w:t>
      </w:r>
    </w:p>
    <w:p w14:paraId="3C650623" w14:textId="77777777" w:rsidR="003600AF" w:rsidRPr="001B41AD" w:rsidRDefault="003600AF" w:rsidP="003600AF">
      <w:pPr>
        <w:spacing w:after="120"/>
        <w:rPr>
          <w:rFonts w:eastAsia="Calibri" w:cstheme="minorHAnsi"/>
          <w:szCs w:val="20"/>
          <w:lang w:val="sr-Cyrl-CS" w:eastAsia="ja-JP"/>
        </w:rPr>
      </w:pPr>
      <w:r w:rsidRPr="001B41AD">
        <w:rPr>
          <w:rFonts w:eastAsia="Calibri" w:cstheme="minorHAnsi"/>
          <w:szCs w:val="20"/>
          <w:lang w:val="sr-Cyrl-CS" w:eastAsia="ja-JP"/>
        </w:rPr>
        <w:t>Правни оквир дефинисан је чланом 27е Закона о буџетском систему, који ограничава расходе за запосле</w:t>
      </w:r>
      <w:r w:rsidR="00DB3CDA" w:rsidRPr="001B41AD">
        <w:rPr>
          <w:rFonts w:eastAsia="Calibri" w:cstheme="minorHAnsi"/>
          <w:szCs w:val="20"/>
          <w:lang w:val="sr-Cyrl-CS" w:eastAsia="ja-JP"/>
        </w:rPr>
        <w:t>не у сектору државе на 10% БДП</w:t>
      </w:r>
      <w:r w:rsidRPr="001B41AD">
        <w:rPr>
          <w:rFonts w:eastAsia="Calibri" w:cstheme="minorHAnsi"/>
          <w:szCs w:val="20"/>
          <w:lang w:val="sr-Cyrl-CS" w:eastAsia="ja-JP"/>
        </w:rPr>
        <w:t>. Усклађивање плата у свим институцијама (ентитетима) сектора државе условљено је овим лимитом, који се коригује навише у случају проширења обухвата (укључивања нових ентитета) и наниже у случају његовог сужавања (искључивања ентитета)</w:t>
      </w:r>
      <w:r w:rsidR="00DB3CDA" w:rsidRPr="001B41AD">
        <w:rPr>
          <w:rFonts w:eastAsia="Calibri" w:cstheme="minorHAnsi"/>
          <w:szCs w:val="20"/>
          <w:vertAlign w:val="superscript"/>
          <w:lang w:val="sr-Cyrl-CS" w:eastAsia="ja-JP"/>
        </w:rPr>
        <w:t xml:space="preserve"> </w:t>
      </w:r>
      <w:r w:rsidR="00DB3CDA" w:rsidRPr="001B41AD">
        <w:rPr>
          <w:rFonts w:eastAsia="Calibri" w:cstheme="minorHAnsi"/>
          <w:szCs w:val="20"/>
          <w:vertAlign w:val="superscript"/>
          <w:lang w:val="sr-Cyrl-CS" w:eastAsia="ja-JP"/>
        </w:rPr>
        <w:footnoteReference w:id="2"/>
      </w:r>
      <w:r w:rsidRPr="001B41AD">
        <w:rPr>
          <w:rFonts w:eastAsia="Calibri" w:cstheme="minorHAnsi"/>
          <w:szCs w:val="20"/>
          <w:lang w:val="sr-Cyrl-CS" w:eastAsia="ja-JP"/>
        </w:rPr>
        <w:t>. Тако је у</w:t>
      </w:r>
      <w:r w:rsidR="008B503D" w:rsidRPr="001B41AD">
        <w:rPr>
          <w:rFonts w:eastAsia="Calibri" w:cstheme="minorHAnsi"/>
          <w:szCs w:val="20"/>
          <w:lang w:val="sr-Cyrl-CS" w:eastAsia="ja-JP"/>
        </w:rPr>
        <w:t xml:space="preserve"> 2023. години, услед укључивања </w:t>
      </w:r>
      <w:r w:rsidRPr="001B41AD">
        <w:rPr>
          <w:rFonts w:eastAsia="Calibri" w:cstheme="minorHAnsi"/>
          <w:szCs w:val="20"/>
          <w:lang w:val="sr-Cyrl-CS" w:eastAsia="ja-JP"/>
        </w:rPr>
        <w:t>средстава</w:t>
      </w:r>
      <w:r w:rsidR="008B503D" w:rsidRPr="001B41AD">
        <w:rPr>
          <w:rFonts w:eastAsia="Calibri" w:cstheme="minorHAnsi"/>
          <w:szCs w:val="20"/>
          <w:lang w:val="sr-Cyrl-CS" w:eastAsia="ja-JP"/>
        </w:rPr>
        <w:t xml:space="preserve"> из осталих извора финансирања</w:t>
      </w:r>
      <w:r w:rsidRPr="001B41AD">
        <w:rPr>
          <w:rFonts w:eastAsia="Calibri" w:cstheme="minorHAnsi"/>
          <w:szCs w:val="20"/>
          <w:lang w:val="sr-Cyrl-CS" w:eastAsia="ja-JP"/>
        </w:rPr>
        <w:t xml:space="preserve"> здравствених установа и средњих школа, уз процењени ниво ра</w:t>
      </w:r>
      <w:r w:rsidR="00DB3CDA" w:rsidRPr="001B41AD">
        <w:rPr>
          <w:rFonts w:eastAsia="Calibri" w:cstheme="minorHAnsi"/>
          <w:szCs w:val="20"/>
          <w:lang w:val="sr-Cyrl-CS" w:eastAsia="ja-JP"/>
        </w:rPr>
        <w:t>схода за запослене од 0,2% БДП</w:t>
      </w:r>
      <w:r w:rsidRPr="001B41AD">
        <w:rPr>
          <w:rFonts w:eastAsia="Calibri" w:cstheme="minorHAnsi"/>
          <w:szCs w:val="20"/>
          <w:lang w:val="sr-Cyrl-CS" w:eastAsia="ja-JP"/>
        </w:rPr>
        <w:t>, максима</w:t>
      </w:r>
      <w:r w:rsidR="00DB3CDA" w:rsidRPr="001B41AD">
        <w:rPr>
          <w:rFonts w:eastAsia="Calibri" w:cstheme="minorHAnsi"/>
          <w:szCs w:val="20"/>
          <w:lang w:val="sr-Cyrl-CS" w:eastAsia="ja-JP"/>
        </w:rPr>
        <w:t>лни лимит повећан на 10,2% БДП</w:t>
      </w:r>
      <w:r w:rsidRPr="001B41AD">
        <w:rPr>
          <w:rFonts w:eastAsia="Calibri" w:cstheme="minorHAnsi"/>
          <w:szCs w:val="20"/>
          <w:lang w:val="sr-Cyrl-CS" w:eastAsia="ja-JP"/>
        </w:rPr>
        <w:t>. Током 2024. године обухват је додатно проширен за одређени број ванбуџетских корисника (јавне агенције, институти и други ентитети), па је, с обзиром на ниво зарада у овим</w:t>
      </w:r>
      <w:r w:rsidR="00DB3CDA" w:rsidRPr="001B41AD">
        <w:rPr>
          <w:rFonts w:eastAsia="Calibri" w:cstheme="minorHAnsi"/>
          <w:szCs w:val="20"/>
          <w:lang w:val="sr-Cyrl-CS" w:eastAsia="ja-JP"/>
        </w:rPr>
        <w:t xml:space="preserve"> институцијама од око 0,2% БДП</w:t>
      </w:r>
      <w:r w:rsidRPr="001B41AD">
        <w:rPr>
          <w:rFonts w:eastAsia="Calibri" w:cstheme="minorHAnsi"/>
          <w:szCs w:val="20"/>
          <w:lang w:val="sr-Cyrl-CS" w:eastAsia="ja-JP"/>
        </w:rPr>
        <w:t>, лимит подигн</w:t>
      </w:r>
      <w:r w:rsidR="00DB3CDA" w:rsidRPr="001B41AD">
        <w:rPr>
          <w:rFonts w:eastAsia="Calibri" w:cstheme="minorHAnsi"/>
          <w:szCs w:val="20"/>
          <w:lang w:val="sr-Cyrl-CS" w:eastAsia="ja-JP"/>
        </w:rPr>
        <w:t>ут на 10,4% БДП</w:t>
      </w:r>
      <w:r w:rsidRPr="001B41AD">
        <w:rPr>
          <w:rFonts w:eastAsia="Calibri" w:cstheme="minorHAnsi"/>
          <w:szCs w:val="20"/>
          <w:lang w:val="sr-Cyrl-CS" w:eastAsia="ja-JP"/>
        </w:rPr>
        <w:t xml:space="preserve">. Укључивање прихода и расхода </w:t>
      </w:r>
      <w:r w:rsidR="008B503D" w:rsidRPr="001B41AD">
        <w:rPr>
          <w:rFonts w:eastAsia="Calibri" w:cstheme="minorHAnsi"/>
          <w:szCs w:val="20"/>
          <w:lang w:val="sr-Cyrl-CS" w:eastAsia="ja-JP"/>
        </w:rPr>
        <w:t xml:space="preserve">из осталих извора финансирања </w:t>
      </w:r>
      <w:r w:rsidRPr="001B41AD">
        <w:rPr>
          <w:rFonts w:eastAsia="Calibri" w:cstheme="minorHAnsi"/>
          <w:szCs w:val="20"/>
          <w:lang w:val="sr-Cyrl-CS" w:eastAsia="ja-JP"/>
        </w:rPr>
        <w:t>основних школа у фискални оквир у 2025. го</w:t>
      </w:r>
      <w:r w:rsidR="00DB3CDA" w:rsidRPr="001B41AD">
        <w:rPr>
          <w:rFonts w:eastAsia="Calibri" w:cstheme="minorHAnsi"/>
          <w:szCs w:val="20"/>
          <w:lang w:val="sr-Cyrl-CS" w:eastAsia="ja-JP"/>
        </w:rPr>
        <w:t>дини подиже лимит на 10,5% БДП</w:t>
      </w:r>
      <w:r w:rsidRPr="001B41AD">
        <w:rPr>
          <w:rFonts w:eastAsia="Calibri" w:cstheme="minorHAnsi"/>
          <w:szCs w:val="20"/>
          <w:lang w:val="sr-Cyrl-CS" w:eastAsia="ja-JP"/>
        </w:rPr>
        <w:t xml:space="preserve">, док је за 2026. планирано укључивање </w:t>
      </w:r>
      <w:r w:rsidR="008B503D" w:rsidRPr="001B41AD">
        <w:rPr>
          <w:rFonts w:eastAsia="Calibri" w:cstheme="minorHAnsi"/>
          <w:szCs w:val="20"/>
          <w:lang w:val="sr-Cyrl-CS" w:eastAsia="ja-JP"/>
        </w:rPr>
        <w:t xml:space="preserve">осталих извора финансирања </w:t>
      </w:r>
      <w:r w:rsidRPr="001B41AD">
        <w:rPr>
          <w:rFonts w:eastAsia="Calibri" w:cstheme="minorHAnsi"/>
          <w:szCs w:val="20"/>
          <w:lang w:val="sr-Cyrl-CS" w:eastAsia="ja-JP"/>
        </w:rPr>
        <w:t>установа високог и вишег образовања, чиме би се лимит за расходе за запослене повећа</w:t>
      </w:r>
      <w:r w:rsidR="00DB3CDA" w:rsidRPr="001B41AD">
        <w:rPr>
          <w:rFonts w:eastAsia="Calibri" w:cstheme="minorHAnsi"/>
          <w:szCs w:val="20"/>
          <w:lang w:val="sr-Cyrl-CS" w:eastAsia="ja-JP"/>
        </w:rPr>
        <w:t>о на 10,6% БДП</w:t>
      </w:r>
      <w:r w:rsidRPr="001B41AD">
        <w:rPr>
          <w:rFonts w:eastAsia="Calibri" w:cstheme="minorHAnsi"/>
          <w:szCs w:val="20"/>
          <w:lang w:val="sr-Cyrl-CS" w:eastAsia="ja-JP"/>
        </w:rPr>
        <w:t>.</w:t>
      </w:r>
    </w:p>
    <w:p w14:paraId="0AA9389F" w14:textId="77777777" w:rsidR="003600AF" w:rsidRPr="001B41AD" w:rsidRDefault="003600AF" w:rsidP="003600AF">
      <w:pPr>
        <w:spacing w:after="120"/>
        <w:rPr>
          <w:rFonts w:eastAsia="Calibri" w:cstheme="minorHAnsi"/>
          <w:szCs w:val="20"/>
          <w:lang w:val="sr-Cyrl-CS" w:eastAsia="ja-JP"/>
        </w:rPr>
      </w:pPr>
      <w:r w:rsidRPr="001B41AD">
        <w:rPr>
          <w:rFonts w:eastAsia="Calibri" w:cstheme="minorHAnsi"/>
          <w:szCs w:val="20"/>
          <w:lang w:val="sr-Cyrl-CS" w:eastAsia="ja-JP"/>
        </w:rPr>
        <w:t xml:space="preserve">Укључивање расхода из </w:t>
      </w:r>
      <w:r w:rsidR="008B503D" w:rsidRPr="001B41AD">
        <w:rPr>
          <w:rFonts w:eastAsia="Calibri" w:cstheme="minorHAnsi"/>
          <w:szCs w:val="20"/>
          <w:lang w:val="sr-Cyrl-CS" w:eastAsia="ja-JP"/>
        </w:rPr>
        <w:t>осталих извора финансирања</w:t>
      </w:r>
      <w:r w:rsidRPr="001B41AD">
        <w:rPr>
          <w:rFonts w:eastAsia="Calibri" w:cstheme="minorHAnsi"/>
          <w:szCs w:val="20"/>
          <w:lang w:val="sr-Cyrl-CS" w:eastAsia="ja-JP"/>
        </w:rPr>
        <w:t xml:space="preserve"> индиректних корисника утицало је и на издатке за робе и услуге. Процењује се да је ефекат укључивања нових ентитета подигао ниво </w:t>
      </w:r>
      <w:r w:rsidR="00DB3CDA" w:rsidRPr="001B41AD">
        <w:rPr>
          <w:rFonts w:eastAsia="Calibri" w:cstheme="minorHAnsi"/>
          <w:szCs w:val="20"/>
          <w:lang w:val="sr-Cyrl-CS" w:eastAsia="ja-JP"/>
        </w:rPr>
        <w:t>ове категорије за око 0,2% БДП</w:t>
      </w:r>
      <w:r w:rsidRPr="001B41AD">
        <w:rPr>
          <w:rFonts w:eastAsia="Calibri" w:cstheme="minorHAnsi"/>
          <w:szCs w:val="20"/>
          <w:lang w:val="sr-Cyrl-CS" w:eastAsia="ja-JP"/>
        </w:rPr>
        <w:t xml:space="preserve"> у 2025. години, док се додатним укључивањем индиректних корисника у 2026. години </w:t>
      </w:r>
      <w:r w:rsidR="00DB3CDA" w:rsidRPr="001B41AD">
        <w:rPr>
          <w:rFonts w:eastAsia="Calibri" w:cstheme="minorHAnsi"/>
          <w:szCs w:val="20"/>
          <w:lang w:val="sr-Cyrl-CS" w:eastAsia="ja-JP"/>
        </w:rPr>
        <w:t>пројектује ефекат од 0,15% БДП</w:t>
      </w:r>
      <w:r w:rsidRPr="001B41AD">
        <w:rPr>
          <w:rFonts w:eastAsia="Calibri" w:cstheme="minorHAnsi"/>
          <w:szCs w:val="20"/>
          <w:lang w:val="sr-Cyrl-CS" w:eastAsia="ja-JP"/>
        </w:rPr>
        <w:t xml:space="preserve">. Ипак, у средњорочном периоду очекује се постепено смањење учешћа </w:t>
      </w:r>
      <w:r w:rsidR="00DB3CDA" w:rsidRPr="001B41AD">
        <w:rPr>
          <w:rFonts w:eastAsia="Calibri" w:cstheme="minorHAnsi"/>
          <w:szCs w:val="20"/>
          <w:lang w:val="sr-Cyrl-CS" w:eastAsia="ja-JP"/>
        </w:rPr>
        <w:t>расхода за робе и услуге у БДП</w:t>
      </w:r>
      <w:r w:rsidRPr="001B41AD">
        <w:rPr>
          <w:rFonts w:eastAsia="Calibri" w:cstheme="minorHAnsi"/>
          <w:szCs w:val="20"/>
          <w:lang w:val="sr-Cyrl-CS" w:eastAsia="ja-JP"/>
        </w:rPr>
        <w:t>, у складу са мерама рационализације и унапређења ефикасности јавне потрошње.</w:t>
      </w:r>
    </w:p>
    <w:p w14:paraId="18EDDF51" w14:textId="77777777" w:rsidR="003600AF" w:rsidRPr="001B41AD" w:rsidRDefault="003600AF" w:rsidP="003600AF">
      <w:pPr>
        <w:spacing w:after="120"/>
        <w:rPr>
          <w:rFonts w:eastAsia="Calibri" w:cstheme="minorHAnsi"/>
          <w:szCs w:val="20"/>
          <w:lang w:val="sr-Cyrl-CS" w:eastAsia="ja-JP"/>
        </w:rPr>
      </w:pPr>
      <w:r w:rsidRPr="001B41AD">
        <w:rPr>
          <w:rFonts w:eastAsia="Calibri" w:cstheme="minorHAnsi"/>
          <w:szCs w:val="20"/>
          <w:lang w:val="sr-Cyrl-CS" w:eastAsia="ja-JP"/>
        </w:rPr>
        <w:t>Социјална помоћ и трансфери становништву представљају највећу расходну категорију буџета државе, при чему су пензије нај</w:t>
      </w:r>
      <w:r w:rsidR="00CF44C4" w:rsidRPr="001B41AD">
        <w:rPr>
          <w:rFonts w:eastAsia="Calibri" w:cstheme="minorHAnsi"/>
          <w:szCs w:val="20"/>
          <w:lang w:val="sr-Cyrl-CS" w:eastAsia="ja-JP"/>
        </w:rPr>
        <w:t>већа појединачна ставка и кључна</w:t>
      </w:r>
      <w:r w:rsidRPr="001B41AD">
        <w:rPr>
          <w:rFonts w:eastAsia="Calibri" w:cstheme="minorHAnsi"/>
          <w:szCs w:val="20"/>
          <w:lang w:val="sr-Cyrl-CS" w:eastAsia="ja-JP"/>
        </w:rPr>
        <w:t xml:space="preserve"> </w:t>
      </w:r>
      <w:r w:rsidR="00496F17" w:rsidRPr="001B41AD">
        <w:rPr>
          <w:rFonts w:eastAsia="Calibri" w:cstheme="minorHAnsi"/>
          <w:szCs w:val="20"/>
          <w:lang w:val="sr-Cyrl-CS" w:eastAsia="ja-JP"/>
        </w:rPr>
        <w:t>детерминанта</w:t>
      </w:r>
      <w:r w:rsidRPr="001B41AD">
        <w:rPr>
          <w:rFonts w:eastAsia="Calibri" w:cstheme="minorHAnsi"/>
          <w:szCs w:val="20"/>
          <w:lang w:val="sr-Cyrl-CS" w:eastAsia="ja-JP"/>
        </w:rPr>
        <w:t xml:space="preserve"> путање укупних расхода за трансфере и социј</w:t>
      </w:r>
      <w:r w:rsidR="00DB3CDA" w:rsidRPr="001B41AD">
        <w:rPr>
          <w:rFonts w:eastAsia="Calibri" w:cstheme="minorHAnsi"/>
          <w:szCs w:val="20"/>
          <w:lang w:val="sr-Cyrl-CS" w:eastAsia="ja-JP"/>
        </w:rPr>
        <w:t>алну заштиту (као учешће у БДП</w:t>
      </w:r>
      <w:r w:rsidRPr="001B41AD">
        <w:rPr>
          <w:rFonts w:eastAsia="Calibri" w:cstheme="minorHAnsi"/>
          <w:szCs w:val="20"/>
          <w:lang w:val="sr-Cyrl-CS" w:eastAsia="ja-JP"/>
        </w:rPr>
        <w:t>). Примена формуле за усклађивање пензија одр</w:t>
      </w:r>
      <w:r w:rsidR="00DB3CDA" w:rsidRPr="001B41AD">
        <w:rPr>
          <w:rFonts w:eastAsia="Calibri" w:cstheme="minorHAnsi"/>
          <w:szCs w:val="20"/>
          <w:lang w:val="sr-Cyrl-CS" w:eastAsia="ja-JP"/>
        </w:rPr>
        <w:t>еђена је њиховим учешћем у БДП</w:t>
      </w:r>
      <w:r w:rsidRPr="001B41AD">
        <w:rPr>
          <w:rFonts w:eastAsia="Calibri" w:cstheme="minorHAnsi"/>
          <w:szCs w:val="20"/>
          <w:lang w:val="sr-Cyrl-CS" w:eastAsia="ja-JP"/>
        </w:rPr>
        <w:t>, у складу са посебним фискалним правилом утврђеним у Закону о буџетском систему: у 2024. години пензије су индексиране растом зарада; у 2025.</w:t>
      </w:r>
      <w:r w:rsidR="00DB3CDA" w:rsidRPr="001B41AD">
        <w:rPr>
          <w:rFonts w:eastAsia="Calibri" w:cstheme="minorHAnsi"/>
          <w:szCs w:val="20"/>
          <w:lang w:val="sr-Cyrl-CS" w:eastAsia="ja-JP"/>
        </w:rPr>
        <w:t xml:space="preserve"> години</w:t>
      </w:r>
      <w:r w:rsidRPr="001B41AD">
        <w:rPr>
          <w:rFonts w:eastAsia="Calibri" w:cstheme="minorHAnsi"/>
          <w:szCs w:val="20"/>
          <w:lang w:val="sr-Cyrl-CS" w:eastAsia="ja-JP"/>
        </w:rPr>
        <w:t xml:space="preserve"> примењена је швајцарска формула; у 2026. </w:t>
      </w:r>
      <w:r w:rsidR="00461482" w:rsidRPr="001B41AD">
        <w:rPr>
          <w:rFonts w:eastAsia="Calibri" w:cstheme="minorHAnsi"/>
          <w:szCs w:val="20"/>
          <w:lang w:val="sr-Cyrl-CS" w:eastAsia="ja-JP"/>
        </w:rPr>
        <w:t xml:space="preserve">години </w:t>
      </w:r>
      <w:r w:rsidRPr="001B41AD">
        <w:rPr>
          <w:rFonts w:eastAsia="Calibri" w:cstheme="minorHAnsi"/>
          <w:szCs w:val="20"/>
          <w:lang w:val="sr-Cyrl-CS" w:eastAsia="ja-JP"/>
        </w:rPr>
        <w:t>пензије ће бити усклађене са растом просечне зараде (12,2%); у 2027.</w:t>
      </w:r>
      <w:r w:rsidR="00461482" w:rsidRPr="001B41AD">
        <w:rPr>
          <w:rFonts w:eastAsia="Calibri" w:cstheme="minorHAnsi"/>
          <w:szCs w:val="20"/>
          <w:lang w:val="sr-Cyrl-CS" w:eastAsia="ja-JP"/>
        </w:rPr>
        <w:t xml:space="preserve"> години</w:t>
      </w:r>
      <w:r w:rsidRPr="001B41AD">
        <w:rPr>
          <w:rFonts w:eastAsia="Calibri" w:cstheme="minorHAnsi"/>
          <w:szCs w:val="20"/>
          <w:lang w:val="sr-Cyrl-CS" w:eastAsia="ja-JP"/>
        </w:rPr>
        <w:t xml:space="preserve"> предвиђено је уск</w:t>
      </w:r>
      <w:r w:rsidR="00DB3CDA" w:rsidRPr="001B41AD">
        <w:rPr>
          <w:rFonts w:eastAsia="Calibri" w:cstheme="minorHAnsi"/>
          <w:szCs w:val="20"/>
          <w:lang w:val="sr-Cyrl-CS" w:eastAsia="ja-JP"/>
        </w:rPr>
        <w:t>лађивање по швајцарској формули</w:t>
      </w:r>
      <w:r w:rsidRPr="001B41AD">
        <w:rPr>
          <w:rFonts w:eastAsia="Calibri" w:cstheme="minorHAnsi"/>
          <w:szCs w:val="20"/>
          <w:lang w:val="sr-Cyrl-CS" w:eastAsia="ja-JP"/>
        </w:rPr>
        <w:t>. Остали облици социјалних давања и трансфера становништву биће усклађивани у складу са прописаном индексацијом, актуелним и планираним изменама политика, као и пројектованим бројем корисника.</w:t>
      </w:r>
    </w:p>
    <w:p w14:paraId="789CD8B3" w14:textId="77777777" w:rsidR="003600AF" w:rsidRPr="001B41AD" w:rsidRDefault="003600AF" w:rsidP="003600AF">
      <w:pPr>
        <w:spacing w:after="120"/>
        <w:rPr>
          <w:rFonts w:eastAsia="Calibri" w:cstheme="minorHAnsi"/>
          <w:szCs w:val="20"/>
          <w:lang w:val="sr-Cyrl-CS" w:eastAsia="ja-JP"/>
        </w:rPr>
      </w:pPr>
      <w:r w:rsidRPr="001B41AD">
        <w:rPr>
          <w:rFonts w:eastAsia="Calibri" w:cstheme="minorHAnsi"/>
          <w:szCs w:val="20"/>
          <w:lang w:val="sr-Cyrl-CS" w:eastAsia="ja-JP"/>
        </w:rPr>
        <w:t>У 2024. и 2025. години евидентира се привремени</w:t>
      </w:r>
      <w:r w:rsidR="00DB3CDA" w:rsidRPr="001B41AD">
        <w:rPr>
          <w:rFonts w:eastAsia="Calibri" w:cstheme="minorHAnsi"/>
          <w:szCs w:val="20"/>
          <w:lang w:val="sr-Cyrl-CS" w:eastAsia="ja-JP"/>
        </w:rPr>
        <w:t xml:space="preserve"> раст субвенција у уделу у БДП</w:t>
      </w:r>
      <w:r w:rsidRPr="001B41AD">
        <w:rPr>
          <w:rFonts w:eastAsia="Calibri" w:cstheme="minorHAnsi"/>
          <w:szCs w:val="20"/>
          <w:lang w:val="sr-Cyrl-CS" w:eastAsia="ja-JP"/>
        </w:rPr>
        <w:t xml:space="preserve">, условљен повећаним издвајањима за пољопривреду, енергетику и саобраћајну инфраструктуру. За наредни средњорочни период пројектује се благо смањење субвенција, </w:t>
      </w:r>
      <w:r w:rsidR="00DB3CDA" w:rsidRPr="001B41AD">
        <w:rPr>
          <w:rFonts w:eastAsia="Calibri" w:cstheme="minorHAnsi"/>
          <w:szCs w:val="20"/>
          <w:lang w:val="sr-Cyrl-CS" w:eastAsia="ja-JP"/>
        </w:rPr>
        <w:t>тако да би њихово учешће у БДП</w:t>
      </w:r>
      <w:r w:rsidRPr="001B41AD">
        <w:rPr>
          <w:rFonts w:eastAsia="Calibri" w:cstheme="minorHAnsi"/>
          <w:szCs w:val="20"/>
          <w:lang w:val="sr-Cyrl-CS" w:eastAsia="ja-JP"/>
        </w:rPr>
        <w:t xml:space="preserve"> на крају 2028. године износило 2,1%. Паралелно с тим, остали текући расходи — који обухватају дотације удружењима, политичким странкама, верским и спортским организацијама, као и казне и накнаде штете — очекује се да се п</w:t>
      </w:r>
      <w:r w:rsidR="00DB3CDA" w:rsidRPr="001B41AD">
        <w:rPr>
          <w:rFonts w:eastAsia="Calibri" w:cstheme="minorHAnsi"/>
          <w:szCs w:val="20"/>
          <w:lang w:val="sr-Cyrl-CS" w:eastAsia="ja-JP"/>
        </w:rPr>
        <w:t xml:space="preserve">остепено умањују у уделу у БДП, у складу са политиком </w:t>
      </w:r>
      <w:r w:rsidRPr="001B41AD">
        <w:rPr>
          <w:rFonts w:eastAsia="Calibri" w:cstheme="minorHAnsi"/>
          <w:szCs w:val="20"/>
          <w:lang w:val="sr-Cyrl-CS" w:eastAsia="ja-JP"/>
        </w:rPr>
        <w:t>приоритизације расхода.</w:t>
      </w:r>
    </w:p>
    <w:p w14:paraId="343246A9" w14:textId="77777777" w:rsidR="00183D08" w:rsidRPr="001B41AD" w:rsidRDefault="003600AF" w:rsidP="003600AF">
      <w:pPr>
        <w:spacing w:after="120"/>
        <w:rPr>
          <w:rFonts w:eastAsia="Calibri" w:cstheme="minorHAnsi"/>
          <w:szCs w:val="20"/>
          <w:lang w:val="sr-Cyrl-CS" w:eastAsia="ja-JP"/>
        </w:rPr>
      </w:pPr>
      <w:r w:rsidRPr="001B41AD">
        <w:rPr>
          <w:rFonts w:eastAsia="Calibri" w:cstheme="minorHAnsi"/>
          <w:szCs w:val="20"/>
          <w:lang w:val="sr-Cyrl-CS" w:eastAsia="ja-JP"/>
        </w:rPr>
        <w:t xml:space="preserve">Упркос изазовима условљеним пандемијом и енергетском кризом, ефикасност реализације јавних инвестиција у претходним годинама значајно је унапређена. Средњорочно се предвиђа даљи раст обима улагања у јавну инфраструктуру, подстакнут одлуком о одржавању међународне изложбе </w:t>
      </w:r>
      <w:r w:rsidRPr="001B41AD">
        <w:rPr>
          <w:rFonts w:eastAsia="Calibri" w:cstheme="minorHAnsi"/>
          <w:i/>
          <w:szCs w:val="20"/>
          <w:lang w:val="sr-Cyrl-CS" w:eastAsia="ja-JP"/>
        </w:rPr>
        <w:t>EXPO 2027</w:t>
      </w:r>
      <w:r w:rsidRPr="001B41AD">
        <w:rPr>
          <w:rFonts w:eastAsia="Calibri" w:cstheme="minorHAnsi"/>
          <w:szCs w:val="20"/>
          <w:lang w:val="sr-Cyrl-CS" w:eastAsia="ja-JP"/>
        </w:rPr>
        <w:t xml:space="preserve"> у Београду и спровођењем програма „Скок у будућност – Србија 2027“. Највећи инвестициони циклус биће усмерен на путну, железничку, комуналну и водну инфраструктуру, док су, поред саобраћајних пројеката, обезбеђена средства и за капитална улагања у здравству, енергетици, заштити животне </w:t>
      </w:r>
    </w:p>
    <w:p w14:paraId="07CD9026" w14:textId="77777777" w:rsidR="003600AF" w:rsidRPr="001B41AD" w:rsidRDefault="003600AF" w:rsidP="003600AF">
      <w:pPr>
        <w:spacing w:after="120"/>
        <w:rPr>
          <w:rFonts w:eastAsia="Calibri" w:cstheme="minorHAnsi"/>
          <w:szCs w:val="20"/>
          <w:lang w:val="sr-Cyrl-CS" w:eastAsia="ja-JP"/>
        </w:rPr>
      </w:pPr>
      <w:r w:rsidRPr="001B41AD">
        <w:rPr>
          <w:rFonts w:eastAsia="Calibri" w:cstheme="minorHAnsi"/>
          <w:szCs w:val="20"/>
          <w:lang w:val="sr-Cyrl-CS" w:eastAsia="ja-JP"/>
        </w:rPr>
        <w:lastRenderedPageBreak/>
        <w:t>средине, образовању, култури, одбрани и другим приоритетним областима државе. Иако је путања капи</w:t>
      </w:r>
      <w:r w:rsidR="00821932" w:rsidRPr="001B41AD">
        <w:rPr>
          <w:rFonts w:eastAsia="Calibri" w:cstheme="minorHAnsi"/>
          <w:szCs w:val="20"/>
          <w:lang w:val="sr-Cyrl-CS" w:eastAsia="ja-JP"/>
        </w:rPr>
        <w:t>талних расхода као удела у БДП</w:t>
      </w:r>
      <w:r w:rsidRPr="001B41AD">
        <w:rPr>
          <w:rFonts w:eastAsia="Calibri" w:cstheme="minorHAnsi"/>
          <w:szCs w:val="20"/>
          <w:lang w:val="sr-Cyrl-CS" w:eastAsia="ja-JP"/>
        </w:rPr>
        <w:t xml:space="preserve"> силазна, у апсолутном износу предвиђени су високи нивои улаг</w:t>
      </w:r>
      <w:r w:rsidR="00DB3CDA" w:rsidRPr="001B41AD">
        <w:rPr>
          <w:rFonts w:eastAsia="Calibri" w:cstheme="minorHAnsi"/>
          <w:szCs w:val="20"/>
          <w:lang w:val="sr-Cyrl-CS" w:eastAsia="ja-JP"/>
        </w:rPr>
        <w:t>ања, уз тежиште на квалит</w:t>
      </w:r>
      <w:r w:rsidR="00821932" w:rsidRPr="001B41AD">
        <w:rPr>
          <w:rFonts w:eastAsia="Calibri" w:cstheme="minorHAnsi"/>
          <w:szCs w:val="20"/>
          <w:lang w:val="sr-Cyrl-CS" w:eastAsia="ja-JP"/>
        </w:rPr>
        <w:t>ет</w:t>
      </w:r>
      <w:r w:rsidRPr="001B41AD">
        <w:rPr>
          <w:rFonts w:eastAsia="Calibri" w:cstheme="minorHAnsi"/>
          <w:szCs w:val="20"/>
          <w:lang w:val="sr-Cyrl-CS" w:eastAsia="ja-JP"/>
        </w:rPr>
        <w:t xml:space="preserve"> и правовр</w:t>
      </w:r>
      <w:r w:rsidR="00821932" w:rsidRPr="001B41AD">
        <w:rPr>
          <w:rFonts w:eastAsia="Calibri" w:cstheme="minorHAnsi"/>
          <w:szCs w:val="20"/>
          <w:lang w:val="sr-Cyrl-CS" w:eastAsia="ja-JP"/>
        </w:rPr>
        <w:t>еменост</w:t>
      </w:r>
      <w:r w:rsidRPr="001B41AD">
        <w:rPr>
          <w:rFonts w:eastAsia="Calibri" w:cstheme="minorHAnsi"/>
          <w:szCs w:val="20"/>
          <w:lang w:val="sr-Cyrl-CS" w:eastAsia="ja-JP"/>
        </w:rPr>
        <w:t xml:space="preserve"> реализације.</w:t>
      </w:r>
    </w:p>
    <w:p w14:paraId="741FB19B" w14:textId="77777777" w:rsidR="003600AF" w:rsidRPr="001B41AD" w:rsidRDefault="003600AF" w:rsidP="003600AF">
      <w:pPr>
        <w:spacing w:after="120"/>
        <w:rPr>
          <w:rFonts w:eastAsia="Calibri" w:cstheme="minorHAnsi"/>
          <w:szCs w:val="20"/>
          <w:lang w:val="sr-Cyrl-CS" w:eastAsia="ja-JP"/>
        </w:rPr>
      </w:pPr>
      <w:r w:rsidRPr="001B41AD">
        <w:rPr>
          <w:rFonts w:eastAsia="Calibri" w:cstheme="minorHAnsi"/>
          <w:szCs w:val="20"/>
          <w:lang w:val="sr-Cyrl-CS" w:eastAsia="ja-JP"/>
        </w:rPr>
        <w:t>Стратешко опредељење фискалне политике у средњем року укључује повећање инфраструктурних улагања на свим нивоима власти. На локалном нивоу приоритет имају пројекти водоводне и канализационе мреже, управљања отпадом и унапређења локалне путне инфраструктуре, чиме се подстиче равномернији регионални развој и унапређује квалитет живота становништва. У оквиру средњорочног фискалног оквира, очекује се да локалне самоуправе — посматрано збирно — задрже приближно балансиран буџет до краја 2028. године, што је у складу са кретањима из претходних година када су остваривале укупан суфицит, пре свега захваљујући динамици раздуживања. Истовремено, наглашава се да појединачне општине и градови могу исказати дефицит у складу са сопственом фискалном позицијом, уз поштовање важећих фискалних правила.</w:t>
      </w:r>
    </w:p>
    <w:p w14:paraId="7EED8329" w14:textId="77777777" w:rsidR="003600AF" w:rsidRPr="001B41AD" w:rsidRDefault="003600AF" w:rsidP="003600AF">
      <w:pPr>
        <w:spacing w:after="120"/>
        <w:rPr>
          <w:rFonts w:eastAsia="Calibri" w:cstheme="minorHAnsi"/>
          <w:szCs w:val="20"/>
          <w:lang w:val="sr-Cyrl-CS" w:eastAsia="ja-JP"/>
        </w:rPr>
      </w:pPr>
      <w:r w:rsidRPr="001B41AD">
        <w:rPr>
          <w:rFonts w:eastAsia="Calibri" w:cstheme="minorHAnsi"/>
          <w:szCs w:val="20"/>
          <w:lang w:val="sr-Cyrl-CS" w:eastAsia="ja-JP"/>
        </w:rPr>
        <w:t>Ниво буџетских позајмица и отплата по основу гарантованог дуга планиран је на стабилном и ниском нивоу током целог</w:t>
      </w:r>
      <w:r w:rsidR="00DB3CDA" w:rsidRPr="001B41AD">
        <w:rPr>
          <w:rFonts w:eastAsia="Calibri" w:cstheme="minorHAnsi"/>
          <w:szCs w:val="20"/>
          <w:lang w:val="sr-Cyrl-CS" w:eastAsia="ja-JP"/>
        </w:rPr>
        <w:t xml:space="preserve"> периода, укупно око 0,3% БДП </w:t>
      </w:r>
      <w:r w:rsidRPr="001B41AD">
        <w:rPr>
          <w:rFonts w:eastAsia="Calibri" w:cstheme="minorHAnsi"/>
          <w:szCs w:val="20"/>
          <w:lang w:val="sr-Cyrl-CS" w:eastAsia="ja-JP"/>
        </w:rPr>
        <w:t>годишње. Овај приступ доприноси снижавању ризика рефинансирања и учвршћује стабилност јавних финансија, остављајући простор за приоритетне расходе развојног карактера.</w:t>
      </w:r>
    </w:p>
    <w:p w14:paraId="78CDC5D6" w14:textId="77777777" w:rsidR="00300ADA" w:rsidRPr="001B41AD" w:rsidRDefault="00300ADA" w:rsidP="00DE7B2C">
      <w:pPr>
        <w:spacing w:after="120"/>
        <w:rPr>
          <w:rFonts w:cstheme="minorHAnsi"/>
          <w:b/>
          <w:bCs/>
          <w:color w:val="2F5496" w:themeColor="accent1" w:themeShade="BF"/>
          <w:sz w:val="22"/>
          <w:szCs w:val="20"/>
          <w:lang w:val="sr-Cyrl-CS"/>
        </w:rPr>
      </w:pPr>
    </w:p>
    <w:p w14:paraId="092B8C05" w14:textId="77777777" w:rsidR="00300ADA" w:rsidRPr="001B41AD" w:rsidRDefault="00300ADA" w:rsidP="00DE7B2C">
      <w:pPr>
        <w:spacing w:after="120"/>
        <w:rPr>
          <w:rFonts w:cstheme="minorHAnsi"/>
          <w:b/>
          <w:bCs/>
          <w:color w:val="2F5496" w:themeColor="accent1" w:themeShade="BF"/>
          <w:sz w:val="22"/>
          <w:szCs w:val="20"/>
          <w:lang w:val="sr-Cyrl-CS"/>
        </w:rPr>
      </w:pPr>
    </w:p>
    <w:p w14:paraId="66A7573C" w14:textId="77777777" w:rsidR="00300ADA" w:rsidRPr="001B41AD" w:rsidRDefault="00300ADA" w:rsidP="00DE7B2C">
      <w:pPr>
        <w:spacing w:after="120"/>
        <w:rPr>
          <w:rFonts w:cstheme="minorHAnsi"/>
          <w:b/>
          <w:bCs/>
          <w:color w:val="2F5496" w:themeColor="accent1" w:themeShade="BF"/>
          <w:sz w:val="22"/>
          <w:szCs w:val="20"/>
          <w:lang w:val="sr-Cyrl-CS"/>
        </w:rPr>
      </w:pPr>
    </w:p>
    <w:p w14:paraId="3CCA7436" w14:textId="77777777" w:rsidR="00300ADA" w:rsidRPr="001B41AD" w:rsidRDefault="00300ADA" w:rsidP="00DE7B2C">
      <w:pPr>
        <w:spacing w:after="120"/>
        <w:rPr>
          <w:rFonts w:cstheme="minorHAnsi"/>
          <w:b/>
          <w:bCs/>
          <w:color w:val="2F5496" w:themeColor="accent1" w:themeShade="BF"/>
          <w:sz w:val="22"/>
          <w:szCs w:val="20"/>
          <w:lang w:val="sr-Cyrl-CS"/>
        </w:rPr>
      </w:pPr>
    </w:p>
    <w:p w14:paraId="3DD9062C" w14:textId="77777777" w:rsidR="00300ADA" w:rsidRPr="001B41AD" w:rsidRDefault="00300ADA" w:rsidP="00DE7B2C">
      <w:pPr>
        <w:spacing w:after="120"/>
        <w:rPr>
          <w:rFonts w:cstheme="minorHAnsi"/>
          <w:b/>
          <w:bCs/>
          <w:color w:val="2F5496" w:themeColor="accent1" w:themeShade="BF"/>
          <w:sz w:val="22"/>
          <w:szCs w:val="20"/>
          <w:lang w:val="sr-Cyrl-CS"/>
        </w:rPr>
      </w:pPr>
    </w:p>
    <w:p w14:paraId="49CE958F" w14:textId="77777777" w:rsidR="00300ADA" w:rsidRPr="001B41AD" w:rsidRDefault="00300ADA" w:rsidP="00DE7B2C">
      <w:pPr>
        <w:spacing w:after="120"/>
        <w:rPr>
          <w:rFonts w:cstheme="minorHAnsi"/>
          <w:b/>
          <w:bCs/>
          <w:color w:val="2F5496" w:themeColor="accent1" w:themeShade="BF"/>
          <w:sz w:val="22"/>
          <w:szCs w:val="20"/>
          <w:lang w:val="sr-Cyrl-CS"/>
        </w:rPr>
      </w:pPr>
    </w:p>
    <w:p w14:paraId="154C650B" w14:textId="77777777" w:rsidR="00300ADA" w:rsidRPr="001B41AD" w:rsidRDefault="00300ADA" w:rsidP="00DE7B2C">
      <w:pPr>
        <w:spacing w:after="120"/>
        <w:rPr>
          <w:rFonts w:cstheme="minorHAnsi"/>
          <w:b/>
          <w:bCs/>
          <w:color w:val="2F5496" w:themeColor="accent1" w:themeShade="BF"/>
          <w:sz w:val="22"/>
          <w:szCs w:val="20"/>
          <w:lang w:val="sr-Cyrl-CS"/>
        </w:rPr>
      </w:pPr>
    </w:p>
    <w:p w14:paraId="2ECD2586" w14:textId="77777777" w:rsidR="00300ADA" w:rsidRPr="001B41AD" w:rsidRDefault="00300ADA" w:rsidP="00DE7B2C">
      <w:pPr>
        <w:spacing w:after="120"/>
        <w:rPr>
          <w:rFonts w:cstheme="minorHAnsi"/>
          <w:b/>
          <w:bCs/>
          <w:color w:val="2F5496" w:themeColor="accent1" w:themeShade="BF"/>
          <w:sz w:val="22"/>
          <w:szCs w:val="20"/>
          <w:lang w:val="sr-Cyrl-CS"/>
        </w:rPr>
      </w:pPr>
    </w:p>
    <w:p w14:paraId="0F2546F2" w14:textId="77777777" w:rsidR="00300ADA" w:rsidRPr="001B41AD" w:rsidRDefault="00300ADA" w:rsidP="00DE7B2C">
      <w:pPr>
        <w:spacing w:after="120"/>
        <w:rPr>
          <w:rFonts w:cstheme="minorHAnsi"/>
          <w:b/>
          <w:bCs/>
          <w:color w:val="2F5496" w:themeColor="accent1" w:themeShade="BF"/>
          <w:sz w:val="22"/>
          <w:szCs w:val="20"/>
          <w:lang w:val="sr-Cyrl-CS"/>
        </w:rPr>
      </w:pPr>
    </w:p>
    <w:p w14:paraId="241F6D69" w14:textId="77777777" w:rsidR="00300ADA" w:rsidRPr="001B41AD" w:rsidRDefault="00300ADA" w:rsidP="00DE7B2C">
      <w:pPr>
        <w:spacing w:after="120"/>
        <w:rPr>
          <w:rFonts w:cstheme="minorHAnsi"/>
          <w:b/>
          <w:bCs/>
          <w:color w:val="2F5496" w:themeColor="accent1" w:themeShade="BF"/>
          <w:sz w:val="22"/>
          <w:szCs w:val="20"/>
          <w:lang w:val="sr-Cyrl-CS"/>
        </w:rPr>
      </w:pPr>
    </w:p>
    <w:p w14:paraId="64B51129" w14:textId="77777777" w:rsidR="00300ADA" w:rsidRPr="001B41AD" w:rsidRDefault="00300ADA" w:rsidP="00DE7B2C">
      <w:pPr>
        <w:spacing w:after="120"/>
        <w:rPr>
          <w:rFonts w:cstheme="minorHAnsi"/>
          <w:b/>
          <w:bCs/>
          <w:color w:val="2F5496" w:themeColor="accent1" w:themeShade="BF"/>
          <w:sz w:val="22"/>
          <w:szCs w:val="20"/>
          <w:lang w:val="sr-Cyrl-CS"/>
        </w:rPr>
      </w:pPr>
    </w:p>
    <w:p w14:paraId="11603EB2" w14:textId="77777777" w:rsidR="00DE7B2C" w:rsidRPr="001B41AD" w:rsidRDefault="00DE7B2C" w:rsidP="00DE7B2C">
      <w:pPr>
        <w:spacing w:after="120"/>
        <w:rPr>
          <w:rFonts w:cstheme="minorHAnsi"/>
          <w:b/>
          <w:bCs/>
          <w:color w:val="2F5496" w:themeColor="accent1" w:themeShade="BF"/>
          <w:sz w:val="22"/>
          <w:szCs w:val="20"/>
          <w:lang w:val="sr-Cyrl-CS"/>
        </w:rPr>
      </w:pPr>
      <w:r w:rsidRPr="001B41AD">
        <w:rPr>
          <w:rFonts w:cstheme="minorHAnsi"/>
          <w:b/>
          <w:bCs/>
          <w:color w:val="2F5496" w:themeColor="accent1" w:themeShade="BF"/>
          <w:sz w:val="22"/>
          <w:szCs w:val="20"/>
          <w:lang w:val="sr-Cyrl-CS"/>
        </w:rPr>
        <w:t>Поређење са претходним програмом</w:t>
      </w:r>
    </w:p>
    <w:p w14:paraId="3451DC40" w14:textId="77777777" w:rsidR="00661093" w:rsidRPr="001B41AD" w:rsidRDefault="0087464E" w:rsidP="00DE7B2C">
      <w:pPr>
        <w:spacing w:after="120"/>
        <w:rPr>
          <w:rFonts w:eastAsia="Calibri" w:cstheme="minorHAnsi"/>
          <w:szCs w:val="20"/>
          <w:lang w:val="sr-Cyrl-CS" w:eastAsia="ja-JP"/>
        </w:rPr>
        <w:sectPr w:rsidR="00661093" w:rsidRPr="001B41AD" w:rsidSect="00DE260A">
          <w:headerReference w:type="even" r:id="rId138"/>
          <w:footerReference w:type="even" r:id="rId139"/>
          <w:footerReference w:type="default" r:id="rId140"/>
          <w:footerReference w:type="first" r:id="rId141"/>
          <w:pgSz w:w="11906" w:h="16838" w:code="9"/>
          <w:pgMar w:top="1440" w:right="1440" w:bottom="1440" w:left="1440" w:header="720" w:footer="720" w:gutter="0"/>
          <w:cols w:num="2" w:space="720"/>
          <w:titlePg/>
          <w:docGrid w:linePitch="360"/>
        </w:sectPr>
      </w:pPr>
      <w:r w:rsidRPr="001B41AD">
        <w:rPr>
          <w:rFonts w:eastAsia="Calibri" w:cstheme="minorHAnsi"/>
          <w:szCs w:val="20"/>
          <w:lang w:val="sr-Cyrl-CS" w:eastAsia="ja-JP"/>
        </w:rPr>
        <w:t>Средњорочни фискални оквир у основи задржава континуитет у односу на онај утврђен Фискалном стратегијом за период 2026</w:t>
      </w:r>
      <w:r w:rsidR="00821932" w:rsidRPr="001B41AD">
        <w:rPr>
          <w:rFonts w:eastAsia="Calibri" w:cstheme="minorHAnsi"/>
          <w:szCs w:val="20"/>
          <w:lang w:val="sr-Cyrl-CS" w:eastAsia="ja-JP"/>
        </w:rPr>
        <w:t xml:space="preserve"> </w:t>
      </w:r>
      <w:r w:rsidRPr="001B41AD">
        <w:rPr>
          <w:rFonts w:eastAsia="Calibri" w:cstheme="minorHAnsi"/>
          <w:szCs w:val="20"/>
          <w:lang w:val="sr-Cyrl-CS" w:eastAsia="ja-JP"/>
        </w:rPr>
        <w:t>–</w:t>
      </w:r>
      <w:r w:rsidR="00821932" w:rsidRPr="001B41AD">
        <w:rPr>
          <w:rFonts w:eastAsia="Calibri" w:cstheme="minorHAnsi"/>
          <w:szCs w:val="20"/>
          <w:lang w:val="sr-Cyrl-CS" w:eastAsia="ja-JP"/>
        </w:rPr>
        <w:t xml:space="preserve"> </w:t>
      </w:r>
      <w:r w:rsidRPr="001B41AD">
        <w:rPr>
          <w:rFonts w:eastAsia="Calibri" w:cstheme="minorHAnsi"/>
          <w:szCs w:val="20"/>
          <w:lang w:val="sr-Cyrl-CS" w:eastAsia="ja-JP"/>
        </w:rPr>
        <w:t>2028. године. У односу на БДП, предвиђени нивои укупних прихода и расхода кориговани су навише, делом због бољег остварења у текућој години, а делом због ревизије БДП наниже. Циљани нивои дефицита остају н</w:t>
      </w:r>
      <w:r w:rsidR="00821932" w:rsidRPr="001B41AD">
        <w:rPr>
          <w:rFonts w:eastAsia="Calibri" w:cstheme="minorHAnsi"/>
          <w:szCs w:val="20"/>
          <w:lang w:val="sr-Cyrl-CS" w:eastAsia="ja-JP"/>
        </w:rPr>
        <w:t>епромењени, на нивоу од 3% БДП</w:t>
      </w:r>
      <w:r w:rsidRPr="001B41AD">
        <w:rPr>
          <w:rFonts w:eastAsia="Calibri" w:cstheme="minorHAnsi"/>
          <w:szCs w:val="20"/>
          <w:lang w:val="sr-Cyrl-CS" w:eastAsia="ja-JP"/>
        </w:rPr>
        <w:t xml:space="preserve"> закључно са 2027. годином, док је за 2028. годину пројектовано додатно смањење фискалног дефицита, уз планирани повратак у границе утврђене фискалним правилом од 2029. године. Тренутни ниво јавног дуга је значајно нижи од очекиваног, а у наредном периоду пројектује се њег</w:t>
      </w:r>
      <w:r w:rsidR="00821932" w:rsidRPr="001B41AD">
        <w:rPr>
          <w:rFonts w:eastAsia="Calibri" w:cstheme="minorHAnsi"/>
          <w:szCs w:val="20"/>
          <w:lang w:val="sr-Cyrl-CS" w:eastAsia="ja-JP"/>
        </w:rPr>
        <w:t>ово спуштање испод 45% БДП</w:t>
      </w:r>
      <w:r w:rsidRPr="001B41AD">
        <w:rPr>
          <w:rFonts w:eastAsia="Calibri" w:cstheme="minorHAnsi"/>
          <w:szCs w:val="20"/>
          <w:lang w:val="sr-Cyrl-CS" w:eastAsia="ja-JP"/>
        </w:rPr>
        <w:t>, што омогућава већи фискални простор и већу флексибилност фискалне политике него у условима високог нивоа јавног дуга.</w:t>
      </w:r>
    </w:p>
    <w:p w14:paraId="6D983992" w14:textId="77777777" w:rsidR="001B5D96" w:rsidRPr="001B41AD" w:rsidRDefault="001B5D96" w:rsidP="0078689A">
      <w:pPr>
        <w:spacing w:after="0"/>
        <w:rPr>
          <w:rFonts w:eastAsia="Calibri" w:cstheme="minorHAnsi"/>
          <w:b/>
          <w:color w:val="002060"/>
          <w:sz w:val="22"/>
          <w:szCs w:val="20"/>
          <w:lang w:val="sr-Cyrl-CS" w:eastAsia="ja-JP"/>
        </w:rPr>
      </w:pPr>
    </w:p>
    <w:p w14:paraId="03E57F8B" w14:textId="77777777" w:rsidR="00DE7B2C" w:rsidRPr="001B41AD" w:rsidRDefault="00F14A11" w:rsidP="00DE7B2C">
      <w:pPr>
        <w:spacing w:after="0"/>
        <w:jc w:val="center"/>
        <w:rPr>
          <w:rFonts w:eastAsia="Calibri" w:cstheme="minorHAnsi"/>
          <w:b/>
          <w:color w:val="002060"/>
          <w:szCs w:val="20"/>
          <w:lang w:val="sr-Cyrl-CS" w:eastAsia="ja-JP"/>
        </w:rPr>
        <w:sectPr w:rsidR="00DE7B2C" w:rsidRPr="001B41AD" w:rsidSect="00DE260A">
          <w:pgSz w:w="12240" w:h="15840" w:code="1"/>
          <w:pgMar w:top="1440" w:right="1440" w:bottom="1440" w:left="1440" w:header="720" w:footer="720" w:gutter="0"/>
          <w:cols w:space="720"/>
          <w:titlePg/>
          <w:docGrid w:linePitch="360"/>
        </w:sectPr>
      </w:pPr>
      <w:r w:rsidRPr="001B41AD">
        <w:rPr>
          <w:rFonts w:eastAsia="Calibri" w:cstheme="minorHAnsi"/>
          <w:b/>
          <w:color w:val="002060"/>
          <w:szCs w:val="20"/>
          <w:lang w:val="sr-Cyrl-CS" w:eastAsia="ja-JP"/>
        </w:rPr>
        <w:t>Табела 12</w:t>
      </w:r>
      <w:r w:rsidR="00DE7B2C" w:rsidRPr="001B41AD">
        <w:rPr>
          <w:rFonts w:eastAsia="Calibri" w:cstheme="minorHAnsi"/>
          <w:b/>
          <w:color w:val="002060"/>
          <w:szCs w:val="20"/>
          <w:lang w:val="sr-Cyrl-CS" w:eastAsia="ja-JP"/>
        </w:rPr>
        <w:t>. Поређење фискалних показатеља два програма, % БДП</w:t>
      </w:r>
    </w:p>
    <w:p w14:paraId="165AA162" w14:textId="77777777" w:rsidR="00DE7B2C" w:rsidRPr="001B41AD" w:rsidRDefault="00DE7B2C" w:rsidP="00DE7B2C">
      <w:pPr>
        <w:spacing w:after="0"/>
        <w:rPr>
          <w:rFonts w:eastAsia="Calibri" w:cstheme="minorHAnsi"/>
          <w:b/>
          <w:color w:val="2F5496" w:themeColor="accent1" w:themeShade="BF"/>
          <w:sz w:val="22"/>
          <w:szCs w:val="20"/>
          <w:lang w:val="sr-Cyrl-CS" w:eastAsia="ja-JP"/>
        </w:rPr>
        <w:sectPr w:rsidR="00DE7B2C" w:rsidRPr="001B41AD" w:rsidSect="00DE7B2C">
          <w:type w:val="continuous"/>
          <w:pgSz w:w="12240" w:h="15840" w:code="1"/>
          <w:pgMar w:top="1440" w:right="1440" w:bottom="1440" w:left="1440" w:header="720" w:footer="720" w:gutter="0"/>
          <w:cols w:num="2" w:space="720"/>
          <w:titlePg/>
          <w:docGrid w:linePitch="360"/>
        </w:sectPr>
      </w:pPr>
    </w:p>
    <w:tbl>
      <w:tblPr>
        <w:tblStyle w:val="ListTable6Colorful-Accent617"/>
        <w:tblW w:w="5292" w:type="pct"/>
        <w:tblLook w:val="04A0" w:firstRow="1" w:lastRow="0" w:firstColumn="1" w:lastColumn="0" w:noHBand="0" w:noVBand="1"/>
      </w:tblPr>
      <w:tblGrid>
        <w:gridCol w:w="5531"/>
        <w:gridCol w:w="874"/>
        <w:gridCol w:w="874"/>
        <w:gridCol w:w="876"/>
        <w:gridCol w:w="876"/>
        <w:gridCol w:w="876"/>
      </w:tblGrid>
      <w:tr w:rsidR="00DE7B2C" w:rsidRPr="001B41AD" w14:paraId="7FCC94AC" w14:textId="77777777" w:rsidTr="007A081F">
        <w:trPr>
          <w:cnfStyle w:val="100000000000" w:firstRow="1" w:lastRow="0" w:firstColumn="0" w:lastColumn="0" w:oddVBand="0" w:evenVBand="0" w:oddHBand="0"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2792" w:type="pct"/>
            <w:tcBorders>
              <w:top w:val="single" w:sz="4" w:space="0" w:color="002060"/>
              <w:bottom w:val="single" w:sz="4" w:space="0" w:color="FFFFFF"/>
            </w:tcBorders>
            <w:shd w:val="clear" w:color="auto" w:fill="FFFFFF"/>
            <w:noWrap/>
            <w:hideMark/>
          </w:tcPr>
          <w:p w14:paraId="2DEDF4AF" w14:textId="77777777" w:rsidR="00DE7B2C" w:rsidRPr="001B41A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p>
        </w:tc>
        <w:tc>
          <w:tcPr>
            <w:tcW w:w="441" w:type="pct"/>
            <w:tcBorders>
              <w:top w:val="single" w:sz="4" w:space="0" w:color="002060"/>
              <w:bottom w:val="single" w:sz="4" w:space="0" w:color="002060"/>
            </w:tcBorders>
            <w:shd w:val="clear" w:color="auto" w:fill="FFFFFF"/>
            <w:noWrap/>
            <w:hideMark/>
          </w:tcPr>
          <w:p w14:paraId="1CD0AD60" w14:textId="77777777" w:rsidR="00DE7B2C" w:rsidRPr="001B41A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2024</w:t>
            </w:r>
          </w:p>
        </w:tc>
        <w:tc>
          <w:tcPr>
            <w:tcW w:w="441" w:type="pct"/>
            <w:tcBorders>
              <w:top w:val="single" w:sz="4" w:space="0" w:color="002060"/>
              <w:bottom w:val="single" w:sz="4" w:space="0" w:color="002060"/>
            </w:tcBorders>
            <w:shd w:val="clear" w:color="auto" w:fill="FFFFFF"/>
            <w:noWrap/>
            <w:hideMark/>
          </w:tcPr>
          <w:p w14:paraId="0C980083" w14:textId="77777777" w:rsidR="00DE7B2C" w:rsidRPr="001B41A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2025</w:t>
            </w:r>
          </w:p>
        </w:tc>
        <w:tc>
          <w:tcPr>
            <w:tcW w:w="442" w:type="pct"/>
            <w:tcBorders>
              <w:top w:val="single" w:sz="4" w:space="0" w:color="002060"/>
              <w:bottom w:val="single" w:sz="4" w:space="0" w:color="002060"/>
            </w:tcBorders>
            <w:shd w:val="clear" w:color="auto" w:fill="FFFFFF"/>
            <w:noWrap/>
            <w:hideMark/>
          </w:tcPr>
          <w:p w14:paraId="3E5863C1" w14:textId="77777777" w:rsidR="00DE7B2C" w:rsidRPr="001B41A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2026</w:t>
            </w:r>
          </w:p>
        </w:tc>
        <w:tc>
          <w:tcPr>
            <w:tcW w:w="442" w:type="pct"/>
            <w:tcBorders>
              <w:top w:val="single" w:sz="4" w:space="0" w:color="002060"/>
              <w:bottom w:val="single" w:sz="4" w:space="0" w:color="002060"/>
            </w:tcBorders>
            <w:shd w:val="clear" w:color="auto" w:fill="FFFFFF"/>
            <w:noWrap/>
            <w:hideMark/>
          </w:tcPr>
          <w:p w14:paraId="5FF7A580" w14:textId="77777777" w:rsidR="00DE7B2C" w:rsidRPr="001B41A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2027</w:t>
            </w:r>
          </w:p>
        </w:tc>
        <w:tc>
          <w:tcPr>
            <w:tcW w:w="443" w:type="pct"/>
            <w:tcBorders>
              <w:top w:val="single" w:sz="4" w:space="0" w:color="002060"/>
              <w:bottom w:val="single" w:sz="4" w:space="0" w:color="002060"/>
            </w:tcBorders>
            <w:shd w:val="clear" w:color="auto" w:fill="FFFFFF"/>
            <w:noWrap/>
            <w:hideMark/>
          </w:tcPr>
          <w:p w14:paraId="3A94F6CB" w14:textId="77777777" w:rsidR="00DE7B2C" w:rsidRPr="001B41A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2028</w:t>
            </w:r>
          </w:p>
        </w:tc>
      </w:tr>
      <w:tr w:rsidR="00DE7B2C" w:rsidRPr="001B41AD" w14:paraId="3E238622" w14:textId="77777777" w:rsidTr="007A081F">
        <w:trPr>
          <w:cnfStyle w:val="000000100000" w:firstRow="0" w:lastRow="0" w:firstColumn="0" w:lastColumn="0" w:oddVBand="0" w:evenVBand="0" w:oddHBand="1"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66707CE6" w14:textId="77777777" w:rsidR="00DE7B2C" w:rsidRPr="001B41AD" w:rsidRDefault="00446885"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Фискална стратегија за период 2026 – 2028. године</w:t>
            </w:r>
          </w:p>
        </w:tc>
        <w:tc>
          <w:tcPr>
            <w:tcW w:w="441" w:type="pct"/>
            <w:tcBorders>
              <w:top w:val="single" w:sz="4" w:space="0" w:color="002060"/>
            </w:tcBorders>
            <w:shd w:val="clear" w:color="auto" w:fill="FFFFFF"/>
            <w:noWrap/>
            <w:hideMark/>
          </w:tcPr>
          <w:p w14:paraId="04746B7C"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41" w:type="pct"/>
            <w:tcBorders>
              <w:top w:val="single" w:sz="4" w:space="0" w:color="002060"/>
            </w:tcBorders>
            <w:shd w:val="clear" w:color="auto" w:fill="FFFFFF"/>
            <w:noWrap/>
            <w:hideMark/>
          </w:tcPr>
          <w:p w14:paraId="014C250E"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42" w:type="pct"/>
            <w:tcBorders>
              <w:top w:val="single" w:sz="4" w:space="0" w:color="002060"/>
            </w:tcBorders>
            <w:shd w:val="clear" w:color="auto" w:fill="FFFFFF"/>
            <w:noWrap/>
            <w:hideMark/>
          </w:tcPr>
          <w:p w14:paraId="6136359E"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42" w:type="pct"/>
            <w:tcBorders>
              <w:top w:val="single" w:sz="4" w:space="0" w:color="002060"/>
            </w:tcBorders>
            <w:shd w:val="clear" w:color="auto" w:fill="FFFFFF"/>
            <w:noWrap/>
            <w:hideMark/>
          </w:tcPr>
          <w:p w14:paraId="77B3DCB1"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43" w:type="pct"/>
            <w:tcBorders>
              <w:top w:val="single" w:sz="4" w:space="0" w:color="002060"/>
            </w:tcBorders>
            <w:shd w:val="clear" w:color="auto" w:fill="FFFFFF"/>
            <w:noWrap/>
            <w:hideMark/>
          </w:tcPr>
          <w:p w14:paraId="4A2665FD"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r>
      <w:tr w:rsidR="00446885" w:rsidRPr="001B41AD" w14:paraId="10B58EB0" w14:textId="77777777" w:rsidTr="007A081F">
        <w:trPr>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73DD9D6A" w14:textId="77777777" w:rsidR="00446885" w:rsidRPr="001B41AD" w:rsidRDefault="00446885" w:rsidP="00446885">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Приходи</w:t>
            </w:r>
          </w:p>
        </w:tc>
        <w:tc>
          <w:tcPr>
            <w:tcW w:w="441" w:type="pct"/>
            <w:tcBorders>
              <w:top w:val="nil"/>
              <w:bottom w:val="nil"/>
            </w:tcBorders>
            <w:noWrap/>
            <w:vAlign w:val="center"/>
            <w:hideMark/>
          </w:tcPr>
          <w:p w14:paraId="17ECEE43"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40,9</w:t>
            </w:r>
          </w:p>
        </w:tc>
        <w:tc>
          <w:tcPr>
            <w:tcW w:w="441" w:type="pct"/>
            <w:tcBorders>
              <w:top w:val="nil"/>
              <w:bottom w:val="nil"/>
            </w:tcBorders>
            <w:noWrap/>
            <w:vAlign w:val="center"/>
            <w:hideMark/>
          </w:tcPr>
          <w:p w14:paraId="777D3277"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40,9</w:t>
            </w:r>
          </w:p>
        </w:tc>
        <w:tc>
          <w:tcPr>
            <w:tcW w:w="442" w:type="pct"/>
            <w:tcBorders>
              <w:top w:val="nil"/>
              <w:bottom w:val="nil"/>
            </w:tcBorders>
            <w:noWrap/>
            <w:vAlign w:val="center"/>
            <w:hideMark/>
          </w:tcPr>
          <w:p w14:paraId="1905ECEE"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40,4</w:t>
            </w:r>
          </w:p>
        </w:tc>
        <w:tc>
          <w:tcPr>
            <w:tcW w:w="442" w:type="pct"/>
            <w:tcBorders>
              <w:top w:val="nil"/>
              <w:bottom w:val="nil"/>
            </w:tcBorders>
            <w:noWrap/>
            <w:vAlign w:val="center"/>
            <w:hideMark/>
          </w:tcPr>
          <w:p w14:paraId="135F16F1"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40,1</w:t>
            </w:r>
          </w:p>
        </w:tc>
        <w:tc>
          <w:tcPr>
            <w:tcW w:w="443" w:type="pct"/>
            <w:tcBorders>
              <w:top w:val="nil"/>
              <w:bottom w:val="nil"/>
            </w:tcBorders>
            <w:noWrap/>
            <w:vAlign w:val="center"/>
            <w:hideMark/>
          </w:tcPr>
          <w:p w14:paraId="41FFE308"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39,9</w:t>
            </w:r>
          </w:p>
        </w:tc>
      </w:tr>
      <w:tr w:rsidR="00446885" w:rsidRPr="001B41AD" w14:paraId="01EC8BED" w14:textId="77777777" w:rsidTr="007A081F">
        <w:trPr>
          <w:cnfStyle w:val="000000100000" w:firstRow="0" w:lastRow="0" w:firstColumn="0" w:lastColumn="0" w:oddVBand="0" w:evenVBand="0" w:oddHBand="1"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202FB52E" w14:textId="77777777" w:rsidR="00446885" w:rsidRPr="001B41AD" w:rsidRDefault="00446885" w:rsidP="00446885">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Расходи</w:t>
            </w:r>
          </w:p>
        </w:tc>
        <w:tc>
          <w:tcPr>
            <w:tcW w:w="441" w:type="pct"/>
            <w:tcBorders>
              <w:top w:val="nil"/>
              <w:bottom w:val="nil"/>
            </w:tcBorders>
            <w:shd w:val="clear" w:color="auto" w:fill="FFFFFF" w:themeFill="background1"/>
            <w:noWrap/>
            <w:hideMark/>
          </w:tcPr>
          <w:p w14:paraId="614664E0"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42,9</w:t>
            </w:r>
          </w:p>
        </w:tc>
        <w:tc>
          <w:tcPr>
            <w:tcW w:w="441" w:type="pct"/>
            <w:tcBorders>
              <w:top w:val="nil"/>
              <w:bottom w:val="nil"/>
            </w:tcBorders>
            <w:shd w:val="clear" w:color="auto" w:fill="FFFFFF" w:themeFill="background1"/>
            <w:noWrap/>
            <w:hideMark/>
          </w:tcPr>
          <w:p w14:paraId="6498C3EF"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43,9</w:t>
            </w:r>
          </w:p>
        </w:tc>
        <w:tc>
          <w:tcPr>
            <w:tcW w:w="442" w:type="pct"/>
            <w:tcBorders>
              <w:top w:val="nil"/>
              <w:bottom w:val="nil"/>
            </w:tcBorders>
            <w:shd w:val="clear" w:color="auto" w:fill="FFFFFF" w:themeFill="background1"/>
            <w:noWrap/>
            <w:hideMark/>
          </w:tcPr>
          <w:p w14:paraId="53A18A81"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43,4</w:t>
            </w:r>
          </w:p>
        </w:tc>
        <w:tc>
          <w:tcPr>
            <w:tcW w:w="442" w:type="pct"/>
            <w:tcBorders>
              <w:top w:val="nil"/>
              <w:bottom w:val="nil"/>
            </w:tcBorders>
            <w:shd w:val="clear" w:color="auto" w:fill="FFFFFF" w:themeFill="background1"/>
            <w:noWrap/>
            <w:hideMark/>
          </w:tcPr>
          <w:p w14:paraId="774B592B"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43,1</w:t>
            </w:r>
          </w:p>
        </w:tc>
        <w:tc>
          <w:tcPr>
            <w:tcW w:w="443" w:type="pct"/>
            <w:tcBorders>
              <w:top w:val="nil"/>
              <w:bottom w:val="nil"/>
            </w:tcBorders>
            <w:shd w:val="clear" w:color="auto" w:fill="FFFFFF" w:themeFill="background1"/>
            <w:noWrap/>
            <w:hideMark/>
          </w:tcPr>
          <w:p w14:paraId="20A8AC73"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42,4</w:t>
            </w:r>
          </w:p>
        </w:tc>
      </w:tr>
      <w:tr w:rsidR="00446885" w:rsidRPr="001B41AD" w14:paraId="4DCF21B2" w14:textId="77777777" w:rsidTr="007A081F">
        <w:trPr>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6AC0B5E6" w14:textId="77777777" w:rsidR="00446885" w:rsidRPr="001B41AD" w:rsidRDefault="00446885" w:rsidP="00446885">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Фискални резултат</w:t>
            </w:r>
          </w:p>
        </w:tc>
        <w:tc>
          <w:tcPr>
            <w:tcW w:w="441" w:type="pct"/>
            <w:tcBorders>
              <w:top w:val="nil"/>
            </w:tcBorders>
            <w:shd w:val="clear" w:color="auto" w:fill="FFFFFF"/>
            <w:noWrap/>
            <w:hideMark/>
          </w:tcPr>
          <w:p w14:paraId="7E0F183D"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-2,0</w:t>
            </w:r>
          </w:p>
        </w:tc>
        <w:tc>
          <w:tcPr>
            <w:tcW w:w="441" w:type="pct"/>
            <w:tcBorders>
              <w:top w:val="nil"/>
            </w:tcBorders>
            <w:shd w:val="clear" w:color="auto" w:fill="FFFFFF"/>
            <w:noWrap/>
            <w:hideMark/>
          </w:tcPr>
          <w:p w14:paraId="2421CB48"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-3,0</w:t>
            </w:r>
          </w:p>
        </w:tc>
        <w:tc>
          <w:tcPr>
            <w:tcW w:w="442" w:type="pct"/>
            <w:tcBorders>
              <w:top w:val="nil"/>
            </w:tcBorders>
            <w:shd w:val="clear" w:color="auto" w:fill="FFFFFF"/>
            <w:noWrap/>
            <w:hideMark/>
          </w:tcPr>
          <w:p w14:paraId="3F804B05"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-3,0</w:t>
            </w:r>
          </w:p>
        </w:tc>
        <w:tc>
          <w:tcPr>
            <w:tcW w:w="442" w:type="pct"/>
            <w:tcBorders>
              <w:top w:val="nil"/>
            </w:tcBorders>
            <w:shd w:val="clear" w:color="auto" w:fill="FFFFFF"/>
            <w:noWrap/>
            <w:hideMark/>
          </w:tcPr>
          <w:p w14:paraId="37CACBB2"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-3,0</w:t>
            </w:r>
          </w:p>
        </w:tc>
        <w:tc>
          <w:tcPr>
            <w:tcW w:w="443" w:type="pct"/>
            <w:tcBorders>
              <w:top w:val="nil"/>
            </w:tcBorders>
            <w:shd w:val="clear" w:color="auto" w:fill="FFFFFF"/>
            <w:noWrap/>
            <w:hideMark/>
          </w:tcPr>
          <w:p w14:paraId="79F52D13" w14:textId="77777777" w:rsidR="00446885" w:rsidRPr="001B41AD" w:rsidRDefault="00446885" w:rsidP="00446885">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-2,5</w:t>
            </w:r>
          </w:p>
        </w:tc>
      </w:tr>
      <w:tr w:rsidR="00446885" w:rsidRPr="001B41AD" w14:paraId="480F6A8E" w14:textId="77777777" w:rsidTr="007A081F">
        <w:trPr>
          <w:cnfStyle w:val="000000100000" w:firstRow="0" w:lastRow="0" w:firstColumn="0" w:lastColumn="0" w:oddVBand="0" w:evenVBand="0" w:oddHBand="1"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tcPr>
          <w:p w14:paraId="1E4C83CE" w14:textId="77777777" w:rsidR="00446885" w:rsidRPr="001B41AD" w:rsidRDefault="00446885" w:rsidP="00446885">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Calibri" w:hAnsi="Calibri" w:cs="Calibri"/>
                <w:color w:val="002060"/>
                <w:sz w:val="18"/>
                <w:szCs w:val="18"/>
                <w:lang w:val="sr-Cyrl-CS"/>
              </w:rPr>
              <w:t>Дуг сектора државе</w:t>
            </w:r>
          </w:p>
        </w:tc>
        <w:tc>
          <w:tcPr>
            <w:tcW w:w="441" w:type="pct"/>
            <w:shd w:val="clear" w:color="auto" w:fill="auto"/>
            <w:noWrap/>
            <w:vAlign w:val="center"/>
          </w:tcPr>
          <w:p w14:paraId="78693D04"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002060"/>
                <w:sz w:val="18"/>
                <w:szCs w:val="18"/>
                <w:lang w:val="sr-Cyrl-CS"/>
              </w:rPr>
              <w:t>47,5</w:t>
            </w:r>
          </w:p>
        </w:tc>
        <w:tc>
          <w:tcPr>
            <w:tcW w:w="441" w:type="pct"/>
            <w:shd w:val="clear" w:color="auto" w:fill="auto"/>
            <w:noWrap/>
            <w:vAlign w:val="center"/>
          </w:tcPr>
          <w:p w14:paraId="7856B1B8"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1F3864" w:themeColor="accent1" w:themeShade="80"/>
                <w:sz w:val="18"/>
                <w:szCs w:val="18"/>
                <w:lang w:val="sr-Cyrl-CS"/>
              </w:rPr>
              <w:t>46,8</w:t>
            </w:r>
          </w:p>
        </w:tc>
        <w:tc>
          <w:tcPr>
            <w:tcW w:w="442" w:type="pct"/>
            <w:shd w:val="clear" w:color="auto" w:fill="auto"/>
            <w:noWrap/>
            <w:vAlign w:val="center"/>
          </w:tcPr>
          <w:p w14:paraId="30ECD602"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1F3864" w:themeColor="accent1" w:themeShade="80"/>
                <w:sz w:val="18"/>
                <w:szCs w:val="18"/>
                <w:lang w:val="sr-Cyrl-CS"/>
              </w:rPr>
              <w:t>46,5</w:t>
            </w:r>
          </w:p>
        </w:tc>
        <w:tc>
          <w:tcPr>
            <w:tcW w:w="442" w:type="pct"/>
            <w:shd w:val="clear" w:color="auto" w:fill="auto"/>
            <w:noWrap/>
            <w:vAlign w:val="center"/>
          </w:tcPr>
          <w:p w14:paraId="08DACF71"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1F3864" w:themeColor="accent1" w:themeShade="80"/>
                <w:sz w:val="18"/>
                <w:szCs w:val="18"/>
                <w:lang w:val="sr-Cyrl-CS"/>
              </w:rPr>
              <w:t>46,3</w:t>
            </w:r>
          </w:p>
        </w:tc>
        <w:tc>
          <w:tcPr>
            <w:tcW w:w="443" w:type="pct"/>
            <w:shd w:val="clear" w:color="auto" w:fill="auto"/>
            <w:noWrap/>
            <w:vAlign w:val="center"/>
          </w:tcPr>
          <w:p w14:paraId="4D54C4D1" w14:textId="77777777" w:rsidR="00446885" w:rsidRPr="001B41AD" w:rsidRDefault="00446885" w:rsidP="00446885">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cstheme="minorHAnsi"/>
                <w:color w:val="1F3864" w:themeColor="accent1" w:themeShade="80"/>
                <w:sz w:val="18"/>
                <w:szCs w:val="18"/>
                <w:lang w:val="sr-Cyrl-CS"/>
              </w:rPr>
              <w:t>46,2</w:t>
            </w:r>
          </w:p>
        </w:tc>
      </w:tr>
      <w:tr w:rsidR="00DE7B2C" w:rsidRPr="001B41AD" w14:paraId="0091C97D" w14:textId="77777777" w:rsidTr="007A081F">
        <w:trPr>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1277A141" w14:textId="77777777" w:rsidR="00DE7B2C" w:rsidRPr="001B41AD" w:rsidRDefault="006E64E7"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Ревидирана </w:t>
            </w:r>
            <w:r w:rsidR="00DE7B2C" w:rsidRPr="001B41AD">
              <w:rPr>
                <w:rFonts w:ascii="Calibri" w:eastAsia="Times New Roman" w:hAnsi="Calibri" w:cs="Calibri"/>
                <w:color w:val="002060"/>
                <w:sz w:val="18"/>
                <w:szCs w:val="18"/>
                <w:lang w:val="sr-Cyrl-CS"/>
              </w:rPr>
              <w:t>Фискална стратегија за период 2026 – 2028. године</w:t>
            </w:r>
          </w:p>
        </w:tc>
        <w:tc>
          <w:tcPr>
            <w:tcW w:w="441" w:type="pct"/>
            <w:tcBorders>
              <w:top w:val="nil"/>
              <w:bottom w:val="nil"/>
            </w:tcBorders>
            <w:shd w:val="clear" w:color="auto" w:fill="FFFFFF"/>
            <w:noWrap/>
            <w:hideMark/>
          </w:tcPr>
          <w:p w14:paraId="12720206" w14:textId="77777777" w:rsidR="00DE7B2C" w:rsidRPr="001B41A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c>
          <w:tcPr>
            <w:tcW w:w="441" w:type="pct"/>
            <w:tcBorders>
              <w:top w:val="nil"/>
              <w:bottom w:val="nil"/>
            </w:tcBorders>
            <w:shd w:val="clear" w:color="auto" w:fill="FFFFFF"/>
            <w:noWrap/>
            <w:hideMark/>
          </w:tcPr>
          <w:p w14:paraId="3AC457A1" w14:textId="77777777" w:rsidR="00DE7B2C" w:rsidRPr="001B41A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c>
          <w:tcPr>
            <w:tcW w:w="442" w:type="pct"/>
            <w:tcBorders>
              <w:top w:val="nil"/>
              <w:bottom w:val="nil"/>
            </w:tcBorders>
            <w:shd w:val="clear" w:color="auto" w:fill="FFFFFF"/>
            <w:noWrap/>
            <w:hideMark/>
          </w:tcPr>
          <w:p w14:paraId="19627EDA" w14:textId="77777777" w:rsidR="00DE7B2C" w:rsidRPr="001B41A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c>
          <w:tcPr>
            <w:tcW w:w="442" w:type="pct"/>
            <w:tcBorders>
              <w:top w:val="nil"/>
              <w:bottom w:val="nil"/>
            </w:tcBorders>
            <w:shd w:val="clear" w:color="auto" w:fill="FFFFFF"/>
            <w:noWrap/>
            <w:hideMark/>
          </w:tcPr>
          <w:p w14:paraId="72A92FFC" w14:textId="77777777" w:rsidR="00DE7B2C" w:rsidRPr="001B41A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c>
          <w:tcPr>
            <w:tcW w:w="443" w:type="pct"/>
            <w:tcBorders>
              <w:top w:val="nil"/>
              <w:bottom w:val="nil"/>
            </w:tcBorders>
            <w:shd w:val="clear" w:color="auto" w:fill="FFFFFF"/>
            <w:noWrap/>
            <w:hideMark/>
          </w:tcPr>
          <w:p w14:paraId="5FA2B8A0" w14:textId="77777777" w:rsidR="00DE7B2C" w:rsidRPr="001B41A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r>
      <w:tr w:rsidR="006E64E7" w:rsidRPr="001B41AD" w14:paraId="6DF70B90" w14:textId="77777777" w:rsidTr="007A081F">
        <w:trPr>
          <w:cnfStyle w:val="000000100000" w:firstRow="0" w:lastRow="0" w:firstColumn="0" w:lastColumn="0" w:oddVBand="0" w:evenVBand="0" w:oddHBand="1"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73EB8172" w14:textId="77777777" w:rsidR="006E64E7" w:rsidRPr="001B41AD" w:rsidRDefault="006E64E7" w:rsidP="006E64E7">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Приходи</w:t>
            </w:r>
          </w:p>
        </w:tc>
        <w:tc>
          <w:tcPr>
            <w:tcW w:w="441" w:type="pct"/>
            <w:tcBorders>
              <w:top w:val="nil"/>
              <w:bottom w:val="nil"/>
            </w:tcBorders>
            <w:shd w:val="clear" w:color="auto" w:fill="auto"/>
            <w:noWrap/>
            <w:hideMark/>
          </w:tcPr>
          <w:p w14:paraId="2CD1E5BB" w14:textId="77777777" w:rsidR="006E64E7" w:rsidRPr="001B41AD" w:rsidRDefault="006E64E7" w:rsidP="006E64E7">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40,4</w:t>
            </w:r>
          </w:p>
        </w:tc>
        <w:tc>
          <w:tcPr>
            <w:tcW w:w="441" w:type="pct"/>
            <w:tcBorders>
              <w:top w:val="nil"/>
              <w:bottom w:val="nil"/>
            </w:tcBorders>
            <w:shd w:val="clear" w:color="auto" w:fill="auto"/>
            <w:noWrap/>
            <w:hideMark/>
          </w:tcPr>
          <w:p w14:paraId="0B670AEF" w14:textId="77777777" w:rsidR="006E64E7" w:rsidRPr="001B41AD" w:rsidRDefault="006E64E7" w:rsidP="006E64E7">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40,9</w:t>
            </w:r>
          </w:p>
        </w:tc>
        <w:tc>
          <w:tcPr>
            <w:tcW w:w="442" w:type="pct"/>
            <w:tcBorders>
              <w:top w:val="nil"/>
              <w:bottom w:val="nil"/>
            </w:tcBorders>
            <w:shd w:val="clear" w:color="auto" w:fill="auto"/>
            <w:noWrap/>
            <w:hideMark/>
          </w:tcPr>
          <w:p w14:paraId="0B1B17B1" w14:textId="77777777" w:rsidR="006E64E7" w:rsidRPr="001B41AD" w:rsidRDefault="00F6138F" w:rsidP="006E64E7">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40,9</w:t>
            </w:r>
          </w:p>
        </w:tc>
        <w:tc>
          <w:tcPr>
            <w:tcW w:w="442" w:type="pct"/>
            <w:tcBorders>
              <w:top w:val="nil"/>
              <w:bottom w:val="nil"/>
            </w:tcBorders>
            <w:shd w:val="clear" w:color="auto" w:fill="auto"/>
            <w:noWrap/>
            <w:hideMark/>
          </w:tcPr>
          <w:p w14:paraId="2968A2DD" w14:textId="77777777" w:rsidR="006E64E7" w:rsidRPr="001B41AD" w:rsidRDefault="006E64E7" w:rsidP="006E64E7">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40,</w:t>
            </w:r>
            <w:r w:rsidR="00F6138F" w:rsidRPr="001B41AD">
              <w:rPr>
                <w:rFonts w:cstheme="minorHAnsi"/>
                <w:color w:val="002060"/>
                <w:sz w:val="18"/>
                <w:szCs w:val="18"/>
                <w:lang w:val="sr-Cyrl-CS"/>
              </w:rPr>
              <w:t>1</w:t>
            </w:r>
          </w:p>
        </w:tc>
        <w:tc>
          <w:tcPr>
            <w:tcW w:w="443" w:type="pct"/>
            <w:tcBorders>
              <w:top w:val="nil"/>
              <w:bottom w:val="nil"/>
            </w:tcBorders>
            <w:shd w:val="clear" w:color="auto" w:fill="auto"/>
            <w:noWrap/>
            <w:hideMark/>
          </w:tcPr>
          <w:p w14:paraId="2E3CCFA7" w14:textId="77777777" w:rsidR="006E64E7" w:rsidRPr="001B41AD" w:rsidRDefault="006E64E7" w:rsidP="006E64E7">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40,</w:t>
            </w:r>
            <w:r w:rsidR="00F6138F" w:rsidRPr="001B41AD">
              <w:rPr>
                <w:rFonts w:cstheme="minorHAnsi"/>
                <w:color w:val="002060"/>
                <w:sz w:val="18"/>
                <w:szCs w:val="18"/>
                <w:lang w:val="sr-Cyrl-CS"/>
              </w:rPr>
              <w:t>0</w:t>
            </w:r>
          </w:p>
        </w:tc>
      </w:tr>
      <w:tr w:rsidR="006E64E7" w:rsidRPr="001B41AD" w14:paraId="1CBC4B39" w14:textId="77777777" w:rsidTr="007A081F">
        <w:trPr>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3983819C" w14:textId="77777777" w:rsidR="006E64E7" w:rsidRPr="001B41AD" w:rsidRDefault="006E64E7" w:rsidP="006E64E7">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Расходи</w:t>
            </w:r>
          </w:p>
        </w:tc>
        <w:tc>
          <w:tcPr>
            <w:tcW w:w="441" w:type="pct"/>
            <w:tcBorders>
              <w:top w:val="nil"/>
              <w:bottom w:val="nil"/>
            </w:tcBorders>
            <w:shd w:val="clear" w:color="auto" w:fill="FFFFFF" w:themeFill="background1"/>
            <w:noWrap/>
            <w:hideMark/>
          </w:tcPr>
          <w:p w14:paraId="050FFF8A" w14:textId="77777777" w:rsidR="006E64E7" w:rsidRPr="001B41AD" w:rsidRDefault="006E64E7"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42,4</w:t>
            </w:r>
          </w:p>
        </w:tc>
        <w:tc>
          <w:tcPr>
            <w:tcW w:w="441" w:type="pct"/>
            <w:tcBorders>
              <w:top w:val="nil"/>
              <w:bottom w:val="nil"/>
            </w:tcBorders>
            <w:shd w:val="clear" w:color="auto" w:fill="FFFFFF" w:themeFill="background1"/>
            <w:noWrap/>
            <w:hideMark/>
          </w:tcPr>
          <w:p w14:paraId="51CAF7A5" w14:textId="77777777" w:rsidR="006E64E7" w:rsidRPr="001B41AD" w:rsidRDefault="006E64E7"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43,9</w:t>
            </w:r>
          </w:p>
        </w:tc>
        <w:tc>
          <w:tcPr>
            <w:tcW w:w="442" w:type="pct"/>
            <w:tcBorders>
              <w:top w:val="nil"/>
              <w:bottom w:val="nil"/>
            </w:tcBorders>
            <w:shd w:val="clear" w:color="auto" w:fill="FFFFFF" w:themeFill="background1"/>
            <w:noWrap/>
            <w:hideMark/>
          </w:tcPr>
          <w:p w14:paraId="728B5CB7" w14:textId="77777777" w:rsidR="006E64E7" w:rsidRPr="001B41AD" w:rsidRDefault="00F6138F"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43,9</w:t>
            </w:r>
          </w:p>
        </w:tc>
        <w:tc>
          <w:tcPr>
            <w:tcW w:w="442" w:type="pct"/>
            <w:tcBorders>
              <w:top w:val="nil"/>
              <w:bottom w:val="nil"/>
            </w:tcBorders>
            <w:shd w:val="clear" w:color="auto" w:fill="FFFFFF" w:themeFill="background1"/>
            <w:noWrap/>
            <w:hideMark/>
          </w:tcPr>
          <w:p w14:paraId="6770C845" w14:textId="77777777" w:rsidR="006E64E7" w:rsidRPr="001B41AD" w:rsidRDefault="006E64E7"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43,</w:t>
            </w:r>
            <w:r w:rsidR="00F6138F" w:rsidRPr="001B41AD">
              <w:rPr>
                <w:rFonts w:cstheme="minorHAnsi"/>
                <w:color w:val="002060"/>
                <w:sz w:val="18"/>
                <w:szCs w:val="18"/>
                <w:lang w:val="sr-Cyrl-CS"/>
              </w:rPr>
              <w:t>1</w:t>
            </w:r>
          </w:p>
        </w:tc>
        <w:tc>
          <w:tcPr>
            <w:tcW w:w="443" w:type="pct"/>
            <w:tcBorders>
              <w:top w:val="nil"/>
              <w:bottom w:val="nil"/>
            </w:tcBorders>
            <w:shd w:val="clear" w:color="auto" w:fill="FFFFFF" w:themeFill="background1"/>
            <w:noWrap/>
            <w:hideMark/>
          </w:tcPr>
          <w:p w14:paraId="6CBFFF91" w14:textId="77777777" w:rsidR="006E64E7" w:rsidRPr="001B41AD" w:rsidRDefault="006E64E7"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42,</w:t>
            </w:r>
            <w:r w:rsidR="00F6138F" w:rsidRPr="001B41AD">
              <w:rPr>
                <w:rFonts w:cstheme="minorHAnsi"/>
                <w:color w:val="002060"/>
                <w:sz w:val="18"/>
                <w:szCs w:val="18"/>
                <w:lang w:val="sr-Cyrl-CS"/>
              </w:rPr>
              <w:t>5</w:t>
            </w:r>
          </w:p>
        </w:tc>
      </w:tr>
      <w:tr w:rsidR="00DE7B2C" w:rsidRPr="001B41AD" w14:paraId="51084D0E" w14:textId="77777777" w:rsidTr="007A081F">
        <w:trPr>
          <w:cnfStyle w:val="000000100000" w:firstRow="0" w:lastRow="0" w:firstColumn="0" w:lastColumn="0" w:oddVBand="0" w:evenVBand="0" w:oddHBand="1"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7E9E92C2" w14:textId="77777777" w:rsidR="00DE7B2C" w:rsidRPr="001B41A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Фискални резултат</w:t>
            </w:r>
          </w:p>
        </w:tc>
        <w:tc>
          <w:tcPr>
            <w:tcW w:w="441" w:type="pct"/>
            <w:tcBorders>
              <w:top w:val="nil"/>
            </w:tcBorders>
            <w:shd w:val="clear" w:color="auto" w:fill="FFFFFF"/>
            <w:noWrap/>
            <w:hideMark/>
          </w:tcPr>
          <w:p w14:paraId="24712081"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-2,0</w:t>
            </w:r>
          </w:p>
        </w:tc>
        <w:tc>
          <w:tcPr>
            <w:tcW w:w="441" w:type="pct"/>
            <w:tcBorders>
              <w:top w:val="nil"/>
            </w:tcBorders>
            <w:shd w:val="clear" w:color="auto" w:fill="FFFFFF"/>
            <w:noWrap/>
            <w:hideMark/>
          </w:tcPr>
          <w:p w14:paraId="22F8AA70"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-3,0</w:t>
            </w:r>
          </w:p>
        </w:tc>
        <w:tc>
          <w:tcPr>
            <w:tcW w:w="442" w:type="pct"/>
            <w:tcBorders>
              <w:top w:val="nil"/>
            </w:tcBorders>
            <w:shd w:val="clear" w:color="auto" w:fill="FFFFFF"/>
            <w:noWrap/>
            <w:hideMark/>
          </w:tcPr>
          <w:p w14:paraId="38AF5FA8"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-3,0</w:t>
            </w:r>
          </w:p>
        </w:tc>
        <w:tc>
          <w:tcPr>
            <w:tcW w:w="442" w:type="pct"/>
            <w:tcBorders>
              <w:top w:val="nil"/>
            </w:tcBorders>
            <w:shd w:val="clear" w:color="auto" w:fill="FFFFFF"/>
            <w:noWrap/>
            <w:hideMark/>
          </w:tcPr>
          <w:p w14:paraId="3AF5891F"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-3,0</w:t>
            </w:r>
          </w:p>
        </w:tc>
        <w:tc>
          <w:tcPr>
            <w:tcW w:w="443" w:type="pct"/>
            <w:tcBorders>
              <w:top w:val="nil"/>
            </w:tcBorders>
            <w:shd w:val="clear" w:color="auto" w:fill="FFFFFF"/>
            <w:noWrap/>
            <w:hideMark/>
          </w:tcPr>
          <w:p w14:paraId="789A42F9"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-2,5</w:t>
            </w:r>
          </w:p>
        </w:tc>
      </w:tr>
      <w:tr w:rsidR="006E64E7" w:rsidRPr="001B41AD" w14:paraId="5135B1D5" w14:textId="77777777" w:rsidTr="007A081F">
        <w:trPr>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tcPr>
          <w:p w14:paraId="46810301" w14:textId="77777777" w:rsidR="006E64E7" w:rsidRPr="001B41AD" w:rsidRDefault="006E64E7" w:rsidP="006E64E7">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Calibri" w:hAnsi="Calibri" w:cs="Calibri"/>
                <w:color w:val="002060"/>
                <w:sz w:val="18"/>
                <w:szCs w:val="18"/>
                <w:lang w:val="sr-Cyrl-CS"/>
              </w:rPr>
              <w:t>Дуг сектора државе</w:t>
            </w:r>
          </w:p>
        </w:tc>
        <w:tc>
          <w:tcPr>
            <w:tcW w:w="441" w:type="pct"/>
            <w:noWrap/>
            <w:vAlign w:val="center"/>
          </w:tcPr>
          <w:p w14:paraId="5E5D0CF0" w14:textId="77777777" w:rsidR="006E64E7" w:rsidRPr="001B41AD" w:rsidRDefault="006E64E7"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002060"/>
                <w:sz w:val="18"/>
                <w:szCs w:val="18"/>
                <w:lang w:val="sr-Cyrl-CS"/>
              </w:rPr>
            </w:pPr>
            <w:r w:rsidRPr="001B41AD">
              <w:rPr>
                <w:rFonts w:cstheme="minorHAnsi"/>
                <w:color w:val="002060"/>
                <w:sz w:val="18"/>
                <w:szCs w:val="18"/>
                <w:lang w:val="sr-Cyrl-CS"/>
              </w:rPr>
              <w:t>46,9</w:t>
            </w:r>
          </w:p>
        </w:tc>
        <w:tc>
          <w:tcPr>
            <w:tcW w:w="441" w:type="pct"/>
            <w:noWrap/>
            <w:vAlign w:val="center"/>
          </w:tcPr>
          <w:p w14:paraId="32C62948" w14:textId="77777777" w:rsidR="006E64E7" w:rsidRPr="001B41AD" w:rsidRDefault="006E64E7"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45,0</w:t>
            </w:r>
          </w:p>
        </w:tc>
        <w:tc>
          <w:tcPr>
            <w:tcW w:w="442" w:type="pct"/>
            <w:noWrap/>
            <w:vAlign w:val="center"/>
          </w:tcPr>
          <w:p w14:paraId="772A7DAE" w14:textId="77777777" w:rsidR="006E64E7" w:rsidRPr="001B41AD" w:rsidRDefault="006E64E7"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44,</w:t>
            </w:r>
            <w:r w:rsidR="00F6138F" w:rsidRPr="001B41AD">
              <w:rPr>
                <w:rFonts w:cstheme="minorHAnsi"/>
                <w:color w:val="1F3864" w:themeColor="accent1" w:themeShade="80"/>
                <w:sz w:val="18"/>
                <w:szCs w:val="18"/>
                <w:lang w:val="sr-Cyrl-CS"/>
              </w:rPr>
              <w:t>5</w:t>
            </w:r>
          </w:p>
        </w:tc>
        <w:tc>
          <w:tcPr>
            <w:tcW w:w="442" w:type="pct"/>
            <w:noWrap/>
            <w:vAlign w:val="center"/>
          </w:tcPr>
          <w:p w14:paraId="342463D6" w14:textId="77777777" w:rsidR="006E64E7" w:rsidRPr="001B41AD" w:rsidRDefault="006E64E7"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44,</w:t>
            </w:r>
            <w:r w:rsidR="00F6138F" w:rsidRPr="001B41AD">
              <w:rPr>
                <w:rFonts w:cstheme="minorHAnsi"/>
                <w:color w:val="1F3864" w:themeColor="accent1" w:themeShade="80"/>
                <w:sz w:val="18"/>
                <w:szCs w:val="18"/>
                <w:lang w:val="sr-Cyrl-CS"/>
              </w:rPr>
              <w:t>3</w:t>
            </w:r>
          </w:p>
        </w:tc>
        <w:tc>
          <w:tcPr>
            <w:tcW w:w="443" w:type="pct"/>
            <w:noWrap/>
            <w:vAlign w:val="center"/>
          </w:tcPr>
          <w:p w14:paraId="7316EAAC" w14:textId="77777777" w:rsidR="006E64E7" w:rsidRPr="001B41AD" w:rsidRDefault="006E64E7" w:rsidP="006E64E7">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cstheme="minorHAnsi"/>
                <w:color w:val="1F3864" w:themeColor="accent1" w:themeShade="80"/>
                <w:sz w:val="18"/>
                <w:szCs w:val="18"/>
                <w:lang w:val="sr-Cyrl-CS"/>
              </w:rPr>
            </w:pPr>
            <w:r w:rsidRPr="001B41AD">
              <w:rPr>
                <w:rFonts w:cstheme="minorHAnsi"/>
                <w:color w:val="1F3864" w:themeColor="accent1" w:themeShade="80"/>
                <w:sz w:val="18"/>
                <w:szCs w:val="18"/>
                <w:lang w:val="sr-Cyrl-CS"/>
              </w:rPr>
              <w:t>44,1</w:t>
            </w:r>
          </w:p>
        </w:tc>
      </w:tr>
      <w:tr w:rsidR="00DE7B2C" w:rsidRPr="001B41AD" w14:paraId="2CC46EC2" w14:textId="77777777" w:rsidTr="007A081F">
        <w:trPr>
          <w:cnfStyle w:val="000000100000" w:firstRow="0" w:lastRow="0" w:firstColumn="0" w:lastColumn="0" w:oddVBand="0" w:evenVBand="0" w:oddHBand="1"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13F42135" w14:textId="77777777" w:rsidR="00DE7B2C" w:rsidRPr="001B41A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Разлика два програма </w:t>
            </w:r>
          </w:p>
        </w:tc>
        <w:tc>
          <w:tcPr>
            <w:tcW w:w="441" w:type="pct"/>
            <w:shd w:val="clear" w:color="auto" w:fill="FFFFFF"/>
            <w:noWrap/>
            <w:hideMark/>
          </w:tcPr>
          <w:p w14:paraId="17AAA627"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41" w:type="pct"/>
            <w:shd w:val="clear" w:color="auto" w:fill="FFFFFF"/>
            <w:noWrap/>
            <w:hideMark/>
          </w:tcPr>
          <w:p w14:paraId="08B4ECFB"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42" w:type="pct"/>
            <w:shd w:val="clear" w:color="auto" w:fill="FFFFFF"/>
            <w:noWrap/>
            <w:hideMark/>
          </w:tcPr>
          <w:p w14:paraId="1FF3FF40"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42" w:type="pct"/>
            <w:shd w:val="clear" w:color="auto" w:fill="FFFFFF"/>
            <w:noWrap/>
            <w:hideMark/>
          </w:tcPr>
          <w:p w14:paraId="6E93F837"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43" w:type="pct"/>
            <w:shd w:val="clear" w:color="auto" w:fill="FFFFFF"/>
            <w:noWrap/>
            <w:hideMark/>
          </w:tcPr>
          <w:p w14:paraId="3DA63823" w14:textId="77777777" w:rsidR="00DE7B2C" w:rsidRPr="001B41A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r>
      <w:tr w:rsidR="00DE7B2C" w:rsidRPr="001B41AD" w14:paraId="205104E7" w14:textId="77777777" w:rsidTr="007A081F">
        <w:trPr>
          <w:trHeight w:val="32"/>
        </w:trPr>
        <w:tc>
          <w:tcPr>
            <w:cnfStyle w:val="001000000000" w:firstRow="0" w:lastRow="0" w:firstColumn="1" w:lastColumn="0" w:oddVBand="0" w:evenVBand="0" w:oddHBand="0" w:evenHBand="0" w:firstRowFirstColumn="0" w:firstRowLastColumn="0" w:lastRowFirstColumn="0" w:lastRowLastColumn="0"/>
            <w:tcW w:w="2792" w:type="pct"/>
            <w:shd w:val="clear" w:color="auto" w:fill="FFFFFF"/>
            <w:noWrap/>
            <w:hideMark/>
          </w:tcPr>
          <w:p w14:paraId="06D9CC5E" w14:textId="77777777" w:rsidR="00DE7B2C" w:rsidRPr="001B41A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Приходи</w:t>
            </w:r>
          </w:p>
        </w:tc>
        <w:tc>
          <w:tcPr>
            <w:tcW w:w="441" w:type="pct"/>
            <w:shd w:val="clear" w:color="auto" w:fill="FFFFFF"/>
            <w:noWrap/>
            <w:hideMark/>
          </w:tcPr>
          <w:p w14:paraId="6C81D4FD" w14:textId="77777777" w:rsidR="00DE7B2C" w:rsidRPr="001B41AD" w:rsidRDefault="006E64E7"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bCs/>
                <w:color w:val="002060"/>
                <w:sz w:val="18"/>
                <w:szCs w:val="18"/>
                <w:lang w:val="sr-Cyrl-CS"/>
              </w:rPr>
              <w:t>-0,5</w:t>
            </w:r>
          </w:p>
        </w:tc>
        <w:tc>
          <w:tcPr>
            <w:tcW w:w="441" w:type="pct"/>
            <w:shd w:val="clear" w:color="auto" w:fill="FFFFFF"/>
            <w:noWrap/>
            <w:hideMark/>
          </w:tcPr>
          <w:p w14:paraId="4BD4D982" w14:textId="77777777" w:rsidR="00DE7B2C" w:rsidRPr="001B41AD" w:rsidRDefault="006E64E7"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bCs/>
                <w:color w:val="002060"/>
                <w:sz w:val="18"/>
                <w:szCs w:val="18"/>
                <w:lang w:val="sr-Cyrl-CS"/>
              </w:rPr>
              <w:t>0,0</w:t>
            </w:r>
          </w:p>
        </w:tc>
        <w:tc>
          <w:tcPr>
            <w:tcW w:w="442" w:type="pct"/>
            <w:shd w:val="clear" w:color="auto" w:fill="FFFFFF"/>
            <w:noWrap/>
            <w:hideMark/>
          </w:tcPr>
          <w:p w14:paraId="3FA923C6" w14:textId="77777777" w:rsidR="00DE7B2C" w:rsidRPr="001B41AD" w:rsidRDefault="006E64E7"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2060"/>
                <w:sz w:val="18"/>
                <w:szCs w:val="18"/>
                <w:lang w:val="sr-Cyrl-CS"/>
              </w:rPr>
            </w:pPr>
            <w:r w:rsidRPr="001B41AD">
              <w:rPr>
                <w:rFonts w:ascii="Calibri" w:eastAsia="Times New Roman" w:hAnsi="Calibri" w:cs="Calibri"/>
                <w:bCs/>
                <w:color w:val="002060"/>
                <w:sz w:val="18"/>
                <w:szCs w:val="18"/>
                <w:lang w:val="sr-Cyrl-CS"/>
              </w:rPr>
              <w:t>0,</w:t>
            </w:r>
            <w:r w:rsidR="00F6138F" w:rsidRPr="001B41AD">
              <w:rPr>
                <w:rFonts w:ascii="Calibri" w:eastAsia="Times New Roman" w:hAnsi="Calibri" w:cs="Calibri"/>
                <w:bCs/>
                <w:color w:val="002060"/>
                <w:sz w:val="18"/>
                <w:szCs w:val="18"/>
                <w:lang w:val="sr-Cyrl-CS"/>
              </w:rPr>
              <w:t>5</w:t>
            </w:r>
          </w:p>
        </w:tc>
        <w:tc>
          <w:tcPr>
            <w:tcW w:w="442" w:type="pct"/>
            <w:shd w:val="clear" w:color="auto" w:fill="FFFFFF"/>
            <w:noWrap/>
            <w:hideMark/>
          </w:tcPr>
          <w:p w14:paraId="56CE2AB6" w14:textId="77777777" w:rsidR="00DE7B2C" w:rsidRPr="001B41AD" w:rsidRDefault="006E64E7"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2060"/>
                <w:sz w:val="18"/>
                <w:szCs w:val="18"/>
                <w:lang w:val="sr-Cyrl-CS"/>
              </w:rPr>
            </w:pPr>
            <w:r w:rsidRPr="001B41AD">
              <w:rPr>
                <w:rFonts w:ascii="Calibri" w:eastAsia="Times New Roman" w:hAnsi="Calibri" w:cs="Calibri"/>
                <w:bCs/>
                <w:color w:val="002060"/>
                <w:sz w:val="18"/>
                <w:szCs w:val="18"/>
                <w:lang w:val="sr-Cyrl-CS"/>
              </w:rPr>
              <w:t>0,</w:t>
            </w:r>
            <w:r w:rsidR="00F6138F" w:rsidRPr="001B41AD">
              <w:rPr>
                <w:rFonts w:ascii="Calibri" w:eastAsia="Times New Roman" w:hAnsi="Calibri" w:cs="Calibri"/>
                <w:bCs/>
                <w:color w:val="002060"/>
                <w:sz w:val="18"/>
                <w:szCs w:val="18"/>
                <w:lang w:val="sr-Cyrl-CS"/>
              </w:rPr>
              <w:t>0</w:t>
            </w:r>
          </w:p>
        </w:tc>
        <w:tc>
          <w:tcPr>
            <w:tcW w:w="443" w:type="pct"/>
            <w:tcBorders>
              <w:top w:val="nil"/>
              <w:bottom w:val="nil"/>
            </w:tcBorders>
            <w:noWrap/>
            <w:vAlign w:val="center"/>
            <w:hideMark/>
          </w:tcPr>
          <w:p w14:paraId="3E496268" w14:textId="77777777" w:rsidR="00DE7B2C" w:rsidRPr="001B41AD" w:rsidRDefault="006E64E7"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Calibri" w:hAnsi="Calibri" w:cs="Calibri"/>
                <w:color w:val="002060"/>
                <w:sz w:val="18"/>
                <w:szCs w:val="18"/>
                <w:lang w:val="sr-Cyrl-CS"/>
              </w:rPr>
              <w:t>0,</w:t>
            </w:r>
            <w:r w:rsidR="00F6138F" w:rsidRPr="001B41AD">
              <w:rPr>
                <w:rFonts w:ascii="Calibri" w:eastAsia="Calibri" w:hAnsi="Calibri" w:cs="Calibri"/>
                <w:color w:val="002060"/>
                <w:sz w:val="18"/>
                <w:szCs w:val="18"/>
                <w:lang w:val="sr-Cyrl-CS"/>
              </w:rPr>
              <w:t>1</w:t>
            </w:r>
          </w:p>
        </w:tc>
      </w:tr>
      <w:tr w:rsidR="00DE7B2C" w:rsidRPr="001B41AD" w14:paraId="50327A4B" w14:textId="77777777" w:rsidTr="007A081F">
        <w:trPr>
          <w:cnfStyle w:val="000000100000" w:firstRow="0" w:lastRow="0" w:firstColumn="0" w:lastColumn="0" w:oddVBand="0" w:evenVBand="0" w:oddHBand="1"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2792" w:type="pct"/>
            <w:tcBorders>
              <w:bottom w:val="nil"/>
            </w:tcBorders>
            <w:shd w:val="clear" w:color="auto" w:fill="FFFFFF"/>
            <w:noWrap/>
            <w:hideMark/>
          </w:tcPr>
          <w:p w14:paraId="5F35D294" w14:textId="77777777" w:rsidR="00DE7B2C" w:rsidRPr="001B41A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Расходи</w:t>
            </w:r>
          </w:p>
        </w:tc>
        <w:tc>
          <w:tcPr>
            <w:tcW w:w="441" w:type="pct"/>
            <w:tcBorders>
              <w:bottom w:val="nil"/>
            </w:tcBorders>
            <w:shd w:val="clear" w:color="auto" w:fill="FFFFFF"/>
            <w:noWrap/>
            <w:hideMark/>
          </w:tcPr>
          <w:p w14:paraId="2EDC6E9A" w14:textId="77777777" w:rsidR="00DE7B2C" w:rsidRPr="001B41AD" w:rsidRDefault="006E64E7"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bCs/>
                <w:color w:val="002060"/>
                <w:sz w:val="18"/>
                <w:szCs w:val="18"/>
                <w:lang w:val="sr-Cyrl-CS"/>
              </w:rPr>
              <w:t>-0,5</w:t>
            </w:r>
          </w:p>
        </w:tc>
        <w:tc>
          <w:tcPr>
            <w:tcW w:w="441" w:type="pct"/>
            <w:tcBorders>
              <w:bottom w:val="nil"/>
            </w:tcBorders>
            <w:shd w:val="clear" w:color="auto" w:fill="FFFFFF"/>
            <w:noWrap/>
            <w:hideMark/>
          </w:tcPr>
          <w:p w14:paraId="598BE6EE" w14:textId="77777777" w:rsidR="00DE7B2C" w:rsidRPr="001B41AD" w:rsidRDefault="006E64E7"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bCs/>
                <w:color w:val="002060"/>
                <w:sz w:val="18"/>
                <w:szCs w:val="18"/>
                <w:lang w:val="sr-Cyrl-CS"/>
              </w:rPr>
              <w:t>0,0</w:t>
            </w:r>
          </w:p>
        </w:tc>
        <w:tc>
          <w:tcPr>
            <w:tcW w:w="442" w:type="pct"/>
            <w:tcBorders>
              <w:bottom w:val="nil"/>
            </w:tcBorders>
            <w:shd w:val="clear" w:color="auto" w:fill="FFFFFF"/>
            <w:noWrap/>
            <w:hideMark/>
          </w:tcPr>
          <w:p w14:paraId="67272242" w14:textId="77777777" w:rsidR="00DE7B2C" w:rsidRPr="001B41AD" w:rsidRDefault="006E64E7"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sidRPr="001B41AD">
              <w:rPr>
                <w:rFonts w:ascii="Calibri" w:eastAsia="Times New Roman" w:hAnsi="Calibri" w:cs="Calibri"/>
                <w:bCs/>
                <w:color w:val="002060"/>
                <w:sz w:val="18"/>
                <w:szCs w:val="18"/>
                <w:lang w:val="sr-Cyrl-CS"/>
              </w:rPr>
              <w:t>0,</w:t>
            </w:r>
            <w:r w:rsidR="00F6138F" w:rsidRPr="001B41AD">
              <w:rPr>
                <w:rFonts w:ascii="Calibri" w:eastAsia="Times New Roman" w:hAnsi="Calibri" w:cs="Calibri"/>
                <w:bCs/>
                <w:color w:val="002060"/>
                <w:sz w:val="18"/>
                <w:szCs w:val="18"/>
                <w:lang w:val="sr-Cyrl-CS"/>
              </w:rPr>
              <w:t>5</w:t>
            </w:r>
          </w:p>
        </w:tc>
        <w:tc>
          <w:tcPr>
            <w:tcW w:w="442" w:type="pct"/>
            <w:tcBorders>
              <w:bottom w:val="nil"/>
            </w:tcBorders>
            <w:shd w:val="clear" w:color="auto" w:fill="FFFFFF"/>
            <w:noWrap/>
            <w:hideMark/>
          </w:tcPr>
          <w:p w14:paraId="635A2A19" w14:textId="77777777" w:rsidR="00DE7B2C" w:rsidRPr="001B41AD" w:rsidRDefault="006E64E7"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sidRPr="001B41AD">
              <w:rPr>
                <w:rFonts w:ascii="Calibri" w:eastAsia="Times New Roman" w:hAnsi="Calibri" w:cs="Calibri"/>
                <w:bCs/>
                <w:color w:val="002060"/>
                <w:sz w:val="18"/>
                <w:szCs w:val="18"/>
                <w:lang w:val="sr-Cyrl-CS"/>
              </w:rPr>
              <w:t>0,</w:t>
            </w:r>
            <w:r w:rsidR="00F6138F" w:rsidRPr="001B41AD">
              <w:rPr>
                <w:rFonts w:ascii="Calibri" w:eastAsia="Times New Roman" w:hAnsi="Calibri" w:cs="Calibri"/>
                <w:bCs/>
                <w:color w:val="002060"/>
                <w:sz w:val="18"/>
                <w:szCs w:val="18"/>
                <w:lang w:val="sr-Cyrl-CS"/>
              </w:rPr>
              <w:t>0</w:t>
            </w:r>
          </w:p>
        </w:tc>
        <w:tc>
          <w:tcPr>
            <w:tcW w:w="443" w:type="pct"/>
            <w:tcBorders>
              <w:top w:val="nil"/>
            </w:tcBorders>
            <w:shd w:val="clear" w:color="auto" w:fill="auto"/>
            <w:noWrap/>
            <w:vAlign w:val="center"/>
            <w:hideMark/>
          </w:tcPr>
          <w:p w14:paraId="150DDF0C" w14:textId="77777777" w:rsidR="00DE7B2C" w:rsidRPr="001B41AD" w:rsidRDefault="006E64E7"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Calibri" w:hAnsi="Calibri" w:cs="Calibri"/>
                <w:color w:val="002060"/>
                <w:sz w:val="18"/>
                <w:szCs w:val="18"/>
                <w:lang w:val="sr-Cyrl-CS"/>
              </w:rPr>
              <w:t>0,</w:t>
            </w:r>
            <w:r w:rsidR="00F6138F" w:rsidRPr="001B41AD">
              <w:rPr>
                <w:rFonts w:ascii="Calibri" w:eastAsia="Calibri" w:hAnsi="Calibri" w:cs="Calibri"/>
                <w:color w:val="002060"/>
                <w:sz w:val="18"/>
                <w:szCs w:val="18"/>
                <w:lang w:val="sr-Cyrl-CS"/>
              </w:rPr>
              <w:t>1</w:t>
            </w:r>
          </w:p>
        </w:tc>
      </w:tr>
      <w:tr w:rsidR="00DE7B2C" w:rsidRPr="001B41AD" w14:paraId="4879F1BA" w14:textId="77777777" w:rsidTr="007A081F">
        <w:trPr>
          <w:trHeight w:val="32"/>
        </w:trPr>
        <w:tc>
          <w:tcPr>
            <w:cnfStyle w:val="001000000000" w:firstRow="0" w:lastRow="0" w:firstColumn="1" w:lastColumn="0" w:oddVBand="0" w:evenVBand="0" w:oddHBand="0" w:evenHBand="0" w:firstRowFirstColumn="0" w:firstRowLastColumn="0" w:lastRowFirstColumn="0" w:lastRowLastColumn="0"/>
            <w:tcW w:w="2792" w:type="pct"/>
            <w:tcBorders>
              <w:top w:val="nil"/>
              <w:bottom w:val="nil"/>
            </w:tcBorders>
            <w:shd w:val="clear" w:color="auto" w:fill="FFFFFF"/>
            <w:noWrap/>
            <w:hideMark/>
          </w:tcPr>
          <w:p w14:paraId="3B8A6C28" w14:textId="77777777" w:rsidR="00DE7B2C" w:rsidRPr="001B41A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Фискални резултат</w:t>
            </w:r>
          </w:p>
        </w:tc>
        <w:tc>
          <w:tcPr>
            <w:tcW w:w="441" w:type="pct"/>
            <w:tcBorders>
              <w:top w:val="nil"/>
              <w:bottom w:val="nil"/>
            </w:tcBorders>
            <w:shd w:val="clear" w:color="auto" w:fill="FFFFFF"/>
            <w:noWrap/>
            <w:hideMark/>
          </w:tcPr>
          <w:p w14:paraId="48641D5D" w14:textId="77777777" w:rsidR="00DE7B2C" w:rsidRPr="001B41AD" w:rsidRDefault="006E64E7"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bCs/>
                <w:color w:val="002060"/>
                <w:sz w:val="18"/>
                <w:szCs w:val="18"/>
                <w:lang w:val="sr-Cyrl-CS"/>
              </w:rPr>
              <w:t>0,0</w:t>
            </w:r>
          </w:p>
        </w:tc>
        <w:tc>
          <w:tcPr>
            <w:tcW w:w="441" w:type="pct"/>
            <w:tcBorders>
              <w:top w:val="nil"/>
              <w:bottom w:val="nil"/>
            </w:tcBorders>
            <w:shd w:val="clear" w:color="auto" w:fill="FFFFFF"/>
            <w:noWrap/>
            <w:hideMark/>
          </w:tcPr>
          <w:p w14:paraId="43C742AA" w14:textId="77777777" w:rsidR="00DE7B2C" w:rsidRPr="001B41A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bCs/>
                <w:color w:val="002060"/>
                <w:sz w:val="18"/>
                <w:szCs w:val="18"/>
                <w:lang w:val="sr-Cyrl-CS"/>
              </w:rPr>
              <w:t>0,0</w:t>
            </w:r>
          </w:p>
        </w:tc>
        <w:tc>
          <w:tcPr>
            <w:tcW w:w="442" w:type="pct"/>
            <w:tcBorders>
              <w:top w:val="nil"/>
              <w:bottom w:val="nil"/>
            </w:tcBorders>
            <w:shd w:val="clear" w:color="auto" w:fill="FFFFFF"/>
            <w:noWrap/>
            <w:hideMark/>
          </w:tcPr>
          <w:p w14:paraId="4E555158" w14:textId="77777777" w:rsidR="00DE7B2C" w:rsidRPr="001B41A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bCs/>
                <w:color w:val="002060"/>
                <w:sz w:val="18"/>
                <w:szCs w:val="18"/>
                <w:lang w:val="sr-Cyrl-CS"/>
              </w:rPr>
              <w:t>0,0</w:t>
            </w:r>
          </w:p>
        </w:tc>
        <w:tc>
          <w:tcPr>
            <w:tcW w:w="442" w:type="pct"/>
            <w:tcBorders>
              <w:top w:val="nil"/>
              <w:bottom w:val="nil"/>
            </w:tcBorders>
            <w:shd w:val="clear" w:color="auto" w:fill="FFFFFF"/>
            <w:noWrap/>
            <w:hideMark/>
          </w:tcPr>
          <w:p w14:paraId="3A1E71CA" w14:textId="77777777" w:rsidR="00DE7B2C" w:rsidRPr="001B41A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bCs/>
                <w:color w:val="002060"/>
                <w:sz w:val="18"/>
                <w:szCs w:val="18"/>
                <w:lang w:val="sr-Cyrl-CS"/>
              </w:rPr>
              <w:t>0,0</w:t>
            </w:r>
          </w:p>
        </w:tc>
        <w:tc>
          <w:tcPr>
            <w:tcW w:w="443" w:type="pct"/>
            <w:tcBorders>
              <w:bottom w:val="nil"/>
            </w:tcBorders>
            <w:shd w:val="clear" w:color="auto" w:fill="FFFFFF"/>
            <w:noWrap/>
            <w:hideMark/>
          </w:tcPr>
          <w:p w14:paraId="3D001D89" w14:textId="77777777" w:rsidR="00DE7B2C" w:rsidRPr="001B41AD" w:rsidRDefault="006E64E7"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0,0</w:t>
            </w:r>
          </w:p>
        </w:tc>
      </w:tr>
      <w:tr w:rsidR="00DE7B2C" w:rsidRPr="001B41AD" w14:paraId="1027BBE7" w14:textId="77777777" w:rsidTr="007A081F">
        <w:trPr>
          <w:cnfStyle w:val="000000100000" w:firstRow="0" w:lastRow="0" w:firstColumn="0" w:lastColumn="0" w:oddVBand="0" w:evenVBand="0" w:oddHBand="1"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2792" w:type="pct"/>
            <w:tcBorders>
              <w:top w:val="nil"/>
              <w:bottom w:val="single" w:sz="4" w:space="0" w:color="002060"/>
            </w:tcBorders>
            <w:shd w:val="clear" w:color="auto" w:fill="FFFFFF"/>
            <w:noWrap/>
          </w:tcPr>
          <w:p w14:paraId="093B4810" w14:textId="77777777" w:rsidR="00DE7B2C" w:rsidRPr="001B41A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1B41AD">
              <w:rPr>
                <w:rFonts w:ascii="Calibri" w:eastAsia="Calibri" w:hAnsi="Calibri" w:cs="Calibri"/>
                <w:color w:val="002060"/>
                <w:sz w:val="18"/>
                <w:szCs w:val="18"/>
                <w:lang w:val="sr-Cyrl-CS"/>
              </w:rPr>
              <w:t>Дуг сектора државе</w:t>
            </w:r>
          </w:p>
        </w:tc>
        <w:tc>
          <w:tcPr>
            <w:tcW w:w="441" w:type="pct"/>
            <w:tcBorders>
              <w:top w:val="nil"/>
              <w:bottom w:val="single" w:sz="4" w:space="0" w:color="002060"/>
            </w:tcBorders>
            <w:shd w:val="clear" w:color="auto" w:fill="FFFFFF"/>
            <w:noWrap/>
          </w:tcPr>
          <w:p w14:paraId="424838F9" w14:textId="77777777" w:rsidR="00DE7B2C" w:rsidRPr="001B41AD" w:rsidRDefault="00272719"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sidRPr="001B41AD">
              <w:rPr>
                <w:rFonts w:ascii="Calibri" w:eastAsia="Times New Roman" w:hAnsi="Calibri" w:cs="Calibri"/>
                <w:bCs/>
                <w:color w:val="002060"/>
                <w:sz w:val="18"/>
                <w:szCs w:val="18"/>
                <w:lang w:val="sr-Cyrl-CS"/>
              </w:rPr>
              <w:t>-</w:t>
            </w:r>
            <w:r w:rsidR="006E64E7" w:rsidRPr="001B41AD">
              <w:rPr>
                <w:rFonts w:ascii="Calibri" w:eastAsia="Times New Roman" w:hAnsi="Calibri" w:cs="Calibri"/>
                <w:bCs/>
                <w:color w:val="002060"/>
                <w:sz w:val="18"/>
                <w:szCs w:val="18"/>
                <w:lang w:val="sr-Cyrl-CS"/>
              </w:rPr>
              <w:t>0,6</w:t>
            </w:r>
          </w:p>
        </w:tc>
        <w:tc>
          <w:tcPr>
            <w:tcW w:w="441" w:type="pct"/>
            <w:tcBorders>
              <w:top w:val="nil"/>
              <w:bottom w:val="single" w:sz="4" w:space="0" w:color="002060"/>
            </w:tcBorders>
            <w:shd w:val="clear" w:color="auto" w:fill="FFFFFF"/>
            <w:noWrap/>
          </w:tcPr>
          <w:p w14:paraId="67BE73E8" w14:textId="77777777" w:rsidR="00DE7B2C" w:rsidRPr="001B41AD" w:rsidRDefault="006E64E7"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sidRPr="001B41AD">
              <w:rPr>
                <w:rFonts w:ascii="Calibri" w:eastAsia="Times New Roman" w:hAnsi="Calibri" w:cs="Calibri"/>
                <w:bCs/>
                <w:color w:val="002060"/>
                <w:sz w:val="18"/>
                <w:szCs w:val="18"/>
                <w:lang w:val="sr-Cyrl-CS"/>
              </w:rPr>
              <w:t>-1,8</w:t>
            </w:r>
          </w:p>
        </w:tc>
        <w:tc>
          <w:tcPr>
            <w:tcW w:w="442" w:type="pct"/>
            <w:tcBorders>
              <w:top w:val="nil"/>
              <w:bottom w:val="single" w:sz="4" w:space="0" w:color="002060"/>
            </w:tcBorders>
            <w:shd w:val="clear" w:color="auto" w:fill="FFFFFF"/>
            <w:noWrap/>
          </w:tcPr>
          <w:p w14:paraId="1071881D" w14:textId="77777777" w:rsidR="00DE7B2C" w:rsidRPr="001B41AD" w:rsidRDefault="006E64E7" w:rsidP="00F6138F">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sidRPr="001B41AD">
              <w:rPr>
                <w:rFonts w:ascii="Calibri" w:eastAsia="Times New Roman" w:hAnsi="Calibri" w:cs="Calibri"/>
                <w:bCs/>
                <w:color w:val="002060"/>
                <w:sz w:val="18"/>
                <w:szCs w:val="18"/>
                <w:lang w:val="sr-Cyrl-CS"/>
              </w:rPr>
              <w:t>-</w:t>
            </w:r>
            <w:r w:rsidR="00F6138F" w:rsidRPr="001B41AD">
              <w:rPr>
                <w:rFonts w:ascii="Calibri" w:eastAsia="Times New Roman" w:hAnsi="Calibri" w:cs="Calibri"/>
                <w:bCs/>
                <w:color w:val="002060"/>
                <w:sz w:val="18"/>
                <w:szCs w:val="18"/>
                <w:lang w:val="sr-Cyrl-CS"/>
              </w:rPr>
              <w:t>2,0</w:t>
            </w:r>
          </w:p>
        </w:tc>
        <w:tc>
          <w:tcPr>
            <w:tcW w:w="442" w:type="pct"/>
            <w:tcBorders>
              <w:top w:val="nil"/>
              <w:bottom w:val="single" w:sz="4" w:space="0" w:color="002060"/>
            </w:tcBorders>
            <w:shd w:val="clear" w:color="auto" w:fill="FFFFFF"/>
            <w:noWrap/>
          </w:tcPr>
          <w:p w14:paraId="6E7F8B89" w14:textId="77777777" w:rsidR="00DE7B2C" w:rsidRPr="001B41AD" w:rsidRDefault="00272719" w:rsidP="00F6138F">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sidRPr="001B41AD">
              <w:rPr>
                <w:rFonts w:ascii="Calibri" w:eastAsia="Times New Roman" w:hAnsi="Calibri" w:cs="Calibri"/>
                <w:bCs/>
                <w:color w:val="002060"/>
                <w:sz w:val="18"/>
                <w:szCs w:val="18"/>
                <w:lang w:val="sr-Cyrl-CS"/>
              </w:rPr>
              <w:t>-</w:t>
            </w:r>
            <w:r w:rsidR="00F6138F" w:rsidRPr="001B41AD">
              <w:rPr>
                <w:rFonts w:ascii="Calibri" w:eastAsia="Times New Roman" w:hAnsi="Calibri" w:cs="Calibri"/>
                <w:bCs/>
                <w:color w:val="002060"/>
                <w:sz w:val="18"/>
                <w:szCs w:val="18"/>
                <w:lang w:val="sr-Cyrl-CS"/>
              </w:rPr>
              <w:t>2,0</w:t>
            </w:r>
          </w:p>
        </w:tc>
        <w:tc>
          <w:tcPr>
            <w:tcW w:w="443" w:type="pct"/>
            <w:tcBorders>
              <w:top w:val="nil"/>
              <w:bottom w:val="single" w:sz="4" w:space="0" w:color="002060"/>
            </w:tcBorders>
            <w:shd w:val="clear" w:color="auto" w:fill="FFFFFF"/>
            <w:noWrap/>
          </w:tcPr>
          <w:p w14:paraId="2E190028" w14:textId="77777777" w:rsidR="00DE7B2C" w:rsidRPr="001B41AD" w:rsidRDefault="006E64E7"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w:t>
            </w:r>
            <w:r w:rsidR="00F6138F" w:rsidRPr="001B41AD">
              <w:rPr>
                <w:rFonts w:ascii="Calibri" w:eastAsia="Times New Roman" w:hAnsi="Calibri" w:cs="Calibri"/>
                <w:color w:val="002060"/>
                <w:sz w:val="18"/>
                <w:szCs w:val="18"/>
                <w:lang w:val="sr-Cyrl-CS"/>
              </w:rPr>
              <w:t>2,1</w:t>
            </w:r>
          </w:p>
        </w:tc>
      </w:tr>
    </w:tbl>
    <w:p w14:paraId="5F603753" w14:textId="77777777" w:rsidR="00E10A9B" w:rsidRPr="001B41AD" w:rsidRDefault="00E10A9B" w:rsidP="00DE7B2C">
      <w:pPr>
        <w:spacing w:after="120"/>
        <w:rPr>
          <w:rFonts w:eastAsia="Calibri" w:cstheme="minorHAnsi"/>
          <w:bCs/>
          <w:color w:val="CC00CC"/>
          <w:sz w:val="22"/>
          <w:szCs w:val="20"/>
          <w:lang w:val="sr-Cyrl-CS" w:eastAsia="ja-JP"/>
        </w:rPr>
        <w:sectPr w:rsidR="00E10A9B" w:rsidRPr="001B41AD" w:rsidSect="00DE7B2C">
          <w:type w:val="continuous"/>
          <w:pgSz w:w="12240" w:h="15840" w:code="1"/>
          <w:pgMar w:top="1440" w:right="1440" w:bottom="1440" w:left="1440" w:header="720" w:footer="720" w:gutter="0"/>
          <w:cols w:space="720"/>
          <w:titlePg/>
          <w:docGrid w:linePitch="360"/>
        </w:sectPr>
      </w:pPr>
    </w:p>
    <w:p w14:paraId="09376404"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2D04A068"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258A7D0A"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4CEBB882"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0A121ED5"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74358F6B"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45CBE4FF"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3A1CDE7B"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008FF858"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2E36EB69"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0BF1F1C4"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5BD4AA48"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08956596"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6666E9FB"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152B2EC2"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34AD8385"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7F9B643F"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0761CA6A"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4D9EEBFF"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64D064E9"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29BC1F3B"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3106D315"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6DDC8C64"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4102C845"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22C9E74B"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36BAF520"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3D5A8E0A"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5607DF10"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070542F4"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6FE651D2"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71DDD48E"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663041BF"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64572775"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7E91A2FE"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3426F544"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559C0971" w14:textId="77777777" w:rsidR="001C6AF8" w:rsidRPr="001B41AD" w:rsidRDefault="001C6AF8" w:rsidP="00B63247">
      <w:pPr>
        <w:spacing w:after="120"/>
        <w:rPr>
          <w:rFonts w:eastAsia="Calibri" w:cstheme="minorHAnsi"/>
          <w:b/>
          <w:color w:val="2F5496" w:themeColor="accent1" w:themeShade="BF"/>
          <w:sz w:val="22"/>
          <w:szCs w:val="20"/>
          <w:lang w:val="sr-Cyrl-CS" w:eastAsia="ja-JP"/>
        </w:rPr>
      </w:pPr>
    </w:p>
    <w:p w14:paraId="5E2328CA" w14:textId="77777777" w:rsidR="00C13F85" w:rsidRPr="001B41AD" w:rsidRDefault="005C6ED6" w:rsidP="00C13F85">
      <w:pPr>
        <w:keepNext/>
        <w:keepLines/>
        <w:spacing w:before="240" w:after="120" w:line="240" w:lineRule="auto"/>
        <w:outlineLvl w:val="0"/>
        <w:rPr>
          <w:rFonts w:asciiTheme="majorHAnsi" w:eastAsiaTheme="majorEastAsia" w:hAnsiTheme="majorHAnsi" w:cstheme="majorBidi"/>
          <w:b/>
          <w:bCs/>
          <w:color w:val="2F5496" w:themeColor="accent1" w:themeShade="BF"/>
          <w:sz w:val="22"/>
          <w:lang w:val="sr-Cyrl-CS"/>
        </w:rPr>
      </w:pPr>
      <w:r w:rsidRPr="001B41AD">
        <w:rPr>
          <w:rFonts w:asciiTheme="majorHAnsi" w:eastAsiaTheme="majorEastAsia" w:hAnsiTheme="majorHAnsi" w:cstheme="majorBidi"/>
          <w:b/>
          <w:bCs/>
          <w:color w:val="2F5496" w:themeColor="accent1" w:themeShade="BF"/>
          <w:sz w:val="24"/>
          <w:szCs w:val="24"/>
          <w:lang w:val="sr-Cyrl-CS"/>
        </w:rPr>
        <w:br w:type="column"/>
      </w:r>
      <w:bookmarkStart w:id="39" w:name="_Toc212448752"/>
      <w:bookmarkStart w:id="40" w:name="_Toc212463558"/>
      <w:bookmarkStart w:id="41" w:name="_Toc212642471"/>
      <w:r w:rsidR="00C13F85" w:rsidRPr="001B41AD">
        <w:rPr>
          <w:rFonts w:eastAsia="MS PGothic" w:cstheme="minorHAnsi"/>
          <w:b/>
          <w:noProof/>
          <w:color w:val="002060"/>
          <w:sz w:val="22"/>
          <w:szCs w:val="20"/>
        </w:rPr>
        <w:lastRenderedPageBreak/>
        <mc:AlternateContent>
          <mc:Choice Requires="wps">
            <w:drawing>
              <wp:anchor distT="0" distB="0" distL="114300" distR="114300" simplePos="0" relativeHeight="251677696" behindDoc="1" locked="0" layoutInCell="1" allowOverlap="1" wp14:anchorId="686786E1" wp14:editId="66AE506F">
                <wp:simplePos x="0" y="0"/>
                <wp:positionH relativeFrom="margin">
                  <wp:align>left</wp:align>
                </wp:positionH>
                <wp:positionV relativeFrom="paragraph">
                  <wp:posOffset>-71252</wp:posOffset>
                </wp:positionV>
                <wp:extent cx="6139815" cy="8247413"/>
                <wp:effectExtent l="0" t="0" r="0" b="1270"/>
                <wp:wrapNone/>
                <wp:docPr id="1754346071" name="Rectangle 1754346071"/>
                <wp:cNvGraphicFramePr/>
                <a:graphic xmlns:a="http://schemas.openxmlformats.org/drawingml/2006/main">
                  <a:graphicData uri="http://schemas.microsoft.com/office/word/2010/wordprocessingShape">
                    <wps:wsp>
                      <wps:cNvSpPr/>
                      <wps:spPr>
                        <a:xfrm>
                          <a:off x="0" y="0"/>
                          <a:ext cx="6139815" cy="8247413"/>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txbx>
                        <w:txbxContent>
                          <w:p w14:paraId="7CB28FE5" w14:textId="77777777" w:rsidR="001B41AD" w:rsidRDefault="001B41AD" w:rsidP="00C13F8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6786E1" id="Rectangle 1754346071" o:spid="_x0000_s1028" style="position:absolute;left:0;text-align:left;margin-left:0;margin-top:-5.6pt;width:483.45pt;height:649.4pt;z-index:-2516387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" fillcolor="#d9d9d9" stroked="f" strokeweight="1pt">
                <v:fill r:id="rId21" o:title="" color2="window" type="pattern"/>
                <v:textbox>
                  <w:txbxContent>
                    <w:p w14:paraId="7CB28FE5" w14:textId="77777777" w:rsidR="001B41AD" w:rsidRDefault="001B41AD" w:rsidP="00C13F85">
                      <w:pPr>
                        <w:jc w:val="center"/>
                      </w:pPr>
                    </w:p>
                  </w:txbxContent>
                </v:textbox>
                <w10:wrap anchorx="margin"/>
              </v:rect>
            </w:pict>
          </mc:Fallback>
        </mc:AlternateContent>
      </w:r>
      <w:r w:rsidR="00C13F85" w:rsidRPr="001B41AD">
        <w:rPr>
          <w:rFonts w:eastAsia="MS PGothic" w:cstheme="minorHAnsi"/>
          <w:b/>
          <w:color w:val="002060"/>
          <w:sz w:val="22"/>
          <w:szCs w:val="20"/>
          <w:lang w:val="sr-Cyrl-CS" w:eastAsia="ja-JP"/>
        </w:rPr>
        <w:t>Одговор пореске политике Републике Србије на примену CBAM механизма од 2026. године</w:t>
      </w:r>
      <w:bookmarkEnd w:id="39"/>
      <w:bookmarkEnd w:id="40"/>
      <w:bookmarkEnd w:id="41"/>
    </w:p>
    <w:p w14:paraId="05E0A713" w14:textId="77777777" w:rsidR="00190542" w:rsidRPr="001B41AD" w:rsidRDefault="00C13F85" w:rsidP="00723F20">
      <w:pPr>
        <w:spacing w:after="120" w:line="240" w:lineRule="auto"/>
        <w:rPr>
          <w:rFonts w:cstheme="minorHAnsi"/>
          <w:color w:val="0070C0"/>
          <w:sz w:val="19"/>
          <w:szCs w:val="19"/>
          <w:lang w:val="sr-Cyrl-CS"/>
        </w:rPr>
      </w:pPr>
      <w:r w:rsidRPr="001B41AD">
        <w:rPr>
          <w:szCs w:val="20"/>
          <w:lang w:val="sr-Cyrl-CS"/>
        </w:rPr>
        <w:br/>
      </w:r>
      <w:r w:rsidRPr="001B41AD">
        <w:rPr>
          <w:rFonts w:cstheme="minorHAnsi"/>
          <w:color w:val="0070C0"/>
          <w:sz w:val="19"/>
          <w:szCs w:val="19"/>
          <w:lang w:val="sr-Cyrl-CS"/>
        </w:rPr>
        <w:t>Од 1. јануара 2026. године у Европској унији почиње пуна примена Механизма за прилагођавање угљеника на границама (CBAM – Carbon Border Adjustment Mechanism), који представља један од централних инструмената Европског зеленог договора. Циљ CBAM је да се спречи „цурење угљеника“ — премештање производње у земље са нижим еколошким стандардима — и да се обезбеди једнака цена угљеника за производе из ЕУ и оне који се увозе. Према овом механизму, увозници у ЕУ биће обавезни да плаћају тзв. CBAM сертификате, чија вредност одговара количини емисија CO₂ насталих током производње увезених добара као што су: цемент, гвожђе, челик, алуминијум, вештачка ђубрива, водоник и електрична енергија. Вредност сертификата се заснива на цени угљеника у оквиру Европског система трговања емисијама (EU ETS), чиме CBAM фактички проширује примену европске климатске политике и ван граница ЕУ.</w:t>
      </w:r>
      <w:r w:rsidRPr="001B41AD">
        <w:rPr>
          <w:rFonts w:cstheme="minorHAnsi"/>
          <w:color w:val="0070C0"/>
          <w:sz w:val="19"/>
          <w:szCs w:val="19"/>
          <w:lang w:val="sr-Cyrl-CS"/>
        </w:rPr>
        <w:br/>
      </w:r>
      <w:r w:rsidRPr="001B41AD">
        <w:rPr>
          <w:rFonts w:cstheme="minorHAnsi"/>
          <w:color w:val="0070C0"/>
          <w:sz w:val="19"/>
          <w:szCs w:val="19"/>
          <w:lang w:val="sr-Cyrl-CS"/>
        </w:rPr>
        <w:br/>
        <w:t>Од 1. јануара 2026. године Република Србија уводи порез на емисије гасова са ефектом стаклене баште (GHG), као централни инструмент климатске и фискалне политике. Ова мера представља директан порески одговор на примену Механизма за прилагођавање угљеника на границама Европске уније (CBAM), који ће од исте године почети да се примењује на увоз угљенично интензивних производа као што су цемент, гвожђе, челик, алуминијум, вештачка ђубрива и електрична енергија.</w:t>
      </w:r>
      <w:r w:rsidRPr="001B41AD">
        <w:rPr>
          <w:rFonts w:cstheme="minorHAnsi"/>
          <w:color w:val="0070C0"/>
          <w:sz w:val="19"/>
          <w:szCs w:val="19"/>
          <w:lang w:val="sr-Cyrl-CS"/>
        </w:rPr>
        <w:br/>
      </w:r>
      <w:r w:rsidRPr="001B41AD">
        <w:rPr>
          <w:rFonts w:cstheme="minorHAnsi"/>
          <w:color w:val="0070C0"/>
          <w:sz w:val="19"/>
          <w:szCs w:val="19"/>
          <w:lang w:val="sr-Cyrl-CS"/>
        </w:rPr>
        <w:br/>
        <w:t xml:space="preserve">Циљ закона је смањење емисија GHG, увођењем принципа „емитер плаћа“ и стварањем финансијског подстицаја за прелазак на нискоугљеничне технологије. Истовремено, овај порез има за циљ да очува конкурентност домаће индустрије на тржишту Европске уније. Успостављањем националног механизма за одређивање цене угљеника, Република Србија обезбеђује да се овај порез призна као еквивалентан инструмент CBAM. </w:t>
      </w:r>
      <w:r w:rsidRPr="001B41AD">
        <w:rPr>
          <w:rFonts w:cstheme="minorHAnsi"/>
          <w:color w:val="0070C0"/>
          <w:sz w:val="19"/>
          <w:szCs w:val="19"/>
          <w:lang w:val="sr-Cyrl-CS"/>
        </w:rPr>
        <w:br/>
        <w:t>Порез се односи на емисије угљен-диоксида (CO₂), азот-субоксида (N₂O) и перфлуороугљеника (PFCs), које настају у делатностима са највећим уделом у укупним емисијама у земљи. Средства прикупљена овим порезом усмеравају се у буџет Републике Србије и користе се за финансирање зелене транзиције — развој обновљивих извора енергије, енергетску ефикасност, декарбонизацију индустрије и праведну енергетску</w:t>
      </w:r>
      <w:r w:rsidR="00190542" w:rsidRPr="001B41AD">
        <w:rPr>
          <w:rFonts w:cstheme="minorHAnsi"/>
          <w:color w:val="0070C0"/>
          <w:sz w:val="19"/>
          <w:szCs w:val="19"/>
          <w:lang w:val="sr-Cyrl-CS"/>
        </w:rPr>
        <w:t xml:space="preserve"> </w:t>
      </w:r>
      <w:r w:rsidRPr="001B41AD">
        <w:rPr>
          <w:rFonts w:cstheme="minorHAnsi"/>
          <w:color w:val="0070C0"/>
          <w:sz w:val="19"/>
          <w:szCs w:val="19"/>
          <w:lang w:val="sr-Cyrl-CS"/>
        </w:rPr>
        <w:t>транзицију.</w:t>
      </w:r>
    </w:p>
    <w:p w14:paraId="167647A4" w14:textId="77777777" w:rsidR="00C13F85" w:rsidRPr="001B41AD" w:rsidRDefault="00C13F85" w:rsidP="00723F20">
      <w:pPr>
        <w:spacing w:after="120" w:line="240" w:lineRule="auto"/>
        <w:rPr>
          <w:rFonts w:cstheme="minorHAnsi"/>
          <w:color w:val="0070C0"/>
          <w:sz w:val="19"/>
          <w:szCs w:val="19"/>
          <w:lang w:val="sr-Cyrl-CS"/>
        </w:rPr>
      </w:pPr>
      <w:r w:rsidRPr="001B41AD">
        <w:rPr>
          <w:rFonts w:cstheme="minorHAnsi"/>
          <w:color w:val="0070C0"/>
          <w:sz w:val="19"/>
          <w:szCs w:val="19"/>
          <w:lang w:val="sr-Cyrl-CS"/>
        </w:rPr>
        <w:br/>
      </w:r>
    </w:p>
    <w:p w14:paraId="52A719D8" w14:textId="77777777" w:rsidR="00C13F85" w:rsidRPr="001B41AD" w:rsidRDefault="00C13F85" w:rsidP="00C13F85">
      <w:pPr>
        <w:spacing w:after="120" w:line="240" w:lineRule="auto"/>
        <w:rPr>
          <w:rFonts w:cstheme="minorHAnsi"/>
          <w:color w:val="0070C0"/>
          <w:sz w:val="19"/>
          <w:szCs w:val="19"/>
          <w:lang w:val="sr-Cyrl-CS"/>
        </w:rPr>
      </w:pPr>
      <w:r w:rsidRPr="001B41AD">
        <w:rPr>
          <w:rFonts w:cstheme="minorHAnsi"/>
          <w:color w:val="0070C0"/>
          <w:sz w:val="19"/>
          <w:szCs w:val="19"/>
          <w:lang w:val="sr-Cyrl-CS"/>
        </w:rPr>
        <w:t>Поред овог закона, предвиђено је и доношење Закона о порезу на увоз угљенично интензивних производа, који има за циљ да успостави симетричан механизам у односу на CBAM ЕУ. Овим законом се уводи фискална мера која обезбеђује да се приликом увоза производа са високим угљеничним отиском у Србију примењује пореска корекција у складу са количином емисија насталих током производње у земљи порекла. На тај начин се спречава „цурење угљеника“ и штити домаћа производња која је изложена домаћем порезу на емисије. Закон има за циљ и подстицање увозника да прелазе на еколошки прихватљивије добављаче и технологије, као и стварање једнаких услова за домаће и стране производе на тржишту Србије.</w:t>
      </w:r>
    </w:p>
    <w:p w14:paraId="6F97674E" w14:textId="77777777" w:rsidR="00C13F85" w:rsidRPr="001B41AD" w:rsidRDefault="00C13F85" w:rsidP="00C13F85">
      <w:pPr>
        <w:spacing w:after="120" w:line="240" w:lineRule="auto"/>
        <w:rPr>
          <w:rFonts w:cstheme="minorHAnsi"/>
          <w:color w:val="0070C0"/>
          <w:sz w:val="19"/>
          <w:szCs w:val="19"/>
          <w:lang w:val="sr-Cyrl-CS"/>
        </w:rPr>
      </w:pPr>
      <w:r w:rsidRPr="001B41AD">
        <w:rPr>
          <w:rFonts w:cstheme="minorHAnsi"/>
          <w:color w:val="0070C0"/>
          <w:sz w:val="19"/>
          <w:szCs w:val="19"/>
          <w:lang w:val="sr-Cyrl-CS"/>
        </w:rPr>
        <w:t>Доношењем Закон</w:t>
      </w:r>
      <w:r w:rsidR="00723F20" w:rsidRPr="001B41AD">
        <w:rPr>
          <w:rFonts w:cstheme="minorHAnsi"/>
          <w:color w:val="0070C0"/>
          <w:sz w:val="19"/>
          <w:szCs w:val="19"/>
          <w:lang w:val="sr-Cyrl-CS"/>
        </w:rPr>
        <w:t>а</w:t>
      </w:r>
      <w:r w:rsidRPr="001B41AD">
        <w:rPr>
          <w:rFonts w:cstheme="minorHAnsi"/>
          <w:color w:val="0070C0"/>
          <w:sz w:val="19"/>
          <w:szCs w:val="19"/>
          <w:lang w:val="sr-Cyrl-CS"/>
        </w:rPr>
        <w:t xml:space="preserve"> о порезу на емисије гасова са ефектом стаклене баште и Закона о порезу на увоз угљенично интензивних производа — држава успоставља двоструки систем фискалне заштите: домаћу цену угљеника која подстиче смањење емисија и гранични порез који обезбеђује фер тржишну утакмицу. Овим решењима Република Србија се усаглашава са европским климатским политикама (Поглавље 27, Европски зелени договор, Париски споразум) и постепено се приближава систему трговања емисијама (EU ETS). Иако ће у кратком року порез повећати трошкове производње за велики број енергетски интензивних привредних субјеката, у средњем и дугом року он подстиче унапређење технологије, енергетску ефикасност и приступ европским фондовима за зелену економију.</w:t>
      </w:r>
      <w:r w:rsidRPr="001B41AD">
        <w:rPr>
          <w:rFonts w:cstheme="minorHAnsi"/>
          <w:color w:val="0070C0"/>
          <w:sz w:val="19"/>
          <w:szCs w:val="19"/>
          <w:lang w:val="sr-Cyrl-CS"/>
        </w:rPr>
        <w:br/>
        <w:t>Закључно, пореска политика Србије на CBAM одговара превентивним увођењем домаћег пореза на емисије GHG, чиме се истовремено унапређује еколошка одговорност, јача фискална одрживост и обезбеђује равноправан положај домаће привреде у условима нових европских трговинских правила.</w:t>
      </w:r>
      <w:r w:rsidRPr="001B41AD">
        <w:rPr>
          <w:rFonts w:cstheme="minorHAnsi"/>
          <w:color w:val="0070C0"/>
          <w:sz w:val="19"/>
          <w:szCs w:val="19"/>
          <w:lang w:val="sr-Cyrl-CS"/>
        </w:rPr>
        <w:br/>
        <w:t>Тренутно су оба нацрта закона у процедури јавне расправе. Њихови ефекти још увек нису укључени у средњорочни макроекономски и фискални оквир, али ће бити анализирани и унети у Фискалну стратегију за 2027. годину са пројекцијама за 2028. и 2029. годину, када се очекује њихова пуна примена и процена утицаја на приходе, привреду и јавне финансије.</w:t>
      </w:r>
    </w:p>
    <w:p w14:paraId="1E63147F" w14:textId="77777777" w:rsidR="00C13F85" w:rsidRPr="001B41AD" w:rsidRDefault="00C13F85" w:rsidP="00B63247">
      <w:pPr>
        <w:spacing w:after="120"/>
        <w:rPr>
          <w:rFonts w:eastAsia="Calibri" w:cstheme="minorHAnsi"/>
          <w:b/>
          <w:color w:val="2F5496" w:themeColor="accent1" w:themeShade="BF"/>
          <w:sz w:val="22"/>
          <w:szCs w:val="20"/>
          <w:lang w:val="sr-Cyrl-CS" w:eastAsia="ja-JP"/>
        </w:rPr>
      </w:pPr>
    </w:p>
    <w:p w14:paraId="5A161B09" w14:textId="77777777" w:rsidR="00C13F85" w:rsidRPr="001B41AD" w:rsidRDefault="00C13F85" w:rsidP="00B63247">
      <w:pPr>
        <w:spacing w:after="120"/>
        <w:rPr>
          <w:rFonts w:eastAsia="Calibri" w:cstheme="minorHAnsi"/>
          <w:b/>
          <w:color w:val="2F5496" w:themeColor="accent1" w:themeShade="BF"/>
          <w:sz w:val="22"/>
          <w:szCs w:val="20"/>
          <w:lang w:val="sr-Cyrl-CS" w:eastAsia="ja-JP"/>
        </w:rPr>
      </w:pPr>
    </w:p>
    <w:p w14:paraId="1D180C60" w14:textId="77777777" w:rsidR="00C13F85" w:rsidRPr="001B41AD" w:rsidRDefault="00C13F85" w:rsidP="00B63247">
      <w:pPr>
        <w:spacing w:after="120"/>
        <w:rPr>
          <w:rFonts w:eastAsia="Calibri" w:cstheme="minorHAnsi"/>
          <w:b/>
          <w:color w:val="2F5496" w:themeColor="accent1" w:themeShade="BF"/>
          <w:sz w:val="22"/>
          <w:szCs w:val="20"/>
          <w:lang w:val="sr-Cyrl-CS" w:eastAsia="ja-JP"/>
        </w:rPr>
      </w:pPr>
    </w:p>
    <w:p w14:paraId="3E9F8C20" w14:textId="77777777" w:rsidR="00C13F85" w:rsidRPr="001B41AD" w:rsidRDefault="00C13F85" w:rsidP="00B63247">
      <w:pPr>
        <w:spacing w:after="120"/>
        <w:rPr>
          <w:rFonts w:eastAsia="Calibri" w:cstheme="minorHAnsi"/>
          <w:b/>
          <w:color w:val="2F5496" w:themeColor="accent1" w:themeShade="BF"/>
          <w:sz w:val="22"/>
          <w:szCs w:val="20"/>
          <w:lang w:val="sr-Cyrl-CS" w:eastAsia="ja-JP"/>
        </w:rPr>
      </w:pPr>
    </w:p>
    <w:p w14:paraId="09CF8BE2" w14:textId="77777777" w:rsidR="00F821E9" w:rsidRPr="001B41AD" w:rsidRDefault="00F821E9" w:rsidP="00F821E9">
      <w:pPr>
        <w:spacing w:after="120"/>
        <w:rPr>
          <w:rFonts w:eastAsia="Calibri" w:cstheme="minorHAnsi"/>
          <w:b/>
          <w:color w:val="2F5496" w:themeColor="accent1" w:themeShade="BF"/>
          <w:sz w:val="22"/>
          <w:szCs w:val="20"/>
          <w:lang w:val="sr-Cyrl-CS" w:eastAsia="ja-JP"/>
        </w:rPr>
      </w:pPr>
      <w:r w:rsidRPr="001B41AD">
        <w:rPr>
          <w:rFonts w:eastAsia="Calibri" w:cstheme="minorHAnsi"/>
          <w:b/>
          <w:color w:val="2F5496" w:themeColor="accent1" w:themeShade="BF"/>
          <w:sz w:val="22"/>
          <w:szCs w:val="20"/>
          <w:lang w:val="sr-Cyrl-CS" w:eastAsia="ja-JP"/>
        </w:rPr>
        <w:lastRenderedPageBreak/>
        <w:t>Структурне мере за унапређење стабилности и одрживости јавних финансија</w:t>
      </w:r>
    </w:p>
    <w:p w14:paraId="7A3611EC" w14:textId="77777777" w:rsidR="00916A42" w:rsidRPr="001B41AD" w:rsidRDefault="00916A42" w:rsidP="00B63247">
      <w:pPr>
        <w:spacing w:after="120"/>
        <w:rPr>
          <w:rFonts w:eastAsia="Calibri" w:cstheme="minorHAnsi"/>
          <w:color w:val="2F5496" w:themeColor="accent1" w:themeShade="BF"/>
          <w:sz w:val="22"/>
          <w:szCs w:val="20"/>
          <w:lang w:val="sr-Cyrl-CS" w:eastAsia="ja-JP"/>
        </w:rPr>
        <w:sectPr w:rsidR="00916A42" w:rsidRPr="001B41AD" w:rsidSect="00AE618F">
          <w:headerReference w:type="even" r:id="rId142"/>
          <w:footerReference w:type="even" r:id="rId143"/>
          <w:footerReference w:type="default" r:id="rId144"/>
          <w:headerReference w:type="first" r:id="rId145"/>
          <w:type w:val="continuous"/>
          <w:pgSz w:w="12240" w:h="15840" w:code="1"/>
          <w:pgMar w:top="1440" w:right="1440" w:bottom="1440" w:left="1440" w:header="720" w:footer="720" w:gutter="0"/>
          <w:cols w:num="2" w:space="720"/>
          <w:titlePg/>
          <w:docGrid w:linePitch="360"/>
        </w:sectPr>
      </w:pPr>
    </w:p>
    <w:p w14:paraId="075A8D1D" w14:textId="77777777" w:rsidR="00B63247" w:rsidRPr="001B41AD" w:rsidRDefault="00B63247" w:rsidP="00B63247">
      <w:pPr>
        <w:spacing w:after="120"/>
        <w:rPr>
          <w:rFonts w:eastAsia="Calibri" w:cstheme="minorHAnsi"/>
          <w:color w:val="2F5496" w:themeColor="accent1" w:themeShade="BF"/>
          <w:sz w:val="22"/>
          <w:szCs w:val="20"/>
          <w:lang w:val="sr-Cyrl-CS" w:eastAsia="ja-JP"/>
        </w:rPr>
      </w:pPr>
      <w:r w:rsidRPr="001B41AD">
        <w:rPr>
          <w:rFonts w:eastAsia="Calibri" w:cstheme="minorHAnsi"/>
          <w:color w:val="2F5496" w:themeColor="accent1" w:themeShade="BF"/>
          <w:sz w:val="22"/>
          <w:szCs w:val="20"/>
          <w:lang w:val="sr-Cyrl-CS" w:eastAsia="ja-JP"/>
        </w:rPr>
        <w:t>Макроекономска стабилност и убрзање структурних реформи</w:t>
      </w:r>
    </w:p>
    <w:p w14:paraId="37E4471C" w14:textId="77777777" w:rsidR="00B63247" w:rsidRPr="001B41AD" w:rsidRDefault="00B63247" w:rsidP="00B63247">
      <w:pPr>
        <w:rPr>
          <w:rFonts w:eastAsia="Calibri" w:cstheme="minorHAnsi"/>
          <w:color w:val="44546A"/>
          <w:spacing w:val="-2"/>
          <w:szCs w:val="20"/>
          <w:lang w:val="sr-Cyrl-CS" w:eastAsia="ja-JP"/>
        </w:rPr>
      </w:pPr>
      <w:r w:rsidRPr="001B41AD">
        <w:rPr>
          <w:rFonts w:eastAsia="Calibri" w:cstheme="minorHAnsi"/>
          <w:color w:val="44546A"/>
          <w:spacing w:val="-2"/>
          <w:szCs w:val="20"/>
          <w:lang w:val="sr-Cyrl-CS" w:eastAsia="ja-JP"/>
        </w:rPr>
        <w:t>Репуб</w:t>
      </w:r>
      <w:r w:rsidRPr="001B41AD">
        <w:rPr>
          <w:rFonts w:eastAsia="Calibri" w:cstheme="minorHAnsi"/>
          <w:spacing w:val="-2"/>
          <w:szCs w:val="20"/>
          <w:lang w:val="sr-Cyrl-CS" w:eastAsia="ja-JP"/>
        </w:rPr>
        <w:t>лик</w:t>
      </w:r>
      <w:r w:rsidRPr="001B41AD">
        <w:rPr>
          <w:rFonts w:eastAsia="Calibri" w:cstheme="minorHAnsi"/>
          <w:color w:val="44546A"/>
          <w:spacing w:val="-2"/>
          <w:szCs w:val="20"/>
          <w:lang w:val="sr-Cyrl-CS" w:eastAsia="ja-JP"/>
        </w:rPr>
        <w:t>а Србија је 9. децембра 2024. године закључила са ММФ нови аранжман - Инструмент за координацију политика (PCI) нефинансијског карактера у трајању од три године. Договорени програм има за циљ очување макроекономске и финансијске стабилности, наставак спровођења јавних инвестиција, уз задржавање фискалне дисциплине и даље смањење јавног дуга, као и подстицање инклузивног и одрживог раста у средњем року, спровођењем амбициозног програма структурних реформи. Посебан акценат стављен је на даље јачање отпорности енергетског сектора и стварање услова за реализацију значајних инвестиција у тој области.</w:t>
      </w:r>
    </w:p>
    <w:p w14:paraId="4B88D224" w14:textId="0859560B" w:rsidR="00B63247" w:rsidRPr="001B41AD" w:rsidRDefault="00B63247" w:rsidP="00B63247">
      <w:pPr>
        <w:rPr>
          <w:rFonts w:eastAsia="Calibri" w:cstheme="minorHAnsi"/>
          <w:color w:val="44546A"/>
          <w:spacing w:val="-2"/>
          <w:szCs w:val="20"/>
          <w:lang w:val="sr-Cyrl-CS" w:eastAsia="ja-JP"/>
        </w:rPr>
      </w:pPr>
      <w:r w:rsidRPr="001B41AD">
        <w:rPr>
          <w:rFonts w:eastAsia="Calibri" w:cstheme="minorHAnsi"/>
          <w:color w:val="44546A"/>
          <w:spacing w:val="-2"/>
          <w:szCs w:val="20"/>
          <w:lang w:val="sr-Cyrl-CS" w:eastAsia="ja-JP"/>
        </w:rPr>
        <w:t xml:space="preserve">Приликом доношења одлуке о одобрењу трогодишњег Инструмента за координацију политика, ММФ је похвалио успешно спроведене мере у оквиру претходног стендбај аранжмана, које су допринеле остваривању одличних макроекономских резултата </w:t>
      </w:r>
      <w:r w:rsidR="00F375DA" w:rsidRPr="001B41AD">
        <w:rPr>
          <w:rFonts w:eastAsia="Calibri" w:cstheme="minorHAnsi"/>
          <w:color w:val="44546A"/>
          <w:spacing w:val="-2"/>
          <w:szCs w:val="20"/>
          <w:lang w:val="sr-Cyrl-CS" w:eastAsia="ja-JP"/>
        </w:rPr>
        <w:t xml:space="preserve">Републике </w:t>
      </w:r>
      <w:r w:rsidRPr="001B41AD">
        <w:rPr>
          <w:rFonts w:eastAsia="Calibri" w:cstheme="minorHAnsi"/>
          <w:color w:val="44546A"/>
          <w:spacing w:val="-2"/>
          <w:szCs w:val="20"/>
          <w:lang w:val="sr-Cyrl-CS" w:eastAsia="ja-JP"/>
        </w:rPr>
        <w:t xml:space="preserve">Србије. Оцењено је да су одговорна фискална политика, одржива монетарна стабилност и значајан напредак у спровођењу кључних реформи показатељи снажне посвећености Републике Србије одрживом економском развоју. Упркос изазовним околностима, фискални дефицит и јавни дуг су смањени, док је инфлација враћена у оквире дозвољеног одступања од циља НБС. Истовремено, забележен је снажан привредни раст, стабилност тржишта рада и рекордни нивои девизних резерви. Финансијска позиција државног енергетског сектора значајно је ојачана, док су реформе у управљању јавним инвестицијама и државним предузећима постигле значајан напредак. Такође, финансијски систем оцењен је као стабилан, што је, заједно с постигнутим економским резултатима, допринело да </w:t>
      </w:r>
      <w:r w:rsidR="00F375DA" w:rsidRPr="001B41AD">
        <w:rPr>
          <w:rFonts w:eastAsia="Calibri" w:cstheme="minorHAnsi"/>
          <w:color w:val="44546A"/>
          <w:spacing w:val="-2"/>
          <w:szCs w:val="20"/>
          <w:lang w:val="sr-Cyrl-CS" w:eastAsia="ja-JP"/>
        </w:rPr>
        <w:t xml:space="preserve">Република </w:t>
      </w:r>
      <w:r w:rsidRPr="001B41AD">
        <w:rPr>
          <w:rFonts w:eastAsia="Calibri" w:cstheme="minorHAnsi"/>
          <w:color w:val="44546A"/>
          <w:spacing w:val="-2"/>
          <w:szCs w:val="20"/>
          <w:lang w:val="sr-Cyrl-CS" w:eastAsia="ja-JP"/>
        </w:rPr>
        <w:t>Србија први пут добије инвестициони кредитни рејтинг од агенције S&amp;P Global Ratings у октобру 2024. године.</w:t>
      </w:r>
    </w:p>
    <w:p w14:paraId="5AF2882B" w14:textId="77777777" w:rsidR="00B63247" w:rsidRPr="001B41AD" w:rsidRDefault="00B63247" w:rsidP="00B63247">
      <w:pPr>
        <w:rPr>
          <w:rFonts w:ascii="Calibri" w:eastAsia="Calibri" w:hAnsi="Calibri" w:cs="Calibri"/>
          <w:color w:val="44546A"/>
          <w:szCs w:val="20"/>
          <w:highlight w:val="yellow"/>
          <w:lang w:val="sr-Cyrl-CS" w:eastAsia="ja-JP"/>
        </w:rPr>
      </w:pPr>
      <w:r w:rsidRPr="001B41AD">
        <w:rPr>
          <w:rFonts w:eastAsia="Calibri" w:cstheme="minorHAnsi"/>
          <w:color w:val="44546A"/>
          <w:spacing w:val="-2"/>
          <w:szCs w:val="20"/>
          <w:lang w:val="sr-Cyrl-CS"/>
        </w:rPr>
        <w:t>Фискална правила измењена су Законом о изменама и допунама Закона о буџетском систему у децембру 2022. године</w:t>
      </w:r>
      <w:r w:rsidRPr="001B41AD">
        <w:rPr>
          <w:rFonts w:eastAsia="Calibri" w:cstheme="minorHAnsi"/>
          <w:color w:val="44546A"/>
          <w:szCs w:val="20"/>
          <w:lang w:val="sr-Cyrl-CS" w:eastAsia="ja-JP"/>
        </w:rPr>
        <w:t xml:space="preserve">. Компонента ограничења </w:t>
      </w:r>
      <w:r w:rsidRPr="001B41AD">
        <w:rPr>
          <w:rFonts w:eastAsia="Calibri" w:cstheme="minorHAnsi"/>
          <w:color w:val="44546A"/>
          <w:szCs w:val="20"/>
          <w:lang w:val="sr-Cyrl-CS" w:eastAsia="ja-JP"/>
        </w:rPr>
        <w:t>дефицита у односу на висину јавног дуга одложена је до 2029. године, а у међувремену ће се примењивати циљеви утврђени Фискалном стратегијом. Ово је нужно услед новог инвестиционог циклуса у наредном средњорочном периоду (програм „Скок у будућност – Србија 2027”), којим су предвиђена значајна нова улагања у саобраћајну инфраструктуру, енергетику, пољопривреду, здравство, образовање, културу, заштиту животне средине, регионални развој, безбедност итд. Програмом се спроводи свеобухватна модернизација државе и повећава животни стандард грађана, те доприноси расту БДП. Средњорочним планом је предвиђено да дефицити сектора државе износе 3% БДП годишње у периоду од 2025-2027. године, односно 2,5% БДП у 2028. години, што обезбеђује</w:t>
      </w:r>
      <w:r w:rsidRPr="001B41AD">
        <w:rPr>
          <w:rFonts w:eastAsia="Calibri" w:cstheme="minorHAnsi"/>
          <w:szCs w:val="20"/>
          <w:lang w:val="sr-Cyrl-CS" w:eastAsia="ja-JP"/>
        </w:rPr>
        <w:t xml:space="preserve"> да јавни дуг остане на силазној путањи (са 45% БДП колико је предвиђено на крају ове године на око 44% БДП </w:t>
      </w:r>
      <w:r w:rsidRPr="001B41AD">
        <w:rPr>
          <w:rFonts w:eastAsia="Calibri" w:cstheme="minorHAnsi"/>
          <w:color w:val="44546A"/>
          <w:szCs w:val="20"/>
          <w:lang w:val="sr-Cyrl-CS" w:eastAsia="ja-JP"/>
        </w:rPr>
        <w:t xml:space="preserve">на крају 2028. године) и далеко испод границе од 60% БДП (укључујући обавезе по основу реституције), колико је одређено фискалним правилом. Посебна фискална правила којима се уређује раст плата у сектору државе и пензија на снази су од 2023. године и у складу с тим су планирана повећања плата и пензија у буџету за 2026. годину. С обзиром да се фискална правила односе на сектор државе, било је потребно уредити и поступак и динамику укључивања нових ентитета у обухват сектора државе, у складу с посебном методологијом секторске класификације, коју је утврдио РЗС, у складу са споразумом између РЗС, НБС и Министарства финансија. Такође, фискална правила за локалну власт настављају да се примењују на исти начин како је то дефинисано 2010. године, кад су фискална правила у Републици Србији први пут уведена. </w:t>
      </w:r>
    </w:p>
    <w:p w14:paraId="255EB257" w14:textId="77777777" w:rsidR="00B63247" w:rsidRPr="001B41AD" w:rsidRDefault="00B63247" w:rsidP="00B63247">
      <w:pPr>
        <w:rPr>
          <w:rFonts w:eastAsia="Calibri" w:cstheme="minorHAnsi"/>
          <w:color w:val="2F5496" w:themeColor="accent1" w:themeShade="BF"/>
          <w:sz w:val="22"/>
          <w:lang w:val="sr-Cyrl-CS" w:eastAsia="ja-JP"/>
        </w:rPr>
      </w:pPr>
      <w:r w:rsidRPr="001B41AD">
        <w:rPr>
          <w:rFonts w:eastAsia="Calibri" w:cstheme="minorHAnsi"/>
          <w:color w:val="2F5496" w:themeColor="accent1" w:themeShade="BF"/>
          <w:sz w:val="22"/>
          <w:lang w:val="sr-Cyrl-CS" w:eastAsia="ja-JP"/>
        </w:rPr>
        <w:t>Дугорочна одрживост јавних финансија</w:t>
      </w:r>
    </w:p>
    <w:p w14:paraId="3CEC697B" w14:textId="77777777" w:rsidR="00B63247" w:rsidRPr="001B41AD" w:rsidRDefault="00B63247" w:rsidP="00B63247">
      <w:pPr>
        <w:rPr>
          <w:rFonts w:ascii="Calibri" w:eastAsia="Calibri" w:hAnsi="Calibri" w:cs="Calibri"/>
          <w:color w:val="44546A"/>
          <w:szCs w:val="20"/>
          <w:lang w:val="sr-Cyrl-CS" w:eastAsia="ja-JP"/>
        </w:rPr>
      </w:pPr>
      <w:r w:rsidRPr="001B41AD">
        <w:rPr>
          <w:rFonts w:ascii="Calibri" w:eastAsia="Calibri" w:hAnsi="Calibri" w:cs="Calibri"/>
          <w:color w:val="44546A"/>
          <w:szCs w:val="20"/>
          <w:lang w:val="sr-Cyrl-CS" w:eastAsia="ja-JP"/>
        </w:rPr>
        <w:t xml:space="preserve">У току је свеобухватна актуарска анализа пензијског система у Републици Србији, чија је објава планирана у наредном периоду. Анализа ће проценити дугорочну финансијску одрживост система и његову способност да обезбеди </w:t>
      </w:r>
      <w:r w:rsidRPr="001B41AD">
        <w:rPr>
          <w:rFonts w:ascii="Calibri" w:eastAsia="Calibri" w:hAnsi="Calibri" w:cs="Calibri"/>
          <w:color w:val="44546A"/>
          <w:szCs w:val="20"/>
          <w:lang w:val="sr-Cyrl-CS" w:eastAsia="ja-JP"/>
        </w:rPr>
        <w:lastRenderedPageBreak/>
        <w:t>адекватан животни стандард пензионера, уз истовремено управљање фискалним притисцима који произилазе из старења становништва. Биће обухваћени различити макроекономски и демографски сценарији. Паралелно с тим, развија се пензијски модел који ће моћи да се ажурира новим подацима, како би се проценио утицај економских и демографских промена, као и измена параметара система, на актуарску перспективу пензијског система.</w:t>
      </w:r>
    </w:p>
    <w:p w14:paraId="54975E29" w14:textId="77777777" w:rsidR="00B63247" w:rsidRPr="001B41AD" w:rsidRDefault="00B63247" w:rsidP="00B63247">
      <w:pPr>
        <w:rPr>
          <w:rFonts w:ascii="Calibri" w:eastAsia="Calibri" w:hAnsi="Calibri" w:cs="Calibri"/>
          <w:color w:val="2F5496" w:themeColor="accent1" w:themeShade="BF"/>
          <w:sz w:val="22"/>
          <w:lang w:val="sr-Cyrl-CS" w:eastAsia="ja-JP"/>
        </w:rPr>
      </w:pPr>
      <w:r w:rsidRPr="001B41AD">
        <w:rPr>
          <w:rFonts w:ascii="Calibri" w:eastAsia="Calibri" w:hAnsi="Calibri" w:cs="Calibri"/>
          <w:color w:val="2F5496" w:themeColor="accent1" w:themeShade="BF"/>
          <w:sz w:val="22"/>
          <w:lang w:val="sr-Cyrl-CS" w:eastAsia="ja-JP"/>
        </w:rPr>
        <w:t>Управљање људским ресурсима у јавном сектору</w:t>
      </w:r>
    </w:p>
    <w:p w14:paraId="4E0439DD" w14:textId="77777777" w:rsidR="00B63247" w:rsidRPr="001B41AD" w:rsidRDefault="00B63247" w:rsidP="00B63247">
      <w:pPr>
        <w:rPr>
          <w:rFonts w:eastAsia="Calibri" w:cstheme="minorHAnsi"/>
          <w:szCs w:val="20"/>
          <w:lang w:val="sr-Cyrl-CS" w:eastAsia="ja-JP"/>
        </w:rPr>
      </w:pPr>
      <w:r w:rsidRPr="001B41AD">
        <w:rPr>
          <w:rFonts w:eastAsia="Calibri" w:cstheme="minorHAnsi"/>
          <w:szCs w:val="20"/>
          <w:lang w:val="sr-Cyrl-CS" w:eastAsia="ja-JP"/>
        </w:rPr>
        <w:t xml:space="preserve">У наредном периоду очекује се наставак реформи у области запошљавања, управљања кадровима и система плата у сектору државе. Циљ фискалне политике у средњем року је задржавање расхода за запослене на одрживом нивоу, уз адекватну структуру запослених, како би се обезбедио већи квалитет пружених услуга. Постојећи систем запошљавања, којим руководи Владина Комисија за давање сагласности за ново запошљавање и додатно радно ангажовање код корисника јавних средстава наставиће да функционише у прелазном периоду, односно све док нови систем не буде у потпуности оперативан. Крајем 2020. године усвојене су измене Закона о буџетском систему како би било омогућено да у прелазном периоду (до краја 2026. године) институције могу да ангажују нова лица до нивоа од 70% оних који напуштају институцију или одлазе у пензију, док је дозвола Комисије потребна уколико број новозапослених пређе 70%. Смисао ове мере је да се обезбеди већа флексибилност у запошљавању на нивоу самих институција, у складу с њиховим потребама за новим кадровима. Централни информациони систем за обрачун примања запослених у јавном сектору „Искра” тренутно обухвата све директне кориснике буџета, институције из области културе, правосуђа, рада и социјалне заштите и просвете (осим установа вишег и високог образовања), институције из области здравства и јединице локалне самоуправе са индиректним корисницима (предшколске установе, установе културе, спорта и социјалне заштите). Суштина овог система је боље планирање, извршење и контрола расхода за плате запослених, већа транспарентност и боље </w:t>
      </w:r>
      <w:r w:rsidRPr="001B41AD">
        <w:rPr>
          <w:rFonts w:eastAsia="Calibri" w:cstheme="minorHAnsi"/>
          <w:szCs w:val="20"/>
          <w:lang w:val="sr-Cyrl-CS" w:eastAsia="ja-JP"/>
        </w:rPr>
        <w:t xml:space="preserve">управљање људским ресурсима у условима све јаче конкуренције из приватног сектора, што има негативан утицај на привлачење и задржавање запослених у јавном сектору, поготово имајући у виду атрактивност зарада у приватном сектору, што може довести до значајног одлива кадрова уколико се ове реформе не спроведу. Ван система у овој фази ће остати само запослени у сектору одбране, безбедности и унутрашњих послова и институције вишег и високог образовања. </w:t>
      </w:r>
    </w:p>
    <w:p w14:paraId="132CAD80" w14:textId="77777777" w:rsidR="00B63247" w:rsidRPr="001B41AD" w:rsidRDefault="00B63247" w:rsidP="00B63247">
      <w:pPr>
        <w:rPr>
          <w:rFonts w:eastAsia="Calibri" w:cstheme="minorHAnsi"/>
          <w:szCs w:val="20"/>
          <w:lang w:val="sr-Cyrl-CS" w:eastAsia="ja-JP"/>
        </w:rPr>
      </w:pPr>
      <w:r w:rsidRPr="001B41AD">
        <w:rPr>
          <w:rFonts w:eastAsia="Calibri" w:cstheme="minorHAnsi"/>
          <w:szCs w:val="20"/>
          <w:lang w:val="sr-Cyrl-CS" w:eastAsia="ja-JP"/>
        </w:rPr>
        <w:t xml:space="preserve">На основу овог система израђен је извештај у којем су објављени подаци о броју запослених и распону зарада, што ће помоћи у вођењу будућих политика запошљавања у јавном сектору. Извештај садржи податке како о попуњености систематизованих радних места, тако и о износима самих плата по платним разредима, по специфичним типовима посла, функцијама (државна управа, образовање, здравство и сл.), као и остале податке од статистичког значаја (медијалне, максималне и минималне зараде, зараде по перцентилима, историјске серије података), што све може помоћи реформама у овој области. </w:t>
      </w:r>
    </w:p>
    <w:p w14:paraId="3408D5A7" w14:textId="77777777" w:rsidR="00B63247" w:rsidRPr="001B41AD" w:rsidRDefault="00B63247" w:rsidP="00B63247">
      <w:pPr>
        <w:rPr>
          <w:rFonts w:ascii="Calibri" w:eastAsia="Calibri" w:hAnsi="Calibri" w:cs="Calibri"/>
          <w:color w:val="2F5496" w:themeColor="accent1" w:themeShade="BF"/>
          <w:sz w:val="22"/>
          <w:lang w:val="sr-Cyrl-CS" w:eastAsia="ja-JP"/>
        </w:rPr>
      </w:pPr>
      <w:r w:rsidRPr="001B41AD">
        <w:rPr>
          <w:rFonts w:ascii="Calibri" w:eastAsia="Calibri" w:hAnsi="Calibri" w:cs="Calibri"/>
          <w:color w:val="2F5496" w:themeColor="accent1" w:themeShade="BF"/>
          <w:sz w:val="22"/>
          <w:lang w:val="sr-Cyrl-CS" w:eastAsia="ja-JP"/>
        </w:rPr>
        <w:t>Енергетска реформа и зелена транзиција</w:t>
      </w:r>
    </w:p>
    <w:p w14:paraId="51F92C74" w14:textId="22D49795" w:rsidR="00B63247" w:rsidRPr="001B41AD" w:rsidRDefault="00B63247" w:rsidP="00B63247">
      <w:pPr>
        <w:rPr>
          <w:rFonts w:ascii="Calibri" w:eastAsia="Calibri" w:hAnsi="Calibri" w:cs="Calibri"/>
          <w:szCs w:val="20"/>
          <w:lang w:val="sr-Cyrl-CS" w:eastAsia="ja-JP"/>
        </w:rPr>
      </w:pPr>
      <w:r w:rsidRPr="001B41AD">
        <w:rPr>
          <w:rFonts w:ascii="Calibri" w:eastAsia="Calibri" w:hAnsi="Calibri" w:cs="Calibri"/>
          <w:szCs w:val="20"/>
          <w:lang w:val="sr-Cyrl-CS" w:eastAsia="ja-JP"/>
        </w:rPr>
        <w:t>Криза у Украјини је кроз негативан ути</w:t>
      </w:r>
      <w:r w:rsidR="00DD3744" w:rsidRPr="001B41AD">
        <w:rPr>
          <w:rFonts w:ascii="Calibri" w:eastAsia="Calibri" w:hAnsi="Calibri" w:cs="Calibri"/>
          <w:szCs w:val="20"/>
          <w:lang w:val="sr-Cyrl-CS" w:eastAsia="ja-JP"/>
        </w:rPr>
        <w:t>цај на тржиште</w:t>
      </w:r>
      <w:r w:rsidRPr="001B41AD">
        <w:rPr>
          <w:rFonts w:ascii="Calibri" w:eastAsia="Calibri" w:hAnsi="Calibri" w:cs="Calibri"/>
          <w:szCs w:val="20"/>
          <w:lang w:val="sr-Cyrl-CS" w:eastAsia="ja-JP"/>
        </w:rPr>
        <w:t xml:space="preserve"> енергената нарочито истакла све изазове и проблеме с којима се суочава енергетски сектор у Србији. Додатни изазови настају у пооштравању санкција према Руској Федерацији, које значајно угрожавају снабдевање тржишта Републике Србије енергентима. Идентификовани проблеми могу се решити само спровођењем свеобухватних реформи и диверсификацијом у снабдевању енергентима који су услов како за обезбеђивање енергетске безбедности тако и за фискалну и екстерну одрживост.</w:t>
      </w:r>
      <w:r w:rsidR="00F1323D" w:rsidRPr="001B41AD">
        <w:rPr>
          <w:rFonts w:ascii="Calibri" w:eastAsia="Calibri" w:hAnsi="Calibri" w:cs="Calibri"/>
          <w:szCs w:val="20"/>
          <w:lang w:val="sr-Cyrl-CS" w:eastAsia="ja-JP"/>
        </w:rPr>
        <w:t xml:space="preserve"> </w:t>
      </w:r>
      <w:r w:rsidRPr="001B41AD">
        <w:rPr>
          <w:rFonts w:ascii="Calibri" w:eastAsia="Calibri" w:hAnsi="Calibri" w:cs="Calibri"/>
          <w:szCs w:val="20"/>
          <w:lang w:val="sr-Cyrl-CS" w:eastAsia="ja-JP"/>
        </w:rPr>
        <w:t>Приоритет има реструктурирање великих енергетских компанија у власништву државе како би се повећала њихова ефикасност и смањила буџетска подршка и фискални ризици који произилазе из њиховог послова</w:t>
      </w:r>
      <w:r w:rsidR="00F1323D" w:rsidRPr="001B41AD">
        <w:rPr>
          <w:rFonts w:ascii="Calibri" w:eastAsia="Calibri" w:hAnsi="Calibri" w:cs="Calibri"/>
          <w:szCs w:val="20"/>
          <w:lang w:val="sr-Cyrl-CS" w:eastAsia="ja-JP"/>
        </w:rPr>
        <w:t>ња</w:t>
      </w:r>
      <w:r w:rsidRPr="001B41AD">
        <w:rPr>
          <w:rFonts w:ascii="Calibri" w:eastAsia="Calibri" w:hAnsi="Calibri" w:cs="Calibri"/>
          <w:szCs w:val="20"/>
          <w:lang w:val="sr-Cyrl-CS" w:eastAsia="ja-JP"/>
        </w:rPr>
        <w:t xml:space="preserve">. Фазно подизање цена енергената (гаса и електричне енергије) било је нужна мера како би се надоместили егзогено условљени високи трошкови њихове набавке. </w:t>
      </w:r>
      <w:r w:rsidR="005D4FD9" w:rsidRPr="001B41AD">
        <w:rPr>
          <w:rFonts w:ascii="Calibri" w:eastAsia="Calibri" w:hAnsi="Calibri" w:cs="Calibri"/>
          <w:szCs w:val="20"/>
          <w:lang w:val="sr-Cyrl-CS" w:eastAsia="ja-JP"/>
        </w:rPr>
        <w:t>Од</w:t>
      </w:r>
      <w:r w:rsidRPr="001B41AD">
        <w:rPr>
          <w:rFonts w:ascii="Calibri" w:eastAsia="Calibri" w:hAnsi="Calibri" w:cs="Calibri"/>
          <w:szCs w:val="20"/>
          <w:lang w:val="sr-Cyrl-CS" w:eastAsia="ja-JP"/>
        </w:rPr>
        <w:t xml:space="preserve"> 1. маја прошле године су обезбеђене ниже цене електричне енергије за комерцијалне купце за око </w:t>
      </w:r>
      <w:r w:rsidRPr="001B41AD">
        <w:rPr>
          <w:rFonts w:ascii="Calibri" w:eastAsia="Calibri" w:hAnsi="Calibri" w:cs="Calibri"/>
          <w:szCs w:val="20"/>
          <w:lang w:val="sr-Cyrl-CS" w:eastAsia="ja-JP"/>
        </w:rPr>
        <w:lastRenderedPageBreak/>
        <w:t>20%, што је у складу са кретањем цена електричне енергије у региону. Измењена је методологија, којом се обезбеђује заштита купаца од изненадних ценовних шокова на тржишту електричне енергије, истовремено комбинујући нивое цена за регулисане и нерегулисане секторе како би у укупном износу приходи могли да покрију укупне трошкове, укључујући и средства потребна за инвестиције у нове производне капацитете. Обезбеђивање приступачности енергије за становништво остаје приоритет. Примена блок тарифа наставља се како би се омогућиле повољније цене електричне енергије за потрошњу испод одређеног прага. Узевши у обзир реално повећање расположивог дохотка и стабилност регулисаних цена енергије у протеклом периоду, планирано је да подршка буде усмерена на приближно 75.000 најугроженијих домаћинстава. Наставља се спровођење плана реструктурирања ЕПС, који обухвата унапређење управљања, организационе структуре, ревизорских процеса, унутрашњих контрола и усаглашености са прописима. План садржи и финансијске пројекције засноване на претпоставкама о прилагођавању регулисаних тарифа. Предвиђено је убрзање реализације овог плана реструктурирања. У складу с начелом транспарентности ЕПС а.д. и ЈП „Србијагас” ће објављивати своје финансијске планове. Такође, уместо 20, објављују се подаци о 50 највећих дужника овим двема компанијама на месечном нивоу. Ради унапређења финансијске позиције „Електродистрибуције Србије“ (ЕДС), у мају 2025. године завршена је анализа накнада за коришћење мреже које плаћа ЕДС, као и накнада које ЕДС и ЕМС плаћају ЕПС за губитке на мрежи. Интегрисани национални енергетски и климатски план Србије за период до 2030. године са пројекцијама до 2050. године усвојен је у јулу прошле године чиме</w:t>
      </w:r>
      <w:r w:rsidRPr="001B41AD">
        <w:rPr>
          <w:lang w:val="sr-Cyrl-CS"/>
        </w:rPr>
        <w:t xml:space="preserve"> </w:t>
      </w:r>
      <w:r w:rsidRPr="001B41AD">
        <w:rPr>
          <w:rFonts w:ascii="Calibri" w:eastAsia="Calibri" w:hAnsi="Calibri" w:cs="Calibri"/>
          <w:szCs w:val="20"/>
          <w:lang w:val="sr-Cyrl-CS" w:eastAsia="ja-JP"/>
        </w:rPr>
        <w:t xml:space="preserve">отпочиње нова етапа у развоју енергетског сектора Републике Србије, која треба да допринесе већој сигурности снабдевања, уз повећање учешћа чистих извора енергије и већу заштиту животне средине. Интегрисани национални енергетски и климатски план је кључни стратешки документ којим се дефинишу стратешки циљеви и динамика њиховог остваривања у процесу енергетске транзиције. Политике и мере за остваривање циљева овог </w:t>
      </w:r>
      <w:r w:rsidRPr="001B41AD">
        <w:rPr>
          <w:rFonts w:ascii="Calibri" w:eastAsia="Calibri" w:hAnsi="Calibri" w:cs="Calibri"/>
          <w:szCs w:val="20"/>
          <w:lang w:val="sr-Cyrl-CS" w:eastAsia="ja-JP"/>
        </w:rPr>
        <w:t xml:space="preserve">плана груписане су у пет кључних димензија: </w:t>
      </w:r>
      <w:r w:rsidR="005D4FD9" w:rsidRPr="001B41AD">
        <w:rPr>
          <w:rFonts w:ascii="Calibri" w:eastAsia="Calibri" w:hAnsi="Calibri" w:cs="Calibri"/>
          <w:szCs w:val="20"/>
          <w:lang w:val="sr-Cyrl-CS" w:eastAsia="ja-JP"/>
        </w:rPr>
        <w:t>декарбонизације</w:t>
      </w:r>
      <w:r w:rsidRPr="001B41AD">
        <w:rPr>
          <w:rFonts w:ascii="Calibri" w:eastAsia="Calibri" w:hAnsi="Calibri" w:cs="Calibri"/>
          <w:szCs w:val="20"/>
          <w:lang w:val="sr-Cyrl-CS" w:eastAsia="ja-JP"/>
        </w:rPr>
        <w:t>, енергетска ефикасност, енергетска сигурност, унутрашње енергетско тржиште и истраживање, иновације и конкурентност. Крајем новембра 2024. године усвојена је Стратегија развоја енергетике Републике Србије</w:t>
      </w:r>
      <w:r w:rsidRPr="001B41AD">
        <w:rPr>
          <w:rFonts w:ascii="Calibri" w:eastAsia="Calibri" w:hAnsi="Calibri" w:cs="Calibri"/>
          <w:color w:val="FF0000"/>
          <w:szCs w:val="20"/>
          <w:lang w:val="sr-Cyrl-CS" w:eastAsia="ja-JP"/>
        </w:rPr>
        <w:t xml:space="preserve"> </w:t>
      </w:r>
      <w:r w:rsidRPr="001B41AD">
        <w:rPr>
          <w:rFonts w:ascii="Calibri" w:eastAsia="Calibri" w:hAnsi="Calibri" w:cs="Calibri"/>
          <w:szCs w:val="20"/>
          <w:lang w:val="sr-Cyrl-CS" w:eastAsia="ja-JP"/>
        </w:rPr>
        <w:t xml:space="preserve">до 2040. године са пројекцијама до 2050. године. </w:t>
      </w:r>
      <w:r w:rsidR="00E839C9" w:rsidRPr="001B41AD">
        <w:rPr>
          <w:rFonts w:ascii="Calibri" w:eastAsia="Calibri" w:hAnsi="Calibri" w:cs="Calibri"/>
          <w:szCs w:val="20"/>
          <w:lang w:val="sr-Cyrl-CS" w:eastAsia="ja-JP"/>
        </w:rPr>
        <w:t>Програм остваривања стратегије развоја енергетике Републике Србије</w:t>
      </w:r>
      <w:r w:rsidR="00E839C9" w:rsidRPr="001B41AD">
        <w:rPr>
          <w:rFonts w:ascii="Calibri" w:eastAsia="Calibri" w:hAnsi="Calibri" w:cs="Calibri"/>
          <w:color w:val="FF0000"/>
          <w:szCs w:val="20"/>
          <w:lang w:val="sr-Cyrl-CS" w:eastAsia="ja-JP"/>
        </w:rPr>
        <w:t xml:space="preserve"> </w:t>
      </w:r>
      <w:r w:rsidR="00E839C9" w:rsidRPr="001B41AD">
        <w:rPr>
          <w:rFonts w:ascii="Calibri" w:eastAsia="Calibri" w:hAnsi="Calibri" w:cs="Calibri"/>
          <w:szCs w:val="20"/>
          <w:lang w:val="sr-Cyrl-CS" w:eastAsia="ja-JP"/>
        </w:rPr>
        <w:t xml:space="preserve">до 2040. године са пројекцијама до 2050. године у процесу је јавних консултација и очекује се усвајање до краја 2025. године. </w:t>
      </w:r>
      <w:r w:rsidRPr="001B41AD">
        <w:rPr>
          <w:rFonts w:ascii="Calibri" w:eastAsia="Calibri" w:hAnsi="Calibri" w:cs="Calibri"/>
          <w:szCs w:val="20"/>
          <w:lang w:val="sr-Cyrl-CS" w:eastAsia="ja-JP"/>
        </w:rPr>
        <w:t>Енергетика Републике Србије налази се пред темељним структурним променама које су условљене како глобалним тако и националним околностима, односно економским, технолошким и еколошким променама и међународно и национално прихваћеним развојним циљевима. У мају 2025. године Влада је усвојила Измене и допунe Полазних основа плана развоја енергетске инфраструктуре и мера енергетске ефикасности за период до 2028. са пројекцијама до 2030. године. За пројекте чија вредност прелази 20 милиона евра, обухваћене су кључне информације као што су очекивани приноси, доприноси зеленој транзицији, потенцијални извори финансирања и друге битне карактеристике пројекта. Повећања цена гаса током 2022. и 2023. године допринела су стабилизацији финансијске ситуације код ЈП „Србијагас”. Та компанија је у 2024. години забележила позитиван финансијски резултат. На почетку грејне сезоне 2024/25, ЈП „Србијагас“ је применио нови систем цена за нерегулисано тржиште. Ова реформа обухватила је увођење нових врста уговора и повећање марже ЈП „Србијагас“, у циљу подршке будућим инвестиционим потребама. У оквиру процеса реструктурирања, успешно је завршен процес сертификације предузећа „Транспортгас Србија“ као независног оператора транспортног система гаса, чиме је формално остварено раздвајање од ЈП „Србијагас“. Завршетак овог процеса представља важан корак ка пуној усаглашености са обавезама преузетим у оквиру европских енергетских прописа. Смањење цена гаса за привреду за око 15% је на снази од 1. маја прошле године. У мају 2025. године продужен је постојећи уговор о снабдевању гасом са компанијом „Гаспром</w:t>
      </w:r>
      <w:r w:rsidR="00D0255D" w:rsidRPr="001B41AD">
        <w:rPr>
          <w:rFonts w:ascii="Calibri" w:eastAsia="Calibri" w:hAnsi="Calibri" w:cs="Calibri"/>
          <w:szCs w:val="20"/>
          <w:lang w:val="sr-Cyrl-CS" w:eastAsia="ja-JP"/>
        </w:rPr>
        <w:t xml:space="preserve"> Њефт“, очекује се </w:t>
      </w:r>
      <w:r w:rsidR="00D0255D" w:rsidRPr="001B41AD">
        <w:rPr>
          <w:rFonts w:ascii="Calibri" w:eastAsia="Calibri" w:hAnsi="Calibri" w:cs="Calibri"/>
          <w:szCs w:val="20"/>
          <w:lang w:val="sr-Cyrl-CS" w:eastAsia="ja-JP"/>
        </w:rPr>
        <w:lastRenderedPageBreak/>
        <w:t xml:space="preserve">закључивање </w:t>
      </w:r>
      <w:r w:rsidRPr="001B41AD">
        <w:rPr>
          <w:rFonts w:ascii="Calibri" w:eastAsia="Calibri" w:hAnsi="Calibri" w:cs="Calibri"/>
          <w:szCs w:val="20"/>
          <w:lang w:val="sr-Cyrl-CS" w:eastAsia="ja-JP"/>
        </w:rPr>
        <w:t xml:space="preserve">новог уговора у наредном периоду, међутим даља сарадња условљена је геополитичким факторима. У међувремену, улаже се у кључну енергетску инфраструктуру, укључујући нове гасне, нафтне и електроенергетске интерконекције са суседним земљама. </w:t>
      </w:r>
      <w:r w:rsidR="00D0255D" w:rsidRPr="001B41AD">
        <w:rPr>
          <w:rFonts w:ascii="Calibri" w:eastAsia="Calibri" w:hAnsi="Calibri" w:cs="Calibri"/>
          <w:szCs w:val="20"/>
          <w:lang w:val="sr-Cyrl-CS" w:eastAsia="ja-JP"/>
        </w:rPr>
        <w:t>Нафтна индустрија Србије (НИС),</w:t>
      </w:r>
      <w:r w:rsidRPr="001B41AD">
        <w:rPr>
          <w:rFonts w:ascii="Calibri" w:eastAsia="Calibri" w:hAnsi="Calibri" w:cs="Calibri"/>
          <w:szCs w:val="20"/>
          <w:lang w:val="sr-Cyrl-CS" w:eastAsia="ja-JP"/>
        </w:rPr>
        <w:t xml:space="preserve"> макроекономски веома значајна компанија, од 8. октобра ове године налази се под америчким санкцијама због фактора који нису под директном контролом</w:t>
      </w:r>
      <w:r w:rsidR="003475DA" w:rsidRPr="001B41AD">
        <w:rPr>
          <w:rFonts w:ascii="Calibri" w:eastAsia="Calibri" w:hAnsi="Calibri" w:cs="Calibri"/>
          <w:szCs w:val="20"/>
          <w:lang w:val="sr-Cyrl-CS" w:eastAsia="ja-JP"/>
        </w:rPr>
        <w:t xml:space="preserve"> државе</w:t>
      </w:r>
      <w:r w:rsidRPr="001B41AD">
        <w:rPr>
          <w:rFonts w:ascii="Calibri" w:eastAsia="Calibri" w:hAnsi="Calibri" w:cs="Calibri"/>
          <w:szCs w:val="20"/>
          <w:lang w:val="sr-Cyrl-CS" w:eastAsia="ja-JP"/>
        </w:rPr>
        <w:t xml:space="preserve">. Траже се модалитети како да се превазиђе настала криза и умање </w:t>
      </w:r>
      <w:r w:rsidR="00D0255D" w:rsidRPr="001B41AD">
        <w:rPr>
          <w:rFonts w:ascii="Calibri" w:eastAsia="Calibri" w:hAnsi="Calibri" w:cs="Calibri"/>
          <w:szCs w:val="20"/>
          <w:lang w:val="sr-Cyrl-CS" w:eastAsia="ja-JP"/>
        </w:rPr>
        <w:t>последице које санкције доносе.</w:t>
      </w:r>
      <w:r w:rsidRPr="001B41AD">
        <w:rPr>
          <w:rFonts w:ascii="Calibri" w:eastAsia="Calibri" w:hAnsi="Calibri" w:cs="Calibri"/>
          <w:szCs w:val="20"/>
          <w:lang w:val="sr-Cyrl-CS" w:eastAsia="ja-JP"/>
        </w:rPr>
        <w:t xml:space="preserve"> </w:t>
      </w:r>
      <w:r w:rsidR="00B71279" w:rsidRPr="001B41AD">
        <w:rPr>
          <w:rFonts w:ascii="Calibri" w:eastAsia="Calibri" w:hAnsi="Calibri" w:cs="Calibri"/>
          <w:szCs w:val="20"/>
          <w:lang w:val="sr-Cyrl-CS" w:eastAsia="ja-JP"/>
        </w:rPr>
        <w:t>Министарство рударства и енергетике, у сарадњи са надлежним институцијама, анализира могуће последице санкција и предузима мере ради ублажавања ефеката на снабдевање, фискалне приходе и привредну активност.</w:t>
      </w:r>
    </w:p>
    <w:p w14:paraId="5F2B2E3D" w14:textId="77777777" w:rsidR="00B63247" w:rsidRPr="001B41AD" w:rsidRDefault="00B63247" w:rsidP="00B63247">
      <w:pPr>
        <w:rPr>
          <w:rFonts w:ascii="Calibri" w:eastAsia="Calibri" w:hAnsi="Calibri" w:cs="Calibri"/>
          <w:szCs w:val="20"/>
          <w:lang w:val="sr-Cyrl-CS" w:eastAsia="ja-JP"/>
        </w:rPr>
      </w:pPr>
      <w:r w:rsidRPr="001B41AD">
        <w:rPr>
          <w:rFonts w:ascii="Calibri" w:eastAsia="Calibri" w:hAnsi="Calibri" w:cs="Calibri"/>
          <w:szCs w:val="20"/>
          <w:lang w:val="sr-Cyrl-CS" w:eastAsia="ja-JP"/>
        </w:rPr>
        <w:t xml:space="preserve">Наставља се спровођење агенде зеленог раста као подршка одрживом развоју. У циљу припрема за примену механизма CBAM (EU Carbon Border Adjustment Mechanism), Република Србија ће усвојити одговарајуће законске акте - </w:t>
      </w:r>
      <w:bookmarkStart w:id="42" w:name="_Hlk212291454"/>
      <w:r w:rsidRPr="001B41AD">
        <w:rPr>
          <w:rFonts w:ascii="Calibri" w:eastAsia="Calibri" w:hAnsi="Calibri" w:cs="Calibri"/>
          <w:szCs w:val="20"/>
          <w:lang w:val="sr-Cyrl-CS" w:eastAsia="ja-JP"/>
        </w:rPr>
        <w:t>Закон о порезу на емисије гасова са ефектом стаклене баште и Закон о порезу на увоз угљенично интензивних производа</w:t>
      </w:r>
      <w:bookmarkEnd w:id="42"/>
      <w:r w:rsidRPr="001B41AD">
        <w:rPr>
          <w:rFonts w:ascii="Calibri" w:eastAsia="Calibri" w:hAnsi="Calibri" w:cs="Calibri"/>
          <w:szCs w:val="20"/>
          <w:lang w:val="sr-Cyrl-CS" w:eastAsia="ja-JP"/>
        </w:rPr>
        <w:t>. Усвојен је Интегрисани национални план за енергију и климу, којим се дефинишу циљеви у области смањења емисија, обновљивих извора и енергетске ефикасности. Планира се наставак подстицања приватних инвестиција у обновљиве изворе енергије. Напомиње се да су 2025. године одржане друге аукције, које, са првим аукцијама укупно доносе 1,2 GW нових приватних инвестиција. С тим у вези, истиче се да ЕПС а.д. ушао у снажан циклус зелених инвестиција са својим портфолиом од 1,2 GW.</w:t>
      </w:r>
    </w:p>
    <w:p w14:paraId="1699BAAC" w14:textId="77777777" w:rsidR="00B63247" w:rsidRPr="001B41AD" w:rsidRDefault="00B63247" w:rsidP="00B63247">
      <w:pPr>
        <w:rPr>
          <w:rFonts w:ascii="Calibri" w:eastAsia="Calibri" w:hAnsi="Calibri" w:cs="Calibri"/>
          <w:color w:val="2F5496" w:themeColor="accent1" w:themeShade="BF"/>
          <w:sz w:val="22"/>
          <w:lang w:val="sr-Cyrl-CS" w:eastAsia="ja-JP"/>
        </w:rPr>
      </w:pPr>
      <w:r w:rsidRPr="001B41AD">
        <w:rPr>
          <w:rFonts w:ascii="Calibri" w:eastAsia="Calibri" w:hAnsi="Calibri" w:cs="Calibri"/>
          <w:color w:val="2F5496" w:themeColor="accent1" w:themeShade="BF"/>
          <w:sz w:val="22"/>
          <w:lang w:val="sr-Cyrl-CS" w:eastAsia="ja-JP"/>
        </w:rPr>
        <w:t>Управљање државним власништвом и реструктурирање државних предузећа</w:t>
      </w:r>
    </w:p>
    <w:p w14:paraId="229B0A2A" w14:textId="77777777" w:rsidR="00B63247" w:rsidRPr="001B41AD" w:rsidRDefault="00B63247" w:rsidP="00B63247">
      <w:pPr>
        <w:rPr>
          <w:rFonts w:ascii="Calibri" w:eastAsia="Calibri" w:hAnsi="Calibri" w:cs="Calibri"/>
          <w:szCs w:val="20"/>
          <w:lang w:val="sr-Cyrl-CS" w:eastAsia="ja-JP"/>
        </w:rPr>
      </w:pPr>
      <w:r w:rsidRPr="001B41AD">
        <w:rPr>
          <w:rFonts w:ascii="Calibri" w:eastAsia="Calibri" w:hAnsi="Calibri" w:cs="Calibri"/>
          <w:szCs w:val="20"/>
          <w:lang w:val="sr-Cyrl-CS" w:eastAsia="ja-JP"/>
        </w:rPr>
        <w:t xml:space="preserve">Влада је, уз подршку </w:t>
      </w:r>
      <w:r w:rsidRPr="001B41AD">
        <w:rPr>
          <w:rFonts w:eastAsia="MS PGothic" w:cstheme="minorHAnsi"/>
          <w:szCs w:val="20"/>
          <w:lang w:val="sr-Cyrl-CS" w:eastAsia="ja-JP"/>
        </w:rPr>
        <w:t>Европске банке за обнову и развој (у даљем тексту: ЕБРД)</w:t>
      </w:r>
      <w:r w:rsidRPr="001B41AD">
        <w:rPr>
          <w:rFonts w:ascii="Calibri" w:eastAsia="Calibri" w:hAnsi="Calibri" w:cs="Calibri"/>
          <w:szCs w:val="20"/>
          <w:lang w:val="sr-Cyrl-CS" w:eastAsia="ja-JP"/>
        </w:rPr>
        <w:t xml:space="preserve">, усвојила Стратегију државног власништва и управљања привредним субјектима који су у власништву Републике Србије за период од 2021. до 2027. године као јединствени акт који пружа стратешку визију и упутства у вези са циљевима власничког управљања, циљевима финансијских и јавних </w:t>
      </w:r>
      <w:r w:rsidRPr="001B41AD">
        <w:rPr>
          <w:rFonts w:ascii="Calibri" w:eastAsia="Calibri" w:hAnsi="Calibri" w:cs="Calibri"/>
          <w:szCs w:val="20"/>
          <w:lang w:val="sr-Cyrl-CS" w:eastAsia="ja-JP"/>
        </w:rPr>
        <w:t>политика, као и принципима корпоративног управљања и надзора у складу са међународним стандардима и најбољом праксом. У априлу прошле године усвојен је Акциони план за имплементацију ове стратегије. Закон о управљању привредним друштвима која су у власништву Републике Србије ступио је на снагу у септембру 2023. године, а почео је да се примењује у септембру 2024. године. Влада остаје посвећена ограничавању издавања државних гаранција. Не планира се издавање нових гаранција за ликвидносну подршку јавним предузећима, нити за предузећа која су била под надлежношћу Агенције за приватизацију. Издавање гаранција биће ограничено на пројектне зајмове од мултилатералних институција који су у складу са инвестиционим и реформским приоритетима.</w:t>
      </w:r>
    </w:p>
    <w:p w14:paraId="30E1B125" w14:textId="77777777" w:rsidR="00B63247" w:rsidRPr="001B41AD" w:rsidRDefault="00B63247" w:rsidP="00B63247">
      <w:pPr>
        <w:rPr>
          <w:rFonts w:ascii="Calibri" w:eastAsia="Calibri" w:hAnsi="Calibri" w:cs="Calibri"/>
          <w:szCs w:val="20"/>
          <w:lang w:val="sr-Cyrl-CS" w:eastAsia="ja-JP"/>
        </w:rPr>
      </w:pPr>
      <w:r w:rsidRPr="001B41AD">
        <w:rPr>
          <w:rFonts w:ascii="Calibri" w:eastAsia="Calibri" w:hAnsi="Calibri" w:cs="Calibri"/>
          <w:szCs w:val="20"/>
          <w:lang w:val="sr-Cyrl-CS" w:eastAsia="ja-JP"/>
        </w:rPr>
        <w:t xml:space="preserve">За предузећа која чине стратешке компаније из портфолија бивше Агенције за приватизацију, решење се налази или кроз приватизационе тендере, или кроз стечај. У буџету су обезбеђена довољна средства за подршку ЈП ПЕУ „Ресавица” на транспарентан начин и обезбеђено је да у будућности не долази до даљег гомилања доцњи у плаћањима према ЕПС а.д. док пред самом компанијом стоји изазов проналажења решења за економски неодрживе руднике који су пред исцрпљењем преосталих резерви угља, као и план рационализације производње и пословања у деловима система у којима анализа покаже да могу да буду економски одрживи, уз наговештај приватизације неких њених делова. Уколико приватизација не буде прихватљива, компанијом ће се управљати у складу са новим Законом о управљању привредним друштвима која су у власништву Републике Србије. </w:t>
      </w:r>
    </w:p>
    <w:p w14:paraId="5D55A1A5" w14:textId="77777777" w:rsidR="00B63247" w:rsidRPr="001B41AD" w:rsidRDefault="00B63247" w:rsidP="00B63247">
      <w:pPr>
        <w:rPr>
          <w:rFonts w:ascii="Calibri" w:eastAsia="Calibri" w:hAnsi="Calibri" w:cs="Calibri"/>
          <w:color w:val="2F5496" w:themeColor="accent1" w:themeShade="BF"/>
          <w:sz w:val="22"/>
          <w:lang w:val="sr-Cyrl-CS" w:eastAsia="ja-JP"/>
        </w:rPr>
      </w:pPr>
      <w:r w:rsidRPr="001B41AD">
        <w:rPr>
          <w:rFonts w:ascii="Calibri" w:eastAsia="Calibri" w:hAnsi="Calibri" w:cs="Calibri"/>
          <w:color w:val="2F5496" w:themeColor="accent1" w:themeShade="BF"/>
          <w:sz w:val="22"/>
          <w:lang w:val="sr-Cyrl-CS" w:eastAsia="ja-JP"/>
        </w:rPr>
        <w:t>Управљање јавним финансијама</w:t>
      </w:r>
    </w:p>
    <w:p w14:paraId="3927228A" w14:textId="77777777" w:rsidR="00B63247" w:rsidRPr="001B41AD" w:rsidRDefault="00B63247" w:rsidP="00B63247">
      <w:pPr>
        <w:rPr>
          <w:rFonts w:ascii="Calibri" w:eastAsia="Calibri" w:hAnsi="Calibri" w:cs="Calibri"/>
          <w:color w:val="44546A"/>
          <w:szCs w:val="20"/>
          <w:lang w:val="sr-Cyrl-CS" w:eastAsia="ja-JP"/>
        </w:rPr>
      </w:pPr>
      <w:r w:rsidRPr="001B41AD">
        <w:rPr>
          <w:rFonts w:ascii="Calibri" w:eastAsia="Calibri" w:hAnsi="Calibri" w:cs="Calibri"/>
          <w:szCs w:val="20"/>
          <w:lang w:val="sr-Cyrl-CS" w:eastAsia="ja-JP"/>
        </w:rPr>
        <w:t xml:space="preserve">Побољшање управљања јавним финансијама </w:t>
      </w:r>
      <w:r w:rsidRPr="001B41AD">
        <w:rPr>
          <w:rFonts w:ascii="Calibri" w:eastAsia="Calibri" w:hAnsi="Calibri" w:cs="Calibri"/>
          <w:color w:val="44546A"/>
          <w:szCs w:val="20"/>
          <w:lang w:val="sr-Cyrl-CS" w:eastAsia="ja-JP"/>
        </w:rPr>
        <w:t xml:space="preserve">је нужно, не само као подршка мерама фискалне стабилизације и структурним реформама, већ као процес који подиже квалитет државне управе и осигурава привлачан амбијент за инвеститоре. У току писања овог документа завршава се израда Програма реформе управљања јавним финансијама за период од 2026–2030. године, чије се усвајање очекује до краја ове године. Наставља </w:t>
      </w:r>
      <w:r w:rsidRPr="001B41AD">
        <w:rPr>
          <w:rFonts w:ascii="Calibri" w:eastAsia="Calibri" w:hAnsi="Calibri" w:cs="Calibri"/>
          <w:color w:val="44546A"/>
          <w:szCs w:val="20"/>
          <w:lang w:val="sr-Cyrl-CS" w:eastAsia="ja-JP"/>
        </w:rPr>
        <w:lastRenderedPageBreak/>
        <w:t xml:space="preserve">се процес јачања значаја средњорочног буџетског оквира, у складу са Акционим планом за унапређење средњорочног буџетског оквира, усвојеним у септембру 2023. године. Циљ овога је да се средњорочно буџетирање учини ефективнијим и више обавезујућим и да се повећа буџетска транспарентност. За буџетски циклус од великог значаја су средњорочни лимити постављени приликом претходног буџетског </w:t>
      </w:r>
      <w:r w:rsidR="00D0255D" w:rsidRPr="001B41AD">
        <w:rPr>
          <w:rFonts w:ascii="Calibri" w:eastAsia="Calibri" w:hAnsi="Calibri" w:cs="Calibri"/>
          <w:color w:val="44546A"/>
          <w:szCs w:val="20"/>
          <w:lang w:val="sr-Cyrl-CS" w:eastAsia="ja-JP"/>
        </w:rPr>
        <w:t>циклуса, који</w:t>
      </w:r>
      <w:r w:rsidRPr="001B41AD">
        <w:rPr>
          <w:rFonts w:ascii="Calibri" w:eastAsia="Calibri" w:hAnsi="Calibri" w:cs="Calibri"/>
          <w:color w:val="44546A"/>
          <w:szCs w:val="20"/>
          <w:lang w:val="sr-Cyrl-CS" w:eastAsia="ja-JP"/>
        </w:rPr>
        <w:t xml:space="preserve"> служе као полазна тачка у разговорима са ресорним министарствима, а и сама министарства су све боље упозната са оваквим приступом буџетирању, што побољшава квалитет њихових процена и пројекција, а самим тим и укупног буџетског процеса. У мају 2025. године усвојена је методологија за израду baseline сценарија буџета, припремљена уз техничку помоћ ММФ, која је примењена у буџетском циклусу за 2026. годину. Очекује се да ће процена фискалног простора постајати све поузданија како корисници буџета буду стицали искуство у примени нових процеса и како се буде побољшавао квалитет података. Након недавно спроведених тестирања, омогућена је размена података између система за прикупљање финансијских планова буџетских корисника и аналитичке платформе за планирање и извештавање. Почев од буџета за 2026. годину, планирано је и укључивање табеле усклађености ради јаснијег приказа промена у буџетским оквирима. Уводи се концепт зеленог буџетирања. У буџетском циклусу за 2025. годину, по први пут је примењена нова методологија за означавање „зелених“ расхода, која је усвојена 2024. године и први пут је објављен „зелени буџет“. Наредни кораци обухватају интеграцију „зеленог анекса“ у систем </w:t>
      </w:r>
      <w:r w:rsidR="00C13E21" w:rsidRPr="001B41AD">
        <w:rPr>
          <w:rFonts w:ascii="Calibri" w:eastAsia="Calibri" w:hAnsi="Calibri" w:cs="Calibri"/>
          <w:color w:val="44546A"/>
          <w:szCs w:val="20"/>
          <w:lang w:val="sr-Cyrl-CS" w:eastAsia="ja-JP"/>
        </w:rPr>
        <w:t>СПИРИ</w:t>
      </w:r>
      <w:r w:rsidRPr="001B41AD">
        <w:rPr>
          <w:rFonts w:ascii="Calibri" w:eastAsia="Calibri" w:hAnsi="Calibri" w:cs="Calibri"/>
          <w:color w:val="44546A"/>
          <w:szCs w:val="20"/>
          <w:lang w:val="sr-Cyrl-CS" w:eastAsia="ja-JP"/>
        </w:rPr>
        <w:t xml:space="preserve">, примену зеленог означавања у буџетима јединица локалне самоуправе, као и додатну обуку буџетских корисника ради прецизнијег препознавања пројеката који се сматрају релевантним за климатске циљеве. </w:t>
      </w:r>
    </w:p>
    <w:p w14:paraId="2D64DBAE" w14:textId="083DAAD7" w:rsidR="00B63247" w:rsidRPr="001B41AD" w:rsidRDefault="00B63247" w:rsidP="00B63247">
      <w:pPr>
        <w:rPr>
          <w:rFonts w:ascii="Calibri" w:eastAsia="Calibri" w:hAnsi="Calibri" w:cs="Calibri"/>
          <w:color w:val="44546A"/>
          <w:szCs w:val="20"/>
          <w:lang w:val="sr-Cyrl-CS" w:eastAsia="ja-JP"/>
        </w:rPr>
      </w:pPr>
      <w:r w:rsidRPr="001B41AD">
        <w:rPr>
          <w:rFonts w:ascii="Calibri" w:eastAsia="Calibri" w:hAnsi="Calibri" w:cs="Calibri"/>
          <w:color w:val="44546A"/>
          <w:szCs w:val="20"/>
          <w:lang w:val="sr-Cyrl-CS" w:eastAsia="ja-JP"/>
        </w:rPr>
        <w:t xml:space="preserve">Систем за припрему, извршење, рачуноводство и извештавање – СПИРИ је информациони систем који на јединствен начин подржава све активности Министарства финансија и Управе за трезор у вези са буџетом Републике Србије, чиме се поједностављује начин рада корисника и омогућава ефикаснији начин управљања </w:t>
      </w:r>
      <w:r w:rsidRPr="001B41AD">
        <w:rPr>
          <w:rFonts w:ascii="Calibri" w:eastAsia="Calibri" w:hAnsi="Calibri" w:cs="Calibri"/>
          <w:color w:val="44546A"/>
          <w:szCs w:val="20"/>
          <w:lang w:val="sr-Cyrl-CS" w:eastAsia="ja-JP"/>
        </w:rPr>
        <w:t>системом јавних финансија. У систем су укључени сви директни корисници буџета, као и индиректни корисници Министарства културе, Министарства за рад, запошљавање, борачка и социјална питања и Управе за извршење кривичних санкција, као и индиректни корисници Министарства спорта, Министарства привреде, Министарства унутрашњих послова и Министарства просвете</w:t>
      </w:r>
      <w:r w:rsidR="00414672" w:rsidRPr="001B41AD">
        <w:rPr>
          <w:rFonts w:ascii="Calibri" w:eastAsia="Calibri" w:hAnsi="Calibri" w:cs="Calibri"/>
          <w:color w:val="44546A"/>
          <w:szCs w:val="20"/>
          <w:lang w:val="sr-Cyrl-CS" w:eastAsia="ja-JP"/>
        </w:rPr>
        <w:t>,</w:t>
      </w:r>
      <w:r w:rsidRPr="001B41AD">
        <w:rPr>
          <w:rFonts w:ascii="Calibri" w:eastAsia="Calibri" w:hAnsi="Calibri" w:cs="Calibri"/>
          <w:color w:val="44546A"/>
          <w:szCs w:val="20"/>
          <w:lang w:val="sr-Cyrl-CS" w:eastAsia="ja-JP"/>
        </w:rPr>
        <w:t xml:space="preserve"> који нису били део претходног система (ИСИБ), којег је СПИРИ заменио почетком 2023. године. Почевши од ове године систем обухвата све индиректне кориснике осим универзитетских установа, локалну самоуправу са индиректним корисницима и АП Војводину. Ово је захтевало обимне тренинге и обуке за будуће кориснике, а биће потребна и додатна подршка током периода имплементације. Захваљујући овим унапређењима значајно ће се побољшати квалитет извештавања о јавним финансијама током године, квалитет самих података због проширења обухвата, транспарентност буџетског процеса и поштовање буџетског календара. Од 2026. године од буџетских корисника ће се захтевати да планиране уговорне расходе унапред доставе Министарству финансија на одобрење, како би се омогућила процена расположивих новчаних средстава пре преузимања финансијских обавеза. Интензивно ће се радити на унапређењу регистра вишегодишњих обавеза, укључујући и податке о капиталним пројектима. Уз техничку подршку ММФ спроводи се анализа пореских расхода, а први извештај на ту тему планирано је да буде завршен и објављен 2026. године. У фебруару 2025. године спроведена је Евалуација фискалне транспарентности (FTE) у сарадњи са ММФ. На основу добијених резултата планирано је настављање консултација са ММФ у циљу унапређења транспарентности фискалних података. То обухвата објављивање додатних информација о финансијским односима између државе и јавних предузећа, фискалним подацима на нивоу општина, </w:t>
      </w:r>
      <w:r w:rsidR="00026924" w:rsidRPr="001B41AD">
        <w:rPr>
          <w:rFonts w:ascii="Calibri" w:eastAsia="Calibri" w:hAnsi="Calibri" w:cs="Calibri"/>
          <w:color w:val="44546A"/>
          <w:szCs w:val="20"/>
          <w:lang w:val="sr-Cyrl-CS" w:eastAsia="ja-JP"/>
        </w:rPr>
        <w:t>јавно приватним</w:t>
      </w:r>
      <w:r w:rsidRPr="001B41AD">
        <w:rPr>
          <w:rFonts w:ascii="Calibri" w:eastAsia="Calibri" w:hAnsi="Calibri" w:cs="Calibri"/>
          <w:color w:val="44546A"/>
          <w:szCs w:val="20"/>
          <w:lang w:val="sr-Cyrl-CS" w:eastAsia="ja-JP"/>
        </w:rPr>
        <w:t xml:space="preserve"> партнерствима (ЈПП), накнадама за експлоатацију минералних ресурса и субвенцијама државним предузећима. Идуће године очекује се ревизија Закона о јавно-приватном партнерству и концесијама тако да сва ЈПП на локалном нивоу величине преко 50 милиона евра морају добити сагл</w:t>
      </w:r>
      <w:r w:rsidR="00026924" w:rsidRPr="001B41AD">
        <w:rPr>
          <w:rFonts w:ascii="Calibri" w:eastAsia="Calibri" w:hAnsi="Calibri" w:cs="Calibri"/>
          <w:color w:val="44546A"/>
          <w:szCs w:val="20"/>
          <w:lang w:val="sr-Cyrl-CS" w:eastAsia="ja-JP"/>
        </w:rPr>
        <w:t>асност Министарства финансија</w:t>
      </w:r>
      <w:r w:rsidR="00DF4460" w:rsidRPr="001B41AD">
        <w:rPr>
          <w:rFonts w:ascii="Calibri" w:eastAsia="Calibri" w:hAnsi="Calibri" w:cs="Calibri"/>
          <w:color w:val="44546A"/>
          <w:szCs w:val="20"/>
          <w:lang w:val="sr-Cyrl-CS" w:eastAsia="ja-JP"/>
        </w:rPr>
        <w:t xml:space="preserve">. </w:t>
      </w:r>
      <w:r w:rsidRPr="001B41AD">
        <w:rPr>
          <w:rFonts w:ascii="Calibri" w:eastAsia="Calibri" w:hAnsi="Calibri" w:cs="Calibri"/>
          <w:color w:val="44546A"/>
          <w:szCs w:val="20"/>
          <w:lang w:val="sr-Cyrl-CS" w:eastAsia="ja-JP"/>
        </w:rPr>
        <w:t xml:space="preserve">Почев од </w:t>
      </w:r>
      <w:r w:rsidRPr="001B41AD">
        <w:rPr>
          <w:rFonts w:ascii="Calibri" w:eastAsia="Calibri" w:hAnsi="Calibri" w:cs="Calibri"/>
          <w:color w:val="44546A"/>
          <w:szCs w:val="20"/>
          <w:lang w:val="sr-Cyrl-CS" w:eastAsia="ja-JP"/>
        </w:rPr>
        <w:lastRenderedPageBreak/>
        <w:t xml:space="preserve">Закона о буџету за </w:t>
      </w:r>
      <w:r w:rsidR="00026924" w:rsidRPr="001B41AD">
        <w:rPr>
          <w:rFonts w:ascii="Calibri" w:eastAsia="Calibri" w:hAnsi="Calibri" w:cs="Calibri"/>
          <w:color w:val="44546A"/>
          <w:szCs w:val="20"/>
          <w:lang w:val="sr-Cyrl-CS" w:eastAsia="ja-JP"/>
        </w:rPr>
        <w:t>2026</w:t>
      </w:r>
      <w:r w:rsidRPr="001B41AD">
        <w:rPr>
          <w:rFonts w:ascii="Calibri" w:eastAsia="Calibri" w:hAnsi="Calibri" w:cs="Calibri"/>
          <w:color w:val="44546A"/>
          <w:szCs w:val="20"/>
          <w:lang w:val="sr-Cyrl-CS" w:eastAsia="ja-JP"/>
        </w:rPr>
        <w:t>. годину, Анекси 2 и 3 (Извештаји о извршењу буџета Републике Србије) биће проширени тако да укључују податке о приходима, расходима и финансирању за претходне две године.</w:t>
      </w:r>
    </w:p>
    <w:p w14:paraId="114C69FF" w14:textId="77777777" w:rsidR="00B63247" w:rsidRPr="001B41AD" w:rsidRDefault="00B63247" w:rsidP="00B63247">
      <w:pPr>
        <w:rPr>
          <w:rFonts w:eastAsia="MS PGothic" w:cstheme="minorHAnsi"/>
          <w:szCs w:val="20"/>
          <w:highlight w:val="yellow"/>
          <w:lang w:val="sr-Cyrl-CS" w:eastAsia="ja-JP"/>
        </w:rPr>
      </w:pPr>
      <w:r w:rsidRPr="001B41AD">
        <w:rPr>
          <w:rFonts w:eastAsia="MS PGothic" w:cstheme="minorHAnsi"/>
          <w:szCs w:val="20"/>
          <w:lang w:val="sr-Cyrl-CS" w:eastAsia="ja-JP"/>
        </w:rPr>
        <w:t xml:space="preserve">У циљу унапређења система управљања јавним инвестицијама, а имајући нарочито у виду развојни план „Скок у будућност 2027ˮ, који укључује капиталне пројекте у области саобраћајне инфраструктуре, </w:t>
      </w:r>
      <w:r w:rsidRPr="001B41AD">
        <w:rPr>
          <w:rFonts w:eastAsia="MS PGothic" w:cstheme="minorHAnsi"/>
          <w:i/>
          <w:szCs w:val="20"/>
          <w:lang w:val="sr-Cyrl-CS" w:eastAsia="ja-JP"/>
        </w:rPr>
        <w:t>EXPO 2027</w:t>
      </w:r>
      <w:r w:rsidRPr="001B41AD">
        <w:rPr>
          <w:rFonts w:eastAsia="MS PGothic" w:cstheme="minorHAnsi"/>
          <w:szCs w:val="20"/>
          <w:lang w:val="sr-Cyrl-CS" w:eastAsia="ja-JP"/>
        </w:rPr>
        <w:t xml:space="preserve"> и изград</w:t>
      </w:r>
      <w:r w:rsidR="00B17E1F" w:rsidRPr="001B41AD">
        <w:rPr>
          <w:rFonts w:eastAsia="MS PGothic" w:cstheme="minorHAnsi"/>
          <w:szCs w:val="20"/>
          <w:lang w:val="sr-Cyrl-CS" w:eastAsia="ja-JP"/>
        </w:rPr>
        <w:t>њ</w:t>
      </w:r>
      <w:r w:rsidRPr="001B41AD">
        <w:rPr>
          <w:rFonts w:eastAsia="MS PGothic" w:cstheme="minorHAnsi"/>
          <w:szCs w:val="20"/>
          <w:lang w:val="sr-Cyrl-CS" w:eastAsia="ja-JP"/>
        </w:rPr>
        <w:t xml:space="preserve">у комуналне инфраструктуре, у укупном износу </w:t>
      </w:r>
      <w:r w:rsidRPr="001B41AD">
        <w:rPr>
          <w:rFonts w:eastAsia="MS PGothic" w:cstheme="minorHAnsi"/>
          <w:color w:val="1F3864" w:themeColor="accent1" w:themeShade="80"/>
          <w:szCs w:val="20"/>
          <w:lang w:val="sr-Cyrl-CS" w:eastAsia="ja-JP"/>
        </w:rPr>
        <w:t>од око 14,6 млрд евра</w:t>
      </w:r>
      <w:r w:rsidRPr="001B41AD">
        <w:rPr>
          <w:rFonts w:eastAsia="MS PGothic" w:cstheme="minorHAnsi"/>
          <w:szCs w:val="20"/>
          <w:lang w:val="sr-Cyrl-CS" w:eastAsia="ja-JP"/>
        </w:rPr>
        <w:t>.</w:t>
      </w:r>
      <w:r w:rsidRPr="001B41AD">
        <w:rPr>
          <w:rFonts w:eastAsia="MS PGothic" w:cstheme="minorHAnsi"/>
          <w:color w:val="FF0000"/>
          <w:szCs w:val="20"/>
          <w:lang w:val="sr-Cyrl-CS" w:eastAsia="ja-JP"/>
        </w:rPr>
        <w:t xml:space="preserve"> </w:t>
      </w:r>
      <w:r w:rsidRPr="001B41AD">
        <w:rPr>
          <w:rFonts w:eastAsia="MS PGothic" w:cstheme="minorHAnsi"/>
          <w:szCs w:val="20"/>
          <w:lang w:val="sr-Cyrl-CS" w:eastAsia="ja-JP"/>
        </w:rPr>
        <w:t>Министарство финансија је током 2025. године наставило са применом успостављене правне регулативе како би се омогућило спровођење пројектног циклуса. Важећи правни оквир наставио је да обезбеђује предуслове за правилну селекцију капиталних пројеката, чиме се омогућује да у буџетску пројекцију буду уврштени само спремни капитални пројекти, те се на тај начин постиже адекватно планирање и ефикасниј</w:t>
      </w:r>
      <w:r w:rsidR="00DF4460" w:rsidRPr="001B41AD">
        <w:rPr>
          <w:rFonts w:eastAsia="MS PGothic" w:cstheme="minorHAnsi"/>
          <w:szCs w:val="20"/>
          <w:lang w:val="sr-Cyrl-CS" w:eastAsia="ja-JP"/>
        </w:rPr>
        <w:t xml:space="preserve">е трошење буџетских средстава. </w:t>
      </w:r>
      <w:r w:rsidRPr="001B41AD">
        <w:rPr>
          <w:rFonts w:eastAsia="MS PGothic" w:cstheme="minorHAnsi"/>
          <w:szCs w:val="20"/>
          <w:lang w:val="sr-Cyrl-CS" w:eastAsia="ja-JP"/>
        </w:rPr>
        <w:t>У складу са Уредбом о капиталним пројектима, Министарство финансија је током претходног периода донело пет правилника којима се ближе уређује примена њених одредби и тиме је знатно олакшано спровођење пројектног циклуса за све актере. Предметна уредба предвиђа критеријуме за поделу и класификацију капиталних пројеката, узимајући у обзир процењене трошкове за његову реализацију, извор финансирања и ниво власти који спроводи капитални пројекат, а с циљем да сви капитални пројекти који могу имати значајне импликације на републичком, покрајинском или локалном нивоу буду на јединствен начин предложени, оцењени, селектовани и праћени. Ради успостављања система свеобухватног и јединственог управљања јавним инвестицијама, Уредбом о капиталним пројектима прописана је и обавеза евидентирања и праћења капиталних пројеката од посебног значаја за Републику Србију као и пројеката који се реализују путем јавно-приватног партнерства, односно концесије.</w:t>
      </w:r>
    </w:p>
    <w:p w14:paraId="3B8B0F90" w14:textId="77777777" w:rsidR="00B63247" w:rsidRPr="001B41AD" w:rsidRDefault="00B63247" w:rsidP="00B63247">
      <w:pPr>
        <w:rPr>
          <w:rFonts w:eastAsia="MS PGothic" w:cstheme="minorHAnsi"/>
          <w:szCs w:val="20"/>
          <w:lang w:val="sr-Cyrl-CS" w:eastAsia="ja-JP"/>
        </w:rPr>
      </w:pPr>
      <w:r w:rsidRPr="001B41AD">
        <w:rPr>
          <w:rFonts w:eastAsia="MS PGothic" w:cstheme="minorHAnsi"/>
          <w:szCs w:val="20"/>
          <w:lang w:val="sr-Cyrl-CS" w:eastAsia="ja-JP"/>
        </w:rPr>
        <w:t>Такође, одредбама Уредбе о капиталним пројектима, дефинисано је да Комисија за капиталне инвестиције и Поткомисија представљају радна тела која образује Влада. Сходно наведеном, Влада</w:t>
      </w:r>
      <w:r w:rsidR="00390C98" w:rsidRPr="001B41AD">
        <w:rPr>
          <w:rFonts w:eastAsia="MS PGothic" w:cstheme="minorHAnsi"/>
          <w:szCs w:val="20"/>
          <w:lang w:val="sr-Cyrl-CS" w:eastAsia="ja-JP"/>
        </w:rPr>
        <w:t xml:space="preserve"> је донела Одлуку о </w:t>
      </w:r>
      <w:r w:rsidR="00390C98" w:rsidRPr="001B41AD">
        <w:rPr>
          <w:rFonts w:eastAsia="MS PGothic" w:cstheme="minorHAnsi"/>
          <w:szCs w:val="20"/>
          <w:lang w:val="sr-Cyrl-CS" w:eastAsia="ja-JP"/>
        </w:rPr>
        <w:t>образовању К</w:t>
      </w:r>
      <w:r w:rsidRPr="001B41AD">
        <w:rPr>
          <w:rFonts w:eastAsia="MS PGothic" w:cstheme="minorHAnsi"/>
          <w:szCs w:val="20"/>
          <w:lang w:val="sr-Cyrl-CS" w:eastAsia="ja-JP"/>
        </w:rPr>
        <w:t xml:space="preserve">омисије за капиталне инвестиције, као и Одлуку о образовању </w:t>
      </w:r>
      <w:r w:rsidR="00390C98" w:rsidRPr="001B41AD">
        <w:rPr>
          <w:rFonts w:eastAsia="MS PGothic" w:cstheme="minorHAnsi"/>
          <w:szCs w:val="20"/>
          <w:lang w:val="sr-Cyrl-CS" w:eastAsia="ja-JP"/>
        </w:rPr>
        <w:t>П</w:t>
      </w:r>
      <w:r w:rsidRPr="001B41AD">
        <w:rPr>
          <w:rFonts w:eastAsia="MS PGothic" w:cstheme="minorHAnsi"/>
          <w:szCs w:val="20"/>
          <w:lang w:val="sr-Cyrl-CS" w:eastAsia="ja-JP"/>
        </w:rPr>
        <w:t>откомисије за капиталне инвестиције, а након чега је 8. фебруара 2024. године одржана заједничка конститутивна седница Комисије за капиталне инвестиције и Поткомисије. На конститутивној седници, усвојен је Пословник о раду Комисије за капиталне инвестиције којим је уређен њен начин рада и одлучивања, као и начин рада и одлучивања Поткомисије, чиме је створен неопходан предуслов за несметан рад ових радних тела. Поред наведеног, на конститутивној седници усвојена је јединствена листа пројектних идеја која ће бити предложена за финансирање из средстава Инвестиционог оквира за Западни Балкан.</w:t>
      </w:r>
    </w:p>
    <w:p w14:paraId="60E0DC6E" w14:textId="77777777" w:rsidR="00B63247" w:rsidRPr="001B41AD" w:rsidRDefault="00B63247" w:rsidP="00B63247">
      <w:pPr>
        <w:rPr>
          <w:rFonts w:eastAsia="MS PGothic" w:cstheme="minorHAnsi"/>
          <w:szCs w:val="20"/>
          <w:lang w:val="sr-Cyrl-CS" w:eastAsia="ja-JP"/>
        </w:rPr>
      </w:pPr>
      <w:r w:rsidRPr="001B41AD">
        <w:rPr>
          <w:rFonts w:eastAsia="MS PGothic" w:cstheme="minorHAnsi"/>
          <w:szCs w:val="20"/>
          <w:lang w:val="sr-Cyrl-CS" w:eastAsia="ja-JP"/>
        </w:rPr>
        <w:t>Током 2024. године Комисија за капиталне инвестиције и Поткомисија спроводиле су активности у складу са утврђеним надлежностима, одржавајући редовне и ванредне седнице ради разматрања и усвајања предложених листа капиталних пројеката.</w:t>
      </w:r>
    </w:p>
    <w:p w14:paraId="2D754EFD" w14:textId="77777777" w:rsidR="00B63247" w:rsidRPr="001B41AD" w:rsidRDefault="00B63247" w:rsidP="00B63247">
      <w:pPr>
        <w:rPr>
          <w:rFonts w:eastAsia="MS PGothic" w:cstheme="minorHAnsi"/>
          <w:szCs w:val="20"/>
          <w:lang w:val="sr-Cyrl-CS" w:eastAsia="ja-JP"/>
        </w:rPr>
      </w:pPr>
      <w:r w:rsidRPr="001B41AD">
        <w:rPr>
          <w:rFonts w:eastAsia="MS PGothic" w:cstheme="minorHAnsi"/>
          <w:szCs w:val="20"/>
          <w:lang w:val="sr-Cyrl-CS" w:eastAsia="ja-JP"/>
        </w:rPr>
        <w:t>У јануару 2025. године одржана је друга ванредна седница Комисије за капиталне инвестиције и Поткомисије, на којој је, поред разматрања и усвајања Предлога листе пројеката у припреми, усвојена и Одлука о индикативном рангирању капиталних пројеката чије се кандидовање планира за финансирање из Инструмента за реформе и раст кроз Инвестициони оквир за Западни Балкан 2024–2027.</w:t>
      </w:r>
    </w:p>
    <w:p w14:paraId="08641063" w14:textId="77777777" w:rsidR="00B63247" w:rsidRPr="001B41AD" w:rsidRDefault="00B63247" w:rsidP="00B63247">
      <w:pPr>
        <w:rPr>
          <w:rFonts w:eastAsia="MS PGothic" w:cstheme="minorHAnsi"/>
          <w:szCs w:val="20"/>
          <w:lang w:val="sr-Cyrl-CS" w:eastAsia="ja-JP"/>
        </w:rPr>
      </w:pPr>
      <w:r w:rsidRPr="001B41AD">
        <w:rPr>
          <w:rFonts w:eastAsia="MS PGothic" w:cstheme="minorHAnsi"/>
          <w:szCs w:val="20"/>
          <w:lang w:val="sr-Cyrl-CS" w:eastAsia="ja-JP"/>
        </w:rPr>
        <w:t xml:space="preserve">У наставку активности, четврта редовна седница Комисије за капиталне инвестиције одржана је 11. септембра 2025. године, на којој су усвојени Предлог листе пројектних идеја, Предлог листе пројеката у припреми и Предлог листе припремљених пројеката, као и донете одлуке у вези са пројектима који су предложени за корекцију. </w:t>
      </w:r>
    </w:p>
    <w:p w14:paraId="01D55C97" w14:textId="77777777" w:rsidR="00B63247" w:rsidRPr="001B41AD" w:rsidRDefault="00DF4460" w:rsidP="00B63247">
      <w:pPr>
        <w:rPr>
          <w:rFonts w:eastAsia="MS PGothic" w:cstheme="minorHAnsi"/>
          <w:szCs w:val="20"/>
          <w:lang w:val="sr-Cyrl-CS" w:eastAsia="ja-JP"/>
        </w:rPr>
      </w:pPr>
      <w:r w:rsidRPr="001B41AD">
        <w:rPr>
          <w:rFonts w:eastAsia="MS PGothic" w:cstheme="minorHAnsi"/>
          <w:szCs w:val="20"/>
          <w:lang w:val="sr-Cyrl-CS" w:eastAsia="ja-JP"/>
        </w:rPr>
        <w:t xml:space="preserve">У складу са закључцима </w:t>
      </w:r>
      <w:r w:rsidR="00B63247" w:rsidRPr="001B41AD">
        <w:rPr>
          <w:rFonts w:eastAsia="MS PGothic" w:cstheme="minorHAnsi"/>
          <w:szCs w:val="20"/>
          <w:lang w:val="sr-Cyrl-CS" w:eastAsia="ja-JP"/>
        </w:rPr>
        <w:t xml:space="preserve">одржаног Стратешког политичког </w:t>
      </w:r>
      <w:r w:rsidRPr="001B41AD">
        <w:rPr>
          <w:rFonts w:eastAsia="MS PGothic" w:cstheme="minorHAnsi"/>
          <w:szCs w:val="20"/>
          <w:lang w:val="sr-Cyrl-CS" w:eastAsia="ja-JP"/>
        </w:rPr>
        <w:t>дијалога о реформи јавне управе</w:t>
      </w:r>
      <w:r w:rsidR="00B63247" w:rsidRPr="001B41AD">
        <w:rPr>
          <w:rFonts w:eastAsia="MS PGothic" w:cstheme="minorHAnsi"/>
          <w:szCs w:val="20"/>
          <w:lang w:val="sr-Cyrl-CS" w:eastAsia="ja-JP"/>
        </w:rPr>
        <w:t xml:space="preserve"> у окт</w:t>
      </w:r>
      <w:r w:rsidR="00026924" w:rsidRPr="001B41AD">
        <w:rPr>
          <w:rFonts w:eastAsia="MS PGothic" w:cstheme="minorHAnsi"/>
          <w:szCs w:val="20"/>
          <w:lang w:val="sr-Cyrl-CS" w:eastAsia="ja-JP"/>
        </w:rPr>
        <w:t>обру 2024. године са Европском комисијом</w:t>
      </w:r>
      <w:r w:rsidRPr="001B41AD">
        <w:rPr>
          <w:rFonts w:eastAsia="MS PGothic" w:cstheme="minorHAnsi"/>
          <w:szCs w:val="20"/>
          <w:lang w:val="sr-Cyrl-CS" w:eastAsia="ja-JP"/>
        </w:rPr>
        <w:t>,</w:t>
      </w:r>
      <w:r w:rsidR="00B63247" w:rsidRPr="001B41AD">
        <w:rPr>
          <w:rFonts w:eastAsia="MS PGothic" w:cstheme="minorHAnsi"/>
          <w:szCs w:val="20"/>
          <w:lang w:val="sr-Cyrl-CS" w:eastAsia="ja-JP"/>
        </w:rPr>
        <w:t xml:space="preserve"> Министарство финансија се обавезало да ће до децембра 2026. године, уз претходну консултацију са Европском комисијом, усвојити Документ о политикама и пратећи временски ограничени Акциони план за унапређење управљања јавним </w:t>
      </w:r>
      <w:r w:rsidR="00B63247" w:rsidRPr="001B41AD">
        <w:rPr>
          <w:rFonts w:eastAsia="MS PGothic" w:cstheme="minorHAnsi"/>
          <w:szCs w:val="20"/>
          <w:lang w:val="sr-Cyrl-CS" w:eastAsia="ja-JP"/>
        </w:rPr>
        <w:lastRenderedPageBreak/>
        <w:t xml:space="preserve">инвестицијама, као и да ће до краја децембра 2027. године, уз претходну консултацију са Европском комисијом, као и са најбољим међународним стандардима, имати усвојен унапређени правни оквир за управљање јавним инвестицијама, који успоставља јединствен, свеобухватан и транспарентан механизам за приоритизацију свих јавних инвестиција без обзира на врсту и извор финансирања. </w:t>
      </w:r>
    </w:p>
    <w:p w14:paraId="714DD04A" w14:textId="77777777" w:rsidR="00B63247" w:rsidRPr="001B41AD" w:rsidRDefault="00B63247" w:rsidP="00B63247">
      <w:pPr>
        <w:rPr>
          <w:rFonts w:eastAsia="MS PGothic" w:cstheme="minorHAnsi"/>
          <w:szCs w:val="20"/>
          <w:lang w:val="sr-Cyrl-CS" w:eastAsia="ja-JP"/>
        </w:rPr>
      </w:pPr>
      <w:r w:rsidRPr="001B41AD">
        <w:rPr>
          <w:rFonts w:eastAsia="MS PGothic" w:cstheme="minorHAnsi"/>
          <w:szCs w:val="20"/>
          <w:lang w:val="sr-Cyrl-CS" w:eastAsia="ja-JP"/>
        </w:rPr>
        <w:t xml:space="preserve">Током 2025. године израђен је Документ о политикама у области управљања јавним инвестицијама, у складу са преузетим обавезама из Стратешког политичког дијалога. За наведени документ спроведен је поступак јавних консултација у складу са Законом о планском систему, након чега је документ достављен Европској комисији. У наредном периоду, Министарство финансија ће, уз консултације са Европском комисијом радити на изради пратећег Акционог плана, како би оба документа била предложена за усвајање од стране Владе у складу са утврђеним роковима. Сектор за капиталне пројекте Министарства финансија је на последњој Комисији за капиталне инвестиције упознао чланове Комисије са израђеним Концептом политика (Полазне основе за израду мапа пута у области јавних инвестиција), као и са нацртом извештаја о спроведеним јавним консултацијама за наведени документ. Овим активностима постављени су темељи за израду Акционог плана, односно Мапа пута у области јавних инвестиција. Паралелно са радом на унапређењу правног оквира, одвијао се рад на надоградњи Централизоване базе капиталних пројеката (Public Investment Management Information System - у даљем тексту: PIMIS) која је прилагођена новом правном оквиру. Креиран је информациони систем који ће омогућити свеобухватно и транспарентно спровођење пројектног циклуса дефинисаног Уредбом о капиталним пројектима. Успостављањем и операционализацијом PIMIS постигло се: побољшање брзине и ефикасности пословних процеса у области праћења капиталних пројеката, једноставнији приступ и систем одобрења, уз минимизацију грешака приликом уноса података и унос пројектне документације у свим фазама пројектног циклуса. </w:t>
      </w:r>
    </w:p>
    <w:p w14:paraId="513C9302" w14:textId="77777777" w:rsidR="00B63247" w:rsidRPr="001B41AD" w:rsidRDefault="00B63247" w:rsidP="00B63247">
      <w:pPr>
        <w:rPr>
          <w:rFonts w:ascii="Calibri" w:eastAsia="Calibri" w:hAnsi="Calibri" w:cs="Calibri"/>
          <w:color w:val="44546A"/>
          <w:szCs w:val="20"/>
          <w:lang w:val="sr-Cyrl-CS" w:eastAsia="ja-JP"/>
        </w:rPr>
      </w:pPr>
      <w:r w:rsidRPr="001B41AD">
        <w:rPr>
          <w:rFonts w:ascii="Calibri" w:eastAsia="Calibri" w:hAnsi="Calibri" w:cs="Calibri"/>
          <w:color w:val="44546A"/>
          <w:szCs w:val="20"/>
          <w:lang w:val="sr-Cyrl-CS" w:eastAsia="ja-JP"/>
        </w:rPr>
        <w:t xml:space="preserve">Реформе у области управљања јавним набавкама су такође веома важна област с обзиром на велики значај и вредност јавних инвестиција. Важећи Закон о јавним набавкама, припремљен уз подршку ЕУ, усклађен је са правним тековинама ЕУ и има за циљ да унапреди конкурентност и транспарентност у поступцима. С тим у вези </w:t>
      </w:r>
      <w:r w:rsidRPr="001B41AD">
        <w:rPr>
          <w:rFonts w:ascii="Calibri" w:eastAsia="Calibri" w:hAnsi="Calibri" w:cs="Calibri"/>
          <w:szCs w:val="20"/>
          <w:lang w:val="sr-Cyrl-CS" w:eastAsia="ja-JP"/>
        </w:rPr>
        <w:t xml:space="preserve">Управа за јавне набавке наставиће да прати и на годишњем нивоу извештава </w:t>
      </w:r>
      <w:r w:rsidRPr="001B41AD">
        <w:rPr>
          <w:rFonts w:ascii="Calibri" w:eastAsia="Calibri" w:hAnsi="Calibri" w:cs="Calibri"/>
          <w:color w:val="44546A"/>
          <w:szCs w:val="20"/>
          <w:lang w:val="sr-Cyrl-CS" w:eastAsia="ja-JP"/>
        </w:rPr>
        <w:t>о свим јавним набавкама укључујући у наредном периоду и оне које су изузете из режима редовних јавних набавки према овом закону, као и навођење по ком основу су та изузећа учињена. Убудуће је потребно обезбедити континуирано усклађивање целокупног оквира јавних набавки с правним тековинама ЕУ. Такође, потребно је обезбедити да се све трансакције набавки у јавном сектору одвијају путем портала е-набавке уз настојање да се створе услови за повећање броја понуда по поступку. Имајући то у виду, ради се на унапређењу функционалности Портала јавних набавки како би била олакшана примена одредби Закона о јавним набавкама. Такође, спроводе се обуке за службенике јавних набавки, као и за полицијске службенике у вези праћења јавних набавки и најчешћих неправилности у овој области.</w:t>
      </w:r>
    </w:p>
    <w:p w14:paraId="1BE08254" w14:textId="6EC8AD98" w:rsidR="00B63247" w:rsidRPr="001B41AD" w:rsidRDefault="00B63247" w:rsidP="00B63247">
      <w:pPr>
        <w:rPr>
          <w:rFonts w:ascii="Calibri" w:eastAsia="Calibri" w:hAnsi="Calibri" w:cs="Calibri"/>
          <w:szCs w:val="20"/>
          <w:lang w:val="sr-Cyrl-CS" w:eastAsia="ja-JP"/>
        </w:rPr>
      </w:pPr>
      <w:r w:rsidRPr="001B41AD">
        <w:rPr>
          <w:rFonts w:ascii="Calibri" w:eastAsia="Calibri" w:hAnsi="Calibri" w:cs="Calibri"/>
          <w:szCs w:val="20"/>
          <w:lang w:val="sr-Cyrl-CS" w:eastAsia="ja-JP"/>
        </w:rPr>
        <w:t>Успешно се спроводи нови Акциони план трансформације Пореске управе за период 2021–2025. године, који је усвојен у мају 2021. године и који дефинише стратешке смернице и временске рокове у којим</w:t>
      </w:r>
      <w:r w:rsidR="003F15EF" w:rsidRPr="001B41AD">
        <w:rPr>
          <w:rFonts w:ascii="Calibri" w:eastAsia="Calibri" w:hAnsi="Calibri" w:cs="Calibri"/>
          <w:szCs w:val="20"/>
          <w:lang w:val="sr-Cyrl-CS" w:eastAsia="ja-JP"/>
        </w:rPr>
        <w:t>а</w:t>
      </w:r>
      <w:r w:rsidRPr="001B41AD">
        <w:rPr>
          <w:rFonts w:ascii="Calibri" w:eastAsia="Calibri" w:hAnsi="Calibri" w:cs="Calibri"/>
          <w:szCs w:val="20"/>
          <w:lang w:val="sr-Cyrl-CS" w:eastAsia="ja-JP"/>
        </w:rPr>
        <w:t xml:space="preserve"> ће бити спроведене активности потребне за стварање модерне пореске администрације, која ће, уз коришћење савремених електронских процеса, пружити бољу и свеобухватнију услугу пореским обвезницима и бољу контролу и наплату прихода, односно поспешити борбу против сиве економије, заједно са реформом и модернизацијом инспекцијског надзора. Реформа Пореске управе наставља се уз примену препорука ММФ и уз подршку Светске банке. У мају 2022. године уведен је нови модел фискализације (е-фискализација), на основу којег је извршен први круг ревизија. Нови систем је допринео смањењу неусклађености код пореских обвезника и мањем броју негативних мишљења ревизије. Систем за електронску размену фактура (е-фактура) је био следећи корак који је </w:t>
      </w:r>
      <w:r w:rsidRPr="001B41AD">
        <w:rPr>
          <w:rFonts w:ascii="Calibri" w:eastAsia="Calibri" w:hAnsi="Calibri" w:cs="Calibri"/>
          <w:szCs w:val="20"/>
          <w:lang w:val="sr-Cyrl-CS" w:eastAsia="ja-JP"/>
        </w:rPr>
        <w:lastRenderedPageBreak/>
        <w:t>имплементиран почетком 2023. године. Спроведена је набавка новог комерцијалног софтверског система у оквиру пројекта модернизације Пореске управе који се спроводи уз подршку Светске банке и очекује се почетак имплементације. Рад система биће подржан новим информационим системом за управљање људским ресурсима, чиј</w:t>
      </w:r>
      <w:r w:rsidR="00C95C69" w:rsidRPr="001B41AD">
        <w:rPr>
          <w:rFonts w:ascii="Calibri" w:eastAsia="Calibri" w:hAnsi="Calibri" w:cs="Calibri"/>
          <w:szCs w:val="20"/>
          <w:lang w:val="sr-Cyrl-CS" w:eastAsia="ja-JP"/>
        </w:rPr>
        <w:t>и</w:t>
      </w:r>
      <w:r w:rsidRPr="001B41AD">
        <w:rPr>
          <w:rFonts w:ascii="Calibri" w:eastAsia="Calibri" w:hAnsi="Calibri" w:cs="Calibri"/>
          <w:szCs w:val="20"/>
          <w:lang w:val="sr-Cyrl-CS" w:eastAsia="ja-JP"/>
        </w:rPr>
        <w:t xml:space="preserve"> се почетак увођења очекује до краја 2025. године, као и системима за управљање документима и архивом. Контину</w:t>
      </w:r>
      <w:r w:rsidR="00026924" w:rsidRPr="001B41AD">
        <w:rPr>
          <w:rFonts w:ascii="Calibri" w:eastAsia="Calibri" w:hAnsi="Calibri" w:cs="Calibri"/>
          <w:szCs w:val="20"/>
          <w:lang w:val="sr-Cyrl-CS" w:eastAsia="ja-JP"/>
        </w:rPr>
        <w:t>ира</w:t>
      </w:r>
      <w:r w:rsidRPr="001B41AD">
        <w:rPr>
          <w:rFonts w:ascii="Calibri" w:eastAsia="Calibri" w:hAnsi="Calibri" w:cs="Calibri"/>
          <w:szCs w:val="20"/>
          <w:lang w:val="sr-Cyrl-CS" w:eastAsia="ja-JP"/>
        </w:rPr>
        <w:t>но се ради на праћењу и анализи ПДВ јаза и јаза пореза на добит, где се тренутно врши анализа недостатака у подацима и прилагођавање аналитичких алата. Пореска управа објављује спискове највећих пореских дужника, односно обавештење о износу пореског дуга пореских обвезника чији дуг превазилази 20 милиона динара и наставиће са овом праксом бар једном годишње. Усвајањем Закона о утврђивању порекла имовине и посебном порезу и образовањем посебне организационе јединице Пореске управе, створили су се услови за унакрсну анализу имовине и прихода лица, а први случајеви ревизије су завршени током прошле године. Наставиће се са јачањем ове организационе јединице. Решавање кадровских проблема у Пореској управи</w:t>
      </w:r>
      <w:r w:rsidR="005600FD" w:rsidRPr="001B41AD">
        <w:rPr>
          <w:rFonts w:ascii="Calibri" w:eastAsia="Calibri" w:hAnsi="Calibri" w:cs="Calibri"/>
          <w:szCs w:val="20"/>
          <w:lang w:val="sr-Cyrl-CS" w:eastAsia="ja-JP"/>
        </w:rPr>
        <w:t xml:space="preserve"> </w:t>
      </w:r>
      <w:r w:rsidRPr="001B41AD">
        <w:rPr>
          <w:rFonts w:ascii="Calibri" w:eastAsia="Calibri" w:hAnsi="Calibri" w:cs="Calibri"/>
          <w:szCs w:val="20"/>
          <w:lang w:val="sr-Cyrl-CS" w:eastAsia="ja-JP"/>
        </w:rPr>
        <w:t xml:space="preserve">представља хитан и важан задатак. Пореска управа се суочава са одливом запослених због пензионисања и потребом да припреми кадар за нови ИТ систем. У току су активности за повећање броја запослених у Пореској управи, укључујући јавне кампање и значајно већим квотама запошљавања за 2025. годину и више покренутих конкурса. Поред тога, анализирају се процедуре запошљавања и изазови у том процесу, уз најаву скорог доношења Плана људских ресурса за 2025 – 2028. годину. </w:t>
      </w:r>
    </w:p>
    <w:p w14:paraId="0EF498C0" w14:textId="77777777" w:rsidR="00B63247" w:rsidRPr="001B41AD" w:rsidRDefault="00B63247" w:rsidP="00B63247">
      <w:pPr>
        <w:rPr>
          <w:rFonts w:ascii="Calibri" w:eastAsia="Calibri" w:hAnsi="Calibri" w:cs="Calibri"/>
          <w:color w:val="44546A"/>
          <w:szCs w:val="20"/>
          <w:lang w:val="sr-Cyrl-CS" w:eastAsia="ja-JP"/>
        </w:rPr>
      </w:pPr>
      <w:r w:rsidRPr="001B41AD">
        <w:rPr>
          <w:rFonts w:ascii="Calibri" w:eastAsia="Calibri" w:hAnsi="Calibri" w:cs="Calibri"/>
          <w:color w:val="44546A"/>
          <w:szCs w:val="20"/>
          <w:lang w:val="sr-Cyrl-CS" w:eastAsia="ja-JP"/>
        </w:rPr>
        <w:t>Побољшање квалитета и транспарентности статистике државних финансија</w:t>
      </w:r>
      <w:r w:rsidRPr="001B41AD">
        <w:rPr>
          <w:rFonts w:ascii="Calibri" w:eastAsia="Calibri" w:hAnsi="Calibri" w:cs="Calibri"/>
          <w:b/>
          <w:bCs/>
          <w:color w:val="44546A"/>
          <w:szCs w:val="20"/>
          <w:lang w:val="sr-Cyrl-CS" w:eastAsia="ja-JP"/>
        </w:rPr>
        <w:t xml:space="preserve"> </w:t>
      </w:r>
      <w:r w:rsidRPr="001B41AD">
        <w:rPr>
          <w:rFonts w:ascii="Calibri" w:eastAsia="Calibri" w:hAnsi="Calibri" w:cs="Calibri"/>
          <w:color w:val="44546A"/>
          <w:szCs w:val="20"/>
          <w:lang w:val="sr-Cyrl-CS" w:eastAsia="ja-JP"/>
        </w:rPr>
        <w:t>врши</w:t>
      </w:r>
      <w:r w:rsidRPr="001B41AD">
        <w:rPr>
          <w:lang w:val="sr-Cyrl-CS"/>
        </w:rPr>
        <w:t xml:space="preserve"> </w:t>
      </w:r>
      <w:r w:rsidRPr="001B41AD">
        <w:rPr>
          <w:rFonts w:ascii="Calibri" w:eastAsia="Calibri" w:hAnsi="Calibri" w:cs="Calibri"/>
          <w:color w:val="44546A"/>
          <w:szCs w:val="20"/>
          <w:lang w:val="sr-Cyrl-CS" w:eastAsia="ja-JP"/>
        </w:rPr>
        <w:t xml:space="preserve">се кроз унапређење свеобухватне, правовремене и аутоматске размене података између надлежних институција – Републичког завода за статистику, Народне банке Србије и Министарства финансија, у складу са Споразумом о сарадњи у области статистике националних рачуна сектора државе и с њом повезаних статистика. У априлу 2018. године Републички завод за статистику је објавио листу институција које чине сектор државе, као и </w:t>
      </w:r>
      <w:r w:rsidRPr="001B41AD">
        <w:rPr>
          <w:rFonts w:ascii="Calibri" w:eastAsia="Calibri" w:hAnsi="Calibri" w:cs="Calibri"/>
          <w:color w:val="44546A"/>
          <w:szCs w:val="20"/>
          <w:lang w:val="sr-Cyrl-CS" w:eastAsia="ja-JP"/>
        </w:rPr>
        <w:t>остале секторе, у складу са Европским системом националних и регионалних рачуна (ESA 2010), Системом националних рачуна (SNA 2008) и Приручником о дефициту и дугу сектора државе, која је урађена у сарадњи са Народном банком Србије и Министарством финансија. Управа за јавни дуг од средине 2021. тромесечно објављује податке о мастришком дугу, који израђује Народна банка Србије у складу са ESA 2010</w:t>
      </w:r>
      <w:r w:rsidRPr="001B41AD">
        <w:rPr>
          <w:rFonts w:ascii="Calibri" w:eastAsia="Calibri" w:hAnsi="Calibri" w:cs="Calibri"/>
          <w:b/>
          <w:bCs/>
          <w:color w:val="44546A"/>
          <w:szCs w:val="20"/>
          <w:lang w:val="sr-Cyrl-CS" w:eastAsia="ja-JP"/>
        </w:rPr>
        <w:t>.</w:t>
      </w:r>
      <w:r w:rsidRPr="001B41AD">
        <w:rPr>
          <w:rFonts w:ascii="Calibri" w:eastAsia="Calibri" w:hAnsi="Calibri" w:cs="Calibri"/>
          <w:color w:val="44546A"/>
          <w:szCs w:val="20"/>
          <w:lang w:val="sr-Cyrl-CS" w:eastAsia="ja-JP"/>
        </w:rPr>
        <w:t xml:space="preserve"> У току је пројекат у сарадњи са ММФ који има за циљ да се у оквиру Управе за трезор, као централног информационог система и свеобухватне базе података изгради систем који ће омогућити прикупљање и консолидацију података за сектор државе како по националној методологији тако и по методологији GFSM 2014, укључујући и месечно извештавање о јавном дугу, кроз постепено увођење институција у његов обухват. Од ове године системом су обухваћени сви индиректни буџетски корисници, осим универзитетских установа, а у наредном периоду се очекује укључивање свих релевантних ванбуџетских корисника и јавних предузећа која припадају сектору државе. Ово ће бити праћено и месечним извештавањем и пројекцијама заснованим на новом обухвату, а имаће утицаја и на даље усклађивање лимита дефинисаних фискалним правилима кроз измене у Закону о буџетском систему. Од маја 2009. године Република Србија је члан општег система за дисеминацију (достављање) података (</w:t>
      </w:r>
      <w:r w:rsidRPr="001B41AD">
        <w:rPr>
          <w:rFonts w:ascii="Calibri" w:eastAsia="Calibri" w:hAnsi="Calibri" w:cs="Calibri"/>
          <w:i/>
          <w:color w:val="44546A"/>
          <w:szCs w:val="20"/>
          <w:lang w:val="sr-Cyrl-CS" w:eastAsia="ja-JP"/>
        </w:rPr>
        <w:t>General Data Dissemination System</w:t>
      </w:r>
      <w:r w:rsidRPr="001B41AD">
        <w:rPr>
          <w:rFonts w:ascii="Calibri" w:eastAsia="Calibri" w:hAnsi="Calibri" w:cs="Calibri"/>
          <w:color w:val="44546A"/>
          <w:szCs w:val="20"/>
          <w:lang w:val="sr-Cyrl-CS" w:eastAsia="ja-JP"/>
        </w:rPr>
        <w:t xml:space="preserve"> – GDDS) Међународног монетарног фонда, односно члан проширеног општег система дисеминације података (</w:t>
      </w:r>
      <w:r w:rsidRPr="001B41AD">
        <w:rPr>
          <w:rFonts w:ascii="Calibri" w:eastAsia="Calibri" w:hAnsi="Calibri" w:cs="Calibri"/>
          <w:i/>
          <w:color w:val="44546A"/>
          <w:szCs w:val="20"/>
          <w:lang w:val="sr-Cyrl-CS" w:eastAsia="ja-JP"/>
        </w:rPr>
        <w:t>Enhanced General Data Dissemination System</w:t>
      </w:r>
      <w:r w:rsidRPr="001B41AD">
        <w:rPr>
          <w:rFonts w:ascii="Calibri" w:eastAsia="Calibri" w:hAnsi="Calibri" w:cs="Calibri"/>
          <w:color w:val="44546A"/>
          <w:szCs w:val="20"/>
          <w:lang w:val="sr-Cyrl-CS" w:eastAsia="ja-JP"/>
        </w:rPr>
        <w:t xml:space="preserve"> – у даљем тексту: e-GDDS) од 2015. године. Систем e-GDDS заменио је и наследио GDDS, те представља структурирани систем који има за циљ унапређење квалитета и дисеминације података из области економске, финансијске и социодемографске статистике држава чланица ММФ. У сарадњи Републичког завода за статистику, Народне банке Србије, Министарства финансија и Београдске берзе, у оквиру e-GDDS, израђена је национална страница сумарних података (</w:t>
      </w:r>
      <w:r w:rsidRPr="001B41AD">
        <w:rPr>
          <w:rFonts w:ascii="Calibri" w:eastAsia="Calibri" w:hAnsi="Calibri" w:cs="Calibri"/>
          <w:i/>
          <w:color w:val="44546A"/>
          <w:szCs w:val="20"/>
          <w:lang w:val="sr-Cyrl-CS" w:eastAsia="ja-JP"/>
        </w:rPr>
        <w:t>National Summary Data Page</w:t>
      </w:r>
      <w:r w:rsidRPr="001B41AD">
        <w:rPr>
          <w:rFonts w:ascii="Calibri" w:eastAsia="Calibri" w:hAnsi="Calibri" w:cs="Calibri"/>
          <w:color w:val="44546A"/>
          <w:szCs w:val="20"/>
          <w:lang w:val="sr-Cyrl-CS" w:eastAsia="ja-JP"/>
        </w:rPr>
        <w:t xml:space="preserve"> – NSDP) за Републику Србију, која је постављена на веб-сајту Републичког завода за статистику. Страница примењује стандардизовани систем за размену </w:t>
      </w:r>
      <w:r w:rsidRPr="001B41AD">
        <w:rPr>
          <w:rFonts w:ascii="Calibri" w:eastAsia="Calibri" w:hAnsi="Calibri" w:cs="Calibri"/>
          <w:color w:val="44546A"/>
          <w:szCs w:val="20"/>
          <w:lang w:val="sr-Cyrl-CS" w:eastAsia="ja-JP"/>
        </w:rPr>
        <w:lastRenderedPageBreak/>
        <w:t>података и метаподатака (</w:t>
      </w:r>
      <w:r w:rsidRPr="001B41AD">
        <w:rPr>
          <w:rFonts w:ascii="Calibri" w:eastAsia="Calibri" w:hAnsi="Calibri" w:cs="Calibri"/>
          <w:i/>
          <w:color w:val="44546A"/>
          <w:szCs w:val="20"/>
          <w:lang w:val="sr-Cyrl-CS" w:eastAsia="ja-JP"/>
        </w:rPr>
        <w:t>Statistical Data and Metadata Exchange</w:t>
      </w:r>
      <w:r w:rsidRPr="001B41AD">
        <w:rPr>
          <w:rFonts w:ascii="Calibri" w:eastAsia="Calibri" w:hAnsi="Calibri" w:cs="Calibri"/>
          <w:color w:val="44546A"/>
          <w:szCs w:val="20"/>
          <w:lang w:val="sr-Cyrl-CS" w:eastAsia="ja-JP"/>
        </w:rPr>
        <w:t xml:space="preserve"> – SDMX) у настојању да служи као јединствено средство публиковања за главне макроекономске и финансијске податке Републике Србије. Републички завод за статистику је током прошле године извршио велику (бенчмарк) ревизију националних рачуна, током које су, између осталог, имплементирана методолошка унапређења акумулирана током периода након 2019. године у области макроекономских статистика и националних рачуна. РЗС и НБС заједно раде на састављању </w:t>
      </w:r>
      <w:r w:rsidRPr="001B41AD">
        <w:rPr>
          <w:rFonts w:ascii="Calibri" w:eastAsia="Calibri" w:hAnsi="Calibri" w:cs="Calibri"/>
          <w:color w:val="44546A"/>
          <w:szCs w:val="20"/>
          <w:lang w:val="sr-Cyrl-CS" w:eastAsia="ja-JP"/>
        </w:rPr>
        <w:t>финансијских и нефинансијских рачуна сектора државе у складу са GFSM 2014, са циљем да од 2026. године</w:t>
      </w:r>
      <w:r w:rsidRPr="001B41AD">
        <w:rPr>
          <w:rFonts w:ascii="Calibri" w:eastAsia="Calibri" w:hAnsi="Calibri" w:cs="Calibri"/>
          <w:color w:val="FF0000"/>
          <w:szCs w:val="20"/>
          <w:lang w:val="sr-Cyrl-CS" w:eastAsia="ja-JP"/>
        </w:rPr>
        <w:t xml:space="preserve"> </w:t>
      </w:r>
      <w:r w:rsidRPr="001B41AD">
        <w:rPr>
          <w:rFonts w:ascii="Calibri" w:eastAsia="Calibri" w:hAnsi="Calibri" w:cs="Calibri"/>
          <w:color w:val="44546A"/>
          <w:szCs w:val="20"/>
          <w:lang w:val="sr-Cyrl-CS" w:eastAsia="ja-JP"/>
        </w:rPr>
        <w:t xml:space="preserve">почну са достављањем података ММФ и Евростату. Имајући у виду остварен напредак у погледу националних рачуна и квалитета фискалне статистике </w:t>
      </w:r>
      <w:r w:rsidRPr="001B41AD">
        <w:rPr>
          <w:rFonts w:ascii="Calibri" w:eastAsia="Calibri" w:hAnsi="Calibri" w:cs="Calibri"/>
          <w:szCs w:val="20"/>
          <w:lang w:val="sr-Cyrl-CS" w:eastAsia="ja-JP"/>
        </w:rPr>
        <w:t xml:space="preserve">биће </w:t>
      </w:r>
      <w:r w:rsidRPr="001B41AD">
        <w:rPr>
          <w:rFonts w:ascii="Calibri" w:eastAsia="Calibri" w:hAnsi="Calibri" w:cs="Calibri"/>
          <w:color w:val="44546A"/>
          <w:szCs w:val="20"/>
          <w:lang w:val="sr-Cyrl-CS" w:eastAsia="ja-JP"/>
        </w:rPr>
        <w:t>размотрено аплицирање за специјални систем дисеминације података (Special Data Dissemination Standard – SDDS).</w:t>
      </w:r>
    </w:p>
    <w:p w14:paraId="5894B51F" w14:textId="77777777" w:rsidR="00661093" w:rsidRPr="001B41AD" w:rsidRDefault="00661093" w:rsidP="00661093">
      <w:pPr>
        <w:rPr>
          <w:lang w:val="sr-Cyrl-CS"/>
        </w:rPr>
      </w:pPr>
    </w:p>
    <w:p w14:paraId="5BF54904" w14:textId="77777777" w:rsidR="00916A42" w:rsidRPr="001B41AD" w:rsidRDefault="00916A42" w:rsidP="00B63247">
      <w:pPr>
        <w:rPr>
          <w:lang w:val="sr-Cyrl-CS"/>
        </w:rPr>
        <w:sectPr w:rsidR="00916A42" w:rsidRPr="001B41AD" w:rsidSect="00916A42">
          <w:type w:val="continuous"/>
          <w:pgSz w:w="12240" w:h="15840" w:code="1"/>
          <w:pgMar w:top="1440" w:right="1440" w:bottom="1440" w:left="1440" w:header="720" w:footer="720" w:gutter="0"/>
          <w:cols w:num="2" w:space="720"/>
          <w:titlePg/>
          <w:docGrid w:linePitch="360"/>
        </w:sectPr>
      </w:pPr>
    </w:p>
    <w:p w14:paraId="6BFF07BA" w14:textId="77777777" w:rsidR="00B63247" w:rsidRPr="001B41AD" w:rsidRDefault="00B63247" w:rsidP="00B63247">
      <w:pPr>
        <w:rPr>
          <w:lang w:val="sr-Cyrl-CS"/>
        </w:rPr>
      </w:pPr>
    </w:p>
    <w:p w14:paraId="31D84C47" w14:textId="77777777" w:rsidR="00FD7592" w:rsidRPr="001B41AD" w:rsidRDefault="004E78E7" w:rsidP="00FD7592">
      <w:pPr>
        <w:keepNext/>
        <w:keepLines/>
        <w:spacing w:after="320"/>
        <w:jc w:val="center"/>
        <w:outlineLvl w:val="1"/>
        <w:rPr>
          <w:rFonts w:eastAsia="MS PGothic" w:cstheme="minorHAnsi"/>
          <w:b/>
          <w:color w:val="2F5496" w:themeColor="accent1" w:themeShade="BF"/>
          <w:sz w:val="24"/>
          <w:szCs w:val="26"/>
          <w:lang w:val="sr-Cyrl-CS" w:eastAsia="ja-JP"/>
        </w:rPr>
      </w:pPr>
      <w:bookmarkStart w:id="43" w:name="_Toc146277918"/>
      <w:bookmarkStart w:id="44" w:name="_Toc148431271"/>
      <w:bookmarkStart w:id="45" w:name="_Toc170722308"/>
      <w:bookmarkStart w:id="46" w:name="_Toc212642472"/>
      <w:bookmarkStart w:id="47" w:name="_Toc499650053"/>
      <w:bookmarkStart w:id="48" w:name="_Toc530635109"/>
      <w:bookmarkStart w:id="49" w:name="_Toc11155995"/>
      <w:bookmarkStart w:id="50" w:name="_Toc56667080"/>
      <w:bookmarkStart w:id="51" w:name="_Toc73364972"/>
      <w:r w:rsidRPr="001B41AD">
        <w:rPr>
          <w:rFonts w:eastAsia="MS PGothic" w:cstheme="minorHAnsi"/>
          <w:b/>
          <w:color w:val="2F5496" w:themeColor="accent1" w:themeShade="BF"/>
          <w:sz w:val="24"/>
          <w:szCs w:val="26"/>
          <w:lang w:val="sr-Cyrl-CS" w:eastAsia="ja-JP"/>
        </w:rPr>
        <w:t>4</w:t>
      </w:r>
      <w:r w:rsidR="00FD7592" w:rsidRPr="001B41AD">
        <w:rPr>
          <w:rFonts w:eastAsia="MS PGothic" w:cstheme="minorHAnsi"/>
          <w:b/>
          <w:color w:val="2F5496" w:themeColor="accent1" w:themeShade="BF"/>
          <w:sz w:val="24"/>
          <w:szCs w:val="26"/>
          <w:lang w:val="sr-Cyrl-CS" w:eastAsia="ja-JP"/>
        </w:rPr>
        <w:t>. Фискални ризици</w:t>
      </w:r>
      <w:bookmarkEnd w:id="43"/>
      <w:bookmarkEnd w:id="44"/>
      <w:bookmarkEnd w:id="45"/>
      <w:bookmarkEnd w:id="46"/>
    </w:p>
    <w:p w14:paraId="51F3143D" w14:textId="77777777" w:rsidR="00FD7592" w:rsidRPr="001B41AD" w:rsidRDefault="00FD7592" w:rsidP="00FD7592">
      <w:pPr>
        <w:spacing w:after="120"/>
        <w:rPr>
          <w:rFonts w:eastAsia="MS PGothic" w:cstheme="minorHAnsi"/>
          <w:szCs w:val="20"/>
          <w:lang w:val="sr-Cyrl-CS" w:eastAsia="ja-JP"/>
        </w:rPr>
        <w:sectPr w:rsidR="00FD7592" w:rsidRPr="001B41AD" w:rsidSect="00405489">
          <w:type w:val="continuous"/>
          <w:pgSz w:w="12240" w:h="15840" w:code="1"/>
          <w:pgMar w:top="1440" w:right="1440" w:bottom="1440" w:left="1440" w:header="720" w:footer="720" w:gutter="0"/>
          <w:cols w:space="720"/>
          <w:titlePg/>
          <w:docGrid w:linePitch="360"/>
        </w:sectPr>
      </w:pPr>
    </w:p>
    <w:p w14:paraId="755C36D5" w14:textId="77777777" w:rsidR="00FD7592" w:rsidRPr="001B41AD" w:rsidRDefault="00FD7592" w:rsidP="00FD7592">
      <w:pPr>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Предмет и значење израза</w:t>
      </w:r>
    </w:p>
    <w:p w14:paraId="6DB07EF0"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Фискални ризици представљају изложеност јавних финансија одређеним околностима које могу проузроковати одступања од пројектованог фискалног оквира. До одступања може доћи у приходима, расходима, фискалном резултату, као и у имовини и обавезама државе, у односу на оно што је планирано и очекивано. На спољашње ризике, попут природних катастрофа или глобалних финансијских криза, Влада не може да утиче, али могуће је дефинисати излазне стратегије које би ублажиле њихово дејство (очување стабилности у добрим временима како би у условима рецесије или кризе фискална политика имала простора за адекватан одговор, осигурање у случају природних катастрофа и сл.). Унутрашњи ризици, односно њихова материјализација последица су активности у јавном сектору, те се на вероватноћу њихове реализације може утицати одлукама и политикама Владе.</w:t>
      </w:r>
    </w:p>
    <w:p w14:paraId="2702BD3E"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Идентификација највећих фискалних ризика који могу утицати на државне финансије у средњем року полазна је тачка у бољем управљању фискалним ризицима. О одређеним фискалним ризицима постоје детаљни подаци и лако се може идентификовати да ли ће и са коликом вероватноћом утицати на фискалне агрегате у средњем року. За друге, пак, не постоје довољно детаљни подаци, али и само њихово идентификовање подиже свест о могућности да у </w:t>
      </w:r>
      <w:r w:rsidRPr="001B41AD">
        <w:rPr>
          <w:rFonts w:eastAsia="MS PGothic" w:cstheme="minorHAnsi"/>
          <w:szCs w:val="20"/>
          <w:lang w:val="sr-Cyrl-CS" w:eastAsia="ja-JP"/>
        </w:rPr>
        <w:t>наредном периоду доведу до одступања од планираног фискалног оквира.</w:t>
      </w:r>
    </w:p>
    <w:p w14:paraId="2F22B756"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Министарство финансија има водећу улогу у управљању фискалним ризицима. Као кључна институција за средњорочно макроекономско и фискално планирање, формулацију и управљање буџетом, Министарство финансија мора имати и водећу улогу у успостављању институционалне и законске структуре, те изградњи капацитета неопходних за управљање фискалним ризицима. До новембра 2024. године праћење фискалних ризика у Министарству финансија је обављано од стране Сектора за праћење фискалних ризика, а од новембра 2024. године праћење фискалних ризика врши се од стране Сектора буџета у оквиру кога је основано Одељење за праћење фискалних ризика. У оквиру овог Одељења основана су и два одсека и то: Одсек за праћење фискалних ризика за буџет Републике Србије и Одсек за праћење фискалних ризика и финансирање локалних самоуправа. Наведено Одељење је основано са циљем да ради на јачању законске регулативе и методолошког оквира, изградњи капацитета, те развијању техничких алата и модела неопходних за праћење и процену фискалних ризика. Намера је да резултат ових активности буде идентификација и процена ризика и предлагање излазних стратегија, као помоћ Влади у очувању стабилности јавних финансија, што је кључни циљ фискалне политике и један од основних предуслова за динамичнији привредни раст. </w:t>
      </w:r>
    </w:p>
    <w:p w14:paraId="61E0207A"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lastRenderedPageBreak/>
        <w:t>У циљу спровођења наведеног процеса праћења фискалних ризика, у октобру 2021. године, усвојена је Јединствена методологија, која је припремљена уз помоћ Светске банке, која обухвата четири основне методологије и то:</w:t>
      </w:r>
    </w:p>
    <w:p w14:paraId="6E4AD809" w14:textId="77777777" w:rsidR="00FD7592" w:rsidRPr="001B41AD" w:rsidRDefault="00FD7592" w:rsidP="00FD7592">
      <w:pPr>
        <w:spacing w:after="120"/>
        <w:rPr>
          <w:rFonts w:eastAsia="MS PGothic" w:cstheme="minorHAnsi"/>
          <w:szCs w:val="20"/>
          <w:lang w:val="sr-Cyrl-CS" w:eastAsia="ja-JP"/>
        </w:rPr>
      </w:pPr>
      <w:r w:rsidRPr="001B41AD">
        <w:rPr>
          <w:rFonts w:eastAsia="MS PGothic" w:cstheme="minorHAnsi"/>
          <w:szCs w:val="20"/>
          <w:lang w:val="sr-Cyrl-CS" w:eastAsia="ja-JP"/>
        </w:rPr>
        <w:t>1) Методологију за праћење фискалних ризика који произилазе из пословања државних предузећа;</w:t>
      </w:r>
    </w:p>
    <w:p w14:paraId="484ECACE" w14:textId="77777777" w:rsidR="00FD7592" w:rsidRPr="001B41AD" w:rsidRDefault="00FD7592" w:rsidP="00FD7592">
      <w:pPr>
        <w:spacing w:after="120"/>
        <w:rPr>
          <w:rFonts w:eastAsia="MS PGothic" w:cstheme="minorHAnsi"/>
          <w:szCs w:val="20"/>
          <w:lang w:val="sr-Cyrl-CS" w:eastAsia="ja-JP"/>
        </w:rPr>
      </w:pPr>
      <w:r w:rsidRPr="001B41AD">
        <w:rPr>
          <w:rFonts w:eastAsia="MS PGothic" w:cstheme="minorHAnsi"/>
          <w:szCs w:val="20"/>
          <w:lang w:val="sr-Cyrl-CS" w:eastAsia="ja-JP"/>
        </w:rPr>
        <w:t>2) Методологију за праћење фискалних ризика по буџет Републике Србије који произилазе из вршења надлежности јединица локалне самоуправе;</w:t>
      </w:r>
    </w:p>
    <w:p w14:paraId="11C70C4B" w14:textId="77777777" w:rsidR="00FD7592" w:rsidRPr="001B41AD" w:rsidRDefault="00FD7592" w:rsidP="00FD7592">
      <w:pPr>
        <w:spacing w:after="120"/>
        <w:rPr>
          <w:rFonts w:eastAsia="MS PGothic" w:cstheme="minorHAnsi"/>
          <w:szCs w:val="20"/>
          <w:lang w:val="sr-Cyrl-CS" w:eastAsia="ja-JP"/>
        </w:rPr>
      </w:pPr>
      <w:r w:rsidRPr="001B41AD">
        <w:rPr>
          <w:rFonts w:eastAsia="MS PGothic" w:cstheme="minorHAnsi"/>
          <w:szCs w:val="20"/>
          <w:lang w:val="sr-Cyrl-CS" w:eastAsia="ja-JP"/>
        </w:rPr>
        <w:t>3) Методологију за праћење фискалних ризика по основу судских поступака;</w:t>
      </w:r>
    </w:p>
    <w:p w14:paraId="1C2F495A" w14:textId="77777777" w:rsidR="00FD7592" w:rsidRPr="001B41AD" w:rsidRDefault="00FD7592" w:rsidP="00FD7592">
      <w:pPr>
        <w:spacing w:after="120"/>
        <w:rPr>
          <w:rFonts w:eastAsia="MS PGothic" w:cstheme="minorHAnsi"/>
          <w:szCs w:val="20"/>
          <w:lang w:val="sr-Cyrl-CS" w:eastAsia="ja-JP"/>
        </w:rPr>
      </w:pPr>
      <w:r w:rsidRPr="001B41AD">
        <w:rPr>
          <w:rFonts w:eastAsia="MS PGothic" w:cstheme="minorHAnsi"/>
          <w:szCs w:val="20"/>
          <w:lang w:val="sr-Cyrl-CS" w:eastAsia="ja-JP"/>
        </w:rPr>
        <w:t>4) Методологију за праћење фискалних ризика који се јављају као последица елементарних непогода.</w:t>
      </w:r>
    </w:p>
    <w:p w14:paraId="5D1DCCB2" w14:textId="77777777" w:rsidR="00FD7592" w:rsidRPr="001B41AD" w:rsidRDefault="00FD7592" w:rsidP="00FD7592">
      <w:pPr>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Главни фискални ризици за 2024–2025.</w:t>
      </w:r>
    </w:p>
    <w:p w14:paraId="5B42C20C"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Током јесени 2021. године десили су се поремећаји на енергетском тржишту у свету. Криза у енергетском сектору се само надовезала на већ постојећу кризу изазвану пандемијом COVID-19. Због повећане тражње узроковане постпандемијским развојем економије и проблема у снабдевању, односно недовољне понуде и недовољних залиха, цене природног гаса су достигле историјске максимуме. Ово је подстакло тражњу за осталим енергентима, чије су цене изузетно порасле. Високе цене осталих енергената, а у Европи и смањена производња из електрана на ветар и високе цене дозвола за емисију CO2 довеле су до раста цена електричне енергије, такође до историјских максимума.</w:t>
      </w:r>
    </w:p>
    <w:p w14:paraId="2B1B2A17"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До сада се више пута показало, да раст неког од основних енергената, попут нафте и гаса, доводи до раста осталих цена на тржишту, а на шта је утицала пре свега ситуација и криза у Украјини, те се као један од кључних проблема наметнуло питање енергетске сигурности и европске зависности од руских фосилних горива. Овај след догађаја утицао је да цене електричне енергије и природног гаса у свету достигну цене знатно веће од уобичајених. Енергетска криза неизбежно се прелила и на Србију, а највише су погођена </w:t>
      </w:r>
      <w:r w:rsidRPr="001B41AD">
        <w:rPr>
          <w:rFonts w:eastAsia="MS PGothic" w:cstheme="minorHAnsi"/>
          <w:szCs w:val="20"/>
          <w:lang w:val="sr-Cyrl-CS" w:eastAsia="ja-JP"/>
        </w:rPr>
        <w:t>енергетска предузећа, претежно „Електропривреда Србије” ад и ЈП „Србијагас”.</w:t>
      </w:r>
    </w:p>
    <w:p w14:paraId="4C2A8521"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Због високих цена електричне енергије, које су угрожавале пословање привредних субјеката у Републици Србији, као и енергетских субјеката који обављају делатност преноса, односно дистрибуције електричне енергије (у вези набавке електричне енергије за губитке), препоручено је да „Електропривреда Србије” ад те субјекте снабдева по ценама нижим од тржишних, чиме је „Електропривреда Србије” ад била изложена финансијском ризику, односно ризик раста цена у потпуности je био пребачен на „Електропривреду Србије” ад.</w:t>
      </w:r>
    </w:p>
    <w:p w14:paraId="1642157D"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 „Електропривреда Србије“ ад је на крају 2024. године остварила нето добитак у износу од 24,4 млрд динара. У 2024. години друштво је реализовало значајне инвестиције у енергетски сектор, почео је да ради новоизграђени блок Б3 у термоелектрани „Костолац“, чиме је повећана укупна снага производних капацитета, што представља додатну сигурност за електроенергетски сектор Републике Србије. Такође, у претходној години завршено је и пуштено у рад постројење за одсумпоравање у ТЕНТ-у А, које доприноси смањењу емисије сумпор-диоксида и усклађивањ</w:t>
      </w:r>
      <w:r w:rsidR="008E02AB" w:rsidRPr="001B41AD">
        <w:rPr>
          <w:rFonts w:eastAsia="MS PGothic" w:cstheme="minorHAnsi"/>
          <w:szCs w:val="20"/>
          <w:lang w:val="sr-Cyrl-CS" w:eastAsia="ja-JP"/>
        </w:rPr>
        <w:t>у</w:t>
      </w:r>
      <w:r w:rsidRPr="001B41AD">
        <w:rPr>
          <w:rFonts w:eastAsia="MS PGothic" w:cstheme="minorHAnsi"/>
          <w:szCs w:val="20"/>
          <w:lang w:val="sr-Cyrl-CS" w:eastAsia="ja-JP"/>
        </w:rPr>
        <w:t xml:space="preserve"> са европским и домаћим еколошким стандардима. Током 2025. године завршени су и сви грађевински радови на постројењу за одсумпоравање у ТЕНТ Б.</w:t>
      </w:r>
    </w:p>
    <w:p w14:paraId="003F0F5E"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У првој половини 2025. године завршена је изградња соларне електране Петка, снаге 9,75 МW, а у саму завршницу улази и изградња првог ветропарка ЕПС у Костолцу, снаге 66 МW. Тиме ће „Електропривреда Србије“ ад до краја 2025. године повећати снагу производних капацитета за нових, зелених 76 МW.</w:t>
      </w:r>
    </w:p>
    <w:p w14:paraId="0E3D2A0C"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Савет Агенције за енергетику Републике Србије дао је сагласност на одлуку о цени електричне енергије за гарантовано </w:t>
      </w:r>
      <w:r w:rsidR="005D4FD9" w:rsidRPr="001B41AD">
        <w:rPr>
          <w:rFonts w:eastAsia="MS PGothic" w:cstheme="minorHAnsi"/>
          <w:szCs w:val="20"/>
          <w:lang w:val="sr-Cyrl-CS" w:eastAsia="ja-JP"/>
        </w:rPr>
        <w:t>снабдевање</w:t>
      </w:r>
      <w:r w:rsidRPr="001B41AD">
        <w:rPr>
          <w:rFonts w:eastAsia="MS PGothic" w:cstheme="minorHAnsi"/>
          <w:szCs w:val="20"/>
          <w:lang w:val="sr-Cyrl-CS" w:eastAsia="ja-JP"/>
        </w:rPr>
        <w:t xml:space="preserve"> која се примењује од 1. октобра 2025. године. Просечна цена електричне енергије за купце који имају право на гарантовано </w:t>
      </w:r>
      <w:r w:rsidR="005D4FD9" w:rsidRPr="001B41AD">
        <w:rPr>
          <w:rFonts w:eastAsia="MS PGothic" w:cstheme="minorHAnsi"/>
          <w:szCs w:val="20"/>
          <w:lang w:val="sr-Cyrl-CS" w:eastAsia="ja-JP"/>
        </w:rPr>
        <w:t>снабдевање</w:t>
      </w:r>
      <w:r w:rsidRPr="001B41AD">
        <w:rPr>
          <w:rFonts w:eastAsia="MS PGothic" w:cstheme="minorHAnsi"/>
          <w:szCs w:val="20"/>
          <w:lang w:val="sr-Cyrl-CS" w:eastAsia="ja-JP"/>
        </w:rPr>
        <w:t xml:space="preserve"> по регулисаним ценама (домаћинства и мали купци) већа је у односу на постојећу просечну цену</w:t>
      </w:r>
      <w:r w:rsidR="00DF4460" w:rsidRPr="001B41AD">
        <w:rPr>
          <w:rFonts w:eastAsia="MS PGothic" w:cstheme="minorHAnsi"/>
          <w:szCs w:val="20"/>
          <w:lang w:val="sr-Cyrl-CS" w:eastAsia="ja-JP"/>
        </w:rPr>
        <w:t xml:space="preserve"> за 6,6%</w:t>
      </w:r>
      <w:r w:rsidRPr="001B41AD">
        <w:rPr>
          <w:rFonts w:eastAsia="MS PGothic" w:cstheme="minorHAnsi"/>
          <w:szCs w:val="20"/>
          <w:lang w:val="sr-Cyrl-CS" w:eastAsia="ja-JP"/>
        </w:rPr>
        <w:t xml:space="preserve"> по основу раста цена приступа преносном и </w:t>
      </w:r>
      <w:r w:rsidRPr="001B41AD">
        <w:rPr>
          <w:rFonts w:eastAsia="MS PGothic" w:cstheme="minorHAnsi"/>
          <w:szCs w:val="20"/>
          <w:lang w:val="sr-Cyrl-CS" w:eastAsia="ja-JP"/>
        </w:rPr>
        <w:lastRenderedPageBreak/>
        <w:t>дистрибутивном систему. Одобре</w:t>
      </w:r>
      <w:r w:rsidR="00DF4460" w:rsidRPr="001B41AD">
        <w:rPr>
          <w:rFonts w:eastAsia="MS PGothic" w:cstheme="minorHAnsi"/>
          <w:szCs w:val="20"/>
          <w:lang w:val="sr-Cyrl-CS" w:eastAsia="ja-JP"/>
        </w:rPr>
        <w:t>но је и спуштање границе између</w:t>
      </w:r>
      <w:r w:rsidRPr="001B41AD">
        <w:rPr>
          <w:rFonts w:eastAsia="MS PGothic" w:cstheme="minorHAnsi"/>
          <w:szCs w:val="20"/>
          <w:lang w:val="sr-Cyrl-CS" w:eastAsia="ja-JP"/>
        </w:rPr>
        <w:t xml:space="preserve"> црвене и плаве зоне са 1.600 на 1.200 kWh.</w:t>
      </w:r>
    </w:p>
    <w:p w14:paraId="5B82B7DF"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„Електропривреда Србије“ ад је у 2024. години усвојила План трансформације, којим су дефинисане промене организационе структуре и унапређења оперативних и финансијских процеса.</w:t>
      </w:r>
    </w:p>
    <w:p w14:paraId="40D4BFFB"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Иако су направљени позитивни помаци у пословању, главни изазов за наредни период је наставак започетих реформи, као и енергетска транзиција која ће омогућити постепен прелазак на све већу производњу енергије из обновљивих извора, а што ће свакако захтевати финансијску консолидацију и значајна инвестициона улагања.</w:t>
      </w:r>
    </w:p>
    <w:p w14:paraId="3CD5E7A9"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Важну улогу за енергетску стабилност има и друго </w:t>
      </w:r>
      <w:r w:rsidR="005D4FD9" w:rsidRPr="001B41AD">
        <w:rPr>
          <w:rFonts w:eastAsia="MS PGothic" w:cstheme="minorHAnsi"/>
          <w:szCs w:val="20"/>
          <w:lang w:val="sr-Cyrl-CS" w:eastAsia="ja-JP"/>
        </w:rPr>
        <w:t>предузеће</w:t>
      </w:r>
      <w:r w:rsidRPr="001B41AD">
        <w:rPr>
          <w:rFonts w:eastAsia="MS PGothic" w:cstheme="minorHAnsi"/>
          <w:szCs w:val="20"/>
          <w:lang w:val="sr-Cyrl-CS" w:eastAsia="ja-JP"/>
        </w:rPr>
        <w:t xml:space="preserve"> из </w:t>
      </w:r>
      <w:r w:rsidR="005D4FD9" w:rsidRPr="001B41AD">
        <w:rPr>
          <w:rFonts w:eastAsia="MS PGothic" w:cstheme="minorHAnsi"/>
          <w:szCs w:val="20"/>
          <w:lang w:val="sr-Cyrl-CS" w:eastAsia="ja-JP"/>
        </w:rPr>
        <w:t>области</w:t>
      </w:r>
      <w:r w:rsidRPr="001B41AD">
        <w:rPr>
          <w:rFonts w:eastAsia="MS PGothic" w:cstheme="minorHAnsi"/>
          <w:szCs w:val="20"/>
          <w:lang w:val="sr-Cyrl-CS" w:eastAsia="ja-JP"/>
        </w:rPr>
        <w:t xml:space="preserve"> eлeктрoeнeргeтикe – „Елeктродистрибуциja Србијe” доо (ЕДС), који од 2021. године послује самостално (до 2021. године у саставу ЕПС ад). У претходној 2024. години, основни приходи од мрежарине EДС нису били дoвoљни зa oдрживo </w:t>
      </w:r>
      <w:r w:rsidR="005D4FD9" w:rsidRPr="001B41AD">
        <w:rPr>
          <w:rFonts w:eastAsia="MS PGothic" w:cstheme="minorHAnsi"/>
          <w:szCs w:val="20"/>
          <w:lang w:val="sr-Cyrl-CS" w:eastAsia="ja-JP"/>
        </w:rPr>
        <w:t>пословање</w:t>
      </w:r>
      <w:r w:rsidRPr="001B41AD">
        <w:rPr>
          <w:rFonts w:eastAsia="MS PGothic" w:cstheme="minorHAnsi"/>
          <w:szCs w:val="20"/>
          <w:lang w:val="sr-Cyrl-CS" w:eastAsia="ja-JP"/>
        </w:rPr>
        <w:t>. Остварени пословни приходи нису били довољни да покрију актуелни ниво пословних расхода, што је последиц</w:t>
      </w:r>
      <w:r w:rsidR="00DF4460" w:rsidRPr="001B41AD">
        <w:rPr>
          <w:rFonts w:eastAsia="MS PGothic" w:cstheme="minorHAnsi"/>
          <w:szCs w:val="20"/>
          <w:lang w:val="sr-Cyrl-CS" w:eastAsia="ja-JP"/>
        </w:rPr>
        <w:t xml:space="preserve">а инфлације на страни трошкова </w:t>
      </w:r>
      <w:r w:rsidRPr="001B41AD">
        <w:rPr>
          <w:rFonts w:eastAsia="MS PGothic" w:cstheme="minorHAnsi"/>
          <w:szCs w:val="20"/>
          <w:lang w:val="sr-Cyrl-CS" w:eastAsia="ja-JP"/>
        </w:rPr>
        <w:t>уз непромењен ниво тарифа за приступ и коришћење дистрибутивног система. ЕДС је 2024. годину завршио са нето губитком од 6,9 млрд динара. Савет Агенције за енергетику Републике Србије дао је сагласност на одлуке о цени приступа систему за пренос и цени приступа систему за дистрибуцију електричне енергије које се примењује од 1. октобра 2025. године. Укупни раст одобрене цене преноса у 2025. години у односу на одобрену цену од 1.10.2021. године износи 10%, док укупни раст одобрене цене дистрибуције е</w:t>
      </w:r>
      <w:r w:rsidR="00DF4460" w:rsidRPr="001B41AD">
        <w:rPr>
          <w:rFonts w:eastAsia="MS PGothic" w:cstheme="minorHAnsi"/>
          <w:szCs w:val="20"/>
          <w:lang w:val="sr-Cyrl-CS" w:eastAsia="ja-JP"/>
        </w:rPr>
        <w:t xml:space="preserve">лектричне енергије у односу на </w:t>
      </w:r>
      <w:r w:rsidRPr="001B41AD">
        <w:rPr>
          <w:rFonts w:eastAsia="MS PGothic" w:cstheme="minorHAnsi"/>
          <w:szCs w:val="20"/>
          <w:lang w:val="sr-Cyrl-CS" w:eastAsia="ja-JP"/>
        </w:rPr>
        <w:t>одобрену цену од 1.10.2021. године, обрачунату на билансу за 2025. годину износи 16%. Иако се ЕДС сусретао са бројним изазовима у претходном периоду, позитиван аспект у пословању представљају значајна инвестициона улагања. Током 2024. године окончан је пројекат Реконструкција дистрибутивне мреже којим је замењено преко 34 хиљаде дрвених стубова бетонским, спровођен у склопу модернизације нисконапонске мреже. У 2025.</w:t>
      </w:r>
      <w:r w:rsidR="00DF4460" w:rsidRPr="001B41AD">
        <w:rPr>
          <w:rFonts w:eastAsia="MS PGothic" w:cstheme="minorHAnsi"/>
          <w:szCs w:val="20"/>
          <w:lang w:val="sr-Cyrl-CS" w:eastAsia="ja-JP"/>
        </w:rPr>
        <w:t xml:space="preserve"> години ЕДС започела је </w:t>
      </w:r>
      <w:r w:rsidRPr="001B41AD">
        <w:rPr>
          <w:rFonts w:eastAsia="MS PGothic" w:cstheme="minorHAnsi"/>
          <w:szCs w:val="20"/>
          <w:lang w:val="sr-Cyrl-CS" w:eastAsia="ja-JP"/>
        </w:rPr>
        <w:t xml:space="preserve">другу фазу велике реконструкције нисконапонске мреже у коју ће </w:t>
      </w:r>
      <w:r w:rsidRPr="001B41AD">
        <w:rPr>
          <w:rFonts w:eastAsia="MS PGothic" w:cstheme="minorHAnsi"/>
          <w:szCs w:val="20"/>
          <w:lang w:val="sr-Cyrl-CS" w:eastAsia="ja-JP"/>
        </w:rPr>
        <w:t>уложити 6,2 млрд динара у постављање нових бетонских стубова и самоносивих кабловских снопова. План је да се до пролећа 2026. године у оквиру друге фазе обнови укупно 2</w:t>
      </w:r>
      <w:r w:rsidR="00DF4460" w:rsidRPr="001B41AD">
        <w:rPr>
          <w:rFonts w:eastAsia="MS PGothic" w:cstheme="minorHAnsi"/>
          <w:szCs w:val="20"/>
          <w:lang w:val="sr-Cyrl-CS" w:eastAsia="ja-JP"/>
        </w:rPr>
        <w:t xml:space="preserve">.200 километара </w:t>
      </w:r>
      <w:r w:rsidRPr="001B41AD">
        <w:rPr>
          <w:rFonts w:eastAsia="MS PGothic" w:cstheme="minorHAnsi"/>
          <w:szCs w:val="20"/>
          <w:lang w:val="sr-Cyrl-CS" w:eastAsia="ja-JP"/>
        </w:rPr>
        <w:t>мреже ниског напона и укупно постави 33 хиљаде бетонских стубова. У оквиру пројекта ,,Паметна бројила'', до сада је уграђено око 600.000 паметних бројила, ЕДС је обезбедила и додатних 150.000 паметних бројила из сопствених средстава. Од октобра 2025. године почиње замена 200.000 паметних бројила</w:t>
      </w:r>
      <w:r w:rsidR="00F2569F" w:rsidRPr="001B41AD">
        <w:rPr>
          <w:rFonts w:eastAsia="MS PGothic" w:cstheme="minorHAnsi"/>
          <w:szCs w:val="20"/>
          <w:lang w:val="sr-Cyrl-CS" w:eastAsia="ja-JP"/>
        </w:rPr>
        <w:t>,</w:t>
      </w:r>
      <w:r w:rsidRPr="001B41AD">
        <w:rPr>
          <w:rFonts w:eastAsia="MS PGothic" w:cstheme="minorHAnsi"/>
          <w:szCs w:val="20"/>
          <w:lang w:val="sr-Cyrl-CS" w:eastAsia="ja-JP"/>
        </w:rPr>
        <w:t xml:space="preserve"> кој</w:t>
      </w:r>
      <w:r w:rsidR="00F2569F" w:rsidRPr="001B41AD">
        <w:rPr>
          <w:rFonts w:eastAsia="MS PGothic" w:cstheme="minorHAnsi"/>
          <w:szCs w:val="20"/>
          <w:lang w:val="sr-Cyrl-CS" w:eastAsia="ja-JP"/>
        </w:rPr>
        <w:t>а</w:t>
      </w:r>
      <w:r w:rsidRPr="001B41AD">
        <w:rPr>
          <w:rFonts w:eastAsia="MS PGothic" w:cstheme="minorHAnsi"/>
          <w:szCs w:val="20"/>
          <w:lang w:val="sr-Cyrl-CS" w:eastAsia="ja-JP"/>
        </w:rPr>
        <w:t xml:space="preserve"> се финансира из кредита ЕБРД и донације ЕУ. План ЕДС је да до краја 2026. године на мрежи буде инсталирано 950.000 паметних бројила. Такође, наставља се са пројектом Аутоматизација средњенапонске дистрибутивне мреже који се реализује у сарадњи са компанијом Schneider Electric. Претходно наведени инвестициони пројекти утицаће на решавање једног од главних структурних проблема ЕДС којима ће се значајно унапредити дистрибутивне мреже, а што ће допринети смањењу губитака на мрежи. Република Србија препознала је изазове који се налазе пред овим привредним субјектом и за 2025. годину планиран је наставак подршке у виду обезбеђења гаранција у износу до 18,2 млрд динара.</w:t>
      </w:r>
    </w:p>
    <w:p w14:paraId="75251250"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Што се тиче ЈП „Србијагас”, неповољна тржишна кретања у 2021. и 2022. години и финансијска позиција дистрибутера природног гаса утицали су да Република Србија учествује у финансирању набавки резервних количина гаса као и суфинансирању редовних набавки. Проактивним режимом рада од 2022. године обезбеђени су додатни складишни капацитети за природни гас у Мађарској, одакле су се ускладиштене количине повремено повлачиле и у зимској сезони 2023/2024. године, а преостале количине омогућиле су додатну сигурност снабдевања тржишта током зимске сезоне 2024/2025. године. Корекција продајне цене гаса последњи пут је вршена крајем 2023. године.</w:t>
      </w:r>
      <w:r w:rsidRPr="001B41AD">
        <w:rPr>
          <w:lang w:val="sr-Cyrl-CS"/>
        </w:rPr>
        <w:t xml:space="preserve"> </w:t>
      </w:r>
      <w:r w:rsidRPr="001B41AD">
        <w:rPr>
          <w:rFonts w:eastAsia="MS PGothic" w:cstheme="minorHAnsi"/>
          <w:szCs w:val="20"/>
          <w:lang w:val="sr-Cyrl-CS" w:eastAsia="ja-JP"/>
        </w:rPr>
        <w:t xml:space="preserve">У 2024. години настављене су активности на изградњи гасовода на територији Републике Србије и стварању услова за диверсификацију праваца снабдевања, адекватну гасоводну инфраструктуру и будуће сигурно снабдевање потрошача природним гасом. </w:t>
      </w:r>
      <w:r w:rsidRPr="001B41AD">
        <w:rPr>
          <w:lang w:val="sr-Cyrl-CS"/>
        </w:rPr>
        <w:t xml:space="preserve">ЈП „Србијагас” је током 2025. године наставило са </w:t>
      </w:r>
      <w:r w:rsidRPr="001B41AD">
        <w:rPr>
          <w:lang w:val="sr-Cyrl-CS"/>
        </w:rPr>
        <w:lastRenderedPageBreak/>
        <w:t>спровођењем политике енергетске сигурности и поузданог снабдевања потрошача природним гасом, доследно поступајући у оквиру делатности од општег интереса. Посебан фокус стављен је на реализацију инвестиционих активности, са нагласком на стратешке инфраструктурне пројекте, који чине основу даљег развоја гасног сектора, доприносе јачању енергетске стабилности земље и представљају важан чинилац одрживог економског раста Републике Србије. У наредном периоду очекује се наставак улагања у гасну инфраструктуру.</w:t>
      </w:r>
    </w:p>
    <w:p w14:paraId="2A3C71B0"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Железнички сектор остаје један од приоритетних праваца јавних инвестиција, с обзиром на његов стратешки значај за транспортну повезаност, економски развој и енергетску ефикасност. У 2025. години настављају се улагања у модернизацију железничке инфраструктуре, набавку нових возних средстава и дигитализацију железничких система, уз подршку из међународних финансијских извора као и националних буџетских средстава. Планирани пројекти, као што су наставак модернизације коридора X и изградња брзих пруга према регионалним центрима, имају за циљ повећање капацитета, безбедности и атрактивности железничког саобраћаја доприносећи смањењу трошкова и емисије штетних гасова у складу са зеленом транзицијом. Истовремено, потребно је пажљиво управљати фискалним ризицима који проистичу из обима задужења за реализацију великих железничких пројеката и високих субвенција, посебно у условима изазова које доноси глобална економска криза. </w:t>
      </w:r>
    </w:p>
    <w:p w14:paraId="6BE232B2" w14:textId="77777777" w:rsidR="00FD7592" w:rsidRPr="001B41AD" w:rsidRDefault="00FD7592" w:rsidP="00FD7592">
      <w:pPr>
        <w:spacing w:after="0" w:line="240" w:lineRule="auto"/>
        <w:rPr>
          <w:rFonts w:eastAsia="Times New Roman" w:cstheme="minorHAnsi"/>
          <w:szCs w:val="20"/>
          <w:lang w:val="sr-Cyrl-CS"/>
        </w:rPr>
      </w:pPr>
      <w:r w:rsidRPr="001B41AD">
        <w:rPr>
          <w:lang w:val="sr-Cyrl-CS"/>
        </w:rPr>
        <w:t xml:space="preserve">ЈП „Путеви Србије“ представљају једно од најважнијих јавних предузећа у области одржавања и развоја путне инфраструктуре у Републици Србији, чија је улога обезбеђивање квалитетних, безбедних и одрживих путева, што има директан утицај на економски развој земље, као и на регионалну и међународну повезаност. Раст цена енергената и грађевинског материјала у претходном периоду утицао је на повећање трошкова одржавања и изградње путне инфраструктуре, што је додатно оптеретило финансијске ресурсе предузећа. ЈП „Путеви </w:t>
      </w:r>
      <w:r w:rsidRPr="001B41AD">
        <w:rPr>
          <w:lang w:val="sr-Cyrl-CS"/>
        </w:rPr>
        <w:t>Србије“ највећи део прихода остварује од наплате путарина, што представља поуздан извор финансирања редовних активности предузећа. С обзиром на обим текућег одржавања и инвестиционих пројеката, у појединим случајевима је неопходно обезбедити додатна средства из буџета Републике Србије, у виду субвенција или трансфера, ради ефикасног спровођења планираних активности и очувања финансијске стабилности. Планираним повећањем износа путарина, већим приливима из буџета и мерама рационализације расхода у 2025. години очекује се побољшање ликвидности и унапређење финансијске поз</w:t>
      </w:r>
      <w:r w:rsidR="00DF4460" w:rsidRPr="001B41AD">
        <w:rPr>
          <w:lang w:val="sr-Cyrl-CS"/>
        </w:rPr>
        <w:t xml:space="preserve">иције предузећа. С тим у вези, </w:t>
      </w:r>
      <w:r w:rsidRPr="001B41AD">
        <w:rPr>
          <w:lang w:val="sr-Cyrl-CS"/>
        </w:rPr>
        <w:t>ЈП „ Путеви Србије“ ће наставити са спровођењем пројеката одржавања безбедности и модернизацији путне инфраструктуре.</w:t>
      </w:r>
    </w:p>
    <w:p w14:paraId="5FBFB49F" w14:textId="77777777" w:rsidR="00FD7592" w:rsidRPr="001B41AD" w:rsidRDefault="00FD7592" w:rsidP="00FD7592">
      <w:pPr>
        <w:spacing w:after="0" w:line="240" w:lineRule="auto"/>
        <w:rPr>
          <w:rFonts w:eastAsia="Times New Roman" w:cstheme="minorHAnsi"/>
          <w:sz w:val="8"/>
          <w:szCs w:val="20"/>
          <w:lang w:val="sr-Cyrl-CS"/>
        </w:rPr>
      </w:pPr>
    </w:p>
    <w:p w14:paraId="58812F92" w14:textId="77777777" w:rsidR="00FD7592" w:rsidRPr="001B41AD" w:rsidRDefault="00FD7592" w:rsidP="00FD7592">
      <w:pPr>
        <w:rPr>
          <w:lang w:val="sr-Cyrl-CS"/>
        </w:rPr>
      </w:pPr>
      <w:r w:rsidRPr="001B41AD">
        <w:rPr>
          <w:lang w:val="sr-Cyrl-CS"/>
        </w:rPr>
        <w:t xml:space="preserve">Поред ЈП „Путеви Србије“, значајну улогу у развоју путне инфраструктуре има и предузеће „Коридори Србије“ д.о.о. чије пословање је делимично финансијски подржано средствима државе, што омогућава континуитет у реализацији инфраструктурних пројеката и подржава стабилност пословања. </w:t>
      </w:r>
    </w:p>
    <w:p w14:paraId="6F0ADEE2" w14:textId="77777777" w:rsidR="00FD7592" w:rsidRPr="001B41AD" w:rsidRDefault="00FD7592" w:rsidP="00FD7592">
      <w:pPr>
        <w:spacing w:after="0" w:line="240" w:lineRule="auto"/>
        <w:rPr>
          <w:rFonts w:cstheme="minorHAnsi"/>
          <w:sz w:val="10"/>
          <w:szCs w:val="20"/>
          <w:lang w:val="sr-Cyrl-CS"/>
        </w:rPr>
      </w:pPr>
    </w:p>
    <w:p w14:paraId="0F15850E" w14:textId="77777777" w:rsidR="00FD7592" w:rsidRPr="001B41AD" w:rsidRDefault="00FD7592" w:rsidP="00FD7592">
      <w:pPr>
        <w:spacing w:after="120"/>
        <w:jc w:val="left"/>
        <w:rPr>
          <w:rFonts w:cstheme="minorHAnsi"/>
          <w:b/>
          <w:color w:val="2F5496" w:themeColor="accent1" w:themeShade="BF"/>
          <w:sz w:val="22"/>
          <w:lang w:val="sr-Cyrl-CS"/>
        </w:rPr>
      </w:pPr>
      <w:bookmarkStart w:id="52" w:name="_Hlk180400586"/>
      <w:r w:rsidRPr="001B41AD">
        <w:rPr>
          <w:rFonts w:cstheme="minorHAnsi"/>
          <w:b/>
          <w:color w:val="2F5496" w:themeColor="accent1" w:themeShade="BF"/>
          <w:sz w:val="22"/>
          <w:lang w:val="sr-Cyrl-CS"/>
        </w:rPr>
        <w:t>Анализа фискалних ризика</w:t>
      </w:r>
    </w:p>
    <w:p w14:paraId="479E34CA" w14:textId="77777777" w:rsidR="00FD7592" w:rsidRPr="001B41AD" w:rsidRDefault="00FD7592" w:rsidP="00FD7592">
      <w:pPr>
        <w:spacing w:after="120"/>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Државне гаранције</w:t>
      </w:r>
    </w:p>
    <w:p w14:paraId="1B5C06E5" w14:textId="77777777" w:rsidR="00FD7592" w:rsidRPr="001B41AD" w:rsidRDefault="00FD7592" w:rsidP="00FD7592">
      <w:pPr>
        <w:spacing w:after="240"/>
        <w:rPr>
          <w:rFonts w:eastAsia="MS PGothic" w:cstheme="minorHAnsi"/>
          <w:szCs w:val="20"/>
          <w:lang w:val="sr-Cyrl-CS" w:eastAsia="ja-JP"/>
        </w:rPr>
      </w:pPr>
      <w:r w:rsidRPr="001B41AD">
        <w:rPr>
          <w:rFonts w:eastAsia="MS PGothic" w:cstheme="minorHAnsi"/>
          <w:szCs w:val="20"/>
          <w:lang w:val="sr-Cyrl-CS" w:eastAsia="ja-JP"/>
        </w:rPr>
        <w:t>Гаранције издате од стране државе утичу на висину јавног дуга, али и на висину дефицита, уколико отплату по кредиту уместо првобитног дужника преузме држава. Издате гаранције су према дефиницији одређеној Законом о јавном дугу</w:t>
      </w:r>
      <w:r w:rsidRPr="001B41AD">
        <w:rPr>
          <w:rFonts w:eastAsia="MS PGothic" w:cstheme="minorHAnsi"/>
          <w:szCs w:val="20"/>
          <w:vertAlign w:val="superscript"/>
          <w:lang w:val="sr-Cyrl-CS" w:eastAsia="ja-JP"/>
        </w:rPr>
        <w:footnoteReference w:id="3"/>
      </w:r>
      <w:r w:rsidRPr="001B41AD">
        <w:rPr>
          <w:rFonts w:eastAsia="MS PGothic" w:cstheme="minorHAnsi"/>
          <w:szCs w:val="20"/>
          <w:lang w:val="sr-Cyrl-CS" w:eastAsia="ja-JP"/>
        </w:rPr>
        <w:t xml:space="preserve"> део индиректних обавеза и у укупном износу се укључују у јавни дуг. На дан 31. августа 2025. године укупно стање јавног дуга у сектору државе износило је 4.516,8 млрд динара, што чини 43,5% БДП</w:t>
      </w:r>
      <w:r w:rsidRPr="001B41AD">
        <w:rPr>
          <w:rFonts w:eastAsia="MS PGothic" w:cstheme="minorHAnsi"/>
          <w:vertAlign w:val="superscript"/>
          <w:lang w:val="sr-Cyrl-CS" w:eastAsia="ja-JP"/>
        </w:rPr>
        <w:footnoteReference w:id="4"/>
      </w:r>
      <w:r w:rsidRPr="001B41AD">
        <w:rPr>
          <w:rFonts w:eastAsia="MS PGothic" w:cstheme="minorHAnsi"/>
          <w:szCs w:val="20"/>
          <w:lang w:val="sr-Cyrl-CS" w:eastAsia="ja-JP"/>
        </w:rPr>
        <w:t>, од чега директне обавезе чине 4.285,3 млрд динара (41,3% БДП), индиректне обавезе 195,5 млрд динара (1,9% БДП) и негарантовани остали дуг сектора државе 36,0 млрд динара (0,3% БДП).</w:t>
      </w:r>
    </w:p>
    <w:p w14:paraId="34814D0B" w14:textId="77777777" w:rsidR="00FD7592" w:rsidRPr="001B41AD" w:rsidRDefault="00FD7592" w:rsidP="00FD7592">
      <w:pPr>
        <w:spacing w:after="240"/>
        <w:rPr>
          <w:rFonts w:eastAsia="MS PGothic" w:cstheme="minorHAnsi"/>
          <w:szCs w:val="20"/>
          <w:lang w:val="sr-Cyrl-CS" w:eastAsia="ja-JP"/>
        </w:rPr>
        <w:sectPr w:rsidR="00FD7592" w:rsidRPr="001B41AD" w:rsidSect="00FD7592">
          <w:type w:val="continuous"/>
          <w:pgSz w:w="12240" w:h="15840"/>
          <w:pgMar w:top="1440" w:right="1440" w:bottom="1440" w:left="1440" w:header="720" w:footer="720" w:gutter="0"/>
          <w:cols w:num="2" w:space="720"/>
          <w:docGrid w:linePitch="360"/>
        </w:sectPr>
      </w:pPr>
      <w:r w:rsidRPr="001B41AD">
        <w:rPr>
          <w:rFonts w:eastAsia="MS PGothic" w:cstheme="minorHAnsi"/>
          <w:szCs w:val="20"/>
          <w:lang w:val="sr-Cyrl-CS" w:eastAsia="ja-JP"/>
        </w:rPr>
        <w:t xml:space="preserve">Ограничења постављена на издавање нових гаранција у последњих 10 година дала су резултате, те се учешће индиректних обавеза у укупном јавном дугу смањивало из године у годину. Индиректне обавезе (издате гаранције од </w:t>
      </w:r>
      <w:r w:rsidRPr="001B41AD">
        <w:rPr>
          <w:rFonts w:eastAsia="MS PGothic" w:cstheme="minorHAnsi"/>
          <w:szCs w:val="20"/>
          <w:lang w:val="sr-Cyrl-CS" w:eastAsia="ja-JP"/>
        </w:rPr>
        <w:lastRenderedPageBreak/>
        <w:t xml:space="preserve">стране Републике Србије) су учествовале са 9,5% у дугу сектора државе на крају 2015. године, док су на крају 2024. године оне чиниле 4,7% дуга сектора </w:t>
      </w:r>
      <w:r w:rsidRPr="001B41AD">
        <w:rPr>
          <w:rFonts w:eastAsia="MS PGothic" w:cstheme="minorHAnsi"/>
          <w:szCs w:val="20"/>
          <w:lang w:val="sr-Cyrl-CS" w:eastAsia="ja-JP"/>
        </w:rPr>
        <w:t>државе. На дан 31. августа 2025. године, индиректне обавезе су учествовале са 4,3% у дугу сектора државе.</w:t>
      </w:r>
    </w:p>
    <w:p w14:paraId="37142DA6" w14:textId="27EAAD74" w:rsidR="00FD7592" w:rsidRPr="001B41AD" w:rsidRDefault="00FD7592" w:rsidP="003C4455">
      <w:pPr>
        <w:spacing w:after="0"/>
        <w:rPr>
          <w:rFonts w:cstheme="minorHAnsi"/>
          <w:b/>
          <w:bCs/>
          <w:szCs w:val="20"/>
          <w:lang w:val="sr-Cyrl-CS"/>
        </w:rPr>
      </w:pPr>
    </w:p>
    <w:p w14:paraId="1C281851" w14:textId="77777777" w:rsidR="00FD7592" w:rsidRPr="001B41AD" w:rsidRDefault="00FD7592" w:rsidP="00FD7592">
      <w:pPr>
        <w:spacing w:after="120"/>
        <w:jc w:val="center"/>
        <w:rPr>
          <w:rFonts w:eastAsia="MS PGothic" w:cstheme="minorHAnsi"/>
          <w:b/>
          <w:color w:val="002060"/>
          <w:szCs w:val="20"/>
          <w:lang w:val="sr-Cyrl-CS" w:eastAsia="ja-JP"/>
        </w:rPr>
      </w:pPr>
      <w:r w:rsidRPr="001B41AD">
        <w:rPr>
          <w:rFonts w:eastAsia="MS PGothic" w:cstheme="minorHAnsi"/>
          <w:b/>
          <w:noProof/>
          <w:color w:val="002060"/>
          <w:szCs w:val="20"/>
        </w:rPr>
        <w:drawing>
          <wp:anchor distT="0" distB="0" distL="114300" distR="114300" simplePos="0" relativeHeight="251662336" behindDoc="0" locked="0" layoutInCell="1" allowOverlap="1" wp14:anchorId="4850A557" wp14:editId="58E3CD7A">
            <wp:simplePos x="0" y="0"/>
            <wp:positionH relativeFrom="margin">
              <wp:align>left</wp:align>
            </wp:positionH>
            <wp:positionV relativeFrom="paragraph">
              <wp:posOffset>410845</wp:posOffset>
            </wp:positionV>
            <wp:extent cx="2781300" cy="166179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81300" cy="1661795"/>
                    </a:xfrm>
                    <a:prstGeom prst="rect">
                      <a:avLst/>
                    </a:prstGeom>
                    <a:noFill/>
                  </pic:spPr>
                </pic:pic>
              </a:graphicData>
            </a:graphic>
            <wp14:sizeRelH relativeFrom="margin">
              <wp14:pctWidth>0</wp14:pctWidth>
            </wp14:sizeRelH>
            <wp14:sizeRelV relativeFrom="margin">
              <wp14:pctHeight>0</wp14:pctHeight>
            </wp14:sizeRelV>
          </wp:anchor>
        </w:drawing>
      </w:r>
      <w:r w:rsidRPr="001B41AD">
        <w:rPr>
          <w:rFonts w:eastAsia="MS PGothic" w:cstheme="minorHAnsi"/>
          <w:b/>
          <w:color w:val="002060"/>
          <w:szCs w:val="20"/>
          <w:lang w:val="sr-Cyrl-CS" w:eastAsia="ja-JP"/>
        </w:rPr>
        <w:t>Учешће индиректног дуга у дугу сектора државе (у %)</w:t>
      </w:r>
    </w:p>
    <w:p w14:paraId="49399B31" w14:textId="77777777" w:rsidR="00FD7592" w:rsidRPr="001B41AD" w:rsidRDefault="00FD7592" w:rsidP="00FD7592">
      <w:pPr>
        <w:spacing w:after="120"/>
        <w:jc w:val="center"/>
        <w:rPr>
          <w:rFonts w:eastAsia="MS PGothic" w:cstheme="minorHAnsi"/>
          <w:b/>
          <w:color w:val="002060"/>
          <w:szCs w:val="20"/>
          <w:lang w:val="sr-Cyrl-CS" w:eastAsia="ja-JP"/>
        </w:rPr>
      </w:pPr>
    </w:p>
    <w:p w14:paraId="42037061"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Када анализирамо структуру гарантованог дуга по корисницима, уочавамо да је водећу улогу у 2024. и 2025. години преузела „Електропривреда Србије“ ад. У 2022. и 2023. години на првом месту по висини гарантованог дуга било је ЈП „Србијагас“. Учешће „Електропривреда Србије“ ад у укупним индиректним обавезама је 35,1% (68,7 млрд динара), док ЈП „Србијагас“ чини 28,4% (55,5 млрд динара) а ЈП „Путеви Србије” 9,3% (18,2 млрд динара).</w:t>
      </w:r>
    </w:p>
    <w:p w14:paraId="18FB2151" w14:textId="77777777" w:rsidR="00FD7592" w:rsidRPr="001B41AD" w:rsidRDefault="00FD7592" w:rsidP="00FD7592">
      <w:pPr>
        <w:spacing w:after="120" w:line="276" w:lineRule="auto"/>
        <w:rPr>
          <w:rFonts w:eastAsia="MS PGothic" w:cstheme="minorHAnsi"/>
          <w:b/>
          <w:bCs/>
          <w:color w:val="002060"/>
          <w:szCs w:val="20"/>
          <w:lang w:val="sr-Cyrl-CS" w:eastAsia="ja-JP"/>
        </w:rPr>
      </w:pPr>
    </w:p>
    <w:p w14:paraId="7539DF5D" w14:textId="77777777" w:rsidR="00FD7592" w:rsidRPr="001B41AD" w:rsidRDefault="00FD7592" w:rsidP="00FD7592">
      <w:pPr>
        <w:spacing w:after="120" w:line="276" w:lineRule="auto"/>
        <w:rPr>
          <w:rFonts w:eastAsia="MS PGothic" w:cstheme="minorHAnsi"/>
          <w:b/>
          <w:bCs/>
          <w:color w:val="002060"/>
          <w:szCs w:val="20"/>
          <w:lang w:val="sr-Cyrl-CS" w:eastAsia="ja-JP"/>
        </w:rPr>
      </w:pPr>
    </w:p>
    <w:p w14:paraId="483AE2CE" w14:textId="77777777" w:rsidR="00FD7592" w:rsidRPr="001B41AD" w:rsidRDefault="00FD7592" w:rsidP="00FD7592">
      <w:pPr>
        <w:spacing w:after="120" w:line="276" w:lineRule="auto"/>
        <w:rPr>
          <w:rFonts w:eastAsia="MS PGothic" w:cstheme="minorHAnsi"/>
          <w:b/>
          <w:bCs/>
          <w:color w:val="002060"/>
          <w:szCs w:val="20"/>
          <w:lang w:val="sr-Cyrl-CS" w:eastAsia="ja-JP"/>
        </w:rPr>
      </w:pPr>
    </w:p>
    <w:p w14:paraId="161BC198" w14:textId="77777777" w:rsidR="00FD7592" w:rsidRPr="001B41AD" w:rsidRDefault="00FD7592" w:rsidP="00FD7592">
      <w:pPr>
        <w:spacing w:after="120" w:line="276" w:lineRule="auto"/>
        <w:rPr>
          <w:rFonts w:eastAsia="MS PGothic" w:cstheme="minorHAnsi"/>
          <w:b/>
          <w:bCs/>
          <w:color w:val="002060"/>
          <w:szCs w:val="20"/>
          <w:lang w:val="sr-Cyrl-CS" w:eastAsia="ja-JP"/>
        </w:rPr>
        <w:sectPr w:rsidR="00FD7592" w:rsidRPr="001B41AD" w:rsidSect="00FD7592">
          <w:type w:val="continuous"/>
          <w:pgSz w:w="12240" w:h="15840"/>
          <w:pgMar w:top="1440" w:right="1440" w:bottom="1440" w:left="1440" w:header="720" w:footer="720" w:gutter="0"/>
          <w:cols w:num="2" w:space="720"/>
          <w:docGrid w:linePitch="360"/>
        </w:sectPr>
      </w:pPr>
    </w:p>
    <w:p w14:paraId="41DEA602" w14:textId="77777777" w:rsidR="00FD7592" w:rsidRPr="001B41AD" w:rsidRDefault="00FD7592" w:rsidP="00FD7592">
      <w:pPr>
        <w:spacing w:after="120"/>
        <w:jc w:val="center"/>
        <w:rPr>
          <w:rFonts w:eastAsia="MS PGothic" w:cstheme="minorHAnsi"/>
          <w:b/>
          <w:color w:val="002060"/>
          <w:szCs w:val="20"/>
          <w:lang w:val="sr-Cyrl-CS" w:eastAsia="ja-JP"/>
        </w:rPr>
      </w:pPr>
      <w:bookmarkStart w:id="53" w:name="_Hlk179894285"/>
      <w:r w:rsidRPr="001B41AD">
        <w:rPr>
          <w:rFonts w:eastAsia="MS PGothic" w:cstheme="minorHAnsi"/>
          <w:b/>
          <w:color w:val="002060"/>
          <w:szCs w:val="20"/>
          <w:lang w:val="sr-Cyrl-CS" w:eastAsia="ja-JP"/>
        </w:rPr>
        <w:t>Табела 1</w:t>
      </w:r>
      <w:r w:rsidR="00C82D44" w:rsidRPr="001B41AD">
        <w:rPr>
          <w:rFonts w:eastAsia="MS PGothic" w:cstheme="minorHAnsi"/>
          <w:b/>
          <w:color w:val="002060"/>
          <w:szCs w:val="20"/>
          <w:lang w:val="sr-Cyrl-CS" w:eastAsia="ja-JP"/>
        </w:rPr>
        <w:t>3</w:t>
      </w:r>
      <w:r w:rsidRPr="001B41AD">
        <w:rPr>
          <w:rFonts w:eastAsia="MS PGothic" w:cstheme="minorHAnsi"/>
          <w:b/>
          <w:color w:val="002060"/>
          <w:szCs w:val="20"/>
          <w:lang w:val="sr-Cyrl-CS" w:eastAsia="ja-JP"/>
        </w:rPr>
        <w:t>. Стање гарантованог дуга по корисницима, млрд динара</w:t>
      </w:r>
    </w:p>
    <w:tbl>
      <w:tblPr>
        <w:tblW w:w="9319" w:type="dxa"/>
        <w:tblLook w:val="04A0" w:firstRow="1" w:lastRow="0" w:firstColumn="1" w:lastColumn="0" w:noHBand="0" w:noVBand="1"/>
      </w:tblPr>
      <w:tblGrid>
        <w:gridCol w:w="4405"/>
        <w:gridCol w:w="856"/>
        <w:gridCol w:w="856"/>
        <w:gridCol w:w="1121"/>
        <w:gridCol w:w="1019"/>
        <w:gridCol w:w="1062"/>
      </w:tblGrid>
      <w:tr w:rsidR="00FD7592" w:rsidRPr="001B41AD" w14:paraId="4DB49152" w14:textId="77777777" w:rsidTr="00405489">
        <w:trPr>
          <w:trHeight w:val="303"/>
        </w:trPr>
        <w:tc>
          <w:tcPr>
            <w:tcW w:w="4405" w:type="dxa"/>
            <w:tcBorders>
              <w:top w:val="single" w:sz="4" w:space="0" w:color="002060"/>
              <w:left w:val="nil"/>
              <w:bottom w:val="single" w:sz="4" w:space="0" w:color="002060"/>
              <w:right w:val="nil"/>
            </w:tcBorders>
            <w:noWrap/>
            <w:hideMark/>
          </w:tcPr>
          <w:p w14:paraId="159360A3"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Корисник </w:t>
            </w:r>
          </w:p>
        </w:tc>
        <w:tc>
          <w:tcPr>
            <w:tcW w:w="856" w:type="dxa"/>
            <w:tcBorders>
              <w:top w:val="single" w:sz="4" w:space="0" w:color="002060"/>
              <w:left w:val="nil"/>
              <w:bottom w:val="single" w:sz="4" w:space="0" w:color="002060"/>
              <w:right w:val="nil"/>
            </w:tcBorders>
            <w:noWrap/>
            <w:vAlign w:val="center"/>
            <w:hideMark/>
          </w:tcPr>
          <w:p w14:paraId="51EF12BF"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2021</w:t>
            </w:r>
          </w:p>
        </w:tc>
        <w:tc>
          <w:tcPr>
            <w:tcW w:w="856" w:type="dxa"/>
            <w:tcBorders>
              <w:top w:val="single" w:sz="4" w:space="0" w:color="002060"/>
              <w:left w:val="nil"/>
              <w:bottom w:val="single" w:sz="4" w:space="0" w:color="002060"/>
              <w:right w:val="nil"/>
            </w:tcBorders>
            <w:noWrap/>
            <w:vAlign w:val="center"/>
            <w:hideMark/>
          </w:tcPr>
          <w:p w14:paraId="5BAF18CE"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2022</w:t>
            </w:r>
          </w:p>
        </w:tc>
        <w:tc>
          <w:tcPr>
            <w:tcW w:w="1121" w:type="dxa"/>
            <w:tcBorders>
              <w:top w:val="single" w:sz="4" w:space="0" w:color="002060"/>
              <w:left w:val="nil"/>
              <w:bottom w:val="single" w:sz="4" w:space="0" w:color="002060"/>
              <w:right w:val="nil"/>
            </w:tcBorders>
            <w:noWrap/>
            <w:vAlign w:val="center"/>
            <w:hideMark/>
          </w:tcPr>
          <w:p w14:paraId="6757747F"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2023</w:t>
            </w:r>
          </w:p>
        </w:tc>
        <w:tc>
          <w:tcPr>
            <w:tcW w:w="1019" w:type="dxa"/>
            <w:tcBorders>
              <w:top w:val="single" w:sz="4" w:space="0" w:color="002060"/>
              <w:left w:val="nil"/>
              <w:bottom w:val="single" w:sz="4" w:space="0" w:color="002060"/>
              <w:right w:val="nil"/>
            </w:tcBorders>
            <w:noWrap/>
            <w:vAlign w:val="center"/>
            <w:hideMark/>
          </w:tcPr>
          <w:p w14:paraId="211D07ED"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2024</w:t>
            </w:r>
          </w:p>
        </w:tc>
        <w:tc>
          <w:tcPr>
            <w:tcW w:w="1062" w:type="dxa"/>
            <w:tcBorders>
              <w:top w:val="single" w:sz="4" w:space="0" w:color="002060"/>
              <w:left w:val="nil"/>
              <w:bottom w:val="single" w:sz="4" w:space="0" w:color="002060"/>
              <w:right w:val="nil"/>
            </w:tcBorders>
            <w:noWrap/>
            <w:vAlign w:val="center"/>
            <w:hideMark/>
          </w:tcPr>
          <w:p w14:paraId="71C5D621"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31.08.2025</w:t>
            </w:r>
          </w:p>
        </w:tc>
      </w:tr>
      <w:tr w:rsidR="00FD7592" w:rsidRPr="001B41AD" w14:paraId="1B7C3444" w14:textId="77777777" w:rsidTr="00405489">
        <w:trPr>
          <w:trHeight w:val="303"/>
        </w:trPr>
        <w:tc>
          <w:tcPr>
            <w:tcW w:w="4405" w:type="dxa"/>
            <w:tcBorders>
              <w:top w:val="nil"/>
              <w:left w:val="nil"/>
              <w:bottom w:val="nil"/>
              <w:right w:val="nil"/>
            </w:tcBorders>
            <w:shd w:val="clear" w:color="000000" w:fill="FFFFFF"/>
            <w:noWrap/>
            <w:vAlign w:val="center"/>
            <w:hideMark/>
          </w:tcPr>
          <w:p w14:paraId="2337CED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"Електропривреда Србије" ад</w:t>
            </w:r>
          </w:p>
        </w:tc>
        <w:tc>
          <w:tcPr>
            <w:tcW w:w="856" w:type="dxa"/>
            <w:tcBorders>
              <w:top w:val="nil"/>
              <w:left w:val="nil"/>
              <w:bottom w:val="nil"/>
              <w:right w:val="nil"/>
            </w:tcBorders>
            <w:shd w:val="clear" w:color="000000" w:fill="FFFFFF"/>
            <w:noWrap/>
            <w:vAlign w:val="center"/>
            <w:hideMark/>
          </w:tcPr>
          <w:p w14:paraId="2F06854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42,7</w:t>
            </w:r>
          </w:p>
        </w:tc>
        <w:tc>
          <w:tcPr>
            <w:tcW w:w="856" w:type="dxa"/>
            <w:tcBorders>
              <w:top w:val="nil"/>
              <w:left w:val="nil"/>
              <w:bottom w:val="nil"/>
              <w:right w:val="nil"/>
            </w:tcBorders>
            <w:shd w:val="clear" w:color="000000" w:fill="FFFFFF"/>
            <w:noWrap/>
            <w:vAlign w:val="center"/>
            <w:hideMark/>
          </w:tcPr>
          <w:p w14:paraId="28334AE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40,6</w:t>
            </w:r>
          </w:p>
        </w:tc>
        <w:tc>
          <w:tcPr>
            <w:tcW w:w="1121" w:type="dxa"/>
            <w:tcBorders>
              <w:top w:val="nil"/>
              <w:left w:val="nil"/>
              <w:bottom w:val="nil"/>
              <w:right w:val="nil"/>
            </w:tcBorders>
            <w:shd w:val="clear" w:color="000000" w:fill="FFFFFF"/>
            <w:noWrap/>
            <w:vAlign w:val="center"/>
            <w:hideMark/>
          </w:tcPr>
          <w:p w14:paraId="52CD91E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58,5</w:t>
            </w:r>
          </w:p>
        </w:tc>
        <w:tc>
          <w:tcPr>
            <w:tcW w:w="1019" w:type="dxa"/>
            <w:tcBorders>
              <w:top w:val="nil"/>
              <w:left w:val="nil"/>
              <w:bottom w:val="nil"/>
              <w:right w:val="nil"/>
            </w:tcBorders>
            <w:shd w:val="clear" w:color="000000" w:fill="FFFFFF"/>
            <w:noWrap/>
            <w:vAlign w:val="center"/>
            <w:hideMark/>
          </w:tcPr>
          <w:p w14:paraId="3362384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81,9</w:t>
            </w:r>
          </w:p>
        </w:tc>
        <w:tc>
          <w:tcPr>
            <w:tcW w:w="1062" w:type="dxa"/>
            <w:tcBorders>
              <w:top w:val="nil"/>
              <w:left w:val="nil"/>
              <w:bottom w:val="nil"/>
              <w:right w:val="nil"/>
            </w:tcBorders>
            <w:shd w:val="clear" w:color="000000" w:fill="FFFFFF"/>
            <w:noWrap/>
            <w:vAlign w:val="center"/>
            <w:hideMark/>
          </w:tcPr>
          <w:p w14:paraId="5A16104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68,7</w:t>
            </w:r>
          </w:p>
        </w:tc>
      </w:tr>
      <w:tr w:rsidR="00FD7592" w:rsidRPr="001B41AD" w14:paraId="57C214E6" w14:textId="77777777" w:rsidTr="00405489">
        <w:trPr>
          <w:trHeight w:val="303"/>
        </w:trPr>
        <w:tc>
          <w:tcPr>
            <w:tcW w:w="4405" w:type="dxa"/>
            <w:tcBorders>
              <w:top w:val="nil"/>
              <w:left w:val="nil"/>
              <w:bottom w:val="nil"/>
              <w:right w:val="nil"/>
            </w:tcBorders>
            <w:shd w:val="clear" w:color="000000" w:fill="FFFFFF"/>
            <w:noWrap/>
            <w:vAlign w:val="center"/>
            <w:hideMark/>
          </w:tcPr>
          <w:p w14:paraId="06EDC376"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JП "Србијагас"</w:t>
            </w:r>
          </w:p>
        </w:tc>
        <w:tc>
          <w:tcPr>
            <w:tcW w:w="856" w:type="dxa"/>
            <w:tcBorders>
              <w:top w:val="nil"/>
              <w:left w:val="nil"/>
              <w:bottom w:val="nil"/>
              <w:right w:val="nil"/>
            </w:tcBorders>
            <w:shd w:val="clear" w:color="000000" w:fill="FFFFFF"/>
            <w:noWrap/>
            <w:vAlign w:val="center"/>
            <w:hideMark/>
          </w:tcPr>
          <w:p w14:paraId="6A70468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27,7</w:t>
            </w:r>
          </w:p>
        </w:tc>
        <w:tc>
          <w:tcPr>
            <w:tcW w:w="856" w:type="dxa"/>
            <w:tcBorders>
              <w:top w:val="nil"/>
              <w:left w:val="nil"/>
              <w:bottom w:val="nil"/>
              <w:right w:val="nil"/>
            </w:tcBorders>
            <w:shd w:val="clear" w:color="000000" w:fill="FFFFFF"/>
            <w:noWrap/>
            <w:vAlign w:val="center"/>
            <w:hideMark/>
          </w:tcPr>
          <w:p w14:paraId="704E9FE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55,1</w:t>
            </w:r>
          </w:p>
        </w:tc>
        <w:tc>
          <w:tcPr>
            <w:tcW w:w="1121" w:type="dxa"/>
            <w:tcBorders>
              <w:top w:val="nil"/>
              <w:left w:val="nil"/>
              <w:bottom w:val="nil"/>
              <w:right w:val="nil"/>
            </w:tcBorders>
            <w:shd w:val="clear" w:color="000000" w:fill="FFFFFF"/>
            <w:noWrap/>
            <w:vAlign w:val="center"/>
            <w:hideMark/>
          </w:tcPr>
          <w:p w14:paraId="135857B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79,1</w:t>
            </w:r>
          </w:p>
        </w:tc>
        <w:tc>
          <w:tcPr>
            <w:tcW w:w="1019" w:type="dxa"/>
            <w:tcBorders>
              <w:top w:val="nil"/>
              <w:left w:val="nil"/>
              <w:bottom w:val="nil"/>
              <w:right w:val="nil"/>
            </w:tcBorders>
            <w:shd w:val="clear" w:color="000000" w:fill="FFFFFF"/>
            <w:noWrap/>
            <w:vAlign w:val="center"/>
            <w:hideMark/>
          </w:tcPr>
          <w:p w14:paraId="3F2A3E1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58,0</w:t>
            </w:r>
          </w:p>
        </w:tc>
        <w:tc>
          <w:tcPr>
            <w:tcW w:w="1062" w:type="dxa"/>
            <w:tcBorders>
              <w:top w:val="nil"/>
              <w:left w:val="nil"/>
              <w:bottom w:val="nil"/>
              <w:right w:val="nil"/>
            </w:tcBorders>
            <w:shd w:val="clear" w:color="000000" w:fill="FFFFFF"/>
            <w:noWrap/>
            <w:vAlign w:val="center"/>
            <w:hideMark/>
          </w:tcPr>
          <w:p w14:paraId="529C785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55,5</w:t>
            </w:r>
          </w:p>
        </w:tc>
      </w:tr>
      <w:tr w:rsidR="00FD7592" w:rsidRPr="001B41AD" w14:paraId="3A549E04" w14:textId="77777777" w:rsidTr="00405489">
        <w:trPr>
          <w:trHeight w:val="303"/>
        </w:trPr>
        <w:tc>
          <w:tcPr>
            <w:tcW w:w="4405" w:type="dxa"/>
            <w:tcBorders>
              <w:top w:val="nil"/>
              <w:left w:val="nil"/>
              <w:bottom w:val="nil"/>
              <w:right w:val="nil"/>
            </w:tcBorders>
            <w:shd w:val="clear" w:color="000000" w:fill="FFFFFF"/>
            <w:noWrap/>
            <w:vAlign w:val="center"/>
            <w:hideMark/>
          </w:tcPr>
          <w:p w14:paraId="4BA88D3A"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Железничка предузећа збирно</w:t>
            </w:r>
          </w:p>
        </w:tc>
        <w:tc>
          <w:tcPr>
            <w:tcW w:w="856" w:type="dxa"/>
            <w:tcBorders>
              <w:top w:val="nil"/>
              <w:left w:val="nil"/>
              <w:bottom w:val="nil"/>
              <w:right w:val="nil"/>
            </w:tcBorders>
            <w:shd w:val="clear" w:color="000000" w:fill="FFFFFF"/>
            <w:noWrap/>
            <w:vAlign w:val="center"/>
            <w:hideMark/>
          </w:tcPr>
          <w:p w14:paraId="1C3EC37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31,7</w:t>
            </w:r>
          </w:p>
        </w:tc>
        <w:tc>
          <w:tcPr>
            <w:tcW w:w="856" w:type="dxa"/>
            <w:tcBorders>
              <w:top w:val="nil"/>
              <w:left w:val="nil"/>
              <w:bottom w:val="nil"/>
              <w:right w:val="nil"/>
            </w:tcBorders>
            <w:shd w:val="clear" w:color="000000" w:fill="FFFFFF"/>
            <w:noWrap/>
            <w:vAlign w:val="center"/>
            <w:hideMark/>
          </w:tcPr>
          <w:p w14:paraId="2EDD541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31,2</w:t>
            </w:r>
          </w:p>
        </w:tc>
        <w:tc>
          <w:tcPr>
            <w:tcW w:w="1121" w:type="dxa"/>
            <w:tcBorders>
              <w:top w:val="nil"/>
              <w:left w:val="nil"/>
              <w:bottom w:val="nil"/>
              <w:right w:val="nil"/>
            </w:tcBorders>
            <w:shd w:val="clear" w:color="000000" w:fill="FFFFFF"/>
            <w:noWrap/>
            <w:vAlign w:val="center"/>
            <w:hideMark/>
          </w:tcPr>
          <w:p w14:paraId="7BEFE87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26,3</w:t>
            </w:r>
          </w:p>
        </w:tc>
        <w:tc>
          <w:tcPr>
            <w:tcW w:w="1019" w:type="dxa"/>
            <w:tcBorders>
              <w:top w:val="nil"/>
              <w:left w:val="nil"/>
              <w:bottom w:val="nil"/>
              <w:right w:val="nil"/>
            </w:tcBorders>
            <w:shd w:val="clear" w:color="000000" w:fill="FFFFFF"/>
            <w:noWrap/>
            <w:vAlign w:val="center"/>
            <w:hideMark/>
          </w:tcPr>
          <w:p w14:paraId="3DB635E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25,6</w:t>
            </w:r>
          </w:p>
        </w:tc>
        <w:tc>
          <w:tcPr>
            <w:tcW w:w="1062" w:type="dxa"/>
            <w:tcBorders>
              <w:top w:val="nil"/>
              <w:left w:val="nil"/>
              <w:bottom w:val="nil"/>
              <w:right w:val="nil"/>
            </w:tcBorders>
            <w:shd w:val="clear" w:color="000000" w:fill="FFFFFF"/>
            <w:noWrap/>
            <w:vAlign w:val="center"/>
            <w:hideMark/>
          </w:tcPr>
          <w:p w14:paraId="123FF2D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22,0</w:t>
            </w:r>
          </w:p>
        </w:tc>
      </w:tr>
      <w:tr w:rsidR="00FD7592" w:rsidRPr="001B41AD" w14:paraId="5A926ADC" w14:textId="77777777" w:rsidTr="00405489">
        <w:trPr>
          <w:trHeight w:val="303"/>
        </w:trPr>
        <w:tc>
          <w:tcPr>
            <w:tcW w:w="4405" w:type="dxa"/>
            <w:tcBorders>
              <w:top w:val="nil"/>
              <w:left w:val="nil"/>
              <w:bottom w:val="nil"/>
              <w:right w:val="nil"/>
            </w:tcBorders>
            <w:shd w:val="clear" w:color="000000" w:fill="FFFFFF"/>
            <w:noWrap/>
            <w:vAlign w:val="center"/>
            <w:hideMark/>
          </w:tcPr>
          <w:p w14:paraId="5B3ECCDA"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ЈП "Путеви Србије"</w:t>
            </w:r>
          </w:p>
        </w:tc>
        <w:tc>
          <w:tcPr>
            <w:tcW w:w="856" w:type="dxa"/>
            <w:tcBorders>
              <w:top w:val="nil"/>
              <w:left w:val="nil"/>
              <w:bottom w:val="nil"/>
              <w:right w:val="nil"/>
            </w:tcBorders>
            <w:shd w:val="clear" w:color="000000" w:fill="FFFFFF"/>
            <w:noWrap/>
            <w:vAlign w:val="center"/>
            <w:hideMark/>
          </w:tcPr>
          <w:p w14:paraId="1345B96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30,0</w:t>
            </w:r>
          </w:p>
        </w:tc>
        <w:tc>
          <w:tcPr>
            <w:tcW w:w="856" w:type="dxa"/>
            <w:tcBorders>
              <w:top w:val="nil"/>
              <w:left w:val="nil"/>
              <w:bottom w:val="nil"/>
              <w:right w:val="nil"/>
            </w:tcBorders>
            <w:shd w:val="clear" w:color="000000" w:fill="FFFFFF"/>
            <w:noWrap/>
            <w:vAlign w:val="center"/>
            <w:hideMark/>
          </w:tcPr>
          <w:p w14:paraId="74E5DDE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26,5</w:t>
            </w:r>
          </w:p>
        </w:tc>
        <w:tc>
          <w:tcPr>
            <w:tcW w:w="1121" w:type="dxa"/>
            <w:tcBorders>
              <w:top w:val="nil"/>
              <w:left w:val="nil"/>
              <w:bottom w:val="nil"/>
              <w:right w:val="nil"/>
            </w:tcBorders>
            <w:shd w:val="clear" w:color="000000" w:fill="FFFFFF"/>
            <w:noWrap/>
            <w:vAlign w:val="center"/>
            <w:hideMark/>
          </w:tcPr>
          <w:p w14:paraId="317F106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23,0</w:t>
            </w:r>
          </w:p>
        </w:tc>
        <w:tc>
          <w:tcPr>
            <w:tcW w:w="1019" w:type="dxa"/>
            <w:tcBorders>
              <w:top w:val="nil"/>
              <w:left w:val="nil"/>
              <w:bottom w:val="nil"/>
              <w:right w:val="nil"/>
            </w:tcBorders>
            <w:shd w:val="clear" w:color="000000" w:fill="FFFFFF"/>
            <w:noWrap/>
            <w:vAlign w:val="center"/>
            <w:hideMark/>
          </w:tcPr>
          <w:p w14:paraId="72A53AD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20,5</w:t>
            </w:r>
          </w:p>
        </w:tc>
        <w:tc>
          <w:tcPr>
            <w:tcW w:w="1062" w:type="dxa"/>
            <w:tcBorders>
              <w:top w:val="nil"/>
              <w:left w:val="nil"/>
              <w:bottom w:val="nil"/>
              <w:right w:val="nil"/>
            </w:tcBorders>
            <w:shd w:val="clear" w:color="000000" w:fill="FFFFFF"/>
            <w:noWrap/>
            <w:vAlign w:val="center"/>
            <w:hideMark/>
          </w:tcPr>
          <w:p w14:paraId="47CE90B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18,2</w:t>
            </w:r>
          </w:p>
        </w:tc>
      </w:tr>
      <w:tr w:rsidR="00FD7592" w:rsidRPr="001B41AD" w14:paraId="3FD608BC" w14:textId="77777777" w:rsidTr="00405489">
        <w:trPr>
          <w:trHeight w:val="303"/>
        </w:trPr>
        <w:tc>
          <w:tcPr>
            <w:tcW w:w="4405" w:type="dxa"/>
            <w:tcBorders>
              <w:top w:val="nil"/>
              <w:left w:val="nil"/>
              <w:bottom w:val="nil"/>
              <w:right w:val="nil"/>
            </w:tcBorders>
            <w:shd w:val="clear" w:color="000000" w:fill="FFFFFF"/>
            <w:noWrap/>
            <w:vAlign w:val="center"/>
            <w:hideMark/>
          </w:tcPr>
          <w:p w14:paraId="3E1A6478"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Јединице локалне власти (градови и општине)</w:t>
            </w:r>
          </w:p>
        </w:tc>
        <w:tc>
          <w:tcPr>
            <w:tcW w:w="856" w:type="dxa"/>
            <w:tcBorders>
              <w:top w:val="nil"/>
              <w:left w:val="nil"/>
              <w:bottom w:val="nil"/>
              <w:right w:val="nil"/>
            </w:tcBorders>
            <w:shd w:val="clear" w:color="000000" w:fill="FFFFFF"/>
            <w:noWrap/>
            <w:vAlign w:val="center"/>
            <w:hideMark/>
          </w:tcPr>
          <w:p w14:paraId="158D34A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21,1</w:t>
            </w:r>
          </w:p>
        </w:tc>
        <w:tc>
          <w:tcPr>
            <w:tcW w:w="856" w:type="dxa"/>
            <w:tcBorders>
              <w:top w:val="nil"/>
              <w:left w:val="nil"/>
              <w:bottom w:val="nil"/>
              <w:right w:val="nil"/>
            </w:tcBorders>
            <w:shd w:val="clear" w:color="000000" w:fill="FFFFFF"/>
            <w:noWrap/>
            <w:vAlign w:val="center"/>
            <w:hideMark/>
          </w:tcPr>
          <w:p w14:paraId="652A859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19,2</w:t>
            </w:r>
          </w:p>
        </w:tc>
        <w:tc>
          <w:tcPr>
            <w:tcW w:w="1121" w:type="dxa"/>
            <w:tcBorders>
              <w:top w:val="nil"/>
              <w:left w:val="nil"/>
              <w:bottom w:val="nil"/>
              <w:right w:val="nil"/>
            </w:tcBorders>
            <w:shd w:val="clear" w:color="000000" w:fill="FFFFFF"/>
            <w:noWrap/>
            <w:vAlign w:val="center"/>
            <w:hideMark/>
          </w:tcPr>
          <w:p w14:paraId="2B5413A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17,3</w:t>
            </w:r>
          </w:p>
        </w:tc>
        <w:tc>
          <w:tcPr>
            <w:tcW w:w="1019" w:type="dxa"/>
            <w:tcBorders>
              <w:top w:val="nil"/>
              <w:left w:val="nil"/>
              <w:bottom w:val="nil"/>
              <w:right w:val="nil"/>
            </w:tcBorders>
            <w:shd w:val="clear" w:color="000000" w:fill="FFFFFF"/>
            <w:noWrap/>
            <w:vAlign w:val="center"/>
            <w:hideMark/>
          </w:tcPr>
          <w:p w14:paraId="5381C12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15,4</w:t>
            </w:r>
          </w:p>
        </w:tc>
        <w:tc>
          <w:tcPr>
            <w:tcW w:w="1062" w:type="dxa"/>
            <w:tcBorders>
              <w:top w:val="nil"/>
              <w:left w:val="nil"/>
              <w:bottom w:val="nil"/>
              <w:right w:val="nil"/>
            </w:tcBorders>
            <w:shd w:val="clear" w:color="000000" w:fill="FFFFFF"/>
            <w:noWrap/>
            <w:vAlign w:val="center"/>
            <w:hideMark/>
          </w:tcPr>
          <w:p w14:paraId="33DCFCA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14,4</w:t>
            </w:r>
          </w:p>
        </w:tc>
      </w:tr>
      <w:tr w:rsidR="00FD7592" w:rsidRPr="001B41AD" w14:paraId="5C9992BD" w14:textId="77777777" w:rsidTr="00405489">
        <w:trPr>
          <w:trHeight w:val="303"/>
        </w:trPr>
        <w:tc>
          <w:tcPr>
            <w:tcW w:w="4405" w:type="dxa"/>
            <w:tcBorders>
              <w:top w:val="nil"/>
              <w:left w:val="nil"/>
              <w:bottom w:val="nil"/>
              <w:right w:val="nil"/>
            </w:tcBorders>
            <w:shd w:val="clear" w:color="000000" w:fill="FFFFFF"/>
            <w:noWrap/>
            <w:vAlign w:val="center"/>
            <w:hideMark/>
          </w:tcPr>
          <w:p w14:paraId="1119DB42"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Остали</w:t>
            </w:r>
          </w:p>
        </w:tc>
        <w:tc>
          <w:tcPr>
            <w:tcW w:w="856" w:type="dxa"/>
            <w:tcBorders>
              <w:top w:val="nil"/>
              <w:left w:val="nil"/>
              <w:bottom w:val="nil"/>
              <w:right w:val="nil"/>
            </w:tcBorders>
            <w:shd w:val="clear" w:color="000000" w:fill="FFFFFF"/>
            <w:noWrap/>
            <w:vAlign w:val="center"/>
            <w:hideMark/>
          </w:tcPr>
          <w:p w14:paraId="27FD26F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9,2</w:t>
            </w:r>
          </w:p>
        </w:tc>
        <w:tc>
          <w:tcPr>
            <w:tcW w:w="856" w:type="dxa"/>
            <w:tcBorders>
              <w:top w:val="nil"/>
              <w:left w:val="nil"/>
              <w:bottom w:val="nil"/>
              <w:right w:val="nil"/>
            </w:tcBorders>
            <w:shd w:val="clear" w:color="000000" w:fill="FFFFFF"/>
            <w:noWrap/>
            <w:vAlign w:val="center"/>
            <w:hideMark/>
          </w:tcPr>
          <w:p w14:paraId="35CD20E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8,8</w:t>
            </w:r>
          </w:p>
        </w:tc>
        <w:tc>
          <w:tcPr>
            <w:tcW w:w="1121" w:type="dxa"/>
            <w:tcBorders>
              <w:top w:val="nil"/>
              <w:left w:val="nil"/>
              <w:bottom w:val="nil"/>
              <w:right w:val="nil"/>
            </w:tcBorders>
            <w:shd w:val="clear" w:color="000000" w:fill="FFFFFF"/>
            <w:noWrap/>
            <w:vAlign w:val="center"/>
            <w:hideMark/>
          </w:tcPr>
          <w:p w14:paraId="1974473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8,6</w:t>
            </w:r>
          </w:p>
        </w:tc>
        <w:tc>
          <w:tcPr>
            <w:tcW w:w="1019" w:type="dxa"/>
            <w:tcBorders>
              <w:top w:val="nil"/>
              <w:left w:val="nil"/>
              <w:bottom w:val="nil"/>
              <w:right w:val="nil"/>
            </w:tcBorders>
            <w:shd w:val="clear" w:color="000000" w:fill="FFFFFF"/>
            <w:noWrap/>
            <w:vAlign w:val="center"/>
            <w:hideMark/>
          </w:tcPr>
          <w:p w14:paraId="1CDBCD4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13,0</w:t>
            </w:r>
          </w:p>
        </w:tc>
        <w:tc>
          <w:tcPr>
            <w:tcW w:w="1062" w:type="dxa"/>
            <w:tcBorders>
              <w:top w:val="nil"/>
              <w:left w:val="nil"/>
              <w:bottom w:val="nil"/>
              <w:right w:val="nil"/>
            </w:tcBorders>
            <w:shd w:val="clear" w:color="000000" w:fill="FFFFFF"/>
            <w:noWrap/>
            <w:vAlign w:val="center"/>
            <w:hideMark/>
          </w:tcPr>
          <w:p w14:paraId="375F42F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16,8</w:t>
            </w:r>
          </w:p>
        </w:tc>
      </w:tr>
      <w:tr w:rsidR="00FD7592" w:rsidRPr="001B41AD" w14:paraId="36F5444C" w14:textId="77777777" w:rsidTr="00405489">
        <w:trPr>
          <w:trHeight w:val="303"/>
        </w:trPr>
        <w:tc>
          <w:tcPr>
            <w:tcW w:w="4405" w:type="dxa"/>
            <w:tcBorders>
              <w:top w:val="single" w:sz="4" w:space="0" w:color="002060"/>
              <w:left w:val="nil"/>
              <w:bottom w:val="single" w:sz="4" w:space="0" w:color="002060"/>
              <w:right w:val="nil"/>
            </w:tcBorders>
            <w:noWrap/>
            <w:hideMark/>
          </w:tcPr>
          <w:p w14:paraId="0A9F4AA9"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 Укупно: </w:t>
            </w:r>
          </w:p>
        </w:tc>
        <w:tc>
          <w:tcPr>
            <w:tcW w:w="856" w:type="dxa"/>
            <w:tcBorders>
              <w:top w:val="single" w:sz="4" w:space="0" w:color="002060"/>
              <w:left w:val="nil"/>
              <w:bottom w:val="single" w:sz="4" w:space="0" w:color="002060"/>
              <w:right w:val="nil"/>
            </w:tcBorders>
            <w:noWrap/>
            <w:vAlign w:val="center"/>
            <w:hideMark/>
          </w:tcPr>
          <w:p w14:paraId="1BFFDB63"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162,5</w:t>
            </w:r>
          </w:p>
        </w:tc>
        <w:tc>
          <w:tcPr>
            <w:tcW w:w="856" w:type="dxa"/>
            <w:tcBorders>
              <w:top w:val="single" w:sz="4" w:space="0" w:color="002060"/>
              <w:left w:val="nil"/>
              <w:bottom w:val="single" w:sz="4" w:space="0" w:color="002060"/>
              <w:right w:val="nil"/>
            </w:tcBorders>
            <w:noWrap/>
            <w:vAlign w:val="center"/>
            <w:hideMark/>
          </w:tcPr>
          <w:p w14:paraId="41901BF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181,4</w:t>
            </w:r>
          </w:p>
        </w:tc>
        <w:tc>
          <w:tcPr>
            <w:tcW w:w="1121" w:type="dxa"/>
            <w:tcBorders>
              <w:top w:val="single" w:sz="4" w:space="0" w:color="002060"/>
              <w:left w:val="nil"/>
              <w:bottom w:val="single" w:sz="4" w:space="0" w:color="002060"/>
              <w:right w:val="nil"/>
            </w:tcBorders>
            <w:noWrap/>
            <w:vAlign w:val="center"/>
            <w:hideMark/>
          </w:tcPr>
          <w:p w14:paraId="508D92A5"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212,8</w:t>
            </w:r>
          </w:p>
        </w:tc>
        <w:tc>
          <w:tcPr>
            <w:tcW w:w="1019" w:type="dxa"/>
            <w:tcBorders>
              <w:top w:val="single" w:sz="4" w:space="0" w:color="002060"/>
              <w:left w:val="nil"/>
              <w:bottom w:val="single" w:sz="4" w:space="0" w:color="002060"/>
              <w:right w:val="nil"/>
            </w:tcBorders>
            <w:noWrap/>
            <w:vAlign w:val="center"/>
            <w:hideMark/>
          </w:tcPr>
          <w:p w14:paraId="623F9B75"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214,4</w:t>
            </w:r>
          </w:p>
        </w:tc>
        <w:tc>
          <w:tcPr>
            <w:tcW w:w="1062" w:type="dxa"/>
            <w:tcBorders>
              <w:top w:val="single" w:sz="4" w:space="0" w:color="002060"/>
              <w:left w:val="nil"/>
              <w:bottom w:val="single" w:sz="4" w:space="0" w:color="002060"/>
              <w:right w:val="nil"/>
            </w:tcBorders>
            <w:noWrap/>
            <w:vAlign w:val="center"/>
            <w:hideMark/>
          </w:tcPr>
          <w:p w14:paraId="3D3BB75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195,5</w:t>
            </w:r>
          </w:p>
        </w:tc>
      </w:tr>
    </w:tbl>
    <w:p w14:paraId="7A49DA38" w14:textId="77777777" w:rsidR="00FD7592" w:rsidRPr="001B41AD" w:rsidRDefault="00FD7592" w:rsidP="00FD7592">
      <w:pPr>
        <w:spacing w:after="120" w:line="276" w:lineRule="auto"/>
        <w:rPr>
          <w:rFonts w:eastAsia="MS PGothic" w:cstheme="minorHAnsi"/>
          <w:sz w:val="16"/>
          <w:szCs w:val="16"/>
          <w:lang w:val="sr-Cyrl-CS" w:eastAsia="ja-JP"/>
        </w:rPr>
        <w:sectPr w:rsidR="00FD7592" w:rsidRPr="001B41AD" w:rsidSect="00405489">
          <w:type w:val="continuous"/>
          <w:pgSz w:w="12240" w:h="15840"/>
          <w:pgMar w:top="1440" w:right="1440" w:bottom="1440" w:left="1440" w:header="720" w:footer="720" w:gutter="0"/>
          <w:cols w:space="720"/>
          <w:docGrid w:linePitch="360"/>
        </w:sectPr>
      </w:pPr>
      <w:r w:rsidRPr="001B41AD">
        <w:rPr>
          <w:rFonts w:eastAsia="MS PGothic" w:cstheme="minorHAnsi"/>
          <w:sz w:val="16"/>
          <w:szCs w:val="16"/>
          <w:lang w:val="sr-Cyrl-CS" w:eastAsia="ja-JP"/>
        </w:rPr>
        <w:t>Извор: Министарство финансија</w:t>
      </w:r>
    </w:p>
    <w:bookmarkEnd w:id="53"/>
    <w:p w14:paraId="7E458289" w14:textId="77777777" w:rsidR="00FD7592" w:rsidRPr="001B41AD" w:rsidRDefault="00FD7592" w:rsidP="00FD7592">
      <w:pPr>
        <w:spacing w:afterLines="120" w:after="288"/>
        <w:rPr>
          <w:rFonts w:eastAsia="MS PGothic" w:cstheme="minorHAnsi"/>
          <w:szCs w:val="20"/>
          <w:lang w:val="sr-Cyrl-CS" w:eastAsia="ja-JP"/>
        </w:rPr>
      </w:pPr>
      <w:r w:rsidRPr="001B41AD">
        <w:rPr>
          <w:rFonts w:eastAsia="MS PGothic" w:cstheme="minorHAnsi"/>
          <w:szCs w:val="20"/>
          <w:lang w:val="sr-Cyrl-CS" w:eastAsia="ja-JP"/>
        </w:rPr>
        <w:t>Стање гарантованог дуга код Железничких предузећа („Железнице Србије” ад, „Инфраструктура железнице Србије” ад, „Србијавоз” ад и „Србија Карго” ад) је значајно флуктуирало од 2020. године па све до данас. У 2020. и 2021. години „Железнице Србије” ад су имале водећу позицију по основу стања гарантованог дуга, док је од 2022. године ту позицију преузело железничко предузеће „Србијавоз” ад због кредита ЕБРД</w:t>
      </w:r>
      <w:r w:rsidR="00140616" w:rsidRPr="001B41AD">
        <w:rPr>
          <w:rFonts w:eastAsia="MS PGothic" w:cstheme="minorHAnsi"/>
          <w:szCs w:val="20"/>
          <w:lang w:val="sr-Cyrl-CS" w:eastAsia="ja-JP"/>
        </w:rPr>
        <w:t>,</w:t>
      </w:r>
      <w:r w:rsidRPr="001B41AD">
        <w:rPr>
          <w:rFonts w:eastAsia="MS PGothic" w:cstheme="minorHAnsi"/>
          <w:szCs w:val="20"/>
          <w:lang w:val="sr-Cyrl-CS" w:eastAsia="ja-JP"/>
        </w:rPr>
        <w:t xml:space="preserve"> чија је намена набавка возних средстава и реконструкција и модернизација регионалних депоа.</w:t>
      </w:r>
    </w:p>
    <w:p w14:paraId="4BADCD10"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Ако посматрамо стање дуга обезбеђеног државним гаранцијама према кредиторима, на дан 31. августа 2025. године, највећа изложеност је према пословним банкама (унутрашњи и </w:t>
      </w:r>
      <w:r w:rsidRPr="001B41AD">
        <w:rPr>
          <w:rFonts w:eastAsia="MS PGothic" w:cstheme="minorHAnsi"/>
          <w:szCs w:val="20"/>
          <w:lang w:val="sr-Cyrl-CS" w:eastAsia="ja-JP"/>
        </w:rPr>
        <w:t>спољашњи дуг) у износу од 79,1 млрд динара или 40,5% укупних индиректних обавеза и Европској банци за обнову и развој (ЕБРД) у износу од 47,9 млрд динара (24,5%), затим обавезе према Европској инвестиционој банци (ЕИБ) од 38,4 млрд динара (19,7%), Немачкој развојној банци од 21,4 млрд динара (11,0%) и Јапанској агенцији за међународну сарадњу од 6,3 млрд динара (3,2%).</w:t>
      </w:r>
    </w:p>
    <w:p w14:paraId="65A0AC10" w14:textId="77777777" w:rsidR="00EA07E6" w:rsidRPr="001B41AD" w:rsidRDefault="00EA07E6" w:rsidP="00FD7592">
      <w:pPr>
        <w:rPr>
          <w:rFonts w:eastAsia="MS PGothic" w:cstheme="minorHAnsi"/>
          <w:szCs w:val="20"/>
          <w:lang w:val="sr-Cyrl-CS" w:eastAsia="ja-JP"/>
        </w:rPr>
      </w:pPr>
    </w:p>
    <w:p w14:paraId="5FF5C611" w14:textId="77777777" w:rsidR="00EA07E6" w:rsidRPr="001B41AD" w:rsidRDefault="00EA07E6" w:rsidP="00FD7592">
      <w:pPr>
        <w:rPr>
          <w:rFonts w:eastAsia="MS PGothic" w:cstheme="minorHAnsi"/>
          <w:szCs w:val="20"/>
          <w:lang w:val="sr-Cyrl-CS" w:eastAsia="ja-JP"/>
        </w:rPr>
      </w:pPr>
    </w:p>
    <w:p w14:paraId="72BC555C" w14:textId="77777777" w:rsidR="00EA07E6" w:rsidRPr="001B41AD" w:rsidRDefault="00EA07E6" w:rsidP="00FD7592">
      <w:pPr>
        <w:rPr>
          <w:rFonts w:eastAsia="MS PGothic" w:cstheme="minorHAnsi"/>
          <w:szCs w:val="20"/>
          <w:lang w:val="sr-Cyrl-CS" w:eastAsia="ja-JP"/>
        </w:rPr>
      </w:pPr>
    </w:p>
    <w:p w14:paraId="3E23ACCC" w14:textId="77777777" w:rsidR="00EA07E6" w:rsidRPr="001B41AD" w:rsidRDefault="00EA07E6" w:rsidP="00FD7592">
      <w:pPr>
        <w:rPr>
          <w:rFonts w:eastAsia="MS PGothic" w:cstheme="minorHAnsi"/>
          <w:szCs w:val="20"/>
          <w:lang w:val="sr-Cyrl-CS" w:eastAsia="ja-JP"/>
        </w:rPr>
      </w:pPr>
    </w:p>
    <w:p w14:paraId="79A8EA0B" w14:textId="77777777" w:rsidR="00EA07E6" w:rsidRPr="001B41AD" w:rsidRDefault="00EA07E6" w:rsidP="00FD7592">
      <w:pPr>
        <w:rPr>
          <w:rFonts w:eastAsia="MS PGothic" w:cstheme="minorHAnsi"/>
          <w:szCs w:val="20"/>
          <w:lang w:val="sr-Cyrl-CS" w:eastAsia="ja-JP"/>
        </w:rPr>
      </w:pPr>
    </w:p>
    <w:p w14:paraId="3E90D359" w14:textId="32DF6039" w:rsidR="00DA551C" w:rsidRPr="001B41AD" w:rsidRDefault="00DA551C" w:rsidP="00FD7592">
      <w:pPr>
        <w:rPr>
          <w:rFonts w:eastAsia="MS PGothic" w:cstheme="minorHAnsi"/>
          <w:szCs w:val="20"/>
          <w:lang w:val="sr-Cyrl-CS" w:eastAsia="ja-JP"/>
        </w:rPr>
      </w:pPr>
    </w:p>
    <w:p w14:paraId="5508D67F" w14:textId="77777777" w:rsidR="00DA551C" w:rsidRPr="001B41AD" w:rsidRDefault="00DA551C" w:rsidP="00FD7592">
      <w:pPr>
        <w:rPr>
          <w:rFonts w:eastAsia="MS PGothic" w:cstheme="minorHAnsi"/>
          <w:szCs w:val="20"/>
          <w:lang w:val="sr-Cyrl-CS" w:eastAsia="ja-JP"/>
        </w:rPr>
      </w:pPr>
    </w:p>
    <w:p w14:paraId="4F19A5D2" w14:textId="77777777" w:rsidR="00DA551C" w:rsidRPr="001B41AD" w:rsidRDefault="00DA551C" w:rsidP="00FD7592">
      <w:pPr>
        <w:rPr>
          <w:rFonts w:eastAsia="MS PGothic" w:cstheme="minorHAnsi"/>
          <w:szCs w:val="20"/>
          <w:lang w:val="sr-Cyrl-CS" w:eastAsia="ja-JP"/>
        </w:rPr>
      </w:pPr>
    </w:p>
    <w:p w14:paraId="25FB4168" w14:textId="77777777" w:rsidR="00DA551C" w:rsidRPr="001B41AD" w:rsidRDefault="00DA551C" w:rsidP="00FD7592">
      <w:pPr>
        <w:rPr>
          <w:rFonts w:eastAsia="MS PGothic" w:cstheme="minorHAnsi"/>
          <w:szCs w:val="20"/>
          <w:lang w:val="sr-Cyrl-CS" w:eastAsia="ja-JP"/>
        </w:rPr>
        <w:sectPr w:rsidR="00DA551C" w:rsidRPr="001B41AD" w:rsidSect="00405489">
          <w:type w:val="continuous"/>
          <w:pgSz w:w="12240" w:h="15840"/>
          <w:pgMar w:top="1440" w:right="1440" w:bottom="1440" w:left="1440" w:header="720" w:footer="720" w:gutter="0"/>
          <w:cols w:num="2" w:space="720"/>
          <w:docGrid w:linePitch="360"/>
        </w:sectPr>
      </w:pPr>
    </w:p>
    <w:p w14:paraId="3308FDA3" w14:textId="77777777" w:rsidR="00FD7592" w:rsidRPr="001B41AD" w:rsidRDefault="00FD7592" w:rsidP="00FD7592">
      <w:pPr>
        <w:spacing w:after="120"/>
        <w:jc w:val="center"/>
        <w:rPr>
          <w:rFonts w:eastAsia="MS PGothic" w:cstheme="minorHAnsi"/>
          <w:b/>
          <w:color w:val="002060"/>
          <w:szCs w:val="20"/>
          <w:lang w:val="sr-Cyrl-CS" w:eastAsia="ja-JP"/>
        </w:rPr>
      </w:pPr>
      <w:bookmarkStart w:id="54" w:name="_Hlk179894256"/>
      <w:r w:rsidRPr="001B41AD">
        <w:rPr>
          <w:rFonts w:eastAsia="MS PGothic" w:cstheme="minorHAnsi"/>
          <w:b/>
          <w:color w:val="002060"/>
          <w:szCs w:val="20"/>
          <w:lang w:val="sr-Cyrl-CS" w:eastAsia="ja-JP"/>
        </w:rPr>
        <w:t>Табела 1</w:t>
      </w:r>
      <w:r w:rsidR="00C82D44" w:rsidRPr="001B41AD">
        <w:rPr>
          <w:rFonts w:eastAsia="MS PGothic" w:cstheme="minorHAnsi"/>
          <w:b/>
          <w:color w:val="002060"/>
          <w:szCs w:val="20"/>
          <w:lang w:val="sr-Cyrl-CS" w:eastAsia="ja-JP"/>
        </w:rPr>
        <w:t>4</w:t>
      </w:r>
      <w:r w:rsidRPr="001B41AD">
        <w:rPr>
          <w:rFonts w:eastAsia="MS PGothic" w:cstheme="minorHAnsi"/>
          <w:b/>
          <w:color w:val="002060"/>
          <w:szCs w:val="20"/>
          <w:lang w:val="sr-Cyrl-CS" w:eastAsia="ja-JP"/>
        </w:rPr>
        <w:t>: Стање гарантованог дуга по кредиторима, млрд динара</w:t>
      </w:r>
    </w:p>
    <w:tbl>
      <w:tblPr>
        <w:tblW w:w="9228" w:type="dxa"/>
        <w:tblLook w:val="04A0" w:firstRow="1" w:lastRow="0" w:firstColumn="1" w:lastColumn="0" w:noHBand="0" w:noVBand="1"/>
      </w:tblPr>
      <w:tblGrid>
        <w:gridCol w:w="4134"/>
        <w:gridCol w:w="971"/>
        <w:gridCol w:w="971"/>
        <w:gridCol w:w="992"/>
        <w:gridCol w:w="1033"/>
        <w:gridCol w:w="1127"/>
      </w:tblGrid>
      <w:tr w:rsidR="00FD7592" w:rsidRPr="001B41AD" w14:paraId="00C15667" w14:textId="77777777" w:rsidTr="00405489">
        <w:trPr>
          <w:trHeight w:val="292"/>
        </w:trPr>
        <w:tc>
          <w:tcPr>
            <w:tcW w:w="4134" w:type="dxa"/>
            <w:tcBorders>
              <w:top w:val="single" w:sz="4" w:space="0" w:color="002060"/>
              <w:left w:val="nil"/>
              <w:bottom w:val="single" w:sz="4" w:space="0" w:color="002060"/>
              <w:right w:val="nil"/>
            </w:tcBorders>
            <w:vAlign w:val="center"/>
            <w:hideMark/>
          </w:tcPr>
          <w:p w14:paraId="7AF71B4C"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Кредитори</w:t>
            </w:r>
          </w:p>
        </w:tc>
        <w:tc>
          <w:tcPr>
            <w:tcW w:w="971" w:type="dxa"/>
            <w:tcBorders>
              <w:top w:val="single" w:sz="4" w:space="0" w:color="002060"/>
              <w:left w:val="nil"/>
              <w:bottom w:val="single" w:sz="4" w:space="0" w:color="002060"/>
              <w:right w:val="nil"/>
            </w:tcBorders>
            <w:vAlign w:val="center"/>
            <w:hideMark/>
          </w:tcPr>
          <w:p w14:paraId="74DF1E94"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2021</w:t>
            </w:r>
          </w:p>
        </w:tc>
        <w:tc>
          <w:tcPr>
            <w:tcW w:w="971" w:type="dxa"/>
            <w:tcBorders>
              <w:top w:val="single" w:sz="4" w:space="0" w:color="002060"/>
              <w:left w:val="nil"/>
              <w:bottom w:val="single" w:sz="4" w:space="0" w:color="002060"/>
              <w:right w:val="nil"/>
            </w:tcBorders>
            <w:vAlign w:val="center"/>
            <w:hideMark/>
          </w:tcPr>
          <w:p w14:paraId="2EA50A3B"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2022</w:t>
            </w:r>
          </w:p>
        </w:tc>
        <w:tc>
          <w:tcPr>
            <w:tcW w:w="992" w:type="dxa"/>
            <w:tcBorders>
              <w:top w:val="single" w:sz="4" w:space="0" w:color="002060"/>
              <w:left w:val="nil"/>
              <w:bottom w:val="single" w:sz="4" w:space="0" w:color="002060"/>
              <w:right w:val="nil"/>
            </w:tcBorders>
            <w:vAlign w:val="center"/>
            <w:hideMark/>
          </w:tcPr>
          <w:p w14:paraId="0C8633A8"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2023</w:t>
            </w:r>
          </w:p>
        </w:tc>
        <w:tc>
          <w:tcPr>
            <w:tcW w:w="1033" w:type="dxa"/>
            <w:tcBorders>
              <w:top w:val="single" w:sz="4" w:space="0" w:color="002060"/>
              <w:left w:val="nil"/>
              <w:bottom w:val="single" w:sz="4" w:space="0" w:color="002060"/>
              <w:right w:val="nil"/>
            </w:tcBorders>
            <w:vAlign w:val="center"/>
            <w:hideMark/>
          </w:tcPr>
          <w:p w14:paraId="13786CAE"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2024</w:t>
            </w:r>
          </w:p>
        </w:tc>
        <w:tc>
          <w:tcPr>
            <w:tcW w:w="1127" w:type="dxa"/>
            <w:tcBorders>
              <w:top w:val="single" w:sz="4" w:space="0" w:color="002060"/>
              <w:left w:val="nil"/>
              <w:bottom w:val="single" w:sz="4" w:space="0" w:color="002060"/>
              <w:right w:val="nil"/>
            </w:tcBorders>
            <w:vAlign w:val="center"/>
            <w:hideMark/>
          </w:tcPr>
          <w:p w14:paraId="0DEE0EFA"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31.08.2025</w:t>
            </w:r>
          </w:p>
        </w:tc>
      </w:tr>
      <w:tr w:rsidR="00FD7592" w:rsidRPr="001B41AD" w14:paraId="57279EE7" w14:textId="77777777" w:rsidTr="00405489">
        <w:trPr>
          <w:trHeight w:val="292"/>
        </w:trPr>
        <w:tc>
          <w:tcPr>
            <w:tcW w:w="4134" w:type="dxa"/>
            <w:tcBorders>
              <w:top w:val="nil"/>
              <w:left w:val="nil"/>
              <w:bottom w:val="nil"/>
              <w:right w:val="nil"/>
            </w:tcBorders>
            <w:shd w:val="clear" w:color="000000" w:fill="FFFFFF"/>
            <w:vAlign w:val="center"/>
            <w:hideMark/>
          </w:tcPr>
          <w:p w14:paraId="141C6F22"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Кредити пословних банака</w:t>
            </w:r>
          </w:p>
        </w:tc>
        <w:tc>
          <w:tcPr>
            <w:tcW w:w="971" w:type="dxa"/>
            <w:tcBorders>
              <w:top w:val="nil"/>
              <w:left w:val="nil"/>
              <w:bottom w:val="nil"/>
              <w:right w:val="nil"/>
            </w:tcBorders>
            <w:shd w:val="clear" w:color="000000" w:fill="FFFFFF"/>
            <w:noWrap/>
            <w:vAlign w:val="center"/>
            <w:hideMark/>
          </w:tcPr>
          <w:p w14:paraId="21E02A4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30,8 </w:t>
            </w:r>
          </w:p>
        </w:tc>
        <w:tc>
          <w:tcPr>
            <w:tcW w:w="971" w:type="dxa"/>
            <w:tcBorders>
              <w:top w:val="nil"/>
              <w:left w:val="nil"/>
              <w:bottom w:val="nil"/>
              <w:right w:val="nil"/>
            </w:tcBorders>
            <w:shd w:val="clear" w:color="000000" w:fill="FFFFFF"/>
            <w:noWrap/>
            <w:vAlign w:val="center"/>
            <w:hideMark/>
          </w:tcPr>
          <w:p w14:paraId="2FC3546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58,2 </w:t>
            </w:r>
          </w:p>
        </w:tc>
        <w:tc>
          <w:tcPr>
            <w:tcW w:w="992" w:type="dxa"/>
            <w:tcBorders>
              <w:top w:val="nil"/>
              <w:left w:val="nil"/>
              <w:bottom w:val="nil"/>
              <w:right w:val="nil"/>
            </w:tcBorders>
            <w:shd w:val="clear" w:color="000000" w:fill="FFFFFF"/>
            <w:noWrap/>
            <w:vAlign w:val="center"/>
            <w:hideMark/>
          </w:tcPr>
          <w:p w14:paraId="7389CAB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82,8 </w:t>
            </w:r>
          </w:p>
        </w:tc>
        <w:tc>
          <w:tcPr>
            <w:tcW w:w="1033" w:type="dxa"/>
            <w:tcBorders>
              <w:top w:val="nil"/>
              <w:left w:val="nil"/>
              <w:bottom w:val="nil"/>
              <w:right w:val="nil"/>
            </w:tcBorders>
            <w:shd w:val="clear" w:color="000000" w:fill="FFFFFF"/>
            <w:noWrap/>
            <w:vAlign w:val="center"/>
            <w:hideMark/>
          </w:tcPr>
          <w:p w14:paraId="0833E2F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78,3 </w:t>
            </w:r>
          </w:p>
        </w:tc>
        <w:tc>
          <w:tcPr>
            <w:tcW w:w="1127" w:type="dxa"/>
            <w:tcBorders>
              <w:top w:val="nil"/>
              <w:left w:val="nil"/>
              <w:bottom w:val="nil"/>
              <w:right w:val="nil"/>
            </w:tcBorders>
            <w:shd w:val="clear" w:color="000000" w:fill="FFFFFF"/>
            <w:noWrap/>
            <w:vAlign w:val="center"/>
            <w:hideMark/>
          </w:tcPr>
          <w:p w14:paraId="4997947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79,1 </w:t>
            </w:r>
          </w:p>
        </w:tc>
      </w:tr>
      <w:tr w:rsidR="00FD7592" w:rsidRPr="001B41AD" w14:paraId="1E8153E6" w14:textId="77777777" w:rsidTr="00405489">
        <w:trPr>
          <w:trHeight w:val="292"/>
        </w:trPr>
        <w:tc>
          <w:tcPr>
            <w:tcW w:w="4134" w:type="dxa"/>
            <w:tcBorders>
              <w:top w:val="nil"/>
              <w:left w:val="nil"/>
              <w:bottom w:val="nil"/>
              <w:right w:val="nil"/>
            </w:tcBorders>
            <w:shd w:val="clear" w:color="000000" w:fill="FFFFFF"/>
            <w:noWrap/>
            <w:vAlign w:val="center"/>
            <w:hideMark/>
          </w:tcPr>
          <w:p w14:paraId="2607DF8F"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Европска банка за обнову и развој (ЕБРД)</w:t>
            </w:r>
          </w:p>
        </w:tc>
        <w:tc>
          <w:tcPr>
            <w:tcW w:w="971" w:type="dxa"/>
            <w:tcBorders>
              <w:top w:val="nil"/>
              <w:left w:val="nil"/>
              <w:bottom w:val="nil"/>
              <w:right w:val="nil"/>
            </w:tcBorders>
            <w:shd w:val="clear" w:color="000000" w:fill="FFFFFF"/>
            <w:noWrap/>
            <w:vAlign w:val="center"/>
            <w:hideMark/>
          </w:tcPr>
          <w:p w14:paraId="17182A0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40,1 </w:t>
            </w:r>
          </w:p>
        </w:tc>
        <w:tc>
          <w:tcPr>
            <w:tcW w:w="971" w:type="dxa"/>
            <w:tcBorders>
              <w:top w:val="nil"/>
              <w:left w:val="nil"/>
              <w:bottom w:val="nil"/>
              <w:right w:val="nil"/>
            </w:tcBorders>
            <w:shd w:val="clear" w:color="000000" w:fill="FFFFFF"/>
            <w:noWrap/>
            <w:vAlign w:val="center"/>
            <w:hideMark/>
          </w:tcPr>
          <w:p w14:paraId="1511D19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39,4 </w:t>
            </w:r>
          </w:p>
        </w:tc>
        <w:tc>
          <w:tcPr>
            <w:tcW w:w="992" w:type="dxa"/>
            <w:tcBorders>
              <w:top w:val="nil"/>
              <w:left w:val="nil"/>
              <w:bottom w:val="nil"/>
              <w:right w:val="nil"/>
            </w:tcBorders>
            <w:shd w:val="clear" w:color="000000" w:fill="FFFFFF"/>
            <w:noWrap/>
            <w:vAlign w:val="center"/>
            <w:hideMark/>
          </w:tcPr>
          <w:p w14:paraId="67A1A54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54,6 </w:t>
            </w:r>
          </w:p>
        </w:tc>
        <w:tc>
          <w:tcPr>
            <w:tcW w:w="1033" w:type="dxa"/>
            <w:tcBorders>
              <w:top w:val="nil"/>
              <w:left w:val="nil"/>
              <w:bottom w:val="nil"/>
              <w:right w:val="nil"/>
            </w:tcBorders>
            <w:shd w:val="clear" w:color="000000" w:fill="FFFFFF"/>
            <w:noWrap/>
            <w:vAlign w:val="center"/>
            <w:hideMark/>
          </w:tcPr>
          <w:p w14:paraId="3F4D98F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60,1 </w:t>
            </w:r>
          </w:p>
        </w:tc>
        <w:tc>
          <w:tcPr>
            <w:tcW w:w="1127" w:type="dxa"/>
            <w:tcBorders>
              <w:top w:val="nil"/>
              <w:left w:val="nil"/>
              <w:bottom w:val="nil"/>
              <w:right w:val="nil"/>
            </w:tcBorders>
            <w:shd w:val="clear" w:color="000000" w:fill="FFFFFF"/>
            <w:noWrap/>
            <w:vAlign w:val="center"/>
            <w:hideMark/>
          </w:tcPr>
          <w:p w14:paraId="1EF0FF5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47,9 </w:t>
            </w:r>
          </w:p>
        </w:tc>
      </w:tr>
      <w:tr w:rsidR="00FD7592" w:rsidRPr="001B41AD" w14:paraId="78DE8DE7" w14:textId="77777777" w:rsidTr="00405489">
        <w:trPr>
          <w:trHeight w:val="292"/>
        </w:trPr>
        <w:tc>
          <w:tcPr>
            <w:tcW w:w="4134" w:type="dxa"/>
            <w:tcBorders>
              <w:top w:val="nil"/>
              <w:left w:val="nil"/>
              <w:bottom w:val="nil"/>
              <w:right w:val="nil"/>
            </w:tcBorders>
            <w:shd w:val="clear" w:color="000000" w:fill="FFFFFF"/>
            <w:noWrap/>
            <w:vAlign w:val="center"/>
            <w:hideMark/>
          </w:tcPr>
          <w:p w14:paraId="627C7279"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Европска инвестициона банка (ЕИБ)</w:t>
            </w:r>
          </w:p>
        </w:tc>
        <w:tc>
          <w:tcPr>
            <w:tcW w:w="971" w:type="dxa"/>
            <w:tcBorders>
              <w:top w:val="nil"/>
              <w:left w:val="nil"/>
              <w:bottom w:val="nil"/>
              <w:right w:val="nil"/>
            </w:tcBorders>
            <w:shd w:val="clear" w:color="000000" w:fill="FFFFFF"/>
            <w:noWrap/>
            <w:vAlign w:val="center"/>
            <w:hideMark/>
          </w:tcPr>
          <w:p w14:paraId="5B40769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59,7 </w:t>
            </w:r>
          </w:p>
        </w:tc>
        <w:tc>
          <w:tcPr>
            <w:tcW w:w="971" w:type="dxa"/>
            <w:tcBorders>
              <w:top w:val="nil"/>
              <w:left w:val="nil"/>
              <w:bottom w:val="nil"/>
              <w:right w:val="nil"/>
            </w:tcBorders>
            <w:shd w:val="clear" w:color="000000" w:fill="FFFFFF"/>
            <w:noWrap/>
            <w:vAlign w:val="center"/>
            <w:hideMark/>
          </w:tcPr>
          <w:p w14:paraId="5311F7D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53,5 </w:t>
            </w:r>
          </w:p>
        </w:tc>
        <w:tc>
          <w:tcPr>
            <w:tcW w:w="992" w:type="dxa"/>
            <w:tcBorders>
              <w:top w:val="nil"/>
              <w:left w:val="nil"/>
              <w:bottom w:val="nil"/>
              <w:right w:val="nil"/>
            </w:tcBorders>
            <w:shd w:val="clear" w:color="000000" w:fill="FFFFFF"/>
            <w:noWrap/>
            <w:vAlign w:val="center"/>
            <w:hideMark/>
          </w:tcPr>
          <w:p w14:paraId="735CBD8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47,9 </w:t>
            </w:r>
          </w:p>
        </w:tc>
        <w:tc>
          <w:tcPr>
            <w:tcW w:w="1033" w:type="dxa"/>
            <w:tcBorders>
              <w:top w:val="nil"/>
              <w:left w:val="nil"/>
              <w:bottom w:val="nil"/>
              <w:right w:val="nil"/>
            </w:tcBorders>
            <w:shd w:val="clear" w:color="000000" w:fill="FFFFFF"/>
            <w:noWrap/>
            <w:vAlign w:val="center"/>
            <w:hideMark/>
          </w:tcPr>
          <w:p w14:paraId="47E0C60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42,5 </w:t>
            </w:r>
          </w:p>
        </w:tc>
        <w:tc>
          <w:tcPr>
            <w:tcW w:w="1127" w:type="dxa"/>
            <w:tcBorders>
              <w:top w:val="nil"/>
              <w:left w:val="nil"/>
              <w:bottom w:val="nil"/>
              <w:right w:val="nil"/>
            </w:tcBorders>
            <w:shd w:val="clear" w:color="000000" w:fill="FFFFFF"/>
            <w:noWrap/>
            <w:vAlign w:val="center"/>
            <w:hideMark/>
          </w:tcPr>
          <w:p w14:paraId="1518F0E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38,4 </w:t>
            </w:r>
          </w:p>
        </w:tc>
      </w:tr>
      <w:tr w:rsidR="00FD7592" w:rsidRPr="001B41AD" w14:paraId="0D44C680" w14:textId="77777777" w:rsidTr="00405489">
        <w:trPr>
          <w:trHeight w:val="292"/>
        </w:trPr>
        <w:tc>
          <w:tcPr>
            <w:tcW w:w="4134" w:type="dxa"/>
            <w:tcBorders>
              <w:top w:val="nil"/>
              <w:left w:val="nil"/>
              <w:bottom w:val="nil"/>
              <w:right w:val="nil"/>
            </w:tcBorders>
            <w:shd w:val="clear" w:color="000000" w:fill="FFFFFF"/>
            <w:noWrap/>
            <w:vAlign w:val="center"/>
            <w:hideMark/>
          </w:tcPr>
          <w:p w14:paraId="0CF6DBC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Немачка развојна банка </w:t>
            </w:r>
          </w:p>
        </w:tc>
        <w:tc>
          <w:tcPr>
            <w:tcW w:w="971" w:type="dxa"/>
            <w:tcBorders>
              <w:top w:val="nil"/>
              <w:left w:val="nil"/>
              <w:bottom w:val="nil"/>
              <w:right w:val="nil"/>
            </w:tcBorders>
            <w:shd w:val="clear" w:color="000000" w:fill="FFFFFF"/>
            <w:noWrap/>
            <w:vAlign w:val="center"/>
            <w:hideMark/>
          </w:tcPr>
          <w:p w14:paraId="7559C9F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7,9 </w:t>
            </w:r>
          </w:p>
        </w:tc>
        <w:tc>
          <w:tcPr>
            <w:tcW w:w="971" w:type="dxa"/>
            <w:tcBorders>
              <w:top w:val="nil"/>
              <w:left w:val="nil"/>
              <w:bottom w:val="nil"/>
              <w:right w:val="nil"/>
            </w:tcBorders>
            <w:shd w:val="clear" w:color="000000" w:fill="FFFFFF"/>
            <w:noWrap/>
            <w:vAlign w:val="center"/>
            <w:hideMark/>
          </w:tcPr>
          <w:p w14:paraId="10A6DC4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9,3 </w:t>
            </w:r>
          </w:p>
        </w:tc>
        <w:tc>
          <w:tcPr>
            <w:tcW w:w="992" w:type="dxa"/>
            <w:tcBorders>
              <w:top w:val="nil"/>
              <w:left w:val="nil"/>
              <w:bottom w:val="nil"/>
              <w:right w:val="nil"/>
            </w:tcBorders>
            <w:shd w:val="clear" w:color="000000" w:fill="FFFFFF"/>
            <w:noWrap/>
            <w:vAlign w:val="center"/>
            <w:hideMark/>
          </w:tcPr>
          <w:p w14:paraId="6C5E7DA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10,5 </w:t>
            </w:r>
          </w:p>
        </w:tc>
        <w:tc>
          <w:tcPr>
            <w:tcW w:w="1033" w:type="dxa"/>
            <w:tcBorders>
              <w:top w:val="nil"/>
              <w:left w:val="nil"/>
              <w:bottom w:val="nil"/>
              <w:right w:val="nil"/>
            </w:tcBorders>
            <w:shd w:val="clear" w:color="000000" w:fill="FFFFFF"/>
            <w:noWrap/>
            <w:vAlign w:val="center"/>
            <w:hideMark/>
          </w:tcPr>
          <w:p w14:paraId="0007E11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21,8 </w:t>
            </w:r>
          </w:p>
        </w:tc>
        <w:tc>
          <w:tcPr>
            <w:tcW w:w="1127" w:type="dxa"/>
            <w:tcBorders>
              <w:top w:val="nil"/>
              <w:left w:val="nil"/>
              <w:bottom w:val="nil"/>
              <w:right w:val="nil"/>
            </w:tcBorders>
            <w:shd w:val="clear" w:color="000000" w:fill="FFFFFF"/>
            <w:noWrap/>
            <w:vAlign w:val="center"/>
            <w:hideMark/>
          </w:tcPr>
          <w:p w14:paraId="4952EC6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21,4 </w:t>
            </w:r>
          </w:p>
        </w:tc>
      </w:tr>
      <w:tr w:rsidR="00FD7592" w:rsidRPr="001B41AD" w14:paraId="50D2867D" w14:textId="77777777" w:rsidTr="00405489">
        <w:trPr>
          <w:trHeight w:val="292"/>
        </w:trPr>
        <w:tc>
          <w:tcPr>
            <w:tcW w:w="4134" w:type="dxa"/>
            <w:tcBorders>
              <w:top w:val="nil"/>
              <w:left w:val="nil"/>
              <w:bottom w:val="nil"/>
              <w:right w:val="nil"/>
            </w:tcBorders>
            <w:shd w:val="clear" w:color="000000" w:fill="FFFFFF"/>
            <w:noWrap/>
            <w:vAlign w:val="center"/>
            <w:hideMark/>
          </w:tcPr>
          <w:p w14:paraId="227FE6C2"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Јапанска агенција за међународну сарадњу</w:t>
            </w:r>
          </w:p>
        </w:tc>
        <w:tc>
          <w:tcPr>
            <w:tcW w:w="971" w:type="dxa"/>
            <w:tcBorders>
              <w:top w:val="nil"/>
              <w:left w:val="nil"/>
              <w:bottom w:val="nil"/>
              <w:right w:val="nil"/>
            </w:tcBorders>
            <w:shd w:val="clear" w:color="000000" w:fill="FFFFFF"/>
            <w:noWrap/>
            <w:vAlign w:val="center"/>
            <w:hideMark/>
          </w:tcPr>
          <w:p w14:paraId="1FC4542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16,0 </w:t>
            </w:r>
          </w:p>
        </w:tc>
        <w:tc>
          <w:tcPr>
            <w:tcW w:w="971" w:type="dxa"/>
            <w:tcBorders>
              <w:top w:val="nil"/>
              <w:left w:val="nil"/>
              <w:bottom w:val="nil"/>
              <w:right w:val="nil"/>
            </w:tcBorders>
            <w:shd w:val="clear" w:color="000000" w:fill="FFFFFF"/>
            <w:noWrap/>
            <w:vAlign w:val="center"/>
            <w:hideMark/>
          </w:tcPr>
          <w:p w14:paraId="49DE28E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17,1 </w:t>
            </w:r>
          </w:p>
        </w:tc>
        <w:tc>
          <w:tcPr>
            <w:tcW w:w="992" w:type="dxa"/>
            <w:tcBorders>
              <w:top w:val="nil"/>
              <w:left w:val="nil"/>
              <w:bottom w:val="nil"/>
              <w:right w:val="nil"/>
            </w:tcBorders>
            <w:shd w:val="clear" w:color="000000" w:fill="FFFFFF"/>
            <w:noWrap/>
            <w:vAlign w:val="center"/>
            <w:hideMark/>
          </w:tcPr>
          <w:p w14:paraId="6AD4D91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13,7 </w:t>
            </w:r>
          </w:p>
        </w:tc>
        <w:tc>
          <w:tcPr>
            <w:tcW w:w="1033" w:type="dxa"/>
            <w:tcBorders>
              <w:top w:val="nil"/>
              <w:left w:val="nil"/>
              <w:bottom w:val="nil"/>
              <w:right w:val="nil"/>
            </w:tcBorders>
            <w:shd w:val="clear" w:color="000000" w:fill="FFFFFF"/>
            <w:noWrap/>
            <w:vAlign w:val="center"/>
            <w:hideMark/>
          </w:tcPr>
          <w:p w14:paraId="029A6FF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8,8 </w:t>
            </w:r>
          </w:p>
        </w:tc>
        <w:tc>
          <w:tcPr>
            <w:tcW w:w="1127" w:type="dxa"/>
            <w:tcBorders>
              <w:top w:val="nil"/>
              <w:left w:val="nil"/>
              <w:bottom w:val="nil"/>
              <w:right w:val="nil"/>
            </w:tcBorders>
            <w:shd w:val="clear" w:color="000000" w:fill="FFFFFF"/>
            <w:noWrap/>
            <w:vAlign w:val="center"/>
            <w:hideMark/>
          </w:tcPr>
          <w:p w14:paraId="79C68B1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6,3 </w:t>
            </w:r>
          </w:p>
        </w:tc>
      </w:tr>
      <w:tr w:rsidR="00FD7592" w:rsidRPr="001B41AD" w14:paraId="40D554F1" w14:textId="77777777" w:rsidTr="00405489">
        <w:trPr>
          <w:trHeight w:val="292"/>
        </w:trPr>
        <w:tc>
          <w:tcPr>
            <w:tcW w:w="4134" w:type="dxa"/>
            <w:tcBorders>
              <w:top w:val="nil"/>
              <w:left w:val="nil"/>
              <w:bottom w:val="nil"/>
              <w:right w:val="nil"/>
            </w:tcBorders>
            <w:shd w:val="clear" w:color="000000" w:fill="FFFFFF"/>
            <w:noWrap/>
            <w:vAlign w:val="center"/>
            <w:hideMark/>
          </w:tcPr>
          <w:p w14:paraId="377E3C82"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Остали</w:t>
            </w:r>
          </w:p>
        </w:tc>
        <w:tc>
          <w:tcPr>
            <w:tcW w:w="971" w:type="dxa"/>
            <w:tcBorders>
              <w:top w:val="nil"/>
              <w:left w:val="nil"/>
              <w:bottom w:val="nil"/>
              <w:right w:val="nil"/>
            </w:tcBorders>
            <w:shd w:val="clear" w:color="000000" w:fill="FFFFFF"/>
            <w:noWrap/>
            <w:vAlign w:val="center"/>
            <w:hideMark/>
          </w:tcPr>
          <w:p w14:paraId="00E40B9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8,0 </w:t>
            </w:r>
          </w:p>
        </w:tc>
        <w:tc>
          <w:tcPr>
            <w:tcW w:w="971" w:type="dxa"/>
            <w:tcBorders>
              <w:top w:val="nil"/>
              <w:left w:val="nil"/>
              <w:bottom w:val="nil"/>
              <w:right w:val="nil"/>
            </w:tcBorders>
            <w:shd w:val="clear" w:color="000000" w:fill="FFFFFF"/>
            <w:noWrap/>
            <w:vAlign w:val="center"/>
            <w:hideMark/>
          </w:tcPr>
          <w:p w14:paraId="479C5FF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4,0 </w:t>
            </w:r>
          </w:p>
        </w:tc>
        <w:tc>
          <w:tcPr>
            <w:tcW w:w="992" w:type="dxa"/>
            <w:tcBorders>
              <w:top w:val="nil"/>
              <w:left w:val="nil"/>
              <w:bottom w:val="nil"/>
              <w:right w:val="nil"/>
            </w:tcBorders>
            <w:shd w:val="clear" w:color="000000" w:fill="FFFFFF"/>
            <w:noWrap/>
            <w:vAlign w:val="center"/>
            <w:hideMark/>
          </w:tcPr>
          <w:p w14:paraId="551A599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3,3 </w:t>
            </w:r>
          </w:p>
        </w:tc>
        <w:tc>
          <w:tcPr>
            <w:tcW w:w="1033" w:type="dxa"/>
            <w:tcBorders>
              <w:top w:val="nil"/>
              <w:left w:val="nil"/>
              <w:bottom w:val="nil"/>
              <w:right w:val="nil"/>
            </w:tcBorders>
            <w:shd w:val="clear" w:color="000000" w:fill="FFFFFF"/>
            <w:noWrap/>
            <w:vAlign w:val="center"/>
            <w:hideMark/>
          </w:tcPr>
          <w:p w14:paraId="6EEC4A3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2,8 </w:t>
            </w:r>
          </w:p>
        </w:tc>
        <w:tc>
          <w:tcPr>
            <w:tcW w:w="1127" w:type="dxa"/>
            <w:tcBorders>
              <w:top w:val="nil"/>
              <w:left w:val="nil"/>
              <w:bottom w:val="nil"/>
              <w:right w:val="nil"/>
            </w:tcBorders>
            <w:shd w:val="clear" w:color="000000" w:fill="FFFFFF"/>
            <w:noWrap/>
            <w:vAlign w:val="center"/>
            <w:hideMark/>
          </w:tcPr>
          <w:p w14:paraId="79E77DE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2,3 </w:t>
            </w:r>
          </w:p>
        </w:tc>
      </w:tr>
      <w:tr w:rsidR="00FD7592" w:rsidRPr="001B41AD" w14:paraId="56397C9D" w14:textId="77777777" w:rsidTr="00405489">
        <w:trPr>
          <w:trHeight w:val="292"/>
        </w:trPr>
        <w:tc>
          <w:tcPr>
            <w:tcW w:w="4134" w:type="dxa"/>
            <w:tcBorders>
              <w:top w:val="single" w:sz="4" w:space="0" w:color="002060"/>
              <w:left w:val="nil"/>
              <w:bottom w:val="single" w:sz="4" w:space="0" w:color="002060"/>
              <w:right w:val="nil"/>
            </w:tcBorders>
            <w:noWrap/>
            <w:vAlign w:val="center"/>
            <w:hideMark/>
          </w:tcPr>
          <w:p w14:paraId="5328758B"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Укупно:</w:t>
            </w:r>
          </w:p>
        </w:tc>
        <w:tc>
          <w:tcPr>
            <w:tcW w:w="971" w:type="dxa"/>
            <w:tcBorders>
              <w:top w:val="single" w:sz="4" w:space="0" w:color="002060"/>
              <w:left w:val="nil"/>
              <w:bottom w:val="single" w:sz="4" w:space="0" w:color="002060"/>
              <w:right w:val="nil"/>
            </w:tcBorders>
            <w:noWrap/>
            <w:vAlign w:val="center"/>
            <w:hideMark/>
          </w:tcPr>
          <w:p w14:paraId="5232471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162,5 </w:t>
            </w:r>
          </w:p>
        </w:tc>
        <w:tc>
          <w:tcPr>
            <w:tcW w:w="971" w:type="dxa"/>
            <w:tcBorders>
              <w:top w:val="single" w:sz="4" w:space="0" w:color="002060"/>
              <w:left w:val="nil"/>
              <w:bottom w:val="single" w:sz="4" w:space="0" w:color="002060"/>
              <w:right w:val="nil"/>
            </w:tcBorders>
            <w:noWrap/>
            <w:vAlign w:val="center"/>
            <w:hideMark/>
          </w:tcPr>
          <w:p w14:paraId="6DDDFEEA"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181,4 </w:t>
            </w:r>
          </w:p>
        </w:tc>
        <w:tc>
          <w:tcPr>
            <w:tcW w:w="992" w:type="dxa"/>
            <w:tcBorders>
              <w:top w:val="single" w:sz="4" w:space="0" w:color="002060"/>
              <w:left w:val="nil"/>
              <w:bottom w:val="single" w:sz="4" w:space="0" w:color="002060"/>
              <w:right w:val="nil"/>
            </w:tcBorders>
            <w:noWrap/>
            <w:vAlign w:val="center"/>
            <w:hideMark/>
          </w:tcPr>
          <w:p w14:paraId="788954BC"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212,8 </w:t>
            </w:r>
          </w:p>
        </w:tc>
        <w:tc>
          <w:tcPr>
            <w:tcW w:w="1033" w:type="dxa"/>
            <w:tcBorders>
              <w:top w:val="single" w:sz="4" w:space="0" w:color="002060"/>
              <w:left w:val="nil"/>
              <w:bottom w:val="single" w:sz="4" w:space="0" w:color="002060"/>
              <w:right w:val="nil"/>
            </w:tcBorders>
            <w:noWrap/>
            <w:vAlign w:val="center"/>
            <w:hideMark/>
          </w:tcPr>
          <w:p w14:paraId="4784A8B5"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214,4 </w:t>
            </w:r>
          </w:p>
        </w:tc>
        <w:tc>
          <w:tcPr>
            <w:tcW w:w="1127" w:type="dxa"/>
            <w:tcBorders>
              <w:top w:val="single" w:sz="4" w:space="0" w:color="002060"/>
              <w:left w:val="nil"/>
              <w:bottom w:val="single" w:sz="4" w:space="0" w:color="002060"/>
              <w:right w:val="nil"/>
            </w:tcBorders>
            <w:noWrap/>
            <w:vAlign w:val="center"/>
            <w:hideMark/>
          </w:tcPr>
          <w:p w14:paraId="4748FDB2"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195,5 </w:t>
            </w:r>
          </w:p>
        </w:tc>
      </w:tr>
    </w:tbl>
    <w:p w14:paraId="766E82E6" w14:textId="77777777" w:rsidR="00FD7592" w:rsidRPr="001B41AD" w:rsidRDefault="00FD7592" w:rsidP="00FD7592">
      <w:pPr>
        <w:spacing w:after="120" w:line="276" w:lineRule="auto"/>
        <w:rPr>
          <w:rFonts w:eastAsia="MS PGothic" w:cstheme="minorHAnsi"/>
          <w:sz w:val="16"/>
          <w:szCs w:val="16"/>
          <w:lang w:val="sr-Cyrl-CS" w:eastAsia="ja-JP"/>
        </w:rPr>
        <w:sectPr w:rsidR="00FD7592" w:rsidRPr="001B41AD" w:rsidSect="00405489">
          <w:type w:val="continuous"/>
          <w:pgSz w:w="12240" w:h="15840"/>
          <w:pgMar w:top="1440" w:right="1440" w:bottom="1440" w:left="1440" w:header="720" w:footer="720" w:gutter="0"/>
          <w:cols w:space="720"/>
          <w:docGrid w:linePitch="360"/>
        </w:sectPr>
      </w:pPr>
      <w:r w:rsidRPr="001B41AD">
        <w:rPr>
          <w:rFonts w:eastAsia="MS PGothic" w:cstheme="minorHAnsi"/>
          <w:sz w:val="16"/>
          <w:szCs w:val="16"/>
          <w:lang w:val="sr-Cyrl-CS" w:eastAsia="ja-JP"/>
        </w:rPr>
        <w:t>Извор: Министарство финансија</w:t>
      </w:r>
      <w:bookmarkEnd w:id="54"/>
    </w:p>
    <w:p w14:paraId="08A0B907"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Главнице по основу гарантованих кредита, сервисиране из буџета Републике Србије у 2024. години износиле су 30,4 млрд динара (2023. година 27,2 млрд динара), од чега 27,9 млрд динара утиче на дефицит. Рачуноводствена методологија, до 2014. године, није у расходе укључивала отплате по основу гаранција.</w:t>
      </w:r>
    </w:p>
    <w:p w14:paraId="18E7049B" w14:textId="77777777" w:rsidR="00FD7592" w:rsidRPr="001B41AD" w:rsidRDefault="00FD7592" w:rsidP="00FD7592">
      <w:pPr>
        <w:spacing w:afterLines="120" w:after="288"/>
        <w:rPr>
          <w:rFonts w:eastAsia="MS PGothic" w:cstheme="minorHAnsi"/>
          <w:szCs w:val="20"/>
          <w:lang w:val="sr-Cyrl-CS" w:eastAsia="ja-JP"/>
        </w:rPr>
      </w:pPr>
      <w:r w:rsidRPr="001B41AD">
        <w:rPr>
          <w:rFonts w:eastAsia="MS PGothic" w:cstheme="minorHAnsi"/>
          <w:szCs w:val="20"/>
          <w:lang w:val="sr-Cyrl-CS" w:eastAsia="ja-JP"/>
        </w:rPr>
        <w:t>Од 2014. године део ових расхода је укључен у расходе буџета. Независно од буџетског и рачуноводственог приказа, дуг који уместо главног дужника плаћа држава повећава укупне потребе за задуживањем.</w:t>
      </w:r>
    </w:p>
    <w:p w14:paraId="71A87796" w14:textId="77777777" w:rsidR="00FD7592" w:rsidRPr="001B41AD" w:rsidRDefault="00FD7592" w:rsidP="00FD7592">
      <w:pPr>
        <w:spacing w:after="0" w:line="276" w:lineRule="auto"/>
        <w:jc w:val="center"/>
        <w:rPr>
          <w:rFonts w:eastAsia="MS PGothic" w:cstheme="minorHAnsi"/>
          <w:b/>
          <w:color w:val="002060"/>
          <w:szCs w:val="20"/>
          <w:lang w:val="sr-Cyrl-CS" w:eastAsia="ja-JP"/>
        </w:rPr>
        <w:sectPr w:rsidR="00FD7592" w:rsidRPr="001B41AD" w:rsidSect="00405489">
          <w:type w:val="continuous"/>
          <w:pgSz w:w="12240" w:h="15840"/>
          <w:pgMar w:top="1440" w:right="1440" w:bottom="1440" w:left="1440" w:header="720" w:footer="720" w:gutter="0"/>
          <w:cols w:num="2" w:space="720"/>
          <w:docGrid w:linePitch="360"/>
        </w:sectPr>
      </w:pPr>
    </w:p>
    <w:p w14:paraId="6700A80E" w14:textId="77777777" w:rsidR="00FD7592" w:rsidRPr="001B41AD" w:rsidRDefault="00FD7592" w:rsidP="00FD7592">
      <w:pPr>
        <w:spacing w:after="40" w:line="276" w:lineRule="auto"/>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Укупна отплата по основу гаранција сервисираних из буџета Републике Србије, млрд динара</w:t>
      </w:r>
    </w:p>
    <w:p w14:paraId="1F3C16F3" w14:textId="77777777" w:rsidR="00FD7592" w:rsidRPr="001B41AD" w:rsidRDefault="00FD7592" w:rsidP="00FD7592">
      <w:pPr>
        <w:spacing w:after="40" w:line="276" w:lineRule="auto"/>
        <w:jc w:val="center"/>
        <w:rPr>
          <w:noProof/>
          <w:lang w:val="sr-Cyrl-CS"/>
        </w:rPr>
      </w:pPr>
      <w:r w:rsidRPr="001B41AD">
        <w:rPr>
          <w:noProof/>
        </w:rPr>
        <w:drawing>
          <wp:inline distT="0" distB="0" distL="0" distR="0" wp14:anchorId="364E971D" wp14:editId="00080C8E">
            <wp:extent cx="5857875" cy="2352675"/>
            <wp:effectExtent l="0" t="0" r="0" b="0"/>
            <wp:docPr id="2" name="Chart 2">
              <a:extLst xmlns:a="http://schemas.openxmlformats.org/drawingml/2006/main">
                <a:ext uri="{FF2B5EF4-FFF2-40B4-BE49-F238E27FC236}">
                  <a16:creationId xmlns:a16="http://schemas.microsoft.com/office/drawing/2014/main" id="{00000000-0008-0000-01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5F493766" w14:textId="77777777" w:rsidR="00FD7592" w:rsidRPr="001B41AD" w:rsidRDefault="00FD7592" w:rsidP="00FD7592">
      <w:pPr>
        <w:spacing w:after="40" w:line="276" w:lineRule="auto"/>
        <w:jc w:val="center"/>
        <w:rPr>
          <w:noProof/>
          <w:lang w:val="sr-Cyrl-CS"/>
        </w:rPr>
      </w:pPr>
    </w:p>
    <w:p w14:paraId="16DF3D11" w14:textId="77777777" w:rsidR="00FD7592" w:rsidRPr="001B41AD" w:rsidRDefault="00FD7592" w:rsidP="00FD7592">
      <w:pPr>
        <w:spacing w:after="40" w:line="276" w:lineRule="auto"/>
        <w:jc w:val="center"/>
        <w:rPr>
          <w:rFonts w:eastAsia="MS PGothic" w:cstheme="minorHAnsi"/>
          <w:b/>
          <w:color w:val="002060"/>
          <w:szCs w:val="20"/>
          <w:lang w:val="sr-Cyrl-CS" w:eastAsia="ja-JP"/>
        </w:rPr>
        <w:sectPr w:rsidR="00FD7592" w:rsidRPr="001B41AD" w:rsidSect="00405489">
          <w:type w:val="continuous"/>
          <w:pgSz w:w="12240" w:h="15840"/>
          <w:pgMar w:top="1440" w:right="1440" w:bottom="1440" w:left="1440" w:header="720" w:footer="720" w:gutter="0"/>
          <w:cols w:space="720"/>
          <w:docGrid w:linePitch="360"/>
        </w:sectPr>
      </w:pPr>
    </w:p>
    <w:p w14:paraId="0D367611" w14:textId="77777777" w:rsidR="00FD7592" w:rsidRPr="001B41AD" w:rsidRDefault="00FD7592" w:rsidP="00FD7592">
      <w:pPr>
        <w:spacing w:after="120" w:line="257" w:lineRule="auto"/>
        <w:rPr>
          <w:rFonts w:eastAsia="MS PGothic" w:cstheme="minorHAnsi"/>
          <w:szCs w:val="20"/>
          <w:lang w:val="sr-Cyrl-CS" w:eastAsia="ja-JP"/>
        </w:rPr>
      </w:pPr>
      <w:r w:rsidRPr="001B41AD">
        <w:rPr>
          <w:rFonts w:eastAsia="MS PGothic" w:cstheme="minorHAnsi"/>
          <w:szCs w:val="20"/>
          <w:lang w:val="sr-Cyrl-CS" w:eastAsia="ja-JP"/>
        </w:rPr>
        <w:t xml:space="preserve">Индиректни дуг, те укључивање дела отплата по основу гаранција у буџетске расходе, и повећање дефицита по том основу, повећали су свест о растућим фискалним ризицима који произилазе по основу издатих гаранција. Стога су предузете активности које ограничавају издавање нових гаранција. Изменама Закона о јавном дугу, чланом 16. става 3, Република Србија може дати гаранције само ако се средствима кредита за који се даје гаранција финансирају капитална улагања дужника. Република Србија не може дати </w:t>
      </w:r>
      <w:r w:rsidRPr="001B41AD">
        <w:rPr>
          <w:rFonts w:eastAsia="MS PGothic" w:cstheme="minorHAnsi"/>
          <w:szCs w:val="20"/>
          <w:lang w:val="sr-Cyrl-CS" w:eastAsia="ja-JP"/>
        </w:rPr>
        <w:t>гаранције ако се средствима кредита за који се даје гаранција финансира текуће пословање</w:t>
      </w:r>
      <w:r w:rsidR="00880482" w:rsidRPr="001B41AD">
        <w:rPr>
          <w:rFonts w:eastAsia="MS PGothic" w:cstheme="minorHAnsi"/>
          <w:szCs w:val="20"/>
          <w:lang w:val="sr-Cyrl-CS" w:eastAsia="ja-JP"/>
        </w:rPr>
        <w:t>,</w:t>
      </w:r>
      <w:r w:rsidRPr="001B41AD">
        <w:rPr>
          <w:rFonts w:eastAsia="MS PGothic" w:cstheme="minorHAnsi"/>
          <w:szCs w:val="20"/>
          <w:lang w:val="sr-Cyrl-CS" w:eastAsia="ja-JP"/>
        </w:rPr>
        <w:t xml:space="preserve"> дужника односно за потребе ликвидности дужника. Изменама Закона о Фонду за развој Републике Србије онемогућено је даље давање контрагаранција за гаранције издате од стране Фонда за развој Републике Србије.</w:t>
      </w:r>
    </w:p>
    <w:p w14:paraId="7D5C2930" w14:textId="77777777" w:rsidR="00FD7592" w:rsidRPr="001B41AD" w:rsidRDefault="00FD7592" w:rsidP="00FD7592">
      <w:pPr>
        <w:spacing w:after="120" w:line="257" w:lineRule="auto"/>
        <w:rPr>
          <w:rFonts w:eastAsia="MS PGothic" w:cstheme="minorHAnsi"/>
          <w:szCs w:val="20"/>
          <w:lang w:val="sr-Cyrl-CS" w:eastAsia="ja-JP"/>
        </w:rPr>
      </w:pPr>
      <w:r w:rsidRPr="001B41AD">
        <w:rPr>
          <w:rFonts w:eastAsia="MS PGothic" w:cstheme="minorHAnsi"/>
          <w:szCs w:val="20"/>
          <w:lang w:val="sr-Cyrl-CS" w:eastAsia="ja-JP"/>
        </w:rPr>
        <w:t>Поред ограничења у издавању државних гаранција</w:t>
      </w:r>
      <w:r w:rsidR="00F629BA" w:rsidRPr="001B41AD">
        <w:rPr>
          <w:rFonts w:eastAsia="MS PGothic" w:cstheme="minorHAnsi"/>
          <w:szCs w:val="20"/>
          <w:lang w:val="sr-Cyrl-CS" w:eastAsia="ja-JP"/>
        </w:rPr>
        <w:t>,</w:t>
      </w:r>
      <w:r w:rsidRPr="001B41AD">
        <w:rPr>
          <w:rFonts w:eastAsia="MS PGothic" w:cstheme="minorHAnsi"/>
          <w:szCs w:val="20"/>
          <w:lang w:val="sr-Cyrl-CS" w:eastAsia="ja-JP"/>
        </w:rPr>
        <w:t xml:space="preserve"> кључни корак у смањењу и отклањању фискалних ризика по овом основу је у реформи државних предузећа, корисника гаранција, како </w:t>
      </w:r>
      <w:r w:rsidRPr="001B41AD">
        <w:rPr>
          <w:rFonts w:eastAsia="MS PGothic" w:cstheme="minorHAnsi"/>
          <w:szCs w:val="20"/>
          <w:lang w:val="sr-Cyrl-CS" w:eastAsia="ja-JP"/>
        </w:rPr>
        <w:lastRenderedPageBreak/>
        <w:t>би били способни да отплаћују своје кредите. Већи број предузећа, која су и највећи корисници гаранција, налазе се у процесу реструктурирања, односно спровођења планова реструктурирања урађених у сарадњи са међународним финансијским институцијама.</w:t>
      </w:r>
    </w:p>
    <w:p w14:paraId="53A50D6C" w14:textId="77777777" w:rsidR="00FD7592" w:rsidRPr="001B41AD" w:rsidRDefault="00FD7592" w:rsidP="00FD7592">
      <w:pPr>
        <w:spacing w:after="240" w:line="257" w:lineRule="auto"/>
        <w:rPr>
          <w:rFonts w:eastAsia="MS PGothic" w:cstheme="minorHAnsi"/>
          <w:szCs w:val="20"/>
          <w:lang w:val="sr-Cyrl-CS" w:eastAsia="ja-JP"/>
        </w:rPr>
      </w:pPr>
      <w:r w:rsidRPr="001B41AD">
        <w:rPr>
          <w:rFonts w:eastAsia="MS PGothic" w:cstheme="minorHAnsi"/>
          <w:szCs w:val="20"/>
          <w:lang w:val="sr-Cyrl-CS" w:eastAsia="ja-JP"/>
        </w:rPr>
        <w:t xml:space="preserve">Законом о буџету Републике Србије за 2025. годину, у члану 3А, планирано је издавање </w:t>
      </w:r>
      <w:r w:rsidRPr="001B41AD">
        <w:rPr>
          <w:rFonts w:eastAsia="MS PGothic" w:cstheme="minorHAnsi"/>
          <w:szCs w:val="20"/>
          <w:lang w:val="sr-Cyrl-CS" w:eastAsia="ja-JP"/>
        </w:rPr>
        <w:t>гаранција највише до 365 млрд динара. Чланом 41. Закона о буџету Републике Србије омогућено је да се обим издатих гаранција повећа, ради очувања и јачања финансијске стабилности или спречавања наступања или отклањања последица ванредних околности које могу да угрозе живот и здравље људи или да проузрокују штету већих размера, у износу до 20 млрд динара, а на предлог министарства надлежног за послове финансија.</w:t>
      </w:r>
    </w:p>
    <w:p w14:paraId="7E00D327" w14:textId="77777777" w:rsidR="00FD7592" w:rsidRPr="001B41AD" w:rsidRDefault="00FD7592" w:rsidP="00FD7592">
      <w:pPr>
        <w:spacing w:after="240" w:line="257" w:lineRule="auto"/>
        <w:rPr>
          <w:rFonts w:eastAsia="MS PGothic" w:cstheme="minorHAnsi"/>
          <w:b/>
          <w:color w:val="002060"/>
          <w:szCs w:val="20"/>
          <w:lang w:val="sr-Cyrl-CS" w:eastAsia="ja-JP"/>
        </w:rPr>
        <w:sectPr w:rsidR="00FD7592" w:rsidRPr="001B41AD" w:rsidSect="00405489">
          <w:type w:val="continuous"/>
          <w:pgSz w:w="12240" w:h="15840"/>
          <w:pgMar w:top="1440" w:right="1440" w:bottom="1440" w:left="1440" w:header="720" w:footer="720" w:gutter="0"/>
          <w:cols w:num="2" w:space="720"/>
          <w:docGrid w:linePitch="360"/>
        </w:sectPr>
      </w:pPr>
    </w:p>
    <w:p w14:paraId="00B18718" w14:textId="77777777" w:rsidR="00FD7592" w:rsidRPr="001B41AD" w:rsidRDefault="00FD7592" w:rsidP="00FD7592">
      <w:pPr>
        <w:spacing w:after="12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Табела 1</w:t>
      </w:r>
      <w:r w:rsidR="00C82D44" w:rsidRPr="001B41AD">
        <w:rPr>
          <w:rFonts w:eastAsia="MS PGothic" w:cstheme="minorHAnsi"/>
          <w:b/>
          <w:color w:val="002060"/>
          <w:szCs w:val="20"/>
          <w:lang w:val="sr-Cyrl-CS" w:eastAsia="ja-JP"/>
        </w:rPr>
        <w:t>5</w:t>
      </w:r>
      <w:r w:rsidRPr="001B41AD">
        <w:rPr>
          <w:rFonts w:eastAsia="MS PGothic" w:cstheme="minorHAnsi"/>
          <w:b/>
          <w:color w:val="002060"/>
          <w:szCs w:val="20"/>
          <w:lang w:val="sr-Cyrl-CS" w:eastAsia="ja-JP"/>
        </w:rPr>
        <w:t>. План издавања гаранција у 2025. години, млрд динара</w:t>
      </w:r>
    </w:p>
    <w:tbl>
      <w:tblPr>
        <w:tblW w:w="9790" w:type="dxa"/>
        <w:tblInd w:w="-210" w:type="dxa"/>
        <w:tblLook w:val="04A0" w:firstRow="1" w:lastRow="0" w:firstColumn="1" w:lastColumn="0" w:noHBand="0" w:noVBand="1"/>
      </w:tblPr>
      <w:tblGrid>
        <w:gridCol w:w="2362"/>
        <w:gridCol w:w="895"/>
        <w:gridCol w:w="1030"/>
        <w:gridCol w:w="1202"/>
        <w:gridCol w:w="888"/>
        <w:gridCol w:w="1032"/>
        <w:gridCol w:w="657"/>
        <w:gridCol w:w="568"/>
        <w:gridCol w:w="1156"/>
      </w:tblGrid>
      <w:tr w:rsidR="00FD7592" w:rsidRPr="001B41AD" w14:paraId="147E779F" w14:textId="77777777" w:rsidTr="00405489">
        <w:trPr>
          <w:trHeight w:val="816"/>
        </w:trPr>
        <w:tc>
          <w:tcPr>
            <w:tcW w:w="2362" w:type="dxa"/>
            <w:tcBorders>
              <w:top w:val="single" w:sz="4" w:space="0" w:color="002060"/>
              <w:left w:val="nil"/>
              <w:bottom w:val="single" w:sz="4" w:space="0" w:color="002060"/>
              <w:right w:val="nil"/>
            </w:tcBorders>
            <w:vAlign w:val="center"/>
            <w:hideMark/>
          </w:tcPr>
          <w:p w14:paraId="35984404" w14:textId="77777777" w:rsidR="00FD7592" w:rsidRPr="001B41AD" w:rsidRDefault="00FD7592" w:rsidP="00405489">
            <w:pPr>
              <w:spacing w:after="0" w:line="240" w:lineRule="auto"/>
              <w:jc w:val="left"/>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Корисници</w:t>
            </w:r>
          </w:p>
        </w:tc>
        <w:tc>
          <w:tcPr>
            <w:tcW w:w="895" w:type="dxa"/>
            <w:tcBorders>
              <w:top w:val="single" w:sz="4" w:space="0" w:color="002060"/>
              <w:left w:val="nil"/>
              <w:bottom w:val="single" w:sz="4" w:space="0" w:color="002060"/>
              <w:right w:val="nil"/>
            </w:tcBorders>
            <w:vAlign w:val="center"/>
            <w:hideMark/>
          </w:tcPr>
          <w:p w14:paraId="2D760BF2"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 xml:space="preserve">Број </w:t>
            </w:r>
            <w:r w:rsidRPr="001B41AD">
              <w:rPr>
                <w:rFonts w:ascii="Calibri" w:eastAsia="Times New Roman" w:hAnsi="Calibri" w:cs="Calibri"/>
                <w:b/>
                <w:bCs/>
                <w:color w:val="002060"/>
                <w:sz w:val="16"/>
                <w:szCs w:val="16"/>
                <w:lang w:val="sr-Cyrl-CS"/>
              </w:rPr>
              <w:br/>
              <w:t>пројеката</w:t>
            </w:r>
          </w:p>
        </w:tc>
        <w:tc>
          <w:tcPr>
            <w:tcW w:w="1030" w:type="dxa"/>
            <w:tcBorders>
              <w:top w:val="single" w:sz="4" w:space="0" w:color="002060"/>
              <w:left w:val="nil"/>
              <w:bottom w:val="single" w:sz="4" w:space="0" w:color="002060"/>
              <w:right w:val="nil"/>
            </w:tcBorders>
            <w:vAlign w:val="center"/>
            <w:hideMark/>
          </w:tcPr>
          <w:p w14:paraId="24B51497"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Домаће и стране пословне банке</w:t>
            </w:r>
          </w:p>
        </w:tc>
        <w:tc>
          <w:tcPr>
            <w:tcW w:w="1202" w:type="dxa"/>
            <w:tcBorders>
              <w:top w:val="single" w:sz="4" w:space="0" w:color="002060"/>
              <w:left w:val="nil"/>
              <w:bottom w:val="single" w:sz="4" w:space="0" w:color="002060"/>
              <w:right w:val="nil"/>
            </w:tcBorders>
            <w:vAlign w:val="center"/>
            <w:hideMark/>
          </w:tcPr>
          <w:p w14:paraId="51E397E2"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Европска инвестициона банка</w:t>
            </w:r>
          </w:p>
        </w:tc>
        <w:tc>
          <w:tcPr>
            <w:tcW w:w="888" w:type="dxa"/>
            <w:tcBorders>
              <w:top w:val="single" w:sz="4" w:space="0" w:color="002060"/>
              <w:left w:val="nil"/>
              <w:bottom w:val="single" w:sz="4" w:space="0" w:color="002060"/>
              <w:right w:val="nil"/>
            </w:tcBorders>
            <w:vAlign w:val="center"/>
            <w:hideMark/>
          </w:tcPr>
          <w:p w14:paraId="23468754"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Европска банка за обнову и развој</w:t>
            </w:r>
          </w:p>
        </w:tc>
        <w:tc>
          <w:tcPr>
            <w:tcW w:w="1032" w:type="dxa"/>
            <w:tcBorders>
              <w:top w:val="single" w:sz="4" w:space="0" w:color="002060"/>
              <w:left w:val="nil"/>
              <w:bottom w:val="single" w:sz="4" w:space="0" w:color="002060"/>
              <w:right w:val="nil"/>
            </w:tcBorders>
            <w:noWrap/>
            <w:vAlign w:val="center"/>
            <w:hideMark/>
          </w:tcPr>
          <w:p w14:paraId="63C26D44"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ЕУРОФИМА</w:t>
            </w:r>
          </w:p>
        </w:tc>
        <w:tc>
          <w:tcPr>
            <w:tcW w:w="657" w:type="dxa"/>
            <w:tcBorders>
              <w:top w:val="single" w:sz="4" w:space="0" w:color="002060"/>
              <w:left w:val="nil"/>
              <w:bottom w:val="single" w:sz="4" w:space="0" w:color="002060"/>
              <w:right w:val="nil"/>
            </w:tcBorders>
            <w:vAlign w:val="center"/>
            <w:hideMark/>
          </w:tcPr>
          <w:p w14:paraId="34E6BC0B"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KfW</w:t>
            </w:r>
          </w:p>
        </w:tc>
        <w:tc>
          <w:tcPr>
            <w:tcW w:w="568" w:type="dxa"/>
            <w:tcBorders>
              <w:top w:val="single" w:sz="4" w:space="0" w:color="002060"/>
              <w:left w:val="nil"/>
              <w:bottom w:val="single" w:sz="4" w:space="0" w:color="002060"/>
              <w:right w:val="nil"/>
            </w:tcBorders>
            <w:vAlign w:val="center"/>
            <w:hideMark/>
          </w:tcPr>
          <w:p w14:paraId="12C8D2E2"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АФД</w:t>
            </w:r>
          </w:p>
        </w:tc>
        <w:tc>
          <w:tcPr>
            <w:tcW w:w="1156" w:type="dxa"/>
            <w:tcBorders>
              <w:top w:val="single" w:sz="4" w:space="0" w:color="002060"/>
              <w:left w:val="nil"/>
              <w:bottom w:val="single" w:sz="4" w:space="0" w:color="002060"/>
              <w:right w:val="nil"/>
            </w:tcBorders>
            <w:vAlign w:val="center"/>
            <w:hideMark/>
          </w:tcPr>
          <w:p w14:paraId="3D4ED642"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Укупно по предузећима</w:t>
            </w:r>
          </w:p>
        </w:tc>
      </w:tr>
      <w:tr w:rsidR="00FD7592" w:rsidRPr="001B41AD" w14:paraId="2BE7FE38" w14:textId="77777777" w:rsidTr="00405489">
        <w:trPr>
          <w:trHeight w:val="281"/>
        </w:trPr>
        <w:tc>
          <w:tcPr>
            <w:tcW w:w="2362" w:type="dxa"/>
            <w:tcBorders>
              <w:top w:val="nil"/>
              <w:left w:val="nil"/>
              <w:bottom w:val="nil"/>
              <w:right w:val="nil"/>
            </w:tcBorders>
            <w:vAlign w:val="center"/>
            <w:hideMark/>
          </w:tcPr>
          <w:p w14:paraId="52BFD9D7" w14:textId="77777777" w:rsidR="00FD7592" w:rsidRPr="001B41AD" w:rsidRDefault="00FD7592" w:rsidP="00405489">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,,Електропривреда Србије" ад</w:t>
            </w:r>
          </w:p>
        </w:tc>
        <w:tc>
          <w:tcPr>
            <w:tcW w:w="895" w:type="dxa"/>
            <w:tcBorders>
              <w:top w:val="nil"/>
              <w:left w:val="nil"/>
              <w:bottom w:val="nil"/>
              <w:right w:val="nil"/>
            </w:tcBorders>
            <w:noWrap/>
            <w:vAlign w:val="center"/>
            <w:hideMark/>
          </w:tcPr>
          <w:p w14:paraId="2514E719"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5</w:t>
            </w:r>
          </w:p>
        </w:tc>
        <w:tc>
          <w:tcPr>
            <w:tcW w:w="1030" w:type="dxa"/>
            <w:tcBorders>
              <w:top w:val="nil"/>
              <w:left w:val="nil"/>
              <w:bottom w:val="nil"/>
              <w:right w:val="nil"/>
            </w:tcBorders>
            <w:noWrap/>
            <w:vAlign w:val="center"/>
            <w:hideMark/>
          </w:tcPr>
          <w:p w14:paraId="2DF26354"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265,3 </w:t>
            </w:r>
          </w:p>
        </w:tc>
        <w:tc>
          <w:tcPr>
            <w:tcW w:w="1202" w:type="dxa"/>
            <w:tcBorders>
              <w:top w:val="nil"/>
              <w:left w:val="nil"/>
              <w:bottom w:val="nil"/>
              <w:right w:val="nil"/>
            </w:tcBorders>
            <w:noWrap/>
            <w:vAlign w:val="center"/>
            <w:hideMark/>
          </w:tcPr>
          <w:p w14:paraId="46D95EAA"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p>
        </w:tc>
        <w:tc>
          <w:tcPr>
            <w:tcW w:w="888" w:type="dxa"/>
            <w:tcBorders>
              <w:top w:val="nil"/>
              <w:left w:val="nil"/>
              <w:bottom w:val="nil"/>
              <w:right w:val="nil"/>
            </w:tcBorders>
            <w:noWrap/>
            <w:vAlign w:val="center"/>
            <w:hideMark/>
          </w:tcPr>
          <w:p w14:paraId="1C116EBC"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7,9 </w:t>
            </w:r>
          </w:p>
        </w:tc>
        <w:tc>
          <w:tcPr>
            <w:tcW w:w="1032" w:type="dxa"/>
            <w:tcBorders>
              <w:top w:val="nil"/>
              <w:left w:val="nil"/>
              <w:bottom w:val="nil"/>
              <w:right w:val="nil"/>
            </w:tcBorders>
            <w:noWrap/>
            <w:vAlign w:val="center"/>
            <w:hideMark/>
          </w:tcPr>
          <w:p w14:paraId="63D1E701"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p>
        </w:tc>
        <w:tc>
          <w:tcPr>
            <w:tcW w:w="657" w:type="dxa"/>
            <w:tcBorders>
              <w:top w:val="nil"/>
              <w:left w:val="nil"/>
              <w:bottom w:val="nil"/>
              <w:right w:val="nil"/>
            </w:tcBorders>
            <w:noWrap/>
            <w:vAlign w:val="center"/>
            <w:hideMark/>
          </w:tcPr>
          <w:p w14:paraId="069800DC"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3,5 </w:t>
            </w:r>
          </w:p>
        </w:tc>
        <w:tc>
          <w:tcPr>
            <w:tcW w:w="568" w:type="dxa"/>
            <w:tcBorders>
              <w:top w:val="nil"/>
              <w:left w:val="nil"/>
              <w:bottom w:val="nil"/>
              <w:right w:val="nil"/>
            </w:tcBorders>
            <w:noWrap/>
            <w:vAlign w:val="center"/>
            <w:hideMark/>
          </w:tcPr>
          <w:p w14:paraId="1065B631"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p>
        </w:tc>
        <w:tc>
          <w:tcPr>
            <w:tcW w:w="1156" w:type="dxa"/>
            <w:tcBorders>
              <w:top w:val="nil"/>
              <w:left w:val="nil"/>
              <w:bottom w:val="nil"/>
              <w:right w:val="nil"/>
            </w:tcBorders>
            <w:noWrap/>
            <w:vAlign w:val="center"/>
            <w:hideMark/>
          </w:tcPr>
          <w:p w14:paraId="290B271B"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276,7 </w:t>
            </w:r>
          </w:p>
        </w:tc>
      </w:tr>
      <w:tr w:rsidR="00FD7592" w:rsidRPr="001B41AD" w14:paraId="5988ADB4" w14:textId="77777777" w:rsidTr="00405489">
        <w:trPr>
          <w:trHeight w:val="281"/>
        </w:trPr>
        <w:tc>
          <w:tcPr>
            <w:tcW w:w="2362" w:type="dxa"/>
            <w:tcBorders>
              <w:top w:val="nil"/>
              <w:left w:val="nil"/>
              <w:bottom w:val="nil"/>
              <w:right w:val="nil"/>
            </w:tcBorders>
            <w:vAlign w:val="center"/>
            <w:hideMark/>
          </w:tcPr>
          <w:p w14:paraId="7E1061CA" w14:textId="77777777" w:rsidR="00FD7592" w:rsidRPr="001B41AD" w:rsidRDefault="00FD7592" w:rsidP="00405489">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ЈП ,,Србијагас"</w:t>
            </w:r>
          </w:p>
        </w:tc>
        <w:tc>
          <w:tcPr>
            <w:tcW w:w="895" w:type="dxa"/>
            <w:tcBorders>
              <w:top w:val="nil"/>
              <w:left w:val="nil"/>
              <w:bottom w:val="nil"/>
              <w:right w:val="nil"/>
            </w:tcBorders>
            <w:noWrap/>
            <w:vAlign w:val="center"/>
            <w:hideMark/>
          </w:tcPr>
          <w:p w14:paraId="55846C1B"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w:t>
            </w:r>
          </w:p>
        </w:tc>
        <w:tc>
          <w:tcPr>
            <w:tcW w:w="1030" w:type="dxa"/>
            <w:tcBorders>
              <w:top w:val="nil"/>
              <w:left w:val="nil"/>
              <w:bottom w:val="nil"/>
              <w:right w:val="nil"/>
            </w:tcBorders>
            <w:noWrap/>
            <w:vAlign w:val="center"/>
            <w:hideMark/>
          </w:tcPr>
          <w:p w14:paraId="54342D09"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31,9 </w:t>
            </w:r>
          </w:p>
        </w:tc>
        <w:tc>
          <w:tcPr>
            <w:tcW w:w="1202" w:type="dxa"/>
            <w:tcBorders>
              <w:top w:val="nil"/>
              <w:left w:val="nil"/>
              <w:bottom w:val="nil"/>
              <w:right w:val="nil"/>
            </w:tcBorders>
            <w:noWrap/>
            <w:vAlign w:val="center"/>
            <w:hideMark/>
          </w:tcPr>
          <w:p w14:paraId="70B09B51"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p>
        </w:tc>
        <w:tc>
          <w:tcPr>
            <w:tcW w:w="888" w:type="dxa"/>
            <w:tcBorders>
              <w:top w:val="nil"/>
              <w:left w:val="nil"/>
              <w:bottom w:val="nil"/>
              <w:right w:val="nil"/>
            </w:tcBorders>
            <w:noWrap/>
            <w:vAlign w:val="center"/>
            <w:hideMark/>
          </w:tcPr>
          <w:p w14:paraId="42436597"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1032" w:type="dxa"/>
            <w:tcBorders>
              <w:top w:val="nil"/>
              <w:left w:val="nil"/>
              <w:bottom w:val="nil"/>
              <w:right w:val="nil"/>
            </w:tcBorders>
            <w:noWrap/>
            <w:vAlign w:val="center"/>
            <w:hideMark/>
          </w:tcPr>
          <w:p w14:paraId="2E9D32BD"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657" w:type="dxa"/>
            <w:tcBorders>
              <w:top w:val="nil"/>
              <w:left w:val="nil"/>
              <w:bottom w:val="nil"/>
              <w:right w:val="nil"/>
            </w:tcBorders>
            <w:noWrap/>
            <w:vAlign w:val="center"/>
            <w:hideMark/>
          </w:tcPr>
          <w:p w14:paraId="5FB0512D"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568" w:type="dxa"/>
            <w:tcBorders>
              <w:top w:val="nil"/>
              <w:left w:val="nil"/>
              <w:bottom w:val="nil"/>
              <w:right w:val="nil"/>
            </w:tcBorders>
            <w:noWrap/>
            <w:vAlign w:val="center"/>
            <w:hideMark/>
          </w:tcPr>
          <w:p w14:paraId="0A27275C"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1156" w:type="dxa"/>
            <w:tcBorders>
              <w:top w:val="nil"/>
              <w:left w:val="nil"/>
              <w:bottom w:val="nil"/>
              <w:right w:val="nil"/>
            </w:tcBorders>
            <w:noWrap/>
            <w:vAlign w:val="center"/>
            <w:hideMark/>
          </w:tcPr>
          <w:p w14:paraId="1B1D9924"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31,9 </w:t>
            </w:r>
          </w:p>
        </w:tc>
      </w:tr>
      <w:tr w:rsidR="00FD7592" w:rsidRPr="001B41AD" w14:paraId="7A36AE83" w14:textId="77777777" w:rsidTr="00405489">
        <w:trPr>
          <w:trHeight w:val="422"/>
        </w:trPr>
        <w:tc>
          <w:tcPr>
            <w:tcW w:w="2362" w:type="dxa"/>
            <w:tcBorders>
              <w:top w:val="nil"/>
              <w:left w:val="nil"/>
              <w:bottom w:val="nil"/>
              <w:right w:val="nil"/>
            </w:tcBorders>
            <w:vAlign w:val="center"/>
            <w:hideMark/>
          </w:tcPr>
          <w:p w14:paraId="6B7CB1FF" w14:textId="77777777" w:rsidR="00FD7592" w:rsidRPr="001B41AD" w:rsidRDefault="00FD7592" w:rsidP="00405489">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,,Електродистрибуција Србије" доо</w:t>
            </w:r>
          </w:p>
        </w:tc>
        <w:tc>
          <w:tcPr>
            <w:tcW w:w="895" w:type="dxa"/>
            <w:tcBorders>
              <w:top w:val="nil"/>
              <w:left w:val="nil"/>
              <w:bottom w:val="nil"/>
              <w:right w:val="nil"/>
            </w:tcBorders>
            <w:noWrap/>
            <w:vAlign w:val="center"/>
            <w:hideMark/>
          </w:tcPr>
          <w:p w14:paraId="29C57B26"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w:t>
            </w:r>
          </w:p>
        </w:tc>
        <w:tc>
          <w:tcPr>
            <w:tcW w:w="1030" w:type="dxa"/>
            <w:tcBorders>
              <w:top w:val="nil"/>
              <w:left w:val="nil"/>
              <w:bottom w:val="nil"/>
              <w:right w:val="nil"/>
            </w:tcBorders>
            <w:noWrap/>
            <w:vAlign w:val="center"/>
            <w:hideMark/>
          </w:tcPr>
          <w:p w14:paraId="18122FDB"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6,4 </w:t>
            </w:r>
          </w:p>
        </w:tc>
        <w:tc>
          <w:tcPr>
            <w:tcW w:w="1202" w:type="dxa"/>
            <w:tcBorders>
              <w:top w:val="nil"/>
              <w:left w:val="nil"/>
              <w:bottom w:val="nil"/>
              <w:right w:val="nil"/>
            </w:tcBorders>
            <w:noWrap/>
            <w:vAlign w:val="center"/>
            <w:hideMark/>
          </w:tcPr>
          <w:p w14:paraId="0CC2B03D"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11,7 </w:t>
            </w:r>
          </w:p>
        </w:tc>
        <w:tc>
          <w:tcPr>
            <w:tcW w:w="888" w:type="dxa"/>
            <w:tcBorders>
              <w:top w:val="nil"/>
              <w:left w:val="nil"/>
              <w:bottom w:val="nil"/>
              <w:right w:val="nil"/>
            </w:tcBorders>
            <w:noWrap/>
            <w:vAlign w:val="center"/>
            <w:hideMark/>
          </w:tcPr>
          <w:p w14:paraId="23EFD92C"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p>
        </w:tc>
        <w:tc>
          <w:tcPr>
            <w:tcW w:w="1032" w:type="dxa"/>
            <w:tcBorders>
              <w:top w:val="nil"/>
              <w:left w:val="nil"/>
              <w:bottom w:val="nil"/>
              <w:right w:val="nil"/>
            </w:tcBorders>
            <w:noWrap/>
            <w:vAlign w:val="center"/>
            <w:hideMark/>
          </w:tcPr>
          <w:p w14:paraId="436B2BA0"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657" w:type="dxa"/>
            <w:tcBorders>
              <w:top w:val="nil"/>
              <w:left w:val="nil"/>
              <w:bottom w:val="nil"/>
              <w:right w:val="nil"/>
            </w:tcBorders>
            <w:noWrap/>
            <w:vAlign w:val="center"/>
            <w:hideMark/>
          </w:tcPr>
          <w:p w14:paraId="01756D46"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568" w:type="dxa"/>
            <w:tcBorders>
              <w:top w:val="nil"/>
              <w:left w:val="nil"/>
              <w:bottom w:val="nil"/>
              <w:right w:val="nil"/>
            </w:tcBorders>
            <w:noWrap/>
            <w:vAlign w:val="center"/>
            <w:hideMark/>
          </w:tcPr>
          <w:p w14:paraId="10EDC93C"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1156" w:type="dxa"/>
            <w:tcBorders>
              <w:top w:val="nil"/>
              <w:left w:val="nil"/>
              <w:bottom w:val="nil"/>
              <w:right w:val="nil"/>
            </w:tcBorders>
            <w:noWrap/>
            <w:vAlign w:val="center"/>
            <w:hideMark/>
          </w:tcPr>
          <w:p w14:paraId="0D4DBC1F"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18,2 </w:t>
            </w:r>
          </w:p>
        </w:tc>
      </w:tr>
      <w:tr w:rsidR="00FD7592" w:rsidRPr="001B41AD" w14:paraId="1D892827" w14:textId="77777777" w:rsidTr="00405489">
        <w:trPr>
          <w:trHeight w:val="281"/>
        </w:trPr>
        <w:tc>
          <w:tcPr>
            <w:tcW w:w="2362" w:type="dxa"/>
            <w:tcBorders>
              <w:top w:val="nil"/>
              <w:left w:val="nil"/>
              <w:bottom w:val="nil"/>
              <w:right w:val="nil"/>
            </w:tcBorders>
            <w:vAlign w:val="center"/>
            <w:hideMark/>
          </w:tcPr>
          <w:p w14:paraId="1ED1D775" w14:textId="77777777" w:rsidR="00FD7592" w:rsidRPr="001B41AD" w:rsidRDefault="00FD7592" w:rsidP="00405489">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,,Транснафта" ад </w:t>
            </w:r>
          </w:p>
        </w:tc>
        <w:tc>
          <w:tcPr>
            <w:tcW w:w="895" w:type="dxa"/>
            <w:tcBorders>
              <w:top w:val="nil"/>
              <w:left w:val="nil"/>
              <w:bottom w:val="nil"/>
              <w:right w:val="nil"/>
            </w:tcBorders>
            <w:noWrap/>
            <w:vAlign w:val="center"/>
            <w:hideMark/>
          </w:tcPr>
          <w:p w14:paraId="7343691C"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1</w:t>
            </w:r>
          </w:p>
        </w:tc>
        <w:tc>
          <w:tcPr>
            <w:tcW w:w="1030" w:type="dxa"/>
            <w:tcBorders>
              <w:top w:val="nil"/>
              <w:left w:val="nil"/>
              <w:bottom w:val="nil"/>
              <w:right w:val="nil"/>
            </w:tcBorders>
            <w:noWrap/>
            <w:vAlign w:val="center"/>
            <w:hideMark/>
          </w:tcPr>
          <w:p w14:paraId="7C244D8E"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17,6 </w:t>
            </w:r>
          </w:p>
        </w:tc>
        <w:tc>
          <w:tcPr>
            <w:tcW w:w="1202" w:type="dxa"/>
            <w:tcBorders>
              <w:top w:val="nil"/>
              <w:left w:val="nil"/>
              <w:bottom w:val="nil"/>
              <w:right w:val="nil"/>
            </w:tcBorders>
            <w:noWrap/>
            <w:vAlign w:val="center"/>
            <w:hideMark/>
          </w:tcPr>
          <w:p w14:paraId="17C0407E"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p>
        </w:tc>
        <w:tc>
          <w:tcPr>
            <w:tcW w:w="888" w:type="dxa"/>
            <w:tcBorders>
              <w:top w:val="nil"/>
              <w:left w:val="nil"/>
              <w:bottom w:val="nil"/>
              <w:right w:val="nil"/>
            </w:tcBorders>
            <w:noWrap/>
            <w:vAlign w:val="center"/>
            <w:hideMark/>
          </w:tcPr>
          <w:p w14:paraId="4576D7A6"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1032" w:type="dxa"/>
            <w:tcBorders>
              <w:top w:val="nil"/>
              <w:left w:val="nil"/>
              <w:bottom w:val="nil"/>
              <w:right w:val="nil"/>
            </w:tcBorders>
            <w:noWrap/>
            <w:vAlign w:val="center"/>
            <w:hideMark/>
          </w:tcPr>
          <w:p w14:paraId="7B3BC5C8"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657" w:type="dxa"/>
            <w:tcBorders>
              <w:top w:val="nil"/>
              <w:left w:val="nil"/>
              <w:bottom w:val="nil"/>
              <w:right w:val="nil"/>
            </w:tcBorders>
            <w:noWrap/>
            <w:vAlign w:val="center"/>
            <w:hideMark/>
          </w:tcPr>
          <w:p w14:paraId="3F1F78A0"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568" w:type="dxa"/>
            <w:tcBorders>
              <w:top w:val="nil"/>
              <w:left w:val="nil"/>
              <w:bottom w:val="nil"/>
              <w:right w:val="nil"/>
            </w:tcBorders>
            <w:noWrap/>
            <w:vAlign w:val="center"/>
            <w:hideMark/>
          </w:tcPr>
          <w:p w14:paraId="35636C6A"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1156" w:type="dxa"/>
            <w:tcBorders>
              <w:top w:val="nil"/>
              <w:left w:val="nil"/>
              <w:bottom w:val="nil"/>
              <w:right w:val="nil"/>
            </w:tcBorders>
            <w:noWrap/>
            <w:vAlign w:val="center"/>
            <w:hideMark/>
          </w:tcPr>
          <w:p w14:paraId="4242F3A0"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17,6 </w:t>
            </w:r>
          </w:p>
        </w:tc>
      </w:tr>
      <w:tr w:rsidR="00FD7592" w:rsidRPr="001B41AD" w14:paraId="120E8A0D" w14:textId="77777777" w:rsidTr="00405489">
        <w:trPr>
          <w:trHeight w:val="281"/>
        </w:trPr>
        <w:tc>
          <w:tcPr>
            <w:tcW w:w="2362" w:type="dxa"/>
            <w:tcBorders>
              <w:top w:val="nil"/>
              <w:left w:val="nil"/>
              <w:bottom w:val="nil"/>
              <w:right w:val="nil"/>
            </w:tcBorders>
            <w:vAlign w:val="center"/>
            <w:hideMark/>
          </w:tcPr>
          <w:p w14:paraId="31D630A4" w14:textId="77777777" w:rsidR="00FD7592" w:rsidRPr="001B41AD" w:rsidRDefault="00FD7592" w:rsidP="00405489">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,,Србијавоз" ад</w:t>
            </w:r>
          </w:p>
        </w:tc>
        <w:tc>
          <w:tcPr>
            <w:tcW w:w="895" w:type="dxa"/>
            <w:tcBorders>
              <w:top w:val="nil"/>
              <w:left w:val="nil"/>
              <w:bottom w:val="nil"/>
              <w:right w:val="nil"/>
            </w:tcBorders>
            <w:noWrap/>
            <w:vAlign w:val="center"/>
            <w:hideMark/>
          </w:tcPr>
          <w:p w14:paraId="0114E091"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w:t>
            </w:r>
          </w:p>
        </w:tc>
        <w:tc>
          <w:tcPr>
            <w:tcW w:w="1030" w:type="dxa"/>
            <w:tcBorders>
              <w:top w:val="nil"/>
              <w:left w:val="nil"/>
              <w:bottom w:val="nil"/>
              <w:right w:val="nil"/>
            </w:tcBorders>
            <w:noWrap/>
            <w:vAlign w:val="center"/>
            <w:hideMark/>
          </w:tcPr>
          <w:p w14:paraId="18F7DE1D"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p>
        </w:tc>
        <w:tc>
          <w:tcPr>
            <w:tcW w:w="1202" w:type="dxa"/>
            <w:tcBorders>
              <w:top w:val="nil"/>
              <w:left w:val="nil"/>
              <w:bottom w:val="nil"/>
              <w:right w:val="nil"/>
            </w:tcBorders>
            <w:noWrap/>
            <w:vAlign w:val="center"/>
            <w:hideMark/>
          </w:tcPr>
          <w:p w14:paraId="7810C44B"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888" w:type="dxa"/>
            <w:tcBorders>
              <w:top w:val="nil"/>
              <w:left w:val="nil"/>
              <w:bottom w:val="nil"/>
              <w:right w:val="nil"/>
            </w:tcBorders>
            <w:noWrap/>
            <w:vAlign w:val="center"/>
            <w:hideMark/>
          </w:tcPr>
          <w:p w14:paraId="36475AB5"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4,9 </w:t>
            </w:r>
          </w:p>
        </w:tc>
        <w:tc>
          <w:tcPr>
            <w:tcW w:w="1032" w:type="dxa"/>
            <w:tcBorders>
              <w:top w:val="nil"/>
              <w:left w:val="nil"/>
              <w:bottom w:val="nil"/>
              <w:right w:val="nil"/>
            </w:tcBorders>
            <w:noWrap/>
            <w:vAlign w:val="center"/>
            <w:hideMark/>
          </w:tcPr>
          <w:p w14:paraId="6A6FB1BC"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10,6 </w:t>
            </w:r>
          </w:p>
        </w:tc>
        <w:tc>
          <w:tcPr>
            <w:tcW w:w="657" w:type="dxa"/>
            <w:tcBorders>
              <w:top w:val="nil"/>
              <w:left w:val="nil"/>
              <w:bottom w:val="nil"/>
              <w:right w:val="nil"/>
            </w:tcBorders>
            <w:noWrap/>
            <w:vAlign w:val="center"/>
            <w:hideMark/>
          </w:tcPr>
          <w:p w14:paraId="5A026D49"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p>
        </w:tc>
        <w:tc>
          <w:tcPr>
            <w:tcW w:w="568" w:type="dxa"/>
            <w:tcBorders>
              <w:top w:val="nil"/>
              <w:left w:val="nil"/>
              <w:bottom w:val="nil"/>
              <w:right w:val="nil"/>
            </w:tcBorders>
            <w:noWrap/>
            <w:vAlign w:val="center"/>
            <w:hideMark/>
          </w:tcPr>
          <w:p w14:paraId="2A276A41"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1156" w:type="dxa"/>
            <w:tcBorders>
              <w:top w:val="nil"/>
              <w:left w:val="nil"/>
              <w:bottom w:val="nil"/>
              <w:right w:val="nil"/>
            </w:tcBorders>
            <w:noWrap/>
            <w:vAlign w:val="center"/>
            <w:hideMark/>
          </w:tcPr>
          <w:p w14:paraId="45240632"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15,5 </w:t>
            </w:r>
          </w:p>
        </w:tc>
      </w:tr>
      <w:tr w:rsidR="00FD7592" w:rsidRPr="001B41AD" w14:paraId="7A2FFD67" w14:textId="77777777" w:rsidTr="00405489">
        <w:trPr>
          <w:trHeight w:val="281"/>
        </w:trPr>
        <w:tc>
          <w:tcPr>
            <w:tcW w:w="2362" w:type="dxa"/>
            <w:tcBorders>
              <w:top w:val="nil"/>
              <w:left w:val="nil"/>
              <w:bottom w:val="nil"/>
              <w:right w:val="nil"/>
            </w:tcBorders>
            <w:vAlign w:val="center"/>
            <w:hideMark/>
          </w:tcPr>
          <w:p w14:paraId="52D2DF0D" w14:textId="77777777" w:rsidR="00FD7592" w:rsidRPr="001B41AD" w:rsidRDefault="00FD7592" w:rsidP="00405489">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,,Електромрежа Србије" ад</w:t>
            </w:r>
          </w:p>
        </w:tc>
        <w:tc>
          <w:tcPr>
            <w:tcW w:w="895" w:type="dxa"/>
            <w:tcBorders>
              <w:top w:val="nil"/>
              <w:left w:val="nil"/>
              <w:bottom w:val="nil"/>
              <w:right w:val="nil"/>
            </w:tcBorders>
            <w:noWrap/>
            <w:vAlign w:val="center"/>
            <w:hideMark/>
          </w:tcPr>
          <w:p w14:paraId="7EC3D6C0"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w:t>
            </w:r>
          </w:p>
        </w:tc>
        <w:tc>
          <w:tcPr>
            <w:tcW w:w="1030" w:type="dxa"/>
            <w:tcBorders>
              <w:top w:val="nil"/>
              <w:left w:val="nil"/>
              <w:bottom w:val="nil"/>
              <w:right w:val="nil"/>
            </w:tcBorders>
            <w:noWrap/>
            <w:vAlign w:val="center"/>
            <w:hideMark/>
          </w:tcPr>
          <w:p w14:paraId="3A128C92"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p>
        </w:tc>
        <w:tc>
          <w:tcPr>
            <w:tcW w:w="1202" w:type="dxa"/>
            <w:tcBorders>
              <w:top w:val="nil"/>
              <w:left w:val="nil"/>
              <w:bottom w:val="nil"/>
              <w:right w:val="nil"/>
            </w:tcBorders>
            <w:noWrap/>
            <w:vAlign w:val="center"/>
            <w:hideMark/>
          </w:tcPr>
          <w:p w14:paraId="74A78A96"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888" w:type="dxa"/>
            <w:tcBorders>
              <w:top w:val="nil"/>
              <w:left w:val="nil"/>
              <w:bottom w:val="nil"/>
              <w:right w:val="nil"/>
            </w:tcBorders>
            <w:noWrap/>
            <w:vAlign w:val="center"/>
            <w:hideMark/>
          </w:tcPr>
          <w:p w14:paraId="5A7C9C9E"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1032" w:type="dxa"/>
            <w:tcBorders>
              <w:top w:val="nil"/>
              <w:left w:val="nil"/>
              <w:bottom w:val="nil"/>
              <w:right w:val="nil"/>
            </w:tcBorders>
            <w:noWrap/>
            <w:vAlign w:val="center"/>
            <w:hideMark/>
          </w:tcPr>
          <w:p w14:paraId="79914A9D" w14:textId="77777777" w:rsidR="00FD7592" w:rsidRPr="001B41AD" w:rsidRDefault="00FD7592" w:rsidP="00405489">
            <w:pPr>
              <w:spacing w:after="0" w:line="240" w:lineRule="auto"/>
              <w:jc w:val="center"/>
              <w:rPr>
                <w:rFonts w:ascii="Times New Roman" w:eastAsia="Times New Roman" w:hAnsi="Times New Roman" w:cs="Times New Roman"/>
                <w:color w:val="auto"/>
                <w:szCs w:val="20"/>
                <w:lang w:val="sr-Cyrl-CS"/>
              </w:rPr>
            </w:pPr>
          </w:p>
        </w:tc>
        <w:tc>
          <w:tcPr>
            <w:tcW w:w="657" w:type="dxa"/>
            <w:tcBorders>
              <w:top w:val="nil"/>
              <w:left w:val="nil"/>
              <w:bottom w:val="nil"/>
              <w:right w:val="nil"/>
            </w:tcBorders>
            <w:noWrap/>
            <w:vAlign w:val="center"/>
            <w:hideMark/>
          </w:tcPr>
          <w:p w14:paraId="55E8547B"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4,1 </w:t>
            </w:r>
          </w:p>
        </w:tc>
        <w:tc>
          <w:tcPr>
            <w:tcW w:w="568" w:type="dxa"/>
            <w:tcBorders>
              <w:top w:val="nil"/>
              <w:left w:val="nil"/>
              <w:bottom w:val="nil"/>
              <w:right w:val="nil"/>
            </w:tcBorders>
            <w:noWrap/>
            <w:vAlign w:val="center"/>
            <w:hideMark/>
          </w:tcPr>
          <w:p w14:paraId="4CFDDECE"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1,4 </w:t>
            </w:r>
          </w:p>
        </w:tc>
        <w:tc>
          <w:tcPr>
            <w:tcW w:w="1156" w:type="dxa"/>
            <w:tcBorders>
              <w:top w:val="nil"/>
              <w:left w:val="nil"/>
              <w:bottom w:val="nil"/>
              <w:right w:val="nil"/>
            </w:tcBorders>
            <w:noWrap/>
            <w:vAlign w:val="center"/>
            <w:hideMark/>
          </w:tcPr>
          <w:p w14:paraId="425962CC" w14:textId="77777777" w:rsidR="00FD7592" w:rsidRPr="001B41AD" w:rsidRDefault="00FD7592" w:rsidP="0040548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 xml:space="preserve">5,5 </w:t>
            </w:r>
          </w:p>
        </w:tc>
      </w:tr>
      <w:tr w:rsidR="00FD7592" w:rsidRPr="001B41AD" w14:paraId="5865C1CE" w14:textId="77777777" w:rsidTr="00405489">
        <w:trPr>
          <w:trHeight w:val="281"/>
        </w:trPr>
        <w:tc>
          <w:tcPr>
            <w:tcW w:w="2362" w:type="dxa"/>
            <w:tcBorders>
              <w:top w:val="single" w:sz="4" w:space="0" w:color="002060"/>
              <w:left w:val="nil"/>
              <w:bottom w:val="single" w:sz="4" w:space="0" w:color="002060"/>
              <w:right w:val="nil"/>
            </w:tcBorders>
            <w:noWrap/>
            <w:vAlign w:val="center"/>
            <w:hideMark/>
          </w:tcPr>
          <w:p w14:paraId="1E195BB2" w14:textId="77777777" w:rsidR="00FD7592" w:rsidRPr="001B41AD" w:rsidRDefault="00FD7592" w:rsidP="00405489">
            <w:pPr>
              <w:spacing w:after="0" w:line="240" w:lineRule="auto"/>
              <w:jc w:val="left"/>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Укупно по банкама:</w:t>
            </w:r>
          </w:p>
        </w:tc>
        <w:tc>
          <w:tcPr>
            <w:tcW w:w="895" w:type="dxa"/>
            <w:tcBorders>
              <w:top w:val="single" w:sz="4" w:space="0" w:color="002060"/>
              <w:left w:val="nil"/>
              <w:bottom w:val="single" w:sz="4" w:space="0" w:color="002060"/>
              <w:right w:val="nil"/>
            </w:tcBorders>
            <w:noWrap/>
            <w:vAlign w:val="center"/>
            <w:hideMark/>
          </w:tcPr>
          <w:p w14:paraId="4DDF7821"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14</w:t>
            </w:r>
          </w:p>
        </w:tc>
        <w:tc>
          <w:tcPr>
            <w:tcW w:w="1030" w:type="dxa"/>
            <w:tcBorders>
              <w:top w:val="single" w:sz="4" w:space="0" w:color="002060"/>
              <w:left w:val="nil"/>
              <w:bottom w:val="single" w:sz="4" w:space="0" w:color="002060"/>
              <w:right w:val="nil"/>
            </w:tcBorders>
            <w:noWrap/>
            <w:vAlign w:val="center"/>
            <w:hideMark/>
          </w:tcPr>
          <w:p w14:paraId="11107A3C"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 xml:space="preserve">321,3 </w:t>
            </w:r>
          </w:p>
        </w:tc>
        <w:tc>
          <w:tcPr>
            <w:tcW w:w="1202" w:type="dxa"/>
            <w:tcBorders>
              <w:top w:val="single" w:sz="4" w:space="0" w:color="002060"/>
              <w:left w:val="nil"/>
              <w:bottom w:val="single" w:sz="4" w:space="0" w:color="002060"/>
              <w:right w:val="nil"/>
            </w:tcBorders>
            <w:noWrap/>
            <w:vAlign w:val="center"/>
            <w:hideMark/>
          </w:tcPr>
          <w:p w14:paraId="402E0705"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 xml:space="preserve">11,7 </w:t>
            </w:r>
          </w:p>
        </w:tc>
        <w:tc>
          <w:tcPr>
            <w:tcW w:w="888" w:type="dxa"/>
            <w:tcBorders>
              <w:top w:val="single" w:sz="4" w:space="0" w:color="002060"/>
              <w:left w:val="nil"/>
              <w:bottom w:val="single" w:sz="4" w:space="0" w:color="002060"/>
              <w:right w:val="nil"/>
            </w:tcBorders>
            <w:noWrap/>
            <w:vAlign w:val="center"/>
            <w:hideMark/>
          </w:tcPr>
          <w:p w14:paraId="40D01FA3"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 xml:space="preserve">12,8 </w:t>
            </w:r>
          </w:p>
        </w:tc>
        <w:tc>
          <w:tcPr>
            <w:tcW w:w="1032" w:type="dxa"/>
            <w:tcBorders>
              <w:top w:val="single" w:sz="4" w:space="0" w:color="002060"/>
              <w:left w:val="nil"/>
              <w:bottom w:val="single" w:sz="4" w:space="0" w:color="002060"/>
              <w:right w:val="nil"/>
            </w:tcBorders>
            <w:noWrap/>
            <w:vAlign w:val="center"/>
            <w:hideMark/>
          </w:tcPr>
          <w:p w14:paraId="0B5A7B5F"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 xml:space="preserve">10,6 </w:t>
            </w:r>
          </w:p>
        </w:tc>
        <w:tc>
          <w:tcPr>
            <w:tcW w:w="657" w:type="dxa"/>
            <w:tcBorders>
              <w:top w:val="single" w:sz="4" w:space="0" w:color="002060"/>
              <w:left w:val="nil"/>
              <w:bottom w:val="single" w:sz="4" w:space="0" w:color="002060"/>
              <w:right w:val="nil"/>
            </w:tcBorders>
            <w:noWrap/>
            <w:vAlign w:val="center"/>
            <w:hideMark/>
          </w:tcPr>
          <w:p w14:paraId="293BA61B"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 xml:space="preserve">7,6 </w:t>
            </w:r>
          </w:p>
        </w:tc>
        <w:tc>
          <w:tcPr>
            <w:tcW w:w="568" w:type="dxa"/>
            <w:tcBorders>
              <w:top w:val="single" w:sz="4" w:space="0" w:color="002060"/>
              <w:left w:val="nil"/>
              <w:bottom w:val="single" w:sz="4" w:space="0" w:color="002060"/>
              <w:right w:val="nil"/>
            </w:tcBorders>
            <w:noWrap/>
            <w:vAlign w:val="center"/>
            <w:hideMark/>
          </w:tcPr>
          <w:p w14:paraId="7060354B"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 xml:space="preserve">1,4 </w:t>
            </w:r>
          </w:p>
        </w:tc>
        <w:tc>
          <w:tcPr>
            <w:tcW w:w="1156" w:type="dxa"/>
            <w:tcBorders>
              <w:top w:val="single" w:sz="4" w:space="0" w:color="002060"/>
              <w:left w:val="nil"/>
              <w:bottom w:val="single" w:sz="4" w:space="0" w:color="002060"/>
              <w:right w:val="nil"/>
            </w:tcBorders>
            <w:noWrap/>
            <w:vAlign w:val="center"/>
            <w:hideMark/>
          </w:tcPr>
          <w:p w14:paraId="35E97622" w14:textId="77777777" w:rsidR="00FD7592" w:rsidRPr="001B41AD" w:rsidRDefault="00FD7592" w:rsidP="0040548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 xml:space="preserve">365,4 </w:t>
            </w:r>
          </w:p>
        </w:tc>
      </w:tr>
    </w:tbl>
    <w:p w14:paraId="52C8D24D" w14:textId="77777777" w:rsidR="00FD7592" w:rsidRPr="001B41AD" w:rsidRDefault="00FD7592" w:rsidP="00FD7592">
      <w:pPr>
        <w:spacing w:after="0" w:line="276" w:lineRule="auto"/>
        <w:rPr>
          <w:rFonts w:eastAsia="MS PGothic" w:cstheme="minorHAnsi"/>
          <w:sz w:val="16"/>
          <w:szCs w:val="18"/>
          <w:lang w:val="sr-Cyrl-CS" w:eastAsia="ja-JP"/>
        </w:rPr>
      </w:pPr>
      <w:r w:rsidRPr="001B41AD">
        <w:rPr>
          <w:rFonts w:eastAsia="MS PGothic" w:cstheme="minorHAnsi"/>
          <w:sz w:val="16"/>
          <w:szCs w:val="18"/>
          <w:lang w:val="sr-Cyrl-CS" w:eastAsia="ja-JP"/>
        </w:rPr>
        <w:t>Извор: Закон о буџету Републике Србије за 2025. годину</w:t>
      </w:r>
    </w:p>
    <w:p w14:paraId="7D38C556" w14:textId="77777777" w:rsidR="00FD7592" w:rsidRPr="001B41AD" w:rsidRDefault="00FD7592" w:rsidP="00FD7592">
      <w:pPr>
        <w:spacing w:after="0" w:line="276" w:lineRule="auto"/>
        <w:rPr>
          <w:lang w:val="sr-Cyrl-CS" w:eastAsia="ja-JP"/>
        </w:rPr>
      </w:pPr>
    </w:p>
    <w:p w14:paraId="05F76DA1" w14:textId="77777777" w:rsidR="00FD7592" w:rsidRPr="001B41AD" w:rsidRDefault="00FD7592" w:rsidP="00FD7592">
      <w:pPr>
        <w:spacing w:afterLines="80" w:after="192"/>
        <w:rPr>
          <w:lang w:val="sr-Cyrl-CS" w:eastAsia="ja-JP"/>
        </w:rPr>
        <w:sectPr w:rsidR="00FD7592" w:rsidRPr="001B41AD" w:rsidSect="00405489">
          <w:type w:val="continuous"/>
          <w:pgSz w:w="12240" w:h="15840"/>
          <w:pgMar w:top="1440" w:right="1440" w:bottom="1440" w:left="1440" w:header="720" w:footer="720" w:gutter="0"/>
          <w:cols w:space="720"/>
          <w:docGrid w:linePitch="360"/>
        </w:sectPr>
      </w:pPr>
    </w:p>
    <w:p w14:paraId="003576DC" w14:textId="77777777" w:rsidR="00FD7592" w:rsidRPr="001B41AD" w:rsidRDefault="00FD7592" w:rsidP="00FD7592">
      <w:pPr>
        <w:spacing w:afterLines="80" w:after="192"/>
        <w:rPr>
          <w:rFonts w:eastAsia="MS PGothic" w:cstheme="minorHAnsi"/>
          <w:szCs w:val="20"/>
          <w:lang w:val="sr-Cyrl-CS" w:eastAsia="ja-JP"/>
        </w:rPr>
      </w:pPr>
      <w:r w:rsidRPr="001B41AD">
        <w:rPr>
          <w:rFonts w:eastAsia="MS PGothic" w:cstheme="minorHAnsi"/>
          <w:szCs w:val="20"/>
          <w:lang w:val="sr-Cyrl-CS" w:eastAsia="ja-JP"/>
        </w:rPr>
        <w:t xml:space="preserve">Од укупно планираних гаранција за 2025. годину, Законом је предвиђено да се „Електропривреди Србије” ад </w:t>
      </w:r>
      <w:r w:rsidR="005D4FD9" w:rsidRPr="001B41AD">
        <w:rPr>
          <w:rFonts w:eastAsia="MS PGothic" w:cstheme="minorHAnsi"/>
          <w:szCs w:val="20"/>
          <w:lang w:val="sr-Cyrl-CS" w:eastAsia="ja-JP"/>
        </w:rPr>
        <w:t>обезбеде</w:t>
      </w:r>
      <w:r w:rsidRPr="001B41AD">
        <w:rPr>
          <w:rFonts w:eastAsia="MS PGothic" w:cstheme="minorHAnsi"/>
          <w:szCs w:val="20"/>
          <w:lang w:val="sr-Cyrl-CS" w:eastAsia="ja-JP"/>
        </w:rPr>
        <w:t xml:space="preserve"> гаранције у износу до 276,7 млрд динара (75,7% укупно планираних гаранција) за подршку 5 инвестиционих пројеката од којих су најзначајнији Изградња само-балансираних соларних електрана капацитета 1 GW са батеријским системима за складиштење електричне енергије (222,8 млрд динара), ХЕС Горња Дрина – ХЕ Бук Бјела (29,3 млрд динара), Изградња ОИЕ и ревитализација ХЕ (13,2 млрд динара) и други.</w:t>
      </w:r>
    </w:p>
    <w:p w14:paraId="1E1D8055" w14:textId="77777777" w:rsidR="00FD7592" w:rsidRPr="001B41AD" w:rsidRDefault="00FD7592" w:rsidP="00FD7592">
      <w:pPr>
        <w:spacing w:afterLines="80" w:after="192"/>
        <w:rPr>
          <w:rFonts w:eastAsia="MS PGothic" w:cstheme="minorHAnsi"/>
          <w:szCs w:val="20"/>
          <w:lang w:val="sr-Cyrl-CS" w:eastAsia="ja-JP"/>
        </w:rPr>
      </w:pPr>
      <w:r w:rsidRPr="001B41AD">
        <w:rPr>
          <w:rFonts w:eastAsia="MS PGothic" w:cstheme="minorHAnsi"/>
          <w:szCs w:val="20"/>
          <w:lang w:val="sr-Cyrl-CS" w:eastAsia="ja-JP"/>
        </w:rPr>
        <w:t>ЈП „Србијагас” у 2025. години планира да настави са инвестиционим улагањима у дистрибутивну мрежу, тако да је планирано издавање гаранције за капиталне инвестиције за развој дистрибутивне мреже, укључујући мерне станице</w:t>
      </w:r>
      <w:r w:rsidR="00A8763C" w:rsidRPr="001B41AD">
        <w:rPr>
          <w:rFonts w:eastAsia="MS PGothic" w:cstheme="minorHAnsi"/>
          <w:szCs w:val="20"/>
          <w:lang w:val="sr-Cyrl-CS" w:eastAsia="ja-JP"/>
        </w:rPr>
        <w:t>,</w:t>
      </w:r>
      <w:r w:rsidRPr="001B41AD">
        <w:rPr>
          <w:rFonts w:eastAsia="MS PGothic" w:cstheme="minorHAnsi"/>
          <w:szCs w:val="20"/>
          <w:lang w:val="sr-Cyrl-CS" w:eastAsia="ja-JP"/>
        </w:rPr>
        <w:t xml:space="preserve"> као и рехабилитацију гасоводног система и јачање транспортних и складишних капацитета гасовода у Републици Србији, као и за гасовод Србија – Северна Македонија, у укупном износу</w:t>
      </w:r>
      <w:r w:rsidR="00EF1684" w:rsidRPr="001B41AD">
        <w:rPr>
          <w:rFonts w:eastAsia="MS PGothic" w:cstheme="minorHAnsi"/>
          <w:szCs w:val="20"/>
          <w:lang w:val="sr-Cyrl-CS" w:eastAsia="ja-JP"/>
        </w:rPr>
        <w:t xml:space="preserve"> од</w:t>
      </w:r>
      <w:r w:rsidRPr="001B41AD">
        <w:rPr>
          <w:rFonts w:eastAsia="MS PGothic" w:cstheme="minorHAnsi"/>
          <w:szCs w:val="20"/>
          <w:lang w:val="sr-Cyrl-CS" w:eastAsia="ja-JP"/>
        </w:rPr>
        <w:t xml:space="preserve"> 31,9 млрд динара (8,7% укупно планираних гаранција).</w:t>
      </w:r>
    </w:p>
    <w:p w14:paraId="6CD10F60" w14:textId="77777777" w:rsidR="00FD7592" w:rsidRPr="001B41AD" w:rsidRDefault="00FD7592" w:rsidP="00FD7592">
      <w:pPr>
        <w:spacing w:afterLines="80" w:after="192"/>
        <w:rPr>
          <w:rFonts w:eastAsia="MS PGothic" w:cstheme="minorHAnsi"/>
          <w:szCs w:val="20"/>
          <w:lang w:val="sr-Cyrl-CS" w:eastAsia="ja-JP"/>
        </w:rPr>
      </w:pPr>
      <w:r w:rsidRPr="001B41AD">
        <w:rPr>
          <w:rFonts w:eastAsia="MS PGothic" w:cstheme="minorHAnsi"/>
          <w:szCs w:val="20"/>
          <w:lang w:val="sr-Cyrl-CS" w:eastAsia="ja-JP"/>
        </w:rPr>
        <w:t>„Електродистриб</w:t>
      </w:r>
      <w:r w:rsidR="00B17058" w:rsidRPr="001B41AD">
        <w:rPr>
          <w:rFonts w:eastAsia="MS PGothic" w:cstheme="minorHAnsi"/>
          <w:szCs w:val="20"/>
          <w:lang w:val="sr-Cyrl-CS" w:eastAsia="ja-JP"/>
        </w:rPr>
        <w:t>уција Србије” доо у 2025. години</w:t>
      </w:r>
      <w:r w:rsidRPr="001B41AD">
        <w:rPr>
          <w:rFonts w:eastAsia="MS PGothic" w:cstheme="minorHAnsi"/>
          <w:szCs w:val="20"/>
          <w:lang w:val="sr-Cyrl-CS" w:eastAsia="ja-JP"/>
        </w:rPr>
        <w:t xml:space="preserve"> планира значајна инвестициона улагања, тако је Законом предвиђено издавање гаранција до износа од 18,2 млрд динара (5,0% укупно планираних гаранција) за пројекте Унапређење поузданости ДЕЕС на ЕЕО 11,7 млрд динара и Унапређење дистр</w:t>
      </w:r>
      <w:r w:rsidR="005D4FD9" w:rsidRPr="001B41AD">
        <w:rPr>
          <w:rFonts w:eastAsia="MS PGothic" w:cstheme="minorHAnsi"/>
          <w:szCs w:val="20"/>
          <w:lang w:val="sr-Cyrl-CS" w:eastAsia="ja-JP"/>
        </w:rPr>
        <w:t xml:space="preserve">ибутивне мреже 6,4 млрд динара. </w:t>
      </w:r>
      <w:r w:rsidRPr="001B41AD">
        <w:rPr>
          <w:rFonts w:eastAsia="MS PGothic" w:cstheme="minorHAnsi"/>
          <w:szCs w:val="20"/>
          <w:lang w:val="sr-Cyrl-CS" w:eastAsia="ja-JP"/>
        </w:rPr>
        <w:t>Структурне реформе државних предузећа, њихово оспособљавање за тржишну утакмицу и финансијску одрживост, с једне стране, и ограничено и циљано издавање нових гаранција, с друге стране, допринеће умањењу фискалних ризика по овом основу и одржавању расхода у планираним, тј. пројектованим оквирима у наредном средњорочном периоду.</w:t>
      </w:r>
    </w:p>
    <w:bookmarkEnd w:id="52"/>
    <w:p w14:paraId="2B47BD94" w14:textId="77777777" w:rsidR="00FD7592" w:rsidRPr="001B41AD" w:rsidRDefault="00FD7592" w:rsidP="00FD7592">
      <w:pPr>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Државна предузећа (ДП)</w:t>
      </w:r>
    </w:p>
    <w:p w14:paraId="7A409939" w14:textId="77777777" w:rsidR="00FD7592" w:rsidRPr="001B41AD" w:rsidRDefault="00FD7592" w:rsidP="00FD7592">
      <w:pPr>
        <w:spacing w:afterLines="80" w:after="192"/>
        <w:rPr>
          <w:rFonts w:eastAsia="MS PGothic" w:cstheme="minorHAnsi"/>
          <w:szCs w:val="20"/>
          <w:lang w:val="sr-Cyrl-CS" w:eastAsia="ja-JP"/>
        </w:rPr>
      </w:pPr>
      <w:r w:rsidRPr="001B41AD">
        <w:rPr>
          <w:rFonts w:eastAsia="MS PGothic" w:cstheme="minorHAnsi"/>
          <w:szCs w:val="20"/>
          <w:lang w:val="sr-Cyrl-CS" w:eastAsia="ja-JP"/>
        </w:rPr>
        <w:t xml:space="preserve">Пословање државних предузећа представља значајан извор фискалних ризика, како на страни буџетских прихода, тако и на страни расхода. Државна предузећа се у пословању суочавају са бројним проблемима, од наплате потраживања, до редовног измиривања обавеза према повериоцима, држави и запосленима и сл. </w:t>
      </w:r>
      <w:r w:rsidRPr="001B41AD">
        <w:rPr>
          <w:rFonts w:eastAsia="MS PGothic" w:cstheme="minorHAnsi"/>
          <w:szCs w:val="20"/>
          <w:lang w:val="sr-Cyrl-CS" w:eastAsia="ja-JP"/>
        </w:rPr>
        <w:lastRenderedPageBreak/>
        <w:t>Држава</w:t>
      </w:r>
      <w:r w:rsidR="00201865" w:rsidRPr="001B41AD">
        <w:rPr>
          <w:rFonts w:eastAsia="MS PGothic" w:cstheme="minorHAnsi"/>
          <w:szCs w:val="20"/>
          <w:lang w:val="sr-Cyrl-CS" w:eastAsia="ja-JP"/>
        </w:rPr>
        <w:t>,</w:t>
      </w:r>
      <w:r w:rsidRPr="001B41AD">
        <w:rPr>
          <w:rFonts w:eastAsia="MS PGothic" w:cstheme="minorHAnsi"/>
          <w:szCs w:val="20"/>
          <w:lang w:val="sr-Cyrl-CS" w:eastAsia="ja-JP"/>
        </w:rPr>
        <w:t xml:space="preserve"> као оснивач и њихов једини власник је одговорна за пословање и њихов је најважнији ослонац у случају неликвидности. Постоји неколико канала кроз које се могу материјализовати фискални ризици везани за пословање државних предузећа. Највећи, али не и једини ризик, су државне гаранције дате за кредите државних предузећа. Одрживост, ефикасност и профитабилност државних предузећа утичу на приходе буџета, односно на износ добити коју уплаћују у буџет. Квалитет производа и услуга које обезбеђују државна предузећа утичу на ефикасност и профитабилност </w:t>
      </w:r>
      <w:r w:rsidRPr="001B41AD">
        <w:rPr>
          <w:rFonts w:eastAsia="MS PGothic" w:cstheme="minorHAnsi"/>
          <w:szCs w:val="20"/>
          <w:lang w:val="sr-Cyrl-CS" w:eastAsia="ja-JP"/>
        </w:rPr>
        <w:t>приватног сектора и у крајњој инстанци на ниво пореза који уплаћују у буџет.</w:t>
      </w:r>
    </w:p>
    <w:p w14:paraId="1B432455"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Сектор буџета - Одељење за праћење фискалних ризика прати рад 36 стратешких предузећа која су у већинском власништву РС и која представљају значајан сегмент српске привреде. Ова предузећа су на крају 2024. године запошљавала око 66 хиљада људи. Рад државних предузећа уређен је Закон</w:t>
      </w:r>
      <w:r w:rsidR="007C229B" w:rsidRPr="001B41AD">
        <w:rPr>
          <w:rFonts w:eastAsia="MS PGothic" w:cstheme="minorHAnsi"/>
          <w:szCs w:val="20"/>
          <w:lang w:val="sr-Cyrl-CS" w:eastAsia="ja-JP"/>
        </w:rPr>
        <w:t>ом</w:t>
      </w:r>
      <w:r w:rsidRPr="001B41AD">
        <w:rPr>
          <w:rFonts w:eastAsia="MS PGothic" w:cstheme="minorHAnsi"/>
          <w:szCs w:val="20"/>
          <w:lang w:val="sr-Cyrl-CS" w:eastAsia="ja-JP"/>
        </w:rPr>
        <w:t xml:space="preserve"> о управљању привредним друштвима која су у власништву Републике Србије, </w:t>
      </w:r>
      <w:r w:rsidRPr="001B41AD">
        <w:rPr>
          <w:rFonts w:eastAsia="MS PGothic" w:cstheme="minorHAnsi"/>
          <w:spacing w:val="-4"/>
          <w:szCs w:val="20"/>
          <w:lang w:val="sr-Cyrl-CS" w:eastAsia="ja-JP"/>
        </w:rPr>
        <w:t>као и подсекторским законима који дефинишу специфична подручја (Закон о енергетици, Закон о привредним друштвима и др).</w:t>
      </w:r>
    </w:p>
    <w:p w14:paraId="79D597D5" w14:textId="77777777" w:rsidR="00FD7592" w:rsidRPr="001B41AD" w:rsidRDefault="00FD7592" w:rsidP="00FD7592">
      <w:pPr>
        <w:spacing w:after="0" w:line="276" w:lineRule="auto"/>
        <w:jc w:val="center"/>
        <w:rPr>
          <w:rFonts w:eastAsia="MS PGothic" w:cstheme="minorHAnsi"/>
          <w:b/>
          <w:bCs/>
          <w:color w:val="002060"/>
          <w:szCs w:val="20"/>
          <w:lang w:val="sr-Cyrl-CS" w:eastAsia="ja-JP"/>
        </w:rPr>
        <w:sectPr w:rsidR="00FD7592" w:rsidRPr="001B41AD" w:rsidSect="00405489">
          <w:type w:val="continuous"/>
          <w:pgSz w:w="12240" w:h="15840"/>
          <w:pgMar w:top="1440" w:right="1440" w:bottom="1440" w:left="1440" w:header="720" w:footer="720" w:gutter="0"/>
          <w:cols w:num="2" w:space="720"/>
          <w:docGrid w:linePitch="360"/>
        </w:sectPr>
      </w:pPr>
    </w:p>
    <w:p w14:paraId="122EC71C" w14:textId="77777777" w:rsidR="00FD7592" w:rsidRPr="001B41AD" w:rsidRDefault="00FD7592" w:rsidP="00FD7592">
      <w:pPr>
        <w:spacing w:after="12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Табела 1</w:t>
      </w:r>
      <w:r w:rsidR="00C82D44" w:rsidRPr="001B41AD">
        <w:rPr>
          <w:rFonts w:eastAsia="MS PGothic" w:cstheme="minorHAnsi"/>
          <w:b/>
          <w:color w:val="002060"/>
          <w:szCs w:val="20"/>
          <w:lang w:val="sr-Cyrl-CS" w:eastAsia="ja-JP"/>
        </w:rPr>
        <w:t>6</w:t>
      </w:r>
      <w:r w:rsidRPr="001B41AD">
        <w:rPr>
          <w:rFonts w:eastAsia="MS PGothic" w:cstheme="minorHAnsi"/>
          <w:b/>
          <w:color w:val="002060"/>
          <w:szCs w:val="20"/>
          <w:lang w:val="sr-Cyrl-CS" w:eastAsia="ja-JP"/>
        </w:rPr>
        <w:t>. Преглед највећих предузећа по основу остварених укупних прихода на крају 2024. године, млрд динара</w:t>
      </w:r>
    </w:p>
    <w:tbl>
      <w:tblPr>
        <w:tblW w:w="9370" w:type="dxa"/>
        <w:tblLook w:val="04A0" w:firstRow="1" w:lastRow="0" w:firstColumn="1" w:lastColumn="0" w:noHBand="0" w:noVBand="1"/>
      </w:tblPr>
      <w:tblGrid>
        <w:gridCol w:w="2880"/>
        <w:gridCol w:w="2627"/>
        <w:gridCol w:w="1135"/>
        <w:gridCol w:w="912"/>
        <w:gridCol w:w="912"/>
        <w:gridCol w:w="904"/>
      </w:tblGrid>
      <w:tr w:rsidR="00FD7592" w:rsidRPr="001B41AD" w14:paraId="7225AD65" w14:textId="77777777" w:rsidTr="005D4FD9">
        <w:trPr>
          <w:trHeight w:val="20"/>
        </w:trPr>
        <w:tc>
          <w:tcPr>
            <w:tcW w:w="2880" w:type="dxa"/>
            <w:tcBorders>
              <w:top w:val="single" w:sz="4" w:space="0" w:color="002060"/>
              <w:left w:val="nil"/>
              <w:bottom w:val="single" w:sz="4" w:space="0" w:color="002060"/>
              <w:right w:val="nil"/>
            </w:tcBorders>
            <w:noWrap/>
            <w:vAlign w:val="center"/>
            <w:hideMark/>
          </w:tcPr>
          <w:p w14:paraId="2799330C" w14:textId="77777777" w:rsidR="00FD7592" w:rsidRPr="001B41AD" w:rsidRDefault="00FD7592" w:rsidP="005D4FD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Јавна предузећа</w:t>
            </w:r>
          </w:p>
        </w:tc>
        <w:tc>
          <w:tcPr>
            <w:tcW w:w="2627" w:type="dxa"/>
            <w:tcBorders>
              <w:top w:val="single" w:sz="4" w:space="0" w:color="002060"/>
              <w:left w:val="nil"/>
              <w:bottom w:val="single" w:sz="4" w:space="0" w:color="002060"/>
              <w:right w:val="nil"/>
            </w:tcBorders>
            <w:noWrap/>
            <w:vAlign w:val="center"/>
            <w:hideMark/>
          </w:tcPr>
          <w:p w14:paraId="3B481DD7" w14:textId="77777777" w:rsidR="00FD7592" w:rsidRPr="001B41AD" w:rsidRDefault="00FD7592" w:rsidP="005D4FD9">
            <w:pPr>
              <w:spacing w:after="0" w:line="240" w:lineRule="auto"/>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Сектор</w:t>
            </w:r>
          </w:p>
        </w:tc>
        <w:tc>
          <w:tcPr>
            <w:tcW w:w="1135" w:type="dxa"/>
            <w:tcBorders>
              <w:top w:val="single" w:sz="4" w:space="0" w:color="002060"/>
              <w:left w:val="nil"/>
              <w:bottom w:val="single" w:sz="4" w:space="0" w:color="002060"/>
              <w:right w:val="nil"/>
            </w:tcBorders>
            <w:vAlign w:val="center"/>
            <w:hideMark/>
          </w:tcPr>
          <w:p w14:paraId="58AD89B6" w14:textId="77777777" w:rsidR="00FD7592" w:rsidRPr="001B41AD" w:rsidRDefault="00FD7592" w:rsidP="005D4FD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Број запослених </w:t>
            </w:r>
          </w:p>
        </w:tc>
        <w:tc>
          <w:tcPr>
            <w:tcW w:w="912" w:type="dxa"/>
            <w:tcBorders>
              <w:top w:val="single" w:sz="4" w:space="0" w:color="002060"/>
              <w:left w:val="nil"/>
              <w:bottom w:val="single" w:sz="4" w:space="0" w:color="002060"/>
              <w:right w:val="nil"/>
            </w:tcBorders>
            <w:vAlign w:val="center"/>
            <w:hideMark/>
          </w:tcPr>
          <w:p w14:paraId="1488E555" w14:textId="77777777" w:rsidR="00FD7592" w:rsidRPr="001B41AD" w:rsidRDefault="00FD7592" w:rsidP="005D4FD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Укупни приходи </w:t>
            </w:r>
          </w:p>
        </w:tc>
        <w:tc>
          <w:tcPr>
            <w:tcW w:w="912" w:type="dxa"/>
            <w:tcBorders>
              <w:top w:val="single" w:sz="4" w:space="0" w:color="002060"/>
              <w:left w:val="nil"/>
              <w:bottom w:val="single" w:sz="4" w:space="0" w:color="002060"/>
              <w:right w:val="nil"/>
            </w:tcBorders>
            <w:vAlign w:val="center"/>
            <w:hideMark/>
          </w:tcPr>
          <w:p w14:paraId="62D2BC07" w14:textId="77777777" w:rsidR="00FD7592" w:rsidRPr="001B41AD" w:rsidRDefault="00FD7592" w:rsidP="005D4FD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Укупни</w:t>
            </w:r>
            <w:r w:rsidRPr="001B41AD">
              <w:rPr>
                <w:rFonts w:ascii="Calibri" w:eastAsia="Times New Roman" w:hAnsi="Calibri" w:cs="Calibri"/>
                <w:b/>
                <w:bCs/>
                <w:color w:val="002060"/>
                <w:sz w:val="18"/>
                <w:szCs w:val="18"/>
                <w:lang w:val="sr-Cyrl-CS"/>
              </w:rPr>
              <w:br/>
              <w:t xml:space="preserve"> расходи </w:t>
            </w:r>
          </w:p>
        </w:tc>
        <w:tc>
          <w:tcPr>
            <w:tcW w:w="904" w:type="dxa"/>
            <w:tcBorders>
              <w:top w:val="single" w:sz="4" w:space="0" w:color="002060"/>
              <w:left w:val="nil"/>
              <w:bottom w:val="single" w:sz="4" w:space="0" w:color="002060"/>
              <w:right w:val="nil"/>
            </w:tcBorders>
            <w:vAlign w:val="center"/>
            <w:hideMark/>
          </w:tcPr>
          <w:p w14:paraId="498443B1" w14:textId="77777777" w:rsidR="00FD7592" w:rsidRPr="001B41AD" w:rsidRDefault="00FD7592" w:rsidP="005D4FD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Нето резултат</w:t>
            </w:r>
          </w:p>
        </w:tc>
      </w:tr>
      <w:tr w:rsidR="00FD7592" w:rsidRPr="001B41AD" w14:paraId="00DFC91F" w14:textId="77777777" w:rsidTr="005D4FD9">
        <w:trPr>
          <w:trHeight w:val="20"/>
        </w:trPr>
        <w:tc>
          <w:tcPr>
            <w:tcW w:w="2880" w:type="dxa"/>
            <w:tcBorders>
              <w:top w:val="nil"/>
              <w:left w:val="nil"/>
              <w:bottom w:val="nil"/>
              <w:right w:val="nil"/>
            </w:tcBorders>
            <w:shd w:val="clear" w:color="000000" w:fill="FFFFFF"/>
            <w:noWrap/>
            <w:vAlign w:val="center"/>
            <w:hideMark/>
          </w:tcPr>
          <w:p w14:paraId="2A7A0290"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"Електропривреда Србије" ад</w:t>
            </w:r>
          </w:p>
        </w:tc>
        <w:tc>
          <w:tcPr>
            <w:tcW w:w="2627" w:type="dxa"/>
            <w:tcBorders>
              <w:top w:val="nil"/>
              <w:left w:val="nil"/>
              <w:bottom w:val="nil"/>
              <w:right w:val="nil"/>
            </w:tcBorders>
            <w:shd w:val="clear" w:color="000000" w:fill="FFFFFF"/>
            <w:noWrap/>
            <w:vAlign w:val="bottom"/>
            <w:hideMark/>
          </w:tcPr>
          <w:p w14:paraId="25C1265B"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Енергетика </w:t>
            </w:r>
          </w:p>
        </w:tc>
        <w:tc>
          <w:tcPr>
            <w:tcW w:w="1135" w:type="dxa"/>
            <w:tcBorders>
              <w:top w:val="nil"/>
              <w:left w:val="nil"/>
              <w:bottom w:val="nil"/>
              <w:right w:val="nil"/>
            </w:tcBorders>
            <w:shd w:val="clear" w:color="000000" w:fill="FFFFFF"/>
            <w:noWrap/>
            <w:vAlign w:val="center"/>
            <w:hideMark/>
          </w:tcPr>
          <w:p w14:paraId="7DE934F1"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19.203 </w:t>
            </w:r>
          </w:p>
        </w:tc>
        <w:tc>
          <w:tcPr>
            <w:tcW w:w="912" w:type="dxa"/>
            <w:tcBorders>
              <w:top w:val="nil"/>
              <w:left w:val="nil"/>
              <w:bottom w:val="nil"/>
              <w:right w:val="nil"/>
            </w:tcBorders>
            <w:shd w:val="clear" w:color="000000" w:fill="FFFFFF"/>
            <w:noWrap/>
            <w:vAlign w:val="center"/>
            <w:hideMark/>
          </w:tcPr>
          <w:p w14:paraId="76A0F11E"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458,3</w:t>
            </w:r>
          </w:p>
        </w:tc>
        <w:tc>
          <w:tcPr>
            <w:tcW w:w="912" w:type="dxa"/>
            <w:tcBorders>
              <w:top w:val="nil"/>
              <w:left w:val="nil"/>
              <w:bottom w:val="nil"/>
              <w:right w:val="nil"/>
            </w:tcBorders>
            <w:shd w:val="clear" w:color="000000" w:fill="FFFFFF"/>
            <w:noWrap/>
            <w:vAlign w:val="center"/>
            <w:hideMark/>
          </w:tcPr>
          <w:p w14:paraId="174EF793"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426,5</w:t>
            </w:r>
          </w:p>
        </w:tc>
        <w:tc>
          <w:tcPr>
            <w:tcW w:w="904" w:type="dxa"/>
            <w:tcBorders>
              <w:top w:val="nil"/>
              <w:left w:val="nil"/>
              <w:bottom w:val="nil"/>
              <w:right w:val="nil"/>
            </w:tcBorders>
            <w:shd w:val="clear" w:color="000000" w:fill="FFFFFF"/>
            <w:noWrap/>
            <w:vAlign w:val="center"/>
            <w:hideMark/>
          </w:tcPr>
          <w:p w14:paraId="4B7C76A1"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24,4</w:t>
            </w:r>
          </w:p>
        </w:tc>
      </w:tr>
      <w:tr w:rsidR="00FD7592" w:rsidRPr="001B41AD" w14:paraId="53B80426" w14:textId="77777777" w:rsidTr="005D4FD9">
        <w:trPr>
          <w:trHeight w:val="20"/>
        </w:trPr>
        <w:tc>
          <w:tcPr>
            <w:tcW w:w="2880" w:type="dxa"/>
            <w:tcBorders>
              <w:top w:val="nil"/>
              <w:left w:val="nil"/>
              <w:bottom w:val="nil"/>
              <w:right w:val="nil"/>
            </w:tcBorders>
            <w:shd w:val="clear" w:color="000000" w:fill="FFFFFF"/>
            <w:noWrap/>
            <w:vAlign w:val="center"/>
            <w:hideMark/>
          </w:tcPr>
          <w:p w14:paraId="24335A71"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"Србијагас"</w:t>
            </w:r>
          </w:p>
        </w:tc>
        <w:tc>
          <w:tcPr>
            <w:tcW w:w="2627" w:type="dxa"/>
            <w:tcBorders>
              <w:top w:val="nil"/>
              <w:left w:val="nil"/>
              <w:bottom w:val="nil"/>
              <w:right w:val="nil"/>
            </w:tcBorders>
            <w:shd w:val="clear" w:color="000000" w:fill="FFFFFF"/>
            <w:noWrap/>
            <w:vAlign w:val="bottom"/>
            <w:hideMark/>
          </w:tcPr>
          <w:p w14:paraId="61217306"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Енергетика </w:t>
            </w:r>
          </w:p>
        </w:tc>
        <w:tc>
          <w:tcPr>
            <w:tcW w:w="1135" w:type="dxa"/>
            <w:tcBorders>
              <w:top w:val="nil"/>
              <w:left w:val="nil"/>
              <w:bottom w:val="nil"/>
              <w:right w:val="nil"/>
            </w:tcBorders>
            <w:shd w:val="clear" w:color="000000" w:fill="FFFFFF"/>
            <w:noWrap/>
            <w:vAlign w:val="center"/>
            <w:hideMark/>
          </w:tcPr>
          <w:p w14:paraId="5B468794"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919 </w:t>
            </w:r>
          </w:p>
        </w:tc>
        <w:tc>
          <w:tcPr>
            <w:tcW w:w="912" w:type="dxa"/>
            <w:tcBorders>
              <w:top w:val="nil"/>
              <w:left w:val="nil"/>
              <w:bottom w:val="nil"/>
              <w:right w:val="nil"/>
            </w:tcBorders>
            <w:shd w:val="clear" w:color="000000" w:fill="FFFFFF"/>
            <w:noWrap/>
            <w:vAlign w:val="center"/>
            <w:hideMark/>
          </w:tcPr>
          <w:p w14:paraId="3BCC2B8E"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190,8</w:t>
            </w:r>
          </w:p>
        </w:tc>
        <w:tc>
          <w:tcPr>
            <w:tcW w:w="912" w:type="dxa"/>
            <w:tcBorders>
              <w:top w:val="nil"/>
              <w:left w:val="nil"/>
              <w:bottom w:val="nil"/>
              <w:right w:val="nil"/>
            </w:tcBorders>
            <w:shd w:val="clear" w:color="000000" w:fill="FFFFFF"/>
            <w:noWrap/>
            <w:vAlign w:val="center"/>
            <w:hideMark/>
          </w:tcPr>
          <w:p w14:paraId="22AFCAEB"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176,5</w:t>
            </w:r>
          </w:p>
        </w:tc>
        <w:tc>
          <w:tcPr>
            <w:tcW w:w="904" w:type="dxa"/>
            <w:tcBorders>
              <w:top w:val="nil"/>
              <w:left w:val="nil"/>
              <w:bottom w:val="nil"/>
              <w:right w:val="nil"/>
            </w:tcBorders>
            <w:shd w:val="clear" w:color="000000" w:fill="FFFFFF"/>
            <w:noWrap/>
            <w:vAlign w:val="center"/>
            <w:hideMark/>
          </w:tcPr>
          <w:p w14:paraId="4D08552A"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8,4</w:t>
            </w:r>
          </w:p>
        </w:tc>
      </w:tr>
      <w:tr w:rsidR="00FD7592" w:rsidRPr="001B41AD" w14:paraId="6FD2D474" w14:textId="77777777" w:rsidTr="005D4FD9">
        <w:trPr>
          <w:trHeight w:val="20"/>
        </w:trPr>
        <w:tc>
          <w:tcPr>
            <w:tcW w:w="2880" w:type="dxa"/>
            <w:tcBorders>
              <w:top w:val="nil"/>
              <w:left w:val="nil"/>
              <w:bottom w:val="nil"/>
              <w:right w:val="nil"/>
            </w:tcBorders>
            <w:shd w:val="clear" w:color="000000" w:fill="FFFFFF"/>
            <w:noWrap/>
            <w:vAlign w:val="center"/>
            <w:hideMark/>
          </w:tcPr>
          <w:p w14:paraId="5584021E"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"Електродистрибуција Србије" доо</w:t>
            </w:r>
          </w:p>
        </w:tc>
        <w:tc>
          <w:tcPr>
            <w:tcW w:w="2627" w:type="dxa"/>
            <w:tcBorders>
              <w:top w:val="nil"/>
              <w:left w:val="nil"/>
              <w:bottom w:val="nil"/>
              <w:right w:val="nil"/>
            </w:tcBorders>
            <w:shd w:val="clear" w:color="000000" w:fill="FFFFFF"/>
            <w:noWrap/>
            <w:vAlign w:val="bottom"/>
            <w:hideMark/>
          </w:tcPr>
          <w:p w14:paraId="44520A58"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Енергетика </w:t>
            </w:r>
          </w:p>
        </w:tc>
        <w:tc>
          <w:tcPr>
            <w:tcW w:w="1135" w:type="dxa"/>
            <w:tcBorders>
              <w:top w:val="nil"/>
              <w:left w:val="nil"/>
              <w:bottom w:val="nil"/>
              <w:right w:val="nil"/>
            </w:tcBorders>
            <w:shd w:val="clear" w:color="000000" w:fill="FFFFFF"/>
            <w:noWrap/>
            <w:vAlign w:val="center"/>
            <w:hideMark/>
          </w:tcPr>
          <w:p w14:paraId="1A63BCD2"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8.552 </w:t>
            </w:r>
          </w:p>
        </w:tc>
        <w:tc>
          <w:tcPr>
            <w:tcW w:w="912" w:type="dxa"/>
            <w:tcBorders>
              <w:top w:val="nil"/>
              <w:left w:val="nil"/>
              <w:bottom w:val="nil"/>
              <w:right w:val="nil"/>
            </w:tcBorders>
            <w:shd w:val="clear" w:color="000000" w:fill="FFFFFF"/>
            <w:noWrap/>
            <w:vAlign w:val="center"/>
            <w:hideMark/>
          </w:tcPr>
          <w:p w14:paraId="7F4F7883"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108,7</w:t>
            </w:r>
          </w:p>
        </w:tc>
        <w:tc>
          <w:tcPr>
            <w:tcW w:w="912" w:type="dxa"/>
            <w:tcBorders>
              <w:top w:val="nil"/>
              <w:left w:val="nil"/>
              <w:bottom w:val="nil"/>
              <w:right w:val="nil"/>
            </w:tcBorders>
            <w:shd w:val="clear" w:color="000000" w:fill="FFFFFF"/>
            <w:noWrap/>
            <w:vAlign w:val="center"/>
            <w:hideMark/>
          </w:tcPr>
          <w:p w14:paraId="26CF2A95"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116,4</w:t>
            </w:r>
          </w:p>
        </w:tc>
        <w:tc>
          <w:tcPr>
            <w:tcW w:w="904" w:type="dxa"/>
            <w:tcBorders>
              <w:top w:val="nil"/>
              <w:left w:val="nil"/>
              <w:bottom w:val="nil"/>
              <w:right w:val="nil"/>
            </w:tcBorders>
            <w:shd w:val="clear" w:color="000000" w:fill="FFFFFF"/>
            <w:noWrap/>
            <w:vAlign w:val="center"/>
            <w:hideMark/>
          </w:tcPr>
          <w:p w14:paraId="74A16CAB"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-6,9</w:t>
            </w:r>
          </w:p>
        </w:tc>
      </w:tr>
      <w:tr w:rsidR="00FD7592" w:rsidRPr="001B41AD" w14:paraId="01DBB395" w14:textId="77777777" w:rsidTr="005D4FD9">
        <w:trPr>
          <w:trHeight w:val="20"/>
        </w:trPr>
        <w:tc>
          <w:tcPr>
            <w:tcW w:w="2880" w:type="dxa"/>
            <w:tcBorders>
              <w:top w:val="nil"/>
              <w:left w:val="nil"/>
              <w:bottom w:val="nil"/>
              <w:right w:val="nil"/>
            </w:tcBorders>
            <w:shd w:val="clear" w:color="000000" w:fill="FFFFFF"/>
            <w:noWrap/>
            <w:vAlign w:val="center"/>
            <w:hideMark/>
          </w:tcPr>
          <w:p w14:paraId="062D5B8F"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"Путеви Србије"</w:t>
            </w:r>
          </w:p>
        </w:tc>
        <w:tc>
          <w:tcPr>
            <w:tcW w:w="2627" w:type="dxa"/>
            <w:tcBorders>
              <w:top w:val="nil"/>
              <w:left w:val="nil"/>
              <w:bottom w:val="nil"/>
              <w:right w:val="nil"/>
            </w:tcBorders>
            <w:shd w:val="clear" w:color="000000" w:fill="FFFFFF"/>
            <w:noWrap/>
            <w:vAlign w:val="bottom"/>
            <w:hideMark/>
          </w:tcPr>
          <w:p w14:paraId="151E2257"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Грађевинарство </w:t>
            </w:r>
          </w:p>
        </w:tc>
        <w:tc>
          <w:tcPr>
            <w:tcW w:w="1135" w:type="dxa"/>
            <w:tcBorders>
              <w:top w:val="nil"/>
              <w:left w:val="nil"/>
              <w:bottom w:val="nil"/>
              <w:right w:val="nil"/>
            </w:tcBorders>
            <w:shd w:val="clear" w:color="000000" w:fill="FFFFFF"/>
            <w:noWrap/>
            <w:vAlign w:val="center"/>
            <w:hideMark/>
          </w:tcPr>
          <w:p w14:paraId="40182F95"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2.221 </w:t>
            </w:r>
          </w:p>
        </w:tc>
        <w:tc>
          <w:tcPr>
            <w:tcW w:w="912" w:type="dxa"/>
            <w:tcBorders>
              <w:top w:val="nil"/>
              <w:left w:val="nil"/>
              <w:bottom w:val="nil"/>
              <w:right w:val="nil"/>
            </w:tcBorders>
            <w:shd w:val="clear" w:color="000000" w:fill="FFFFFF"/>
            <w:noWrap/>
            <w:vAlign w:val="center"/>
            <w:hideMark/>
          </w:tcPr>
          <w:p w14:paraId="7AE64802"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60,3</w:t>
            </w:r>
          </w:p>
        </w:tc>
        <w:tc>
          <w:tcPr>
            <w:tcW w:w="912" w:type="dxa"/>
            <w:tcBorders>
              <w:top w:val="nil"/>
              <w:left w:val="nil"/>
              <w:bottom w:val="nil"/>
              <w:right w:val="nil"/>
            </w:tcBorders>
            <w:shd w:val="clear" w:color="000000" w:fill="FFFFFF"/>
            <w:noWrap/>
            <w:vAlign w:val="center"/>
            <w:hideMark/>
          </w:tcPr>
          <w:p w14:paraId="6F656F9B"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71,7</w:t>
            </w:r>
          </w:p>
        </w:tc>
        <w:tc>
          <w:tcPr>
            <w:tcW w:w="904" w:type="dxa"/>
            <w:tcBorders>
              <w:top w:val="nil"/>
              <w:left w:val="nil"/>
              <w:bottom w:val="nil"/>
              <w:right w:val="nil"/>
            </w:tcBorders>
            <w:shd w:val="clear" w:color="000000" w:fill="FFFFFF"/>
            <w:noWrap/>
            <w:vAlign w:val="center"/>
            <w:hideMark/>
          </w:tcPr>
          <w:p w14:paraId="21778951"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-11,4</w:t>
            </w:r>
          </w:p>
        </w:tc>
      </w:tr>
      <w:tr w:rsidR="00FD7592" w:rsidRPr="001B41AD" w14:paraId="52CBFA56" w14:textId="77777777" w:rsidTr="005D4FD9">
        <w:trPr>
          <w:trHeight w:val="20"/>
        </w:trPr>
        <w:tc>
          <w:tcPr>
            <w:tcW w:w="2880" w:type="dxa"/>
            <w:tcBorders>
              <w:top w:val="nil"/>
              <w:left w:val="nil"/>
              <w:bottom w:val="nil"/>
              <w:right w:val="nil"/>
            </w:tcBorders>
            <w:shd w:val="clear" w:color="000000" w:fill="FFFFFF"/>
            <w:noWrap/>
            <w:vAlign w:val="center"/>
            <w:hideMark/>
          </w:tcPr>
          <w:p w14:paraId="648515B9"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"Електромрежа Србије" ад</w:t>
            </w:r>
          </w:p>
        </w:tc>
        <w:tc>
          <w:tcPr>
            <w:tcW w:w="2627" w:type="dxa"/>
            <w:tcBorders>
              <w:top w:val="nil"/>
              <w:left w:val="nil"/>
              <w:bottom w:val="nil"/>
              <w:right w:val="nil"/>
            </w:tcBorders>
            <w:shd w:val="clear" w:color="000000" w:fill="FFFFFF"/>
            <w:noWrap/>
            <w:vAlign w:val="bottom"/>
            <w:hideMark/>
          </w:tcPr>
          <w:p w14:paraId="609F35B2"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Енергетика </w:t>
            </w:r>
          </w:p>
        </w:tc>
        <w:tc>
          <w:tcPr>
            <w:tcW w:w="1135" w:type="dxa"/>
            <w:tcBorders>
              <w:top w:val="nil"/>
              <w:left w:val="nil"/>
              <w:bottom w:val="nil"/>
              <w:right w:val="nil"/>
            </w:tcBorders>
            <w:shd w:val="clear" w:color="000000" w:fill="FFFFFF"/>
            <w:noWrap/>
            <w:vAlign w:val="center"/>
            <w:hideMark/>
          </w:tcPr>
          <w:p w14:paraId="56DBD630"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1.461 </w:t>
            </w:r>
          </w:p>
        </w:tc>
        <w:tc>
          <w:tcPr>
            <w:tcW w:w="912" w:type="dxa"/>
            <w:tcBorders>
              <w:top w:val="nil"/>
              <w:left w:val="nil"/>
              <w:bottom w:val="nil"/>
              <w:right w:val="nil"/>
            </w:tcBorders>
            <w:shd w:val="clear" w:color="000000" w:fill="FFFFFF"/>
            <w:noWrap/>
            <w:vAlign w:val="center"/>
            <w:hideMark/>
          </w:tcPr>
          <w:p w14:paraId="4AB4D830"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43,1</w:t>
            </w:r>
          </w:p>
        </w:tc>
        <w:tc>
          <w:tcPr>
            <w:tcW w:w="912" w:type="dxa"/>
            <w:tcBorders>
              <w:top w:val="nil"/>
              <w:left w:val="nil"/>
              <w:bottom w:val="nil"/>
              <w:right w:val="nil"/>
            </w:tcBorders>
            <w:shd w:val="clear" w:color="000000" w:fill="FFFFFF"/>
            <w:noWrap/>
            <w:vAlign w:val="center"/>
            <w:hideMark/>
          </w:tcPr>
          <w:p w14:paraId="16D680BB"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38,8</w:t>
            </w:r>
          </w:p>
        </w:tc>
        <w:tc>
          <w:tcPr>
            <w:tcW w:w="904" w:type="dxa"/>
            <w:tcBorders>
              <w:top w:val="nil"/>
              <w:left w:val="nil"/>
              <w:bottom w:val="nil"/>
              <w:right w:val="nil"/>
            </w:tcBorders>
            <w:shd w:val="clear" w:color="000000" w:fill="FFFFFF"/>
            <w:noWrap/>
            <w:vAlign w:val="center"/>
            <w:hideMark/>
          </w:tcPr>
          <w:p w14:paraId="3E1550DD"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3,5</w:t>
            </w:r>
          </w:p>
        </w:tc>
      </w:tr>
      <w:tr w:rsidR="00FD7592" w:rsidRPr="001B41AD" w14:paraId="5E8B458C" w14:textId="77777777" w:rsidTr="005D4FD9">
        <w:trPr>
          <w:trHeight w:val="20"/>
        </w:trPr>
        <w:tc>
          <w:tcPr>
            <w:tcW w:w="2880" w:type="dxa"/>
            <w:tcBorders>
              <w:top w:val="nil"/>
              <w:left w:val="nil"/>
              <w:bottom w:val="nil"/>
              <w:right w:val="nil"/>
            </w:tcBorders>
            <w:shd w:val="clear" w:color="000000" w:fill="FFFFFF"/>
            <w:noWrap/>
            <w:vAlign w:val="center"/>
            <w:hideMark/>
          </w:tcPr>
          <w:p w14:paraId="764F9D17"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"Пошта Србије"</w:t>
            </w:r>
          </w:p>
        </w:tc>
        <w:tc>
          <w:tcPr>
            <w:tcW w:w="2627" w:type="dxa"/>
            <w:tcBorders>
              <w:top w:val="nil"/>
              <w:left w:val="nil"/>
              <w:bottom w:val="nil"/>
              <w:right w:val="nil"/>
            </w:tcBorders>
            <w:shd w:val="clear" w:color="000000" w:fill="FFFFFF"/>
            <w:noWrap/>
            <w:vAlign w:val="bottom"/>
            <w:hideMark/>
          </w:tcPr>
          <w:p w14:paraId="674A721D"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Саобраћај и складиштење</w:t>
            </w:r>
          </w:p>
        </w:tc>
        <w:tc>
          <w:tcPr>
            <w:tcW w:w="1135" w:type="dxa"/>
            <w:tcBorders>
              <w:top w:val="nil"/>
              <w:left w:val="nil"/>
              <w:bottom w:val="nil"/>
              <w:right w:val="nil"/>
            </w:tcBorders>
            <w:shd w:val="clear" w:color="000000" w:fill="FFFFFF"/>
            <w:noWrap/>
            <w:vAlign w:val="center"/>
            <w:hideMark/>
          </w:tcPr>
          <w:p w14:paraId="2E08BEFE"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14.032 </w:t>
            </w:r>
          </w:p>
        </w:tc>
        <w:tc>
          <w:tcPr>
            <w:tcW w:w="912" w:type="dxa"/>
            <w:tcBorders>
              <w:top w:val="nil"/>
              <w:left w:val="nil"/>
              <w:bottom w:val="nil"/>
              <w:right w:val="nil"/>
            </w:tcBorders>
            <w:shd w:val="clear" w:color="000000" w:fill="FFFFFF"/>
            <w:noWrap/>
            <w:vAlign w:val="center"/>
            <w:hideMark/>
          </w:tcPr>
          <w:p w14:paraId="2093E4CD"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36,4</w:t>
            </w:r>
          </w:p>
        </w:tc>
        <w:tc>
          <w:tcPr>
            <w:tcW w:w="912" w:type="dxa"/>
            <w:tcBorders>
              <w:top w:val="nil"/>
              <w:left w:val="nil"/>
              <w:bottom w:val="nil"/>
              <w:right w:val="nil"/>
            </w:tcBorders>
            <w:shd w:val="clear" w:color="000000" w:fill="FFFFFF"/>
            <w:noWrap/>
            <w:vAlign w:val="center"/>
            <w:hideMark/>
          </w:tcPr>
          <w:p w14:paraId="64BD4DBC"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34,0</w:t>
            </w:r>
          </w:p>
        </w:tc>
        <w:tc>
          <w:tcPr>
            <w:tcW w:w="904" w:type="dxa"/>
            <w:tcBorders>
              <w:top w:val="nil"/>
              <w:left w:val="nil"/>
              <w:bottom w:val="nil"/>
              <w:right w:val="nil"/>
            </w:tcBorders>
            <w:shd w:val="clear" w:color="000000" w:fill="FFFFFF"/>
            <w:noWrap/>
            <w:vAlign w:val="center"/>
            <w:hideMark/>
          </w:tcPr>
          <w:p w14:paraId="4D5C0727"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2,1</w:t>
            </w:r>
          </w:p>
        </w:tc>
      </w:tr>
      <w:tr w:rsidR="00FD7592" w:rsidRPr="001B41AD" w14:paraId="532ACDCE" w14:textId="77777777" w:rsidTr="005D4FD9">
        <w:trPr>
          <w:trHeight w:val="20"/>
        </w:trPr>
        <w:tc>
          <w:tcPr>
            <w:tcW w:w="2880" w:type="dxa"/>
            <w:tcBorders>
              <w:top w:val="nil"/>
              <w:left w:val="nil"/>
              <w:bottom w:val="nil"/>
              <w:right w:val="nil"/>
            </w:tcBorders>
            <w:shd w:val="clear" w:color="000000" w:fill="FFFFFF"/>
            <w:noWrap/>
            <w:vAlign w:val="center"/>
            <w:hideMark/>
          </w:tcPr>
          <w:p w14:paraId="1FF7F8A8"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"Југоимпорт-СДПР"</w:t>
            </w:r>
          </w:p>
        </w:tc>
        <w:tc>
          <w:tcPr>
            <w:tcW w:w="2627" w:type="dxa"/>
            <w:tcBorders>
              <w:top w:val="nil"/>
              <w:left w:val="nil"/>
              <w:bottom w:val="nil"/>
              <w:right w:val="nil"/>
            </w:tcBorders>
            <w:shd w:val="clear" w:color="000000" w:fill="FFFFFF"/>
            <w:noWrap/>
            <w:vAlign w:val="bottom"/>
            <w:hideMark/>
          </w:tcPr>
          <w:p w14:paraId="070B14FC"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Трговина на велико и трговина на мало</w:t>
            </w:r>
          </w:p>
        </w:tc>
        <w:tc>
          <w:tcPr>
            <w:tcW w:w="1135" w:type="dxa"/>
            <w:tcBorders>
              <w:top w:val="nil"/>
              <w:left w:val="nil"/>
              <w:bottom w:val="nil"/>
              <w:right w:val="nil"/>
            </w:tcBorders>
            <w:shd w:val="clear" w:color="000000" w:fill="FFFFFF"/>
            <w:noWrap/>
            <w:vAlign w:val="center"/>
            <w:hideMark/>
          </w:tcPr>
          <w:p w14:paraId="4F30B3C1"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357 </w:t>
            </w:r>
          </w:p>
        </w:tc>
        <w:tc>
          <w:tcPr>
            <w:tcW w:w="912" w:type="dxa"/>
            <w:tcBorders>
              <w:top w:val="nil"/>
              <w:left w:val="nil"/>
              <w:bottom w:val="nil"/>
              <w:right w:val="nil"/>
            </w:tcBorders>
            <w:shd w:val="clear" w:color="000000" w:fill="FFFFFF"/>
            <w:noWrap/>
            <w:vAlign w:val="center"/>
            <w:hideMark/>
          </w:tcPr>
          <w:p w14:paraId="1A6CD366"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23,4</w:t>
            </w:r>
          </w:p>
        </w:tc>
        <w:tc>
          <w:tcPr>
            <w:tcW w:w="912" w:type="dxa"/>
            <w:tcBorders>
              <w:top w:val="nil"/>
              <w:left w:val="nil"/>
              <w:bottom w:val="nil"/>
              <w:right w:val="nil"/>
            </w:tcBorders>
            <w:shd w:val="clear" w:color="000000" w:fill="FFFFFF"/>
            <w:noWrap/>
            <w:vAlign w:val="center"/>
            <w:hideMark/>
          </w:tcPr>
          <w:p w14:paraId="5BF6B330"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22,2</w:t>
            </w:r>
          </w:p>
        </w:tc>
        <w:tc>
          <w:tcPr>
            <w:tcW w:w="904" w:type="dxa"/>
            <w:tcBorders>
              <w:top w:val="nil"/>
              <w:left w:val="nil"/>
              <w:bottom w:val="nil"/>
              <w:right w:val="nil"/>
            </w:tcBorders>
            <w:shd w:val="clear" w:color="000000" w:fill="FFFFFF"/>
            <w:noWrap/>
            <w:vAlign w:val="center"/>
            <w:hideMark/>
          </w:tcPr>
          <w:p w14:paraId="22452F0D"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0,4</w:t>
            </w:r>
          </w:p>
        </w:tc>
      </w:tr>
      <w:tr w:rsidR="00FD7592" w:rsidRPr="001B41AD" w14:paraId="41EEDD71" w14:textId="77777777" w:rsidTr="005D4FD9">
        <w:trPr>
          <w:trHeight w:val="20"/>
        </w:trPr>
        <w:tc>
          <w:tcPr>
            <w:tcW w:w="2880" w:type="dxa"/>
            <w:tcBorders>
              <w:top w:val="nil"/>
              <w:left w:val="nil"/>
              <w:bottom w:val="nil"/>
              <w:right w:val="nil"/>
            </w:tcBorders>
            <w:shd w:val="clear" w:color="000000" w:fill="FFFFFF"/>
            <w:noWrap/>
            <w:vAlign w:val="center"/>
            <w:hideMark/>
          </w:tcPr>
          <w:p w14:paraId="2C2627A3"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"Инфраструктура железнице Србије" ад</w:t>
            </w:r>
          </w:p>
        </w:tc>
        <w:tc>
          <w:tcPr>
            <w:tcW w:w="2627" w:type="dxa"/>
            <w:tcBorders>
              <w:top w:val="nil"/>
              <w:left w:val="nil"/>
              <w:bottom w:val="nil"/>
              <w:right w:val="nil"/>
            </w:tcBorders>
            <w:shd w:val="clear" w:color="000000" w:fill="FFFFFF"/>
            <w:noWrap/>
            <w:vAlign w:val="bottom"/>
            <w:hideMark/>
          </w:tcPr>
          <w:p w14:paraId="4ECB5CD9"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Саобраћај и складиштење</w:t>
            </w:r>
          </w:p>
        </w:tc>
        <w:tc>
          <w:tcPr>
            <w:tcW w:w="1135" w:type="dxa"/>
            <w:tcBorders>
              <w:top w:val="nil"/>
              <w:left w:val="nil"/>
              <w:bottom w:val="nil"/>
              <w:right w:val="nil"/>
            </w:tcBorders>
            <w:shd w:val="clear" w:color="000000" w:fill="FFFFFF"/>
            <w:noWrap/>
            <w:vAlign w:val="center"/>
            <w:hideMark/>
          </w:tcPr>
          <w:p w14:paraId="6AB5D95B"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5.705 </w:t>
            </w:r>
          </w:p>
        </w:tc>
        <w:tc>
          <w:tcPr>
            <w:tcW w:w="912" w:type="dxa"/>
            <w:tcBorders>
              <w:top w:val="nil"/>
              <w:left w:val="nil"/>
              <w:bottom w:val="nil"/>
              <w:right w:val="nil"/>
            </w:tcBorders>
            <w:shd w:val="clear" w:color="000000" w:fill="FFFFFF"/>
            <w:noWrap/>
            <w:vAlign w:val="center"/>
            <w:hideMark/>
          </w:tcPr>
          <w:p w14:paraId="5D6060CF"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19,5</w:t>
            </w:r>
          </w:p>
        </w:tc>
        <w:tc>
          <w:tcPr>
            <w:tcW w:w="912" w:type="dxa"/>
            <w:tcBorders>
              <w:top w:val="nil"/>
              <w:left w:val="nil"/>
              <w:bottom w:val="nil"/>
              <w:right w:val="nil"/>
            </w:tcBorders>
            <w:shd w:val="clear" w:color="000000" w:fill="FFFFFF"/>
            <w:noWrap/>
            <w:vAlign w:val="center"/>
            <w:hideMark/>
          </w:tcPr>
          <w:p w14:paraId="556EBC7D"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24,0</w:t>
            </w:r>
          </w:p>
        </w:tc>
        <w:tc>
          <w:tcPr>
            <w:tcW w:w="904" w:type="dxa"/>
            <w:tcBorders>
              <w:top w:val="nil"/>
              <w:left w:val="nil"/>
              <w:bottom w:val="nil"/>
              <w:right w:val="nil"/>
            </w:tcBorders>
            <w:shd w:val="clear" w:color="000000" w:fill="FFFFFF"/>
            <w:noWrap/>
            <w:vAlign w:val="center"/>
            <w:hideMark/>
          </w:tcPr>
          <w:p w14:paraId="1441F8B4"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-4,7</w:t>
            </w:r>
          </w:p>
        </w:tc>
      </w:tr>
      <w:tr w:rsidR="00FD7592" w:rsidRPr="001B41AD" w14:paraId="1A5C6466" w14:textId="77777777" w:rsidTr="005D4FD9">
        <w:trPr>
          <w:trHeight w:val="20"/>
        </w:trPr>
        <w:tc>
          <w:tcPr>
            <w:tcW w:w="2880" w:type="dxa"/>
            <w:tcBorders>
              <w:top w:val="nil"/>
              <w:left w:val="nil"/>
              <w:bottom w:val="nil"/>
              <w:right w:val="nil"/>
            </w:tcBorders>
            <w:shd w:val="clear" w:color="000000" w:fill="FFFFFF"/>
            <w:noWrap/>
            <w:vAlign w:val="center"/>
            <w:hideMark/>
          </w:tcPr>
          <w:p w14:paraId="03B21FE8"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"Србија Карго" ад</w:t>
            </w:r>
          </w:p>
        </w:tc>
        <w:tc>
          <w:tcPr>
            <w:tcW w:w="2627" w:type="dxa"/>
            <w:tcBorders>
              <w:top w:val="nil"/>
              <w:left w:val="nil"/>
              <w:bottom w:val="nil"/>
              <w:right w:val="nil"/>
            </w:tcBorders>
            <w:shd w:val="clear" w:color="000000" w:fill="FFFFFF"/>
            <w:noWrap/>
            <w:vAlign w:val="bottom"/>
            <w:hideMark/>
          </w:tcPr>
          <w:p w14:paraId="637EB150"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Саобраћај и складиштење</w:t>
            </w:r>
          </w:p>
        </w:tc>
        <w:tc>
          <w:tcPr>
            <w:tcW w:w="1135" w:type="dxa"/>
            <w:tcBorders>
              <w:top w:val="nil"/>
              <w:left w:val="nil"/>
              <w:bottom w:val="nil"/>
              <w:right w:val="nil"/>
            </w:tcBorders>
            <w:shd w:val="clear" w:color="000000" w:fill="FFFFFF"/>
            <w:noWrap/>
            <w:vAlign w:val="center"/>
            <w:hideMark/>
          </w:tcPr>
          <w:p w14:paraId="0E654672"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2.050 </w:t>
            </w:r>
          </w:p>
        </w:tc>
        <w:tc>
          <w:tcPr>
            <w:tcW w:w="912" w:type="dxa"/>
            <w:tcBorders>
              <w:top w:val="nil"/>
              <w:left w:val="nil"/>
              <w:bottom w:val="nil"/>
              <w:right w:val="nil"/>
            </w:tcBorders>
            <w:shd w:val="clear" w:color="000000" w:fill="FFFFFF"/>
            <w:noWrap/>
            <w:vAlign w:val="center"/>
            <w:hideMark/>
          </w:tcPr>
          <w:p w14:paraId="5E4C4AF8"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11,6</w:t>
            </w:r>
          </w:p>
        </w:tc>
        <w:tc>
          <w:tcPr>
            <w:tcW w:w="912" w:type="dxa"/>
            <w:tcBorders>
              <w:top w:val="nil"/>
              <w:left w:val="nil"/>
              <w:bottom w:val="nil"/>
              <w:right w:val="nil"/>
            </w:tcBorders>
            <w:shd w:val="clear" w:color="000000" w:fill="FFFFFF"/>
            <w:noWrap/>
            <w:vAlign w:val="center"/>
            <w:hideMark/>
          </w:tcPr>
          <w:p w14:paraId="2FE4F7D8"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14,3</w:t>
            </w:r>
          </w:p>
        </w:tc>
        <w:tc>
          <w:tcPr>
            <w:tcW w:w="904" w:type="dxa"/>
            <w:tcBorders>
              <w:top w:val="nil"/>
              <w:left w:val="nil"/>
              <w:bottom w:val="nil"/>
              <w:right w:val="nil"/>
            </w:tcBorders>
            <w:shd w:val="clear" w:color="000000" w:fill="FFFFFF"/>
            <w:noWrap/>
            <w:vAlign w:val="center"/>
            <w:hideMark/>
          </w:tcPr>
          <w:p w14:paraId="7E04D495"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-2,7</w:t>
            </w:r>
          </w:p>
        </w:tc>
      </w:tr>
      <w:tr w:rsidR="00FD7592" w:rsidRPr="001B41AD" w14:paraId="7F2167FF" w14:textId="77777777" w:rsidTr="005D4FD9">
        <w:trPr>
          <w:trHeight w:val="20"/>
        </w:trPr>
        <w:tc>
          <w:tcPr>
            <w:tcW w:w="2880" w:type="dxa"/>
            <w:tcBorders>
              <w:top w:val="nil"/>
              <w:left w:val="nil"/>
              <w:bottom w:val="nil"/>
              <w:right w:val="nil"/>
            </w:tcBorders>
            <w:shd w:val="clear" w:color="000000" w:fill="FFFFFF"/>
            <w:noWrap/>
            <w:vAlign w:val="center"/>
            <w:hideMark/>
          </w:tcPr>
          <w:p w14:paraId="658451BA"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"Србијашуме"</w:t>
            </w:r>
          </w:p>
        </w:tc>
        <w:tc>
          <w:tcPr>
            <w:tcW w:w="2627" w:type="dxa"/>
            <w:tcBorders>
              <w:top w:val="nil"/>
              <w:left w:val="nil"/>
              <w:bottom w:val="nil"/>
              <w:right w:val="nil"/>
            </w:tcBorders>
            <w:shd w:val="clear" w:color="000000" w:fill="FFFFFF"/>
            <w:noWrap/>
            <w:vAlign w:val="bottom"/>
            <w:hideMark/>
          </w:tcPr>
          <w:p w14:paraId="20404103"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Пољопривреда, шумарство, рибарство</w:t>
            </w:r>
          </w:p>
        </w:tc>
        <w:tc>
          <w:tcPr>
            <w:tcW w:w="1135" w:type="dxa"/>
            <w:tcBorders>
              <w:top w:val="nil"/>
              <w:left w:val="nil"/>
              <w:bottom w:val="nil"/>
              <w:right w:val="nil"/>
            </w:tcBorders>
            <w:shd w:val="clear" w:color="000000" w:fill="FFFFFF"/>
            <w:noWrap/>
            <w:vAlign w:val="center"/>
            <w:hideMark/>
          </w:tcPr>
          <w:p w14:paraId="5C0ACDE8"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3.061 </w:t>
            </w:r>
          </w:p>
        </w:tc>
        <w:tc>
          <w:tcPr>
            <w:tcW w:w="912" w:type="dxa"/>
            <w:tcBorders>
              <w:top w:val="nil"/>
              <w:left w:val="nil"/>
              <w:bottom w:val="nil"/>
              <w:right w:val="nil"/>
            </w:tcBorders>
            <w:shd w:val="clear" w:color="000000" w:fill="FFFFFF"/>
            <w:noWrap/>
            <w:vAlign w:val="center"/>
            <w:hideMark/>
          </w:tcPr>
          <w:p w14:paraId="258A1181"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11,1</w:t>
            </w:r>
          </w:p>
        </w:tc>
        <w:tc>
          <w:tcPr>
            <w:tcW w:w="912" w:type="dxa"/>
            <w:tcBorders>
              <w:top w:val="nil"/>
              <w:left w:val="nil"/>
              <w:bottom w:val="nil"/>
              <w:right w:val="nil"/>
            </w:tcBorders>
            <w:shd w:val="clear" w:color="000000" w:fill="FFFFFF"/>
            <w:noWrap/>
            <w:vAlign w:val="center"/>
            <w:hideMark/>
          </w:tcPr>
          <w:p w14:paraId="3CCE3BA2"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10,9</w:t>
            </w:r>
          </w:p>
        </w:tc>
        <w:tc>
          <w:tcPr>
            <w:tcW w:w="904" w:type="dxa"/>
            <w:tcBorders>
              <w:top w:val="nil"/>
              <w:left w:val="nil"/>
              <w:bottom w:val="nil"/>
              <w:right w:val="nil"/>
            </w:tcBorders>
            <w:shd w:val="clear" w:color="000000" w:fill="FFFFFF"/>
            <w:noWrap/>
            <w:vAlign w:val="center"/>
            <w:hideMark/>
          </w:tcPr>
          <w:p w14:paraId="4ED2916A"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0,2</w:t>
            </w:r>
          </w:p>
        </w:tc>
      </w:tr>
      <w:tr w:rsidR="00FD7592" w:rsidRPr="001B41AD" w14:paraId="3D962017" w14:textId="77777777" w:rsidTr="005D4FD9">
        <w:trPr>
          <w:trHeight w:val="20"/>
        </w:trPr>
        <w:tc>
          <w:tcPr>
            <w:tcW w:w="2880" w:type="dxa"/>
            <w:tcBorders>
              <w:top w:val="nil"/>
              <w:left w:val="nil"/>
              <w:bottom w:val="single" w:sz="4" w:space="0" w:color="auto"/>
              <w:right w:val="nil"/>
            </w:tcBorders>
            <w:shd w:val="clear" w:color="000000" w:fill="FFFFFF"/>
            <w:noWrap/>
            <w:vAlign w:val="center"/>
            <w:hideMark/>
          </w:tcPr>
          <w:p w14:paraId="3F9F8F55"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Осталих 26 предузећа</w:t>
            </w:r>
          </w:p>
        </w:tc>
        <w:tc>
          <w:tcPr>
            <w:tcW w:w="2627" w:type="dxa"/>
            <w:tcBorders>
              <w:top w:val="nil"/>
              <w:left w:val="nil"/>
              <w:bottom w:val="single" w:sz="4" w:space="0" w:color="auto"/>
              <w:right w:val="nil"/>
            </w:tcBorders>
            <w:shd w:val="clear" w:color="000000" w:fill="FFFFFF"/>
            <w:noWrap/>
            <w:vAlign w:val="bottom"/>
            <w:hideMark/>
          </w:tcPr>
          <w:p w14:paraId="674A86B8" w14:textId="77777777" w:rsidR="00FD7592" w:rsidRPr="001B41AD" w:rsidRDefault="00FD7592" w:rsidP="005D4FD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Остало</w:t>
            </w:r>
          </w:p>
        </w:tc>
        <w:tc>
          <w:tcPr>
            <w:tcW w:w="1135" w:type="dxa"/>
            <w:tcBorders>
              <w:top w:val="nil"/>
              <w:left w:val="nil"/>
              <w:bottom w:val="single" w:sz="4" w:space="0" w:color="002060"/>
              <w:right w:val="nil"/>
            </w:tcBorders>
            <w:shd w:val="clear" w:color="000000" w:fill="FFFFFF"/>
            <w:noWrap/>
            <w:vAlign w:val="center"/>
            <w:hideMark/>
          </w:tcPr>
          <w:p w14:paraId="311F2EB1"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8.422 </w:t>
            </w:r>
          </w:p>
        </w:tc>
        <w:tc>
          <w:tcPr>
            <w:tcW w:w="912" w:type="dxa"/>
            <w:tcBorders>
              <w:top w:val="nil"/>
              <w:left w:val="nil"/>
              <w:bottom w:val="single" w:sz="4" w:space="0" w:color="002060"/>
              <w:right w:val="nil"/>
            </w:tcBorders>
            <w:shd w:val="clear" w:color="000000" w:fill="FFFFFF"/>
            <w:noWrap/>
            <w:vAlign w:val="center"/>
            <w:hideMark/>
          </w:tcPr>
          <w:p w14:paraId="144EFAB8"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44,5</w:t>
            </w:r>
          </w:p>
        </w:tc>
        <w:tc>
          <w:tcPr>
            <w:tcW w:w="912" w:type="dxa"/>
            <w:tcBorders>
              <w:top w:val="nil"/>
              <w:left w:val="nil"/>
              <w:bottom w:val="single" w:sz="4" w:space="0" w:color="002060"/>
              <w:right w:val="nil"/>
            </w:tcBorders>
            <w:shd w:val="clear" w:color="000000" w:fill="FFFFFF"/>
            <w:noWrap/>
            <w:vAlign w:val="center"/>
            <w:hideMark/>
          </w:tcPr>
          <w:p w14:paraId="34F52416"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46,8</w:t>
            </w:r>
          </w:p>
        </w:tc>
        <w:tc>
          <w:tcPr>
            <w:tcW w:w="904" w:type="dxa"/>
            <w:tcBorders>
              <w:top w:val="nil"/>
              <w:left w:val="nil"/>
              <w:bottom w:val="single" w:sz="4" w:space="0" w:color="002060"/>
              <w:right w:val="nil"/>
            </w:tcBorders>
            <w:shd w:val="clear" w:color="000000" w:fill="FFFFFF"/>
            <w:noWrap/>
            <w:vAlign w:val="center"/>
            <w:hideMark/>
          </w:tcPr>
          <w:p w14:paraId="3B761F28" w14:textId="77777777" w:rsidR="00FD7592" w:rsidRPr="001B41AD" w:rsidRDefault="00FD7592" w:rsidP="005D4FD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-2,4</w:t>
            </w:r>
          </w:p>
        </w:tc>
      </w:tr>
    </w:tbl>
    <w:p w14:paraId="4359F509" w14:textId="77777777" w:rsidR="00FD7592" w:rsidRPr="001B41AD" w:rsidRDefault="00FD7592" w:rsidP="005D4FD9">
      <w:pPr>
        <w:spacing w:after="0" w:line="276" w:lineRule="auto"/>
        <w:rPr>
          <w:rFonts w:ascii="Calibri" w:eastAsia="MS PGothic" w:hAnsi="Calibri" w:cs="Calibri"/>
          <w:color w:val="44546A"/>
          <w:sz w:val="18"/>
          <w:szCs w:val="18"/>
          <w:lang w:val="sr-Cyrl-CS" w:eastAsia="ja-JP"/>
        </w:rPr>
        <w:sectPr w:rsidR="00FD7592" w:rsidRPr="001B41AD" w:rsidSect="00405489">
          <w:type w:val="continuous"/>
          <w:pgSz w:w="12240" w:h="15840"/>
          <w:pgMar w:top="1440" w:right="1440" w:bottom="1440" w:left="1440" w:header="720" w:footer="720" w:gutter="0"/>
          <w:cols w:space="720"/>
          <w:docGrid w:linePitch="360"/>
        </w:sectPr>
      </w:pPr>
      <w:r w:rsidRPr="001B41AD">
        <w:rPr>
          <w:rFonts w:ascii="Calibri" w:eastAsia="MS PGothic" w:hAnsi="Calibri" w:cs="Calibri"/>
          <w:color w:val="44546A"/>
          <w:sz w:val="16"/>
          <w:szCs w:val="16"/>
          <w:lang w:val="sr-Cyrl-CS" w:eastAsia="ja-JP"/>
        </w:rPr>
        <w:t>Извор: Финансијски извештаји за 2024. годину (АПР)</w:t>
      </w:r>
    </w:p>
    <w:p w14:paraId="6D1A3C93" w14:textId="77777777" w:rsidR="00FD7592" w:rsidRPr="001B41AD" w:rsidRDefault="00FD7592" w:rsidP="005D4FD9">
      <w:pPr>
        <w:spacing w:after="0"/>
        <w:rPr>
          <w:rFonts w:eastAsia="MS PGothic" w:cstheme="minorHAnsi"/>
          <w:szCs w:val="20"/>
          <w:lang w:val="sr-Cyrl-CS" w:eastAsia="ja-JP"/>
        </w:rPr>
      </w:pPr>
      <w:r w:rsidRPr="001B41AD">
        <w:rPr>
          <w:rFonts w:eastAsia="MS PGothic" w:cstheme="minorHAnsi"/>
          <w:szCs w:val="20"/>
          <w:lang w:val="sr-Cyrl-CS" w:eastAsia="ja-JP"/>
        </w:rPr>
        <w:t>Државна предузећа која се прате од стране Сектора буџета - Одељења за праћење фискалних ризика послују у различитим секторима. Ако посматрамо по броју, највише државних предузећа послује у области туризма (пре свега због националних паркова) и саобраћаја (железничка предузећа). Акo се посматра са становишта укупно остварених прихода, као и броја запослених, може се закључити да водећу улогу имају државна предузећа из сектора енергетике. У 2024. години предузећа из овог сектора чинила су 80,6% укупних прихода остварених од свих 36 државних предузећа.</w:t>
      </w:r>
    </w:p>
    <w:p w14:paraId="2292B93B" w14:textId="77777777" w:rsidR="00FD7592" w:rsidRPr="001B41AD" w:rsidRDefault="00FD7592" w:rsidP="00FD7592">
      <w:pPr>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Резултати пословања државних предузећа</w:t>
      </w:r>
    </w:p>
    <w:p w14:paraId="71D8E093" w14:textId="77777777" w:rsidR="005D4FD9" w:rsidRPr="001B41AD" w:rsidRDefault="00FD7592" w:rsidP="005D4FD9">
      <w:pPr>
        <w:rPr>
          <w:rFonts w:eastAsia="MS PGothic" w:cstheme="minorHAnsi"/>
          <w:szCs w:val="20"/>
          <w:lang w:val="sr-Cyrl-CS" w:eastAsia="ja-JP"/>
        </w:rPr>
      </w:pPr>
      <w:r w:rsidRPr="001B41AD">
        <w:rPr>
          <w:rFonts w:eastAsia="MS PGothic" w:cstheme="minorHAnsi"/>
          <w:szCs w:val="20"/>
          <w:lang w:val="sr-Cyrl-CS" w:eastAsia="ja-JP"/>
        </w:rPr>
        <w:t xml:space="preserve">Укупна имовина државних предузећа на крају 2024. године износила је 3.652 млрд динара, и њу </w:t>
      </w:r>
      <w:r w:rsidRPr="001B41AD">
        <w:rPr>
          <w:rFonts w:eastAsia="MS PGothic" w:cstheme="minorHAnsi"/>
          <w:szCs w:val="20"/>
          <w:lang w:val="sr-Cyrl-CS" w:eastAsia="ja-JP"/>
        </w:rPr>
        <w:t>чини углавном стална имовина која учествује са 87,4% с обзиром да већина државних предузећа послује у капитално интензивним гранама. Укупне обавезе обухватају кредите, обавезе према добављачима и обавезе по другим основама и оне су значајно порасле у периоду између 2021. и 2022. године, што је у складу са појавом енергетских шокова на тржишту. Кредитне обавезе на крају 2024. године имале су учешће од 37,1% у укупним обавезама предузећа, односно 36,8% на крај</w:t>
      </w:r>
      <w:r w:rsidR="005D4FD9" w:rsidRPr="001B41AD">
        <w:rPr>
          <w:rFonts w:eastAsia="MS PGothic" w:cstheme="minorHAnsi"/>
          <w:szCs w:val="20"/>
          <w:lang w:val="sr-Cyrl-CS" w:eastAsia="ja-JP"/>
        </w:rPr>
        <w:t>у другог квартала 2025. године.</w:t>
      </w:r>
    </w:p>
    <w:p w14:paraId="1B28F922" w14:textId="77777777" w:rsidR="00E32355" w:rsidRPr="001B41AD" w:rsidRDefault="00E32355" w:rsidP="005D4FD9">
      <w:pPr>
        <w:rPr>
          <w:rFonts w:eastAsia="MS PGothic" w:cstheme="minorHAnsi"/>
          <w:b/>
          <w:color w:val="002060"/>
          <w:szCs w:val="20"/>
          <w:lang w:val="sr-Cyrl-CS" w:eastAsia="ja-JP"/>
        </w:rPr>
      </w:pPr>
    </w:p>
    <w:p w14:paraId="628420BF" w14:textId="77777777" w:rsidR="00E32355" w:rsidRPr="001B41AD" w:rsidRDefault="00E32355" w:rsidP="005D4FD9">
      <w:pPr>
        <w:rPr>
          <w:rFonts w:eastAsia="MS PGothic" w:cstheme="minorHAnsi"/>
          <w:b/>
          <w:color w:val="002060"/>
          <w:szCs w:val="20"/>
          <w:lang w:val="sr-Cyrl-CS" w:eastAsia="ja-JP"/>
        </w:rPr>
      </w:pPr>
    </w:p>
    <w:p w14:paraId="65253EA6" w14:textId="77777777" w:rsidR="00E32355" w:rsidRPr="001B41AD" w:rsidRDefault="00E32355" w:rsidP="005D4FD9">
      <w:pPr>
        <w:rPr>
          <w:rFonts w:eastAsia="MS PGothic" w:cstheme="minorHAnsi"/>
          <w:b/>
          <w:color w:val="002060"/>
          <w:szCs w:val="20"/>
          <w:lang w:val="sr-Cyrl-CS" w:eastAsia="ja-JP"/>
        </w:rPr>
      </w:pPr>
    </w:p>
    <w:p w14:paraId="282C66EF" w14:textId="6E379392" w:rsidR="00FD7592" w:rsidRPr="001B41AD" w:rsidRDefault="00FD7592" w:rsidP="005D4FD9">
      <w:pPr>
        <w:rPr>
          <w:rFonts w:eastAsia="MS PGothic" w:cstheme="minorHAnsi"/>
          <w:szCs w:val="20"/>
          <w:lang w:val="sr-Cyrl-CS" w:eastAsia="ja-JP"/>
        </w:rPr>
      </w:pPr>
      <w:r w:rsidRPr="001B41AD">
        <w:rPr>
          <w:rFonts w:eastAsia="MS PGothic" w:cstheme="minorHAnsi"/>
          <w:b/>
          <w:color w:val="002060"/>
          <w:szCs w:val="20"/>
          <w:lang w:val="sr-Cyrl-CS" w:eastAsia="ja-JP"/>
        </w:rPr>
        <w:lastRenderedPageBreak/>
        <w:t>Табела 1</w:t>
      </w:r>
      <w:r w:rsidR="00BE37B4" w:rsidRPr="001B41AD">
        <w:rPr>
          <w:rFonts w:eastAsia="MS PGothic" w:cstheme="minorHAnsi"/>
          <w:b/>
          <w:color w:val="002060"/>
          <w:szCs w:val="20"/>
          <w:lang w:val="sr-Cyrl-CS" w:eastAsia="ja-JP"/>
        </w:rPr>
        <w:t>7</w:t>
      </w:r>
      <w:r w:rsidRPr="001B41AD">
        <w:rPr>
          <w:rFonts w:eastAsia="MS PGothic" w:cstheme="minorHAnsi"/>
          <w:b/>
          <w:color w:val="002060"/>
          <w:szCs w:val="20"/>
          <w:lang w:val="sr-Cyrl-CS" w:eastAsia="ja-JP"/>
        </w:rPr>
        <w:t>. Главни финансијски показатељи пословања државних предузећа, млрд динара</w:t>
      </w:r>
    </w:p>
    <w:tbl>
      <w:tblPr>
        <w:tblW w:w="4337" w:type="dxa"/>
        <w:tblLook w:val="04A0" w:firstRow="1" w:lastRow="0" w:firstColumn="1" w:lastColumn="0" w:noHBand="0" w:noVBand="1"/>
      </w:tblPr>
      <w:tblGrid>
        <w:gridCol w:w="1490"/>
        <w:gridCol w:w="876"/>
        <w:gridCol w:w="699"/>
        <w:gridCol w:w="612"/>
        <w:gridCol w:w="660"/>
      </w:tblGrid>
      <w:tr w:rsidR="00FD7592" w:rsidRPr="001B41AD" w14:paraId="40EFDACE" w14:textId="77777777" w:rsidTr="005D4FD9">
        <w:trPr>
          <w:trHeight w:val="20"/>
        </w:trPr>
        <w:tc>
          <w:tcPr>
            <w:tcW w:w="1490" w:type="dxa"/>
            <w:tcBorders>
              <w:top w:val="single" w:sz="4" w:space="0" w:color="002060"/>
              <w:left w:val="nil"/>
              <w:bottom w:val="single" w:sz="4" w:space="0" w:color="002060"/>
              <w:right w:val="nil"/>
            </w:tcBorders>
            <w:noWrap/>
            <w:vAlign w:val="center"/>
            <w:hideMark/>
          </w:tcPr>
          <w:p w14:paraId="4A75984B" w14:textId="77777777" w:rsidR="00FD7592" w:rsidRPr="001B41AD" w:rsidRDefault="00FD7592" w:rsidP="005D4FD9">
            <w:pPr>
              <w:spacing w:after="0" w:line="240" w:lineRule="auto"/>
              <w:jc w:val="left"/>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Опис</w:t>
            </w:r>
          </w:p>
        </w:tc>
        <w:tc>
          <w:tcPr>
            <w:tcW w:w="876" w:type="dxa"/>
            <w:tcBorders>
              <w:top w:val="single" w:sz="4" w:space="0" w:color="002060"/>
              <w:left w:val="nil"/>
              <w:bottom w:val="single" w:sz="4" w:space="0" w:color="002060"/>
              <w:right w:val="nil"/>
            </w:tcBorders>
            <w:noWrap/>
            <w:vAlign w:val="center"/>
            <w:hideMark/>
          </w:tcPr>
          <w:p w14:paraId="1C605B4D" w14:textId="77777777" w:rsidR="00FD7592" w:rsidRPr="001B41AD" w:rsidRDefault="00FD7592" w:rsidP="005D4FD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2022</w:t>
            </w:r>
          </w:p>
        </w:tc>
        <w:tc>
          <w:tcPr>
            <w:tcW w:w="699" w:type="dxa"/>
            <w:tcBorders>
              <w:top w:val="single" w:sz="4" w:space="0" w:color="002060"/>
              <w:left w:val="nil"/>
              <w:bottom w:val="single" w:sz="4" w:space="0" w:color="002060"/>
              <w:right w:val="nil"/>
            </w:tcBorders>
            <w:noWrap/>
            <w:vAlign w:val="center"/>
            <w:hideMark/>
          </w:tcPr>
          <w:p w14:paraId="379B5B96" w14:textId="77777777" w:rsidR="00FD7592" w:rsidRPr="001B41AD" w:rsidRDefault="00FD7592" w:rsidP="005D4FD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2023</w:t>
            </w:r>
          </w:p>
        </w:tc>
        <w:tc>
          <w:tcPr>
            <w:tcW w:w="612" w:type="dxa"/>
            <w:tcBorders>
              <w:top w:val="single" w:sz="4" w:space="0" w:color="002060"/>
              <w:left w:val="nil"/>
              <w:bottom w:val="single" w:sz="4" w:space="0" w:color="002060"/>
              <w:right w:val="nil"/>
            </w:tcBorders>
            <w:noWrap/>
            <w:vAlign w:val="center"/>
            <w:hideMark/>
          </w:tcPr>
          <w:p w14:paraId="5E154F53" w14:textId="77777777" w:rsidR="00FD7592" w:rsidRPr="001B41AD" w:rsidRDefault="00FD7592" w:rsidP="005D4FD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2024</w:t>
            </w:r>
          </w:p>
        </w:tc>
        <w:tc>
          <w:tcPr>
            <w:tcW w:w="660" w:type="dxa"/>
            <w:tcBorders>
              <w:top w:val="single" w:sz="4" w:space="0" w:color="002060"/>
              <w:left w:val="nil"/>
              <w:bottom w:val="single" w:sz="4" w:space="0" w:color="002060"/>
              <w:right w:val="nil"/>
            </w:tcBorders>
            <w:noWrap/>
            <w:vAlign w:val="center"/>
            <w:hideMark/>
          </w:tcPr>
          <w:p w14:paraId="72910814" w14:textId="77777777" w:rsidR="00FD7592" w:rsidRPr="001B41AD" w:rsidRDefault="00FD7592" w:rsidP="005D4FD9">
            <w:pPr>
              <w:spacing w:after="0" w:line="240" w:lineRule="auto"/>
              <w:jc w:val="center"/>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Q2 2025</w:t>
            </w:r>
          </w:p>
        </w:tc>
      </w:tr>
      <w:tr w:rsidR="00FD7592" w:rsidRPr="001B41AD" w14:paraId="20C3CEAD" w14:textId="77777777" w:rsidTr="005D4FD9">
        <w:trPr>
          <w:trHeight w:val="20"/>
        </w:trPr>
        <w:tc>
          <w:tcPr>
            <w:tcW w:w="1490" w:type="dxa"/>
            <w:tcBorders>
              <w:top w:val="nil"/>
              <w:left w:val="nil"/>
              <w:bottom w:val="nil"/>
              <w:right w:val="nil"/>
            </w:tcBorders>
            <w:shd w:val="clear" w:color="000000" w:fill="FFFFFF"/>
            <w:noWrap/>
            <w:vAlign w:val="center"/>
            <w:hideMark/>
          </w:tcPr>
          <w:p w14:paraId="4CA9EE45" w14:textId="77777777" w:rsidR="00FD7592" w:rsidRPr="001B41AD" w:rsidRDefault="00FD7592" w:rsidP="005D4FD9">
            <w:pPr>
              <w:spacing w:after="0" w:line="240" w:lineRule="auto"/>
              <w:jc w:val="left"/>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Укупна имовина</w:t>
            </w:r>
          </w:p>
        </w:tc>
        <w:tc>
          <w:tcPr>
            <w:tcW w:w="876" w:type="dxa"/>
            <w:tcBorders>
              <w:top w:val="nil"/>
              <w:left w:val="nil"/>
              <w:bottom w:val="nil"/>
              <w:right w:val="nil"/>
            </w:tcBorders>
            <w:shd w:val="clear" w:color="000000" w:fill="FFFFFF"/>
            <w:noWrap/>
            <w:vAlign w:val="center"/>
            <w:hideMark/>
          </w:tcPr>
          <w:p w14:paraId="2E26BA50"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3.454</w:t>
            </w:r>
          </w:p>
        </w:tc>
        <w:tc>
          <w:tcPr>
            <w:tcW w:w="699" w:type="dxa"/>
            <w:tcBorders>
              <w:top w:val="nil"/>
              <w:left w:val="nil"/>
              <w:bottom w:val="nil"/>
              <w:right w:val="nil"/>
            </w:tcBorders>
            <w:shd w:val="clear" w:color="000000" w:fill="FFFFFF"/>
            <w:noWrap/>
            <w:vAlign w:val="center"/>
            <w:hideMark/>
          </w:tcPr>
          <w:p w14:paraId="1EC66276"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3.587</w:t>
            </w:r>
          </w:p>
        </w:tc>
        <w:tc>
          <w:tcPr>
            <w:tcW w:w="612" w:type="dxa"/>
            <w:tcBorders>
              <w:top w:val="nil"/>
              <w:left w:val="nil"/>
              <w:bottom w:val="nil"/>
              <w:right w:val="nil"/>
            </w:tcBorders>
            <w:shd w:val="clear" w:color="000000" w:fill="FFFFFF"/>
            <w:noWrap/>
            <w:vAlign w:val="center"/>
            <w:hideMark/>
          </w:tcPr>
          <w:p w14:paraId="3BBC02B6"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3.652</w:t>
            </w:r>
          </w:p>
        </w:tc>
        <w:tc>
          <w:tcPr>
            <w:tcW w:w="660" w:type="dxa"/>
            <w:tcBorders>
              <w:top w:val="nil"/>
              <w:left w:val="nil"/>
              <w:bottom w:val="nil"/>
              <w:right w:val="nil"/>
            </w:tcBorders>
            <w:shd w:val="clear" w:color="000000" w:fill="FFFFFF"/>
            <w:noWrap/>
            <w:vAlign w:val="center"/>
            <w:hideMark/>
          </w:tcPr>
          <w:p w14:paraId="36C0E2A6"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3.646</w:t>
            </w:r>
          </w:p>
        </w:tc>
      </w:tr>
      <w:tr w:rsidR="00FD7592" w:rsidRPr="001B41AD" w14:paraId="159F0496" w14:textId="77777777" w:rsidTr="005D4FD9">
        <w:trPr>
          <w:trHeight w:val="20"/>
        </w:trPr>
        <w:tc>
          <w:tcPr>
            <w:tcW w:w="1490" w:type="dxa"/>
            <w:tcBorders>
              <w:top w:val="nil"/>
              <w:left w:val="nil"/>
              <w:bottom w:val="nil"/>
              <w:right w:val="nil"/>
            </w:tcBorders>
            <w:shd w:val="clear" w:color="000000" w:fill="FFFFFF"/>
            <w:noWrap/>
            <w:vAlign w:val="center"/>
            <w:hideMark/>
          </w:tcPr>
          <w:p w14:paraId="12DC8A8F" w14:textId="77777777" w:rsidR="00FD7592" w:rsidRPr="001B41AD" w:rsidRDefault="00FD7592" w:rsidP="005D4FD9">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Стална имовина</w:t>
            </w:r>
          </w:p>
        </w:tc>
        <w:tc>
          <w:tcPr>
            <w:tcW w:w="876" w:type="dxa"/>
            <w:tcBorders>
              <w:top w:val="nil"/>
              <w:left w:val="nil"/>
              <w:bottom w:val="nil"/>
              <w:right w:val="nil"/>
            </w:tcBorders>
            <w:shd w:val="clear" w:color="000000" w:fill="FFFFFF"/>
            <w:noWrap/>
            <w:vAlign w:val="center"/>
            <w:hideMark/>
          </w:tcPr>
          <w:p w14:paraId="31BC3CE8"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2.936</w:t>
            </w:r>
          </w:p>
        </w:tc>
        <w:tc>
          <w:tcPr>
            <w:tcW w:w="699" w:type="dxa"/>
            <w:tcBorders>
              <w:top w:val="nil"/>
              <w:left w:val="nil"/>
              <w:bottom w:val="nil"/>
              <w:right w:val="nil"/>
            </w:tcBorders>
            <w:shd w:val="clear" w:color="000000" w:fill="FFFFFF"/>
            <w:noWrap/>
            <w:vAlign w:val="center"/>
            <w:hideMark/>
          </w:tcPr>
          <w:p w14:paraId="1D796986"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3.074</w:t>
            </w:r>
          </w:p>
        </w:tc>
        <w:tc>
          <w:tcPr>
            <w:tcW w:w="612" w:type="dxa"/>
            <w:tcBorders>
              <w:top w:val="nil"/>
              <w:left w:val="nil"/>
              <w:bottom w:val="nil"/>
              <w:right w:val="nil"/>
            </w:tcBorders>
            <w:shd w:val="clear" w:color="000000" w:fill="FFFFFF"/>
            <w:noWrap/>
            <w:vAlign w:val="center"/>
            <w:hideMark/>
          </w:tcPr>
          <w:p w14:paraId="55D1F9F8"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3.194</w:t>
            </w:r>
          </w:p>
        </w:tc>
        <w:tc>
          <w:tcPr>
            <w:tcW w:w="660" w:type="dxa"/>
            <w:tcBorders>
              <w:top w:val="nil"/>
              <w:left w:val="nil"/>
              <w:bottom w:val="nil"/>
              <w:right w:val="nil"/>
            </w:tcBorders>
            <w:shd w:val="clear" w:color="000000" w:fill="FFFFFF"/>
            <w:noWrap/>
            <w:vAlign w:val="center"/>
            <w:hideMark/>
          </w:tcPr>
          <w:p w14:paraId="736F7316"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3.231</w:t>
            </w:r>
          </w:p>
        </w:tc>
      </w:tr>
      <w:tr w:rsidR="00FD7592" w:rsidRPr="001B41AD" w14:paraId="18202A03" w14:textId="77777777" w:rsidTr="005D4FD9">
        <w:trPr>
          <w:trHeight w:val="20"/>
        </w:trPr>
        <w:tc>
          <w:tcPr>
            <w:tcW w:w="1490" w:type="dxa"/>
            <w:tcBorders>
              <w:top w:val="nil"/>
              <w:left w:val="nil"/>
              <w:bottom w:val="nil"/>
              <w:right w:val="nil"/>
            </w:tcBorders>
            <w:shd w:val="clear" w:color="000000" w:fill="FFFFFF"/>
            <w:noWrap/>
            <w:vAlign w:val="center"/>
            <w:hideMark/>
          </w:tcPr>
          <w:p w14:paraId="107FB00F" w14:textId="77777777" w:rsidR="00FD7592" w:rsidRPr="001B41AD" w:rsidRDefault="00FD7592" w:rsidP="005D4FD9">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Обртна имовина</w:t>
            </w:r>
          </w:p>
        </w:tc>
        <w:tc>
          <w:tcPr>
            <w:tcW w:w="876" w:type="dxa"/>
            <w:tcBorders>
              <w:top w:val="nil"/>
              <w:left w:val="nil"/>
              <w:bottom w:val="nil"/>
              <w:right w:val="nil"/>
            </w:tcBorders>
            <w:shd w:val="clear" w:color="000000" w:fill="FFFFFF"/>
            <w:noWrap/>
            <w:vAlign w:val="center"/>
            <w:hideMark/>
          </w:tcPr>
          <w:p w14:paraId="0D91E075"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513</w:t>
            </w:r>
          </w:p>
        </w:tc>
        <w:tc>
          <w:tcPr>
            <w:tcW w:w="699" w:type="dxa"/>
            <w:tcBorders>
              <w:top w:val="nil"/>
              <w:left w:val="nil"/>
              <w:bottom w:val="nil"/>
              <w:right w:val="nil"/>
            </w:tcBorders>
            <w:shd w:val="clear" w:color="000000" w:fill="FFFFFF"/>
            <w:noWrap/>
            <w:vAlign w:val="center"/>
            <w:hideMark/>
          </w:tcPr>
          <w:p w14:paraId="305C940A"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507</w:t>
            </w:r>
          </w:p>
        </w:tc>
        <w:tc>
          <w:tcPr>
            <w:tcW w:w="612" w:type="dxa"/>
            <w:tcBorders>
              <w:top w:val="nil"/>
              <w:left w:val="nil"/>
              <w:bottom w:val="nil"/>
              <w:right w:val="nil"/>
            </w:tcBorders>
            <w:shd w:val="clear" w:color="000000" w:fill="FFFFFF"/>
            <w:noWrap/>
            <w:vAlign w:val="center"/>
            <w:hideMark/>
          </w:tcPr>
          <w:p w14:paraId="6AA80B90"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456</w:t>
            </w:r>
          </w:p>
        </w:tc>
        <w:tc>
          <w:tcPr>
            <w:tcW w:w="660" w:type="dxa"/>
            <w:tcBorders>
              <w:top w:val="nil"/>
              <w:left w:val="nil"/>
              <w:bottom w:val="nil"/>
              <w:right w:val="nil"/>
            </w:tcBorders>
            <w:shd w:val="clear" w:color="000000" w:fill="FFFFFF"/>
            <w:noWrap/>
            <w:vAlign w:val="center"/>
            <w:hideMark/>
          </w:tcPr>
          <w:p w14:paraId="4BD07B8A"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412</w:t>
            </w:r>
          </w:p>
        </w:tc>
      </w:tr>
      <w:tr w:rsidR="00FD7592" w:rsidRPr="001B41AD" w14:paraId="704045BB" w14:textId="77777777" w:rsidTr="005D4FD9">
        <w:trPr>
          <w:trHeight w:val="20"/>
        </w:trPr>
        <w:tc>
          <w:tcPr>
            <w:tcW w:w="1490" w:type="dxa"/>
            <w:tcBorders>
              <w:top w:val="nil"/>
              <w:left w:val="nil"/>
              <w:bottom w:val="nil"/>
              <w:right w:val="nil"/>
            </w:tcBorders>
            <w:shd w:val="clear" w:color="000000" w:fill="FFFFFF"/>
            <w:noWrap/>
            <w:vAlign w:val="center"/>
            <w:hideMark/>
          </w:tcPr>
          <w:p w14:paraId="24F87681" w14:textId="77777777" w:rsidR="00FD7592" w:rsidRPr="001B41AD" w:rsidRDefault="00FD7592" w:rsidP="005D4FD9">
            <w:pPr>
              <w:spacing w:after="0" w:line="240" w:lineRule="auto"/>
              <w:jc w:val="left"/>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Укупни капитал</w:t>
            </w:r>
          </w:p>
        </w:tc>
        <w:tc>
          <w:tcPr>
            <w:tcW w:w="876" w:type="dxa"/>
            <w:tcBorders>
              <w:top w:val="nil"/>
              <w:left w:val="nil"/>
              <w:bottom w:val="nil"/>
              <w:right w:val="nil"/>
            </w:tcBorders>
            <w:shd w:val="clear" w:color="000000" w:fill="FFFFFF"/>
            <w:noWrap/>
            <w:vAlign w:val="center"/>
            <w:hideMark/>
          </w:tcPr>
          <w:p w14:paraId="6AE6FC4A"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1.896</w:t>
            </w:r>
          </w:p>
        </w:tc>
        <w:tc>
          <w:tcPr>
            <w:tcW w:w="699" w:type="dxa"/>
            <w:tcBorders>
              <w:top w:val="nil"/>
              <w:left w:val="nil"/>
              <w:bottom w:val="nil"/>
              <w:right w:val="nil"/>
            </w:tcBorders>
            <w:shd w:val="clear" w:color="000000" w:fill="FFFFFF"/>
            <w:noWrap/>
            <w:vAlign w:val="center"/>
            <w:hideMark/>
          </w:tcPr>
          <w:p w14:paraId="3A69A363"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2.048</w:t>
            </w:r>
          </w:p>
        </w:tc>
        <w:tc>
          <w:tcPr>
            <w:tcW w:w="612" w:type="dxa"/>
            <w:tcBorders>
              <w:top w:val="nil"/>
              <w:left w:val="nil"/>
              <w:bottom w:val="nil"/>
              <w:right w:val="nil"/>
            </w:tcBorders>
            <w:shd w:val="clear" w:color="000000" w:fill="FFFFFF"/>
            <w:noWrap/>
            <w:vAlign w:val="center"/>
            <w:hideMark/>
          </w:tcPr>
          <w:p w14:paraId="01ADD43A"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2.056</w:t>
            </w:r>
          </w:p>
        </w:tc>
        <w:tc>
          <w:tcPr>
            <w:tcW w:w="660" w:type="dxa"/>
            <w:tcBorders>
              <w:top w:val="nil"/>
              <w:left w:val="nil"/>
              <w:bottom w:val="nil"/>
              <w:right w:val="nil"/>
            </w:tcBorders>
            <w:shd w:val="clear" w:color="000000" w:fill="FFFFFF"/>
            <w:noWrap/>
            <w:vAlign w:val="center"/>
            <w:hideMark/>
          </w:tcPr>
          <w:p w14:paraId="04B35E96"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2.076</w:t>
            </w:r>
          </w:p>
        </w:tc>
      </w:tr>
      <w:tr w:rsidR="00FD7592" w:rsidRPr="001B41AD" w14:paraId="5DCC68D7" w14:textId="77777777" w:rsidTr="005D4FD9">
        <w:trPr>
          <w:trHeight w:val="20"/>
        </w:trPr>
        <w:tc>
          <w:tcPr>
            <w:tcW w:w="1490" w:type="dxa"/>
            <w:tcBorders>
              <w:top w:val="nil"/>
              <w:left w:val="nil"/>
              <w:bottom w:val="nil"/>
              <w:right w:val="nil"/>
            </w:tcBorders>
            <w:shd w:val="clear" w:color="000000" w:fill="FFFFFF"/>
            <w:noWrap/>
            <w:vAlign w:val="center"/>
            <w:hideMark/>
          </w:tcPr>
          <w:p w14:paraId="6CC01254" w14:textId="77777777" w:rsidR="00FD7592" w:rsidRPr="001B41AD" w:rsidRDefault="00FD7592" w:rsidP="005D4FD9">
            <w:pPr>
              <w:spacing w:after="0" w:line="240" w:lineRule="auto"/>
              <w:jc w:val="left"/>
              <w:rPr>
                <w:rFonts w:ascii="Calibri" w:eastAsia="Times New Roman" w:hAnsi="Calibri" w:cs="Calibri"/>
                <w:b/>
                <w:bCs/>
                <w:color w:val="002060"/>
                <w:sz w:val="16"/>
                <w:szCs w:val="16"/>
                <w:lang w:val="sr-Cyrl-CS"/>
              </w:rPr>
            </w:pPr>
            <w:r w:rsidRPr="001B41AD">
              <w:rPr>
                <w:rFonts w:ascii="Calibri" w:eastAsia="Times New Roman" w:hAnsi="Calibri" w:cs="Calibri"/>
                <w:b/>
                <w:bCs/>
                <w:color w:val="002060"/>
                <w:sz w:val="16"/>
                <w:szCs w:val="16"/>
                <w:lang w:val="sr-Cyrl-CS"/>
              </w:rPr>
              <w:t>Укупне обавезе</w:t>
            </w:r>
          </w:p>
        </w:tc>
        <w:tc>
          <w:tcPr>
            <w:tcW w:w="876" w:type="dxa"/>
            <w:tcBorders>
              <w:top w:val="nil"/>
              <w:left w:val="nil"/>
              <w:bottom w:val="nil"/>
              <w:right w:val="nil"/>
            </w:tcBorders>
            <w:shd w:val="clear" w:color="000000" w:fill="FFFFFF"/>
            <w:noWrap/>
            <w:vAlign w:val="center"/>
            <w:hideMark/>
          </w:tcPr>
          <w:p w14:paraId="1F8C17BB"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1.559</w:t>
            </w:r>
          </w:p>
        </w:tc>
        <w:tc>
          <w:tcPr>
            <w:tcW w:w="699" w:type="dxa"/>
            <w:tcBorders>
              <w:top w:val="nil"/>
              <w:left w:val="nil"/>
              <w:bottom w:val="nil"/>
              <w:right w:val="nil"/>
            </w:tcBorders>
            <w:shd w:val="clear" w:color="000000" w:fill="FFFFFF"/>
            <w:noWrap/>
            <w:vAlign w:val="center"/>
            <w:hideMark/>
          </w:tcPr>
          <w:p w14:paraId="5C77141C"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1.539</w:t>
            </w:r>
          </w:p>
        </w:tc>
        <w:tc>
          <w:tcPr>
            <w:tcW w:w="612" w:type="dxa"/>
            <w:tcBorders>
              <w:top w:val="nil"/>
              <w:left w:val="nil"/>
              <w:bottom w:val="nil"/>
              <w:right w:val="nil"/>
            </w:tcBorders>
            <w:shd w:val="clear" w:color="000000" w:fill="FFFFFF"/>
            <w:noWrap/>
            <w:vAlign w:val="center"/>
            <w:hideMark/>
          </w:tcPr>
          <w:p w14:paraId="5F4B5255"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1.597</w:t>
            </w:r>
          </w:p>
        </w:tc>
        <w:tc>
          <w:tcPr>
            <w:tcW w:w="660" w:type="dxa"/>
            <w:tcBorders>
              <w:top w:val="nil"/>
              <w:left w:val="nil"/>
              <w:bottom w:val="nil"/>
              <w:right w:val="nil"/>
            </w:tcBorders>
            <w:shd w:val="clear" w:color="000000" w:fill="FFFFFF"/>
            <w:noWrap/>
            <w:vAlign w:val="center"/>
            <w:hideMark/>
          </w:tcPr>
          <w:p w14:paraId="67A270C0"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1.570</w:t>
            </w:r>
          </w:p>
        </w:tc>
      </w:tr>
      <w:tr w:rsidR="00FD7592" w:rsidRPr="001B41AD" w14:paraId="0935720C" w14:textId="77777777" w:rsidTr="005D4FD9">
        <w:trPr>
          <w:trHeight w:val="20"/>
        </w:trPr>
        <w:tc>
          <w:tcPr>
            <w:tcW w:w="1490" w:type="dxa"/>
            <w:tcBorders>
              <w:top w:val="nil"/>
              <w:left w:val="nil"/>
              <w:bottom w:val="single" w:sz="4" w:space="0" w:color="002060"/>
              <w:right w:val="nil"/>
            </w:tcBorders>
            <w:shd w:val="clear" w:color="000000" w:fill="FFFFFF"/>
            <w:noWrap/>
            <w:vAlign w:val="center"/>
            <w:hideMark/>
          </w:tcPr>
          <w:p w14:paraId="05DED9F3" w14:textId="77777777" w:rsidR="00FD7592" w:rsidRPr="001B41AD" w:rsidRDefault="00FD7592" w:rsidP="005D4FD9">
            <w:pPr>
              <w:spacing w:after="0" w:line="240" w:lineRule="auto"/>
              <w:jc w:val="left"/>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Кредитне обавезе</w:t>
            </w:r>
          </w:p>
        </w:tc>
        <w:tc>
          <w:tcPr>
            <w:tcW w:w="876" w:type="dxa"/>
            <w:tcBorders>
              <w:top w:val="nil"/>
              <w:left w:val="nil"/>
              <w:bottom w:val="single" w:sz="4" w:space="0" w:color="002060"/>
              <w:right w:val="nil"/>
            </w:tcBorders>
            <w:shd w:val="clear" w:color="000000" w:fill="FFFFFF"/>
            <w:noWrap/>
            <w:vAlign w:val="center"/>
            <w:hideMark/>
          </w:tcPr>
          <w:p w14:paraId="515BEA96"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650</w:t>
            </w:r>
          </w:p>
        </w:tc>
        <w:tc>
          <w:tcPr>
            <w:tcW w:w="699" w:type="dxa"/>
            <w:tcBorders>
              <w:top w:val="nil"/>
              <w:left w:val="nil"/>
              <w:bottom w:val="single" w:sz="4" w:space="0" w:color="002060"/>
              <w:right w:val="nil"/>
            </w:tcBorders>
            <w:shd w:val="clear" w:color="000000" w:fill="FFFFFF"/>
            <w:noWrap/>
            <w:vAlign w:val="center"/>
            <w:hideMark/>
          </w:tcPr>
          <w:p w14:paraId="4E4355E2"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596</w:t>
            </w:r>
          </w:p>
        </w:tc>
        <w:tc>
          <w:tcPr>
            <w:tcW w:w="612" w:type="dxa"/>
            <w:tcBorders>
              <w:top w:val="nil"/>
              <w:left w:val="nil"/>
              <w:bottom w:val="single" w:sz="4" w:space="0" w:color="002060"/>
              <w:right w:val="nil"/>
            </w:tcBorders>
            <w:shd w:val="clear" w:color="000000" w:fill="FFFFFF"/>
            <w:noWrap/>
            <w:vAlign w:val="center"/>
            <w:hideMark/>
          </w:tcPr>
          <w:p w14:paraId="08428D55"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592</w:t>
            </w:r>
          </w:p>
        </w:tc>
        <w:tc>
          <w:tcPr>
            <w:tcW w:w="660" w:type="dxa"/>
            <w:tcBorders>
              <w:top w:val="nil"/>
              <w:left w:val="nil"/>
              <w:bottom w:val="single" w:sz="4" w:space="0" w:color="002060"/>
              <w:right w:val="nil"/>
            </w:tcBorders>
            <w:shd w:val="clear" w:color="000000" w:fill="FFFFFF"/>
            <w:noWrap/>
            <w:vAlign w:val="center"/>
            <w:hideMark/>
          </w:tcPr>
          <w:p w14:paraId="7C349B44" w14:textId="77777777" w:rsidR="00FD7592" w:rsidRPr="001B41AD" w:rsidRDefault="00FD7592" w:rsidP="005D4FD9">
            <w:pPr>
              <w:spacing w:after="0" w:line="240" w:lineRule="auto"/>
              <w:jc w:val="center"/>
              <w:rPr>
                <w:rFonts w:ascii="Calibri" w:eastAsia="Times New Roman" w:hAnsi="Calibri" w:cs="Calibri"/>
                <w:color w:val="002060"/>
                <w:sz w:val="16"/>
                <w:szCs w:val="16"/>
                <w:lang w:val="sr-Cyrl-CS"/>
              </w:rPr>
            </w:pPr>
            <w:r w:rsidRPr="001B41AD">
              <w:rPr>
                <w:rFonts w:ascii="Calibri" w:eastAsia="Times New Roman" w:hAnsi="Calibri" w:cs="Calibri"/>
                <w:color w:val="002060"/>
                <w:sz w:val="16"/>
                <w:szCs w:val="16"/>
                <w:lang w:val="sr-Cyrl-CS"/>
              </w:rPr>
              <w:t>578</w:t>
            </w:r>
          </w:p>
        </w:tc>
      </w:tr>
    </w:tbl>
    <w:p w14:paraId="6264F107" w14:textId="77777777" w:rsidR="00FD7592" w:rsidRPr="001B41AD" w:rsidRDefault="00FD7592" w:rsidP="005D4FD9">
      <w:pPr>
        <w:spacing w:after="120" w:line="240" w:lineRule="auto"/>
        <w:rPr>
          <w:rFonts w:ascii="Calibri" w:eastAsia="MS PGothic" w:hAnsi="Calibri" w:cs="Calibri"/>
          <w:color w:val="44546A"/>
          <w:sz w:val="16"/>
          <w:szCs w:val="16"/>
          <w:lang w:val="sr-Cyrl-CS" w:eastAsia="ja-JP"/>
        </w:rPr>
      </w:pPr>
      <w:r w:rsidRPr="001B41AD">
        <w:rPr>
          <w:rFonts w:ascii="Calibri" w:eastAsia="MS PGothic" w:hAnsi="Calibri" w:cs="Calibri"/>
          <w:color w:val="44546A"/>
          <w:sz w:val="16"/>
          <w:szCs w:val="16"/>
          <w:lang w:val="sr-Cyrl-CS" w:eastAsia="ja-JP"/>
        </w:rPr>
        <w:t>Извор: Финансијски извештаји (АПР) и квартални извештај за 2025. годину</w:t>
      </w:r>
    </w:p>
    <w:p w14:paraId="557F7BFF" w14:textId="77777777" w:rsidR="00FD7592" w:rsidRPr="001B41AD" w:rsidRDefault="00FD7592" w:rsidP="00FD7592">
      <w:pPr>
        <w:rPr>
          <w:rFonts w:eastAsia="MS PGothic" w:cstheme="minorHAnsi"/>
          <w:b/>
          <w:bCs/>
          <w:color w:val="002060"/>
          <w:szCs w:val="20"/>
          <w:lang w:val="sr-Cyrl-CS" w:eastAsia="ja-JP"/>
        </w:rPr>
        <w:sectPr w:rsidR="00FD7592" w:rsidRPr="001B41AD" w:rsidSect="00405489">
          <w:type w:val="continuous"/>
          <w:pgSz w:w="12240" w:h="15840"/>
          <w:pgMar w:top="1440" w:right="1440" w:bottom="1440" w:left="1440" w:header="720" w:footer="720" w:gutter="0"/>
          <w:cols w:num="2" w:space="720"/>
          <w:docGrid w:linePitch="360"/>
        </w:sectPr>
      </w:pPr>
      <w:r w:rsidRPr="001B41AD">
        <w:rPr>
          <w:rFonts w:eastAsia="MS PGothic" w:cstheme="minorHAnsi"/>
          <w:szCs w:val="20"/>
          <w:lang w:val="sr-Cyrl-CS" w:eastAsia="ja-JP"/>
        </w:rPr>
        <w:t>Укупан нето резултат утврђен у другом кварталу 2025. године је добитак у износу од 18,9 млрд динара. Резултат текуће године је прецењен за трошкове амортизације ЈП „Путеви Србије”, јер предузеће ове трошкове књижи тек на крају године у целокупном износу за дату годину.</w:t>
      </w:r>
    </w:p>
    <w:p w14:paraId="4B2B1572" w14:textId="77777777" w:rsidR="00E32355" w:rsidRPr="001B41AD" w:rsidRDefault="00E32355" w:rsidP="00FD7592">
      <w:pPr>
        <w:spacing w:after="120"/>
        <w:jc w:val="center"/>
        <w:rPr>
          <w:rFonts w:eastAsia="MS PGothic" w:cstheme="minorHAnsi"/>
          <w:b/>
          <w:color w:val="002060"/>
          <w:szCs w:val="20"/>
          <w:lang w:val="sr-Cyrl-CS" w:eastAsia="ja-JP"/>
        </w:rPr>
      </w:pPr>
    </w:p>
    <w:p w14:paraId="16C4D967" w14:textId="7A5933F4" w:rsidR="00FD7592" w:rsidRPr="001B41AD" w:rsidRDefault="00FD7592" w:rsidP="00FD7592">
      <w:pPr>
        <w:spacing w:after="12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Табела 1</w:t>
      </w:r>
      <w:r w:rsidR="00BE37B4" w:rsidRPr="001B41AD">
        <w:rPr>
          <w:rFonts w:eastAsia="MS PGothic" w:cstheme="minorHAnsi"/>
          <w:b/>
          <w:color w:val="002060"/>
          <w:szCs w:val="20"/>
          <w:lang w:val="sr-Cyrl-CS" w:eastAsia="ja-JP"/>
        </w:rPr>
        <w:t>8</w:t>
      </w:r>
      <w:r w:rsidRPr="001B41AD">
        <w:rPr>
          <w:rFonts w:eastAsia="MS PGothic" w:cstheme="minorHAnsi"/>
          <w:b/>
          <w:color w:val="002060"/>
          <w:szCs w:val="20"/>
          <w:lang w:val="sr-Cyrl-CS" w:eastAsia="ja-JP"/>
        </w:rPr>
        <w:t xml:space="preserve">. Основни показатељи пословања државних предузећа на дан 30.06.2025. године, </w:t>
      </w:r>
      <w:r w:rsidRPr="001B41AD">
        <w:rPr>
          <w:rFonts w:eastAsia="MS PGothic" w:cstheme="minorHAnsi"/>
          <w:b/>
          <w:color w:val="002060"/>
          <w:szCs w:val="20"/>
          <w:lang w:val="sr-Cyrl-CS" w:eastAsia="ja-JP"/>
        </w:rPr>
        <w:br w:type="textWrapping" w:clear="all"/>
        <w:t>у млрд динара</w:t>
      </w:r>
    </w:p>
    <w:tbl>
      <w:tblPr>
        <w:tblW w:w="9321" w:type="dxa"/>
        <w:tblLook w:val="04A0" w:firstRow="1" w:lastRow="0" w:firstColumn="1" w:lastColumn="0" w:noHBand="0" w:noVBand="1"/>
      </w:tblPr>
      <w:tblGrid>
        <w:gridCol w:w="4696"/>
        <w:gridCol w:w="1122"/>
        <w:gridCol w:w="1145"/>
        <w:gridCol w:w="1145"/>
        <w:gridCol w:w="1213"/>
      </w:tblGrid>
      <w:tr w:rsidR="00FD7592" w:rsidRPr="001B41AD" w14:paraId="4D0D708C" w14:textId="77777777" w:rsidTr="005D4FD9">
        <w:trPr>
          <w:trHeight w:val="20"/>
        </w:trPr>
        <w:tc>
          <w:tcPr>
            <w:tcW w:w="4696" w:type="dxa"/>
            <w:tcBorders>
              <w:top w:val="single" w:sz="4" w:space="0" w:color="002060"/>
              <w:left w:val="nil"/>
              <w:bottom w:val="single" w:sz="4" w:space="0" w:color="002060"/>
              <w:right w:val="nil"/>
            </w:tcBorders>
            <w:noWrap/>
            <w:vAlign w:val="center"/>
            <w:hideMark/>
          </w:tcPr>
          <w:p w14:paraId="18D51040"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Опис</w:t>
            </w:r>
          </w:p>
        </w:tc>
        <w:tc>
          <w:tcPr>
            <w:tcW w:w="1122" w:type="dxa"/>
            <w:tcBorders>
              <w:top w:val="single" w:sz="4" w:space="0" w:color="002060"/>
              <w:left w:val="nil"/>
              <w:bottom w:val="single" w:sz="4" w:space="0" w:color="002060"/>
              <w:right w:val="nil"/>
            </w:tcBorders>
            <w:noWrap/>
            <w:vAlign w:val="center"/>
            <w:hideMark/>
          </w:tcPr>
          <w:p w14:paraId="40DD13D5"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2022</w:t>
            </w:r>
          </w:p>
        </w:tc>
        <w:tc>
          <w:tcPr>
            <w:tcW w:w="1145" w:type="dxa"/>
            <w:tcBorders>
              <w:top w:val="single" w:sz="4" w:space="0" w:color="002060"/>
              <w:left w:val="nil"/>
              <w:bottom w:val="single" w:sz="4" w:space="0" w:color="002060"/>
              <w:right w:val="nil"/>
            </w:tcBorders>
            <w:noWrap/>
            <w:vAlign w:val="center"/>
            <w:hideMark/>
          </w:tcPr>
          <w:p w14:paraId="7C4EAF23"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2023</w:t>
            </w:r>
          </w:p>
        </w:tc>
        <w:tc>
          <w:tcPr>
            <w:tcW w:w="1145" w:type="dxa"/>
            <w:tcBorders>
              <w:top w:val="single" w:sz="4" w:space="0" w:color="002060"/>
              <w:left w:val="nil"/>
              <w:bottom w:val="single" w:sz="4" w:space="0" w:color="002060"/>
              <w:right w:val="nil"/>
            </w:tcBorders>
            <w:noWrap/>
            <w:vAlign w:val="center"/>
            <w:hideMark/>
          </w:tcPr>
          <w:p w14:paraId="71A1CCF8"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2024</w:t>
            </w:r>
          </w:p>
        </w:tc>
        <w:tc>
          <w:tcPr>
            <w:tcW w:w="1213" w:type="dxa"/>
            <w:tcBorders>
              <w:top w:val="single" w:sz="4" w:space="0" w:color="002060"/>
              <w:left w:val="nil"/>
              <w:bottom w:val="single" w:sz="4" w:space="0" w:color="002060"/>
              <w:right w:val="nil"/>
            </w:tcBorders>
            <w:noWrap/>
            <w:vAlign w:val="center"/>
            <w:hideMark/>
          </w:tcPr>
          <w:p w14:paraId="67413EA7"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Q2 2025</w:t>
            </w:r>
          </w:p>
        </w:tc>
      </w:tr>
      <w:tr w:rsidR="00FD7592" w:rsidRPr="001B41AD" w14:paraId="385F136C" w14:textId="77777777" w:rsidTr="005D4FD9">
        <w:trPr>
          <w:trHeight w:val="20"/>
        </w:trPr>
        <w:tc>
          <w:tcPr>
            <w:tcW w:w="4696" w:type="dxa"/>
            <w:tcBorders>
              <w:top w:val="nil"/>
              <w:left w:val="nil"/>
              <w:bottom w:val="nil"/>
              <w:right w:val="nil"/>
            </w:tcBorders>
            <w:shd w:val="clear" w:color="000000" w:fill="FFFFFF"/>
            <w:noWrap/>
            <w:vAlign w:val="center"/>
            <w:hideMark/>
          </w:tcPr>
          <w:p w14:paraId="17A38992"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Пословни приходи</w:t>
            </w:r>
          </w:p>
        </w:tc>
        <w:tc>
          <w:tcPr>
            <w:tcW w:w="1122" w:type="dxa"/>
            <w:tcBorders>
              <w:top w:val="nil"/>
              <w:left w:val="nil"/>
              <w:bottom w:val="nil"/>
              <w:right w:val="nil"/>
            </w:tcBorders>
            <w:shd w:val="clear" w:color="000000" w:fill="FFFFFF"/>
            <w:noWrap/>
            <w:vAlign w:val="center"/>
            <w:hideMark/>
          </w:tcPr>
          <w:p w14:paraId="77E1704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905,2 </w:t>
            </w:r>
          </w:p>
        </w:tc>
        <w:tc>
          <w:tcPr>
            <w:tcW w:w="1145" w:type="dxa"/>
            <w:tcBorders>
              <w:top w:val="nil"/>
              <w:left w:val="nil"/>
              <w:bottom w:val="nil"/>
              <w:right w:val="nil"/>
            </w:tcBorders>
            <w:shd w:val="clear" w:color="000000" w:fill="FFFFFF"/>
            <w:noWrap/>
            <w:vAlign w:val="center"/>
            <w:hideMark/>
          </w:tcPr>
          <w:p w14:paraId="1E9DC75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1.018,5 </w:t>
            </w:r>
          </w:p>
        </w:tc>
        <w:tc>
          <w:tcPr>
            <w:tcW w:w="1145" w:type="dxa"/>
            <w:tcBorders>
              <w:top w:val="nil"/>
              <w:left w:val="nil"/>
              <w:bottom w:val="nil"/>
              <w:right w:val="nil"/>
            </w:tcBorders>
            <w:shd w:val="clear" w:color="000000" w:fill="FFFFFF"/>
            <w:noWrap/>
            <w:vAlign w:val="center"/>
            <w:hideMark/>
          </w:tcPr>
          <w:p w14:paraId="25F4086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971,9 </w:t>
            </w:r>
          </w:p>
        </w:tc>
        <w:tc>
          <w:tcPr>
            <w:tcW w:w="1213" w:type="dxa"/>
            <w:tcBorders>
              <w:top w:val="nil"/>
              <w:left w:val="nil"/>
              <w:bottom w:val="nil"/>
              <w:right w:val="nil"/>
            </w:tcBorders>
            <w:shd w:val="clear" w:color="000000" w:fill="FFFFFF"/>
            <w:noWrap/>
            <w:vAlign w:val="center"/>
            <w:hideMark/>
          </w:tcPr>
          <w:p w14:paraId="1DF4189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478,5 </w:t>
            </w:r>
          </w:p>
        </w:tc>
      </w:tr>
      <w:tr w:rsidR="00FD7592" w:rsidRPr="001B41AD" w14:paraId="301CCB71" w14:textId="77777777" w:rsidTr="005D4FD9">
        <w:trPr>
          <w:trHeight w:val="20"/>
        </w:trPr>
        <w:tc>
          <w:tcPr>
            <w:tcW w:w="4696" w:type="dxa"/>
            <w:tcBorders>
              <w:top w:val="nil"/>
              <w:left w:val="nil"/>
              <w:bottom w:val="nil"/>
              <w:right w:val="nil"/>
            </w:tcBorders>
            <w:shd w:val="clear" w:color="000000" w:fill="FFFFFF"/>
            <w:noWrap/>
            <w:vAlign w:val="center"/>
            <w:hideMark/>
          </w:tcPr>
          <w:p w14:paraId="3278D82C"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Пословни расходи</w:t>
            </w:r>
          </w:p>
        </w:tc>
        <w:tc>
          <w:tcPr>
            <w:tcW w:w="1122" w:type="dxa"/>
            <w:tcBorders>
              <w:top w:val="nil"/>
              <w:left w:val="nil"/>
              <w:bottom w:val="nil"/>
              <w:right w:val="nil"/>
            </w:tcBorders>
            <w:shd w:val="clear" w:color="000000" w:fill="FFFFFF"/>
            <w:noWrap/>
            <w:vAlign w:val="center"/>
            <w:hideMark/>
          </w:tcPr>
          <w:p w14:paraId="6109E3D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950,9 </w:t>
            </w:r>
          </w:p>
        </w:tc>
        <w:tc>
          <w:tcPr>
            <w:tcW w:w="1145" w:type="dxa"/>
            <w:tcBorders>
              <w:top w:val="nil"/>
              <w:left w:val="nil"/>
              <w:bottom w:val="nil"/>
              <w:right w:val="nil"/>
            </w:tcBorders>
            <w:shd w:val="clear" w:color="000000" w:fill="FFFFFF"/>
            <w:noWrap/>
            <w:vAlign w:val="center"/>
            <w:hideMark/>
          </w:tcPr>
          <w:p w14:paraId="53761FA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871,0 </w:t>
            </w:r>
          </w:p>
        </w:tc>
        <w:tc>
          <w:tcPr>
            <w:tcW w:w="1145" w:type="dxa"/>
            <w:tcBorders>
              <w:top w:val="nil"/>
              <w:left w:val="nil"/>
              <w:bottom w:val="nil"/>
              <w:right w:val="nil"/>
            </w:tcBorders>
            <w:shd w:val="clear" w:color="000000" w:fill="FFFFFF"/>
            <w:noWrap/>
            <w:vAlign w:val="center"/>
            <w:hideMark/>
          </w:tcPr>
          <w:p w14:paraId="75A9D34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920,8 </w:t>
            </w:r>
          </w:p>
        </w:tc>
        <w:tc>
          <w:tcPr>
            <w:tcW w:w="1213" w:type="dxa"/>
            <w:tcBorders>
              <w:top w:val="nil"/>
              <w:left w:val="nil"/>
              <w:bottom w:val="nil"/>
              <w:right w:val="nil"/>
            </w:tcBorders>
            <w:shd w:val="clear" w:color="000000" w:fill="FFFFFF"/>
            <w:noWrap/>
            <w:vAlign w:val="center"/>
            <w:hideMark/>
          </w:tcPr>
          <w:p w14:paraId="0F1B948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453,8 </w:t>
            </w:r>
          </w:p>
        </w:tc>
      </w:tr>
      <w:tr w:rsidR="00FD7592" w:rsidRPr="001B41AD" w14:paraId="7CE3AAE3" w14:textId="77777777" w:rsidTr="005D4FD9">
        <w:trPr>
          <w:trHeight w:val="20"/>
        </w:trPr>
        <w:tc>
          <w:tcPr>
            <w:tcW w:w="4696" w:type="dxa"/>
            <w:tcBorders>
              <w:top w:val="nil"/>
              <w:left w:val="nil"/>
              <w:bottom w:val="nil"/>
              <w:right w:val="nil"/>
            </w:tcBorders>
            <w:shd w:val="clear" w:color="000000" w:fill="FFFFFF"/>
            <w:noWrap/>
            <w:vAlign w:val="center"/>
            <w:hideMark/>
          </w:tcPr>
          <w:p w14:paraId="5BB578D4"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    Трошкови зарада*</w:t>
            </w:r>
          </w:p>
        </w:tc>
        <w:tc>
          <w:tcPr>
            <w:tcW w:w="1122" w:type="dxa"/>
            <w:tcBorders>
              <w:top w:val="nil"/>
              <w:left w:val="nil"/>
              <w:bottom w:val="nil"/>
              <w:right w:val="nil"/>
            </w:tcBorders>
            <w:shd w:val="clear" w:color="000000" w:fill="FFFFFF"/>
            <w:noWrap/>
            <w:vAlign w:val="center"/>
            <w:hideMark/>
          </w:tcPr>
          <w:p w14:paraId="5BE9417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118,5 </w:t>
            </w:r>
          </w:p>
        </w:tc>
        <w:tc>
          <w:tcPr>
            <w:tcW w:w="1145" w:type="dxa"/>
            <w:tcBorders>
              <w:top w:val="nil"/>
              <w:left w:val="nil"/>
              <w:bottom w:val="nil"/>
              <w:right w:val="nil"/>
            </w:tcBorders>
            <w:shd w:val="clear" w:color="000000" w:fill="FFFFFF"/>
            <w:noWrap/>
            <w:vAlign w:val="center"/>
            <w:hideMark/>
          </w:tcPr>
          <w:p w14:paraId="1E826ED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128,1 </w:t>
            </w:r>
          </w:p>
        </w:tc>
        <w:tc>
          <w:tcPr>
            <w:tcW w:w="1145" w:type="dxa"/>
            <w:tcBorders>
              <w:top w:val="nil"/>
              <w:left w:val="nil"/>
              <w:bottom w:val="nil"/>
              <w:right w:val="nil"/>
            </w:tcBorders>
            <w:shd w:val="clear" w:color="000000" w:fill="FFFFFF"/>
            <w:noWrap/>
            <w:vAlign w:val="center"/>
            <w:hideMark/>
          </w:tcPr>
          <w:p w14:paraId="0CE40A4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140,0 </w:t>
            </w:r>
          </w:p>
        </w:tc>
        <w:tc>
          <w:tcPr>
            <w:tcW w:w="1213" w:type="dxa"/>
            <w:tcBorders>
              <w:top w:val="nil"/>
              <w:left w:val="nil"/>
              <w:bottom w:val="nil"/>
              <w:right w:val="nil"/>
            </w:tcBorders>
            <w:shd w:val="clear" w:color="000000" w:fill="FFFFFF"/>
            <w:noWrap/>
            <w:vAlign w:val="center"/>
            <w:hideMark/>
          </w:tcPr>
          <w:p w14:paraId="236BE2A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73,9 </w:t>
            </w:r>
          </w:p>
        </w:tc>
      </w:tr>
      <w:tr w:rsidR="00FD7592" w:rsidRPr="001B41AD" w14:paraId="286FBE30" w14:textId="77777777" w:rsidTr="005D4FD9">
        <w:trPr>
          <w:trHeight w:val="20"/>
        </w:trPr>
        <w:tc>
          <w:tcPr>
            <w:tcW w:w="4696" w:type="dxa"/>
            <w:tcBorders>
              <w:top w:val="nil"/>
              <w:left w:val="nil"/>
              <w:bottom w:val="nil"/>
              <w:right w:val="nil"/>
            </w:tcBorders>
            <w:shd w:val="clear" w:color="000000" w:fill="FFFFFF"/>
            <w:noWrap/>
            <w:vAlign w:val="center"/>
            <w:hideMark/>
          </w:tcPr>
          <w:p w14:paraId="451FAE77"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ЕБИТ (пословни резултат)</w:t>
            </w:r>
          </w:p>
        </w:tc>
        <w:tc>
          <w:tcPr>
            <w:tcW w:w="1122" w:type="dxa"/>
            <w:tcBorders>
              <w:top w:val="nil"/>
              <w:left w:val="nil"/>
              <w:bottom w:val="nil"/>
              <w:right w:val="nil"/>
            </w:tcBorders>
            <w:shd w:val="clear" w:color="000000" w:fill="FFFFFF"/>
            <w:noWrap/>
            <w:vAlign w:val="center"/>
            <w:hideMark/>
          </w:tcPr>
          <w:p w14:paraId="6B74E99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(45,7)</w:t>
            </w:r>
          </w:p>
        </w:tc>
        <w:tc>
          <w:tcPr>
            <w:tcW w:w="1145" w:type="dxa"/>
            <w:tcBorders>
              <w:top w:val="nil"/>
              <w:left w:val="nil"/>
              <w:bottom w:val="nil"/>
              <w:right w:val="nil"/>
            </w:tcBorders>
            <w:shd w:val="clear" w:color="000000" w:fill="FFFFFF"/>
            <w:noWrap/>
            <w:vAlign w:val="center"/>
            <w:hideMark/>
          </w:tcPr>
          <w:p w14:paraId="7F312D7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147,4 </w:t>
            </w:r>
          </w:p>
        </w:tc>
        <w:tc>
          <w:tcPr>
            <w:tcW w:w="1145" w:type="dxa"/>
            <w:tcBorders>
              <w:top w:val="nil"/>
              <w:left w:val="nil"/>
              <w:bottom w:val="nil"/>
              <w:right w:val="nil"/>
            </w:tcBorders>
            <w:shd w:val="clear" w:color="000000" w:fill="FFFFFF"/>
            <w:noWrap/>
            <w:vAlign w:val="center"/>
            <w:hideMark/>
          </w:tcPr>
          <w:p w14:paraId="1CA9839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51,7 </w:t>
            </w:r>
          </w:p>
        </w:tc>
        <w:tc>
          <w:tcPr>
            <w:tcW w:w="1213" w:type="dxa"/>
            <w:tcBorders>
              <w:top w:val="nil"/>
              <w:left w:val="nil"/>
              <w:bottom w:val="nil"/>
              <w:right w:val="nil"/>
            </w:tcBorders>
            <w:shd w:val="clear" w:color="000000" w:fill="FFFFFF"/>
            <w:noWrap/>
            <w:vAlign w:val="center"/>
            <w:hideMark/>
          </w:tcPr>
          <w:p w14:paraId="2E2A50E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24,8 </w:t>
            </w:r>
          </w:p>
        </w:tc>
      </w:tr>
      <w:tr w:rsidR="00FD7592" w:rsidRPr="001B41AD" w14:paraId="7187AA1B" w14:textId="77777777" w:rsidTr="005D4FD9">
        <w:trPr>
          <w:trHeight w:val="20"/>
        </w:trPr>
        <w:tc>
          <w:tcPr>
            <w:tcW w:w="4696" w:type="dxa"/>
            <w:tcBorders>
              <w:top w:val="nil"/>
              <w:left w:val="nil"/>
              <w:bottom w:val="nil"/>
              <w:right w:val="nil"/>
            </w:tcBorders>
            <w:shd w:val="clear" w:color="000000" w:fill="FFFFFF"/>
            <w:noWrap/>
            <w:vAlign w:val="center"/>
            <w:hideMark/>
          </w:tcPr>
          <w:p w14:paraId="61DFF759"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Укупни приходи</w:t>
            </w:r>
          </w:p>
        </w:tc>
        <w:tc>
          <w:tcPr>
            <w:tcW w:w="1122" w:type="dxa"/>
            <w:tcBorders>
              <w:top w:val="nil"/>
              <w:left w:val="nil"/>
              <w:bottom w:val="nil"/>
              <w:right w:val="nil"/>
            </w:tcBorders>
            <w:shd w:val="clear" w:color="000000" w:fill="FFFFFF"/>
            <w:noWrap/>
            <w:vAlign w:val="center"/>
            <w:hideMark/>
          </w:tcPr>
          <w:p w14:paraId="68210F3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937,7 </w:t>
            </w:r>
          </w:p>
        </w:tc>
        <w:tc>
          <w:tcPr>
            <w:tcW w:w="1145" w:type="dxa"/>
            <w:tcBorders>
              <w:top w:val="nil"/>
              <w:left w:val="nil"/>
              <w:bottom w:val="nil"/>
              <w:right w:val="nil"/>
            </w:tcBorders>
            <w:shd w:val="clear" w:color="000000" w:fill="FFFFFF"/>
            <w:noWrap/>
            <w:vAlign w:val="center"/>
            <w:hideMark/>
          </w:tcPr>
          <w:p w14:paraId="57516A7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1.057,4 </w:t>
            </w:r>
          </w:p>
        </w:tc>
        <w:tc>
          <w:tcPr>
            <w:tcW w:w="1145" w:type="dxa"/>
            <w:tcBorders>
              <w:top w:val="nil"/>
              <w:left w:val="nil"/>
              <w:bottom w:val="nil"/>
              <w:right w:val="nil"/>
            </w:tcBorders>
            <w:shd w:val="clear" w:color="000000" w:fill="FFFFFF"/>
            <w:noWrap/>
            <w:vAlign w:val="center"/>
            <w:hideMark/>
          </w:tcPr>
          <w:p w14:paraId="696DA3D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1.007,8 </w:t>
            </w:r>
          </w:p>
        </w:tc>
        <w:tc>
          <w:tcPr>
            <w:tcW w:w="1213" w:type="dxa"/>
            <w:tcBorders>
              <w:top w:val="nil"/>
              <w:left w:val="nil"/>
              <w:bottom w:val="nil"/>
              <w:right w:val="nil"/>
            </w:tcBorders>
            <w:shd w:val="clear" w:color="000000" w:fill="FFFFFF"/>
            <w:noWrap/>
            <w:vAlign w:val="center"/>
            <w:hideMark/>
          </w:tcPr>
          <w:p w14:paraId="2E32E4F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503,2 </w:t>
            </w:r>
          </w:p>
        </w:tc>
      </w:tr>
      <w:tr w:rsidR="00FD7592" w:rsidRPr="001B41AD" w14:paraId="18E5E77D" w14:textId="77777777" w:rsidTr="005D4FD9">
        <w:trPr>
          <w:trHeight w:val="20"/>
        </w:trPr>
        <w:tc>
          <w:tcPr>
            <w:tcW w:w="4696" w:type="dxa"/>
            <w:tcBorders>
              <w:top w:val="nil"/>
              <w:left w:val="nil"/>
              <w:bottom w:val="nil"/>
              <w:right w:val="nil"/>
            </w:tcBorders>
            <w:shd w:val="clear" w:color="000000" w:fill="FFFFFF"/>
            <w:noWrap/>
            <w:vAlign w:val="center"/>
            <w:hideMark/>
          </w:tcPr>
          <w:p w14:paraId="7C95B2BC"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Укупни расходи</w:t>
            </w:r>
          </w:p>
        </w:tc>
        <w:tc>
          <w:tcPr>
            <w:tcW w:w="1122" w:type="dxa"/>
            <w:tcBorders>
              <w:top w:val="nil"/>
              <w:left w:val="nil"/>
              <w:bottom w:val="nil"/>
              <w:right w:val="nil"/>
            </w:tcBorders>
            <w:shd w:val="clear" w:color="000000" w:fill="FFFFFF"/>
            <w:noWrap/>
            <w:vAlign w:val="center"/>
            <w:hideMark/>
          </w:tcPr>
          <w:p w14:paraId="15F6C9E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1.006,0 </w:t>
            </w:r>
          </w:p>
        </w:tc>
        <w:tc>
          <w:tcPr>
            <w:tcW w:w="1145" w:type="dxa"/>
            <w:tcBorders>
              <w:top w:val="nil"/>
              <w:left w:val="nil"/>
              <w:bottom w:val="nil"/>
              <w:right w:val="nil"/>
            </w:tcBorders>
            <w:shd w:val="clear" w:color="000000" w:fill="FFFFFF"/>
            <w:noWrap/>
            <w:vAlign w:val="center"/>
            <w:hideMark/>
          </w:tcPr>
          <w:p w14:paraId="37ACD3F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924,7 </w:t>
            </w:r>
          </w:p>
        </w:tc>
        <w:tc>
          <w:tcPr>
            <w:tcW w:w="1145" w:type="dxa"/>
            <w:tcBorders>
              <w:top w:val="nil"/>
              <w:left w:val="nil"/>
              <w:bottom w:val="nil"/>
              <w:right w:val="nil"/>
            </w:tcBorders>
            <w:shd w:val="clear" w:color="000000" w:fill="FFFFFF"/>
            <w:noWrap/>
            <w:vAlign w:val="center"/>
            <w:hideMark/>
          </w:tcPr>
          <w:p w14:paraId="7C4CD99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982,0 </w:t>
            </w:r>
          </w:p>
        </w:tc>
        <w:tc>
          <w:tcPr>
            <w:tcW w:w="1213" w:type="dxa"/>
            <w:tcBorders>
              <w:top w:val="nil"/>
              <w:left w:val="nil"/>
              <w:bottom w:val="nil"/>
              <w:right w:val="nil"/>
            </w:tcBorders>
            <w:shd w:val="clear" w:color="000000" w:fill="FFFFFF"/>
            <w:noWrap/>
            <w:vAlign w:val="center"/>
            <w:hideMark/>
          </w:tcPr>
          <w:p w14:paraId="2B4533E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477,6 </w:t>
            </w:r>
          </w:p>
        </w:tc>
      </w:tr>
      <w:tr w:rsidR="00FD7592" w:rsidRPr="001B41AD" w14:paraId="6DBAE8EF" w14:textId="77777777" w:rsidTr="005D4FD9">
        <w:trPr>
          <w:trHeight w:val="20"/>
        </w:trPr>
        <w:tc>
          <w:tcPr>
            <w:tcW w:w="4696" w:type="dxa"/>
            <w:tcBorders>
              <w:top w:val="nil"/>
              <w:left w:val="nil"/>
              <w:bottom w:val="nil"/>
              <w:right w:val="nil"/>
            </w:tcBorders>
            <w:shd w:val="clear" w:color="000000" w:fill="FFFFFF"/>
            <w:noWrap/>
            <w:vAlign w:val="center"/>
            <w:hideMark/>
          </w:tcPr>
          <w:p w14:paraId="46EE5876"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Нето резултат</w:t>
            </w:r>
          </w:p>
        </w:tc>
        <w:tc>
          <w:tcPr>
            <w:tcW w:w="1122" w:type="dxa"/>
            <w:tcBorders>
              <w:top w:val="nil"/>
              <w:left w:val="nil"/>
              <w:bottom w:val="nil"/>
              <w:right w:val="nil"/>
            </w:tcBorders>
            <w:shd w:val="clear" w:color="000000" w:fill="FFFFFF"/>
            <w:noWrap/>
            <w:vAlign w:val="center"/>
            <w:hideMark/>
          </w:tcPr>
          <w:p w14:paraId="40C48D9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(68,8)</w:t>
            </w:r>
          </w:p>
        </w:tc>
        <w:tc>
          <w:tcPr>
            <w:tcW w:w="1145" w:type="dxa"/>
            <w:tcBorders>
              <w:top w:val="nil"/>
              <w:left w:val="nil"/>
              <w:bottom w:val="nil"/>
              <w:right w:val="nil"/>
            </w:tcBorders>
            <w:shd w:val="clear" w:color="000000" w:fill="FFFFFF"/>
            <w:noWrap/>
            <w:vAlign w:val="center"/>
            <w:hideMark/>
          </w:tcPr>
          <w:p w14:paraId="4F78DB2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113,7 </w:t>
            </w:r>
          </w:p>
        </w:tc>
        <w:tc>
          <w:tcPr>
            <w:tcW w:w="1145" w:type="dxa"/>
            <w:tcBorders>
              <w:top w:val="nil"/>
              <w:left w:val="nil"/>
              <w:bottom w:val="nil"/>
              <w:right w:val="nil"/>
            </w:tcBorders>
            <w:shd w:val="clear" w:color="000000" w:fill="FFFFFF"/>
            <w:noWrap/>
            <w:vAlign w:val="center"/>
            <w:hideMark/>
          </w:tcPr>
          <w:p w14:paraId="6A7D612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10,9 </w:t>
            </w:r>
          </w:p>
        </w:tc>
        <w:tc>
          <w:tcPr>
            <w:tcW w:w="1213" w:type="dxa"/>
            <w:tcBorders>
              <w:top w:val="nil"/>
              <w:left w:val="nil"/>
              <w:bottom w:val="nil"/>
              <w:right w:val="nil"/>
            </w:tcBorders>
            <w:shd w:val="clear" w:color="000000" w:fill="FFFFFF"/>
            <w:noWrap/>
            <w:vAlign w:val="center"/>
            <w:hideMark/>
          </w:tcPr>
          <w:p w14:paraId="67060A0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18,9 </w:t>
            </w:r>
          </w:p>
        </w:tc>
      </w:tr>
      <w:tr w:rsidR="00FD7592" w:rsidRPr="001B41AD" w14:paraId="022E33A8" w14:textId="77777777" w:rsidTr="005D4FD9">
        <w:trPr>
          <w:trHeight w:val="20"/>
        </w:trPr>
        <w:tc>
          <w:tcPr>
            <w:tcW w:w="4696" w:type="dxa"/>
            <w:tcBorders>
              <w:top w:val="single" w:sz="4" w:space="0" w:color="002060"/>
              <w:left w:val="nil"/>
              <w:bottom w:val="single" w:sz="4" w:space="0" w:color="002060"/>
              <w:right w:val="nil"/>
            </w:tcBorders>
            <w:noWrap/>
            <w:vAlign w:val="center"/>
            <w:hideMark/>
          </w:tcPr>
          <w:p w14:paraId="3686FC7B"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Број ЈП која су остварила добит</w:t>
            </w:r>
          </w:p>
        </w:tc>
        <w:tc>
          <w:tcPr>
            <w:tcW w:w="1122" w:type="dxa"/>
            <w:tcBorders>
              <w:top w:val="single" w:sz="4" w:space="0" w:color="002060"/>
              <w:left w:val="nil"/>
              <w:bottom w:val="single" w:sz="4" w:space="0" w:color="002060"/>
              <w:right w:val="nil"/>
            </w:tcBorders>
            <w:noWrap/>
            <w:vAlign w:val="center"/>
            <w:hideMark/>
          </w:tcPr>
          <w:p w14:paraId="7390C4A3"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25 </w:t>
            </w:r>
          </w:p>
        </w:tc>
        <w:tc>
          <w:tcPr>
            <w:tcW w:w="1145" w:type="dxa"/>
            <w:tcBorders>
              <w:top w:val="single" w:sz="4" w:space="0" w:color="002060"/>
              <w:left w:val="nil"/>
              <w:bottom w:val="single" w:sz="4" w:space="0" w:color="002060"/>
              <w:right w:val="nil"/>
            </w:tcBorders>
            <w:noWrap/>
            <w:vAlign w:val="center"/>
            <w:hideMark/>
          </w:tcPr>
          <w:p w14:paraId="13D485C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28 </w:t>
            </w:r>
          </w:p>
        </w:tc>
        <w:tc>
          <w:tcPr>
            <w:tcW w:w="1145" w:type="dxa"/>
            <w:tcBorders>
              <w:top w:val="single" w:sz="4" w:space="0" w:color="002060"/>
              <w:left w:val="nil"/>
              <w:bottom w:val="single" w:sz="4" w:space="0" w:color="002060"/>
              <w:right w:val="nil"/>
            </w:tcBorders>
            <w:noWrap/>
            <w:vAlign w:val="center"/>
            <w:hideMark/>
          </w:tcPr>
          <w:p w14:paraId="5B1CA76A"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27</w:t>
            </w:r>
          </w:p>
        </w:tc>
        <w:tc>
          <w:tcPr>
            <w:tcW w:w="1213" w:type="dxa"/>
            <w:tcBorders>
              <w:top w:val="single" w:sz="4" w:space="0" w:color="002060"/>
              <w:left w:val="nil"/>
              <w:bottom w:val="single" w:sz="4" w:space="0" w:color="002060"/>
              <w:right w:val="nil"/>
            </w:tcBorders>
            <w:noWrap/>
            <w:vAlign w:val="center"/>
            <w:hideMark/>
          </w:tcPr>
          <w:p w14:paraId="754F66F8"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w:t>
            </w:r>
          </w:p>
        </w:tc>
      </w:tr>
      <w:tr w:rsidR="00FD7592" w:rsidRPr="001B41AD" w14:paraId="0A010308" w14:textId="77777777" w:rsidTr="005D4FD9">
        <w:trPr>
          <w:trHeight w:val="20"/>
        </w:trPr>
        <w:tc>
          <w:tcPr>
            <w:tcW w:w="4696" w:type="dxa"/>
            <w:tcBorders>
              <w:top w:val="nil"/>
              <w:left w:val="nil"/>
              <w:bottom w:val="single" w:sz="4" w:space="0" w:color="002060"/>
              <w:right w:val="nil"/>
            </w:tcBorders>
            <w:noWrap/>
            <w:vAlign w:val="center"/>
            <w:hideMark/>
          </w:tcPr>
          <w:p w14:paraId="41805560"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Број ЈП која су остварила губитак</w:t>
            </w:r>
          </w:p>
        </w:tc>
        <w:tc>
          <w:tcPr>
            <w:tcW w:w="1122" w:type="dxa"/>
            <w:tcBorders>
              <w:top w:val="nil"/>
              <w:left w:val="nil"/>
              <w:bottom w:val="single" w:sz="4" w:space="0" w:color="002060"/>
              <w:right w:val="nil"/>
            </w:tcBorders>
            <w:noWrap/>
            <w:vAlign w:val="center"/>
            <w:hideMark/>
          </w:tcPr>
          <w:p w14:paraId="73581732"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11</w:t>
            </w:r>
          </w:p>
        </w:tc>
        <w:tc>
          <w:tcPr>
            <w:tcW w:w="1145" w:type="dxa"/>
            <w:tcBorders>
              <w:top w:val="nil"/>
              <w:left w:val="nil"/>
              <w:bottom w:val="single" w:sz="4" w:space="0" w:color="002060"/>
              <w:right w:val="nil"/>
            </w:tcBorders>
            <w:noWrap/>
            <w:vAlign w:val="center"/>
            <w:hideMark/>
          </w:tcPr>
          <w:p w14:paraId="157EC969"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8</w:t>
            </w:r>
          </w:p>
        </w:tc>
        <w:tc>
          <w:tcPr>
            <w:tcW w:w="1145" w:type="dxa"/>
            <w:tcBorders>
              <w:top w:val="nil"/>
              <w:left w:val="nil"/>
              <w:bottom w:val="single" w:sz="4" w:space="0" w:color="002060"/>
              <w:right w:val="nil"/>
            </w:tcBorders>
            <w:noWrap/>
            <w:vAlign w:val="center"/>
            <w:hideMark/>
          </w:tcPr>
          <w:p w14:paraId="3C017884"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9</w:t>
            </w:r>
          </w:p>
        </w:tc>
        <w:tc>
          <w:tcPr>
            <w:tcW w:w="1213" w:type="dxa"/>
            <w:tcBorders>
              <w:top w:val="nil"/>
              <w:left w:val="nil"/>
              <w:bottom w:val="single" w:sz="4" w:space="0" w:color="002060"/>
              <w:right w:val="nil"/>
            </w:tcBorders>
            <w:noWrap/>
            <w:vAlign w:val="center"/>
            <w:hideMark/>
          </w:tcPr>
          <w:p w14:paraId="1F7942B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16</w:t>
            </w:r>
          </w:p>
        </w:tc>
      </w:tr>
    </w:tbl>
    <w:p w14:paraId="63DE053F" w14:textId="77777777" w:rsidR="00FD7592" w:rsidRPr="001B41AD" w:rsidRDefault="00FD7592" w:rsidP="00FD7592">
      <w:pPr>
        <w:spacing w:after="0" w:line="276" w:lineRule="auto"/>
        <w:rPr>
          <w:rFonts w:ascii="Calibri" w:eastAsia="MS PGothic" w:hAnsi="Calibri" w:cs="Calibri"/>
          <w:color w:val="44546A"/>
          <w:sz w:val="16"/>
          <w:szCs w:val="16"/>
          <w:lang w:val="sr-Cyrl-CS" w:eastAsia="ja-JP"/>
        </w:rPr>
      </w:pPr>
      <w:r w:rsidRPr="001B41AD">
        <w:rPr>
          <w:rFonts w:ascii="Calibri" w:eastAsia="MS PGothic" w:hAnsi="Calibri" w:cs="Calibri"/>
          <w:color w:val="44546A"/>
          <w:sz w:val="16"/>
          <w:szCs w:val="16"/>
          <w:lang w:val="sr-Cyrl-CS" w:eastAsia="ja-JP"/>
        </w:rPr>
        <w:t>* Трошкови зарада, накнада зарада и остали лични расходи</w:t>
      </w:r>
    </w:p>
    <w:p w14:paraId="577C3CB1" w14:textId="77777777" w:rsidR="00FD7592" w:rsidRPr="001B41AD" w:rsidRDefault="00FD7592" w:rsidP="00FD7592">
      <w:pPr>
        <w:spacing w:after="0" w:line="276" w:lineRule="auto"/>
        <w:rPr>
          <w:rFonts w:ascii="Calibri" w:eastAsia="MS PGothic" w:hAnsi="Calibri" w:cs="Calibri"/>
          <w:color w:val="44546A"/>
          <w:sz w:val="16"/>
          <w:szCs w:val="16"/>
          <w:lang w:val="sr-Cyrl-CS" w:eastAsia="ja-JP"/>
        </w:rPr>
      </w:pPr>
      <w:r w:rsidRPr="001B41AD">
        <w:rPr>
          <w:rFonts w:ascii="Calibri" w:eastAsia="MS PGothic" w:hAnsi="Calibri" w:cs="Calibri"/>
          <w:color w:val="44546A"/>
          <w:sz w:val="16"/>
          <w:szCs w:val="16"/>
          <w:lang w:val="sr-Cyrl-CS" w:eastAsia="ja-JP"/>
        </w:rPr>
        <w:t>Извор: Финансијски извештаји (АПР) и квартални извештај за 2025. годину</w:t>
      </w:r>
    </w:p>
    <w:p w14:paraId="54314756" w14:textId="77777777" w:rsidR="00FD7592" w:rsidRPr="001B41AD" w:rsidRDefault="00FD7592" w:rsidP="00FD7592">
      <w:pPr>
        <w:spacing w:after="0" w:line="276" w:lineRule="auto"/>
        <w:rPr>
          <w:rFonts w:ascii="Calibri" w:eastAsia="MS PGothic" w:hAnsi="Calibri" w:cs="Calibri"/>
          <w:color w:val="44546A"/>
          <w:sz w:val="16"/>
          <w:szCs w:val="16"/>
          <w:lang w:val="sr-Cyrl-CS" w:eastAsia="ja-JP"/>
        </w:rPr>
      </w:pPr>
    </w:p>
    <w:p w14:paraId="018AA3CF" w14:textId="77777777" w:rsidR="00FD7592" w:rsidRPr="001B41AD" w:rsidRDefault="00FD7592" w:rsidP="00FD7592">
      <w:pPr>
        <w:spacing w:after="0" w:line="276" w:lineRule="auto"/>
        <w:rPr>
          <w:rFonts w:ascii="Calibri" w:eastAsia="MS PGothic" w:hAnsi="Calibri" w:cs="Calibri"/>
          <w:color w:val="44546A"/>
          <w:sz w:val="16"/>
          <w:szCs w:val="16"/>
          <w:lang w:val="sr-Cyrl-CS" w:eastAsia="ja-JP"/>
        </w:rPr>
        <w:sectPr w:rsidR="00FD7592" w:rsidRPr="001B41AD" w:rsidSect="00405489">
          <w:type w:val="continuous"/>
          <w:pgSz w:w="12240" w:h="15840"/>
          <w:pgMar w:top="1440" w:right="1440" w:bottom="1440" w:left="1440" w:header="720" w:footer="720" w:gutter="0"/>
          <w:cols w:space="720"/>
          <w:docGrid w:linePitch="360"/>
        </w:sectPr>
      </w:pPr>
    </w:p>
    <w:p w14:paraId="3EBAEF73" w14:textId="77777777" w:rsidR="00FD7592" w:rsidRPr="001B41AD" w:rsidRDefault="00FD7592" w:rsidP="00FD7592">
      <w:pPr>
        <w:spacing w:after="120" w:line="276" w:lineRule="auto"/>
        <w:rPr>
          <w:rFonts w:eastAsia="MS PGothic" w:cstheme="minorHAnsi"/>
          <w:b/>
          <w:bCs/>
          <w:color w:val="002060"/>
          <w:spacing w:val="-4"/>
          <w:szCs w:val="20"/>
          <w:lang w:val="sr-Cyrl-CS" w:eastAsia="ja-JP"/>
        </w:rPr>
        <w:sectPr w:rsidR="00FD7592" w:rsidRPr="001B41AD" w:rsidSect="00405489">
          <w:type w:val="continuous"/>
          <w:pgSz w:w="12240" w:h="15840"/>
          <w:pgMar w:top="1440" w:right="1440" w:bottom="1440" w:left="1440" w:header="720" w:footer="720" w:gutter="0"/>
          <w:cols w:num="2" w:space="720"/>
          <w:docGrid w:linePitch="360"/>
        </w:sectPr>
      </w:pPr>
      <w:r w:rsidRPr="001B41AD">
        <w:rPr>
          <w:rFonts w:eastAsia="MS PGothic" w:cstheme="minorHAnsi"/>
          <w:szCs w:val="20"/>
          <w:lang w:val="sr-Cyrl-CS" w:eastAsia="ja-JP"/>
        </w:rPr>
        <w:t xml:space="preserve">Нето резултат на крају 2024. године остварен је у позитивном износу од 10,9 млрд динара, што представља побољшање у односу на 2022. годину када су државна предузећа бележила негативан нето резултат. Нето резултат у 2023. години треба посматрати издвојено у односу на остале године, </w:t>
      </w:r>
      <w:r w:rsidRPr="001B41AD">
        <w:rPr>
          <w:rFonts w:eastAsia="MS PGothic" w:cstheme="minorHAnsi"/>
          <w:szCs w:val="20"/>
          <w:lang w:val="sr-Cyrl-CS" w:eastAsia="ja-JP"/>
        </w:rPr>
        <w:t>имајући у виду историјски добитак који је остварила „Електропривреда Србије” ад у тој години (</w:t>
      </w:r>
      <w:r w:rsidRPr="001B41AD">
        <w:rPr>
          <w:color w:val="44536A"/>
          <w:szCs w:val="20"/>
          <w:lang w:val="sr-Cyrl-CS"/>
        </w:rPr>
        <w:t>112,4 млрд динара)</w:t>
      </w:r>
      <w:r w:rsidRPr="001B41AD">
        <w:rPr>
          <w:rFonts w:eastAsia="MS PGothic" w:cstheme="minorHAnsi"/>
          <w:szCs w:val="20"/>
          <w:lang w:val="sr-Cyrl-CS" w:eastAsia="ja-JP"/>
        </w:rPr>
        <w:t>. При анализирању кварталних остварења финансијских показатеља потребно је узети у обзир да одређен број предузећа има сезонску компоненту у пословању.</w:t>
      </w:r>
    </w:p>
    <w:p w14:paraId="2480F1E9" w14:textId="77777777" w:rsidR="00FD7592" w:rsidRPr="001B41AD" w:rsidRDefault="00FD7592" w:rsidP="00FD7592">
      <w:pPr>
        <w:spacing w:after="12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 xml:space="preserve">Табела </w:t>
      </w:r>
      <w:r w:rsidR="00C82D44" w:rsidRPr="001B41AD">
        <w:rPr>
          <w:rFonts w:eastAsia="MS PGothic" w:cstheme="minorHAnsi"/>
          <w:b/>
          <w:color w:val="002060"/>
          <w:szCs w:val="20"/>
          <w:lang w:val="sr-Cyrl-CS" w:eastAsia="ja-JP"/>
        </w:rPr>
        <w:t>1</w:t>
      </w:r>
      <w:r w:rsidR="00BE37B4" w:rsidRPr="001B41AD">
        <w:rPr>
          <w:rFonts w:eastAsia="MS PGothic" w:cstheme="minorHAnsi"/>
          <w:b/>
          <w:color w:val="002060"/>
          <w:szCs w:val="20"/>
          <w:lang w:val="sr-Cyrl-CS" w:eastAsia="ja-JP"/>
        </w:rPr>
        <w:t>9</w:t>
      </w:r>
      <w:r w:rsidRPr="001B41AD">
        <w:rPr>
          <w:rFonts w:eastAsia="MS PGothic" w:cstheme="minorHAnsi"/>
          <w:b/>
          <w:color w:val="002060"/>
          <w:szCs w:val="20"/>
          <w:lang w:val="sr-Cyrl-CS" w:eastAsia="ja-JP"/>
        </w:rPr>
        <w:t>. Преглед корисника субвенције (36 ДП) и њихово учешће у укупним расходима буџета РС</w:t>
      </w:r>
    </w:p>
    <w:tbl>
      <w:tblPr>
        <w:tblW w:w="9412" w:type="dxa"/>
        <w:tblLook w:val="04A0" w:firstRow="1" w:lastRow="0" w:firstColumn="1" w:lastColumn="0" w:noHBand="0" w:noVBand="1"/>
      </w:tblPr>
      <w:tblGrid>
        <w:gridCol w:w="4742"/>
        <w:gridCol w:w="1133"/>
        <w:gridCol w:w="1156"/>
        <w:gridCol w:w="1156"/>
        <w:gridCol w:w="1225"/>
      </w:tblGrid>
      <w:tr w:rsidR="00FD7592" w:rsidRPr="001B41AD" w14:paraId="5D1C2BF2" w14:textId="77777777" w:rsidTr="00405489">
        <w:trPr>
          <w:trHeight w:val="299"/>
        </w:trPr>
        <w:tc>
          <w:tcPr>
            <w:tcW w:w="4742" w:type="dxa"/>
            <w:tcBorders>
              <w:top w:val="single" w:sz="4" w:space="0" w:color="002060"/>
              <w:left w:val="nil"/>
              <w:bottom w:val="single" w:sz="4" w:space="0" w:color="002060"/>
              <w:right w:val="nil"/>
            </w:tcBorders>
            <w:noWrap/>
            <w:vAlign w:val="center"/>
            <w:hideMark/>
          </w:tcPr>
          <w:p w14:paraId="01CD4281"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Године</w:t>
            </w:r>
          </w:p>
        </w:tc>
        <w:tc>
          <w:tcPr>
            <w:tcW w:w="1133" w:type="dxa"/>
            <w:tcBorders>
              <w:top w:val="single" w:sz="4" w:space="0" w:color="002060"/>
              <w:left w:val="nil"/>
              <w:bottom w:val="single" w:sz="4" w:space="0" w:color="002060"/>
              <w:right w:val="nil"/>
            </w:tcBorders>
            <w:noWrap/>
            <w:vAlign w:val="center"/>
            <w:hideMark/>
          </w:tcPr>
          <w:p w14:paraId="3A7CED9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2021</w:t>
            </w:r>
          </w:p>
        </w:tc>
        <w:tc>
          <w:tcPr>
            <w:tcW w:w="1156" w:type="dxa"/>
            <w:tcBorders>
              <w:top w:val="single" w:sz="4" w:space="0" w:color="002060"/>
              <w:left w:val="nil"/>
              <w:bottom w:val="single" w:sz="4" w:space="0" w:color="002060"/>
              <w:right w:val="nil"/>
            </w:tcBorders>
            <w:noWrap/>
            <w:vAlign w:val="center"/>
            <w:hideMark/>
          </w:tcPr>
          <w:p w14:paraId="65B3591A"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2022</w:t>
            </w:r>
          </w:p>
        </w:tc>
        <w:tc>
          <w:tcPr>
            <w:tcW w:w="1156" w:type="dxa"/>
            <w:tcBorders>
              <w:top w:val="single" w:sz="4" w:space="0" w:color="002060"/>
              <w:left w:val="nil"/>
              <w:bottom w:val="single" w:sz="4" w:space="0" w:color="002060"/>
              <w:right w:val="nil"/>
            </w:tcBorders>
            <w:noWrap/>
            <w:vAlign w:val="center"/>
            <w:hideMark/>
          </w:tcPr>
          <w:p w14:paraId="2C6E2179"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2023</w:t>
            </w:r>
          </w:p>
        </w:tc>
        <w:tc>
          <w:tcPr>
            <w:tcW w:w="1225" w:type="dxa"/>
            <w:tcBorders>
              <w:top w:val="single" w:sz="4" w:space="0" w:color="002060"/>
              <w:left w:val="nil"/>
              <w:bottom w:val="single" w:sz="4" w:space="0" w:color="002060"/>
              <w:right w:val="nil"/>
            </w:tcBorders>
            <w:noWrap/>
            <w:vAlign w:val="center"/>
            <w:hideMark/>
          </w:tcPr>
          <w:p w14:paraId="1806EF6F"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2024</w:t>
            </w:r>
          </w:p>
        </w:tc>
      </w:tr>
      <w:tr w:rsidR="00FD7592" w:rsidRPr="001B41AD" w14:paraId="64A4FA9F" w14:textId="77777777" w:rsidTr="00405489">
        <w:trPr>
          <w:trHeight w:val="299"/>
        </w:trPr>
        <w:tc>
          <w:tcPr>
            <w:tcW w:w="4742" w:type="dxa"/>
            <w:tcBorders>
              <w:top w:val="nil"/>
              <w:left w:val="nil"/>
              <w:bottom w:val="nil"/>
              <w:right w:val="nil"/>
            </w:tcBorders>
            <w:shd w:val="clear" w:color="000000" w:fill="FFFFFF"/>
            <w:noWrap/>
            <w:vAlign w:val="center"/>
            <w:hideMark/>
          </w:tcPr>
          <w:p w14:paraId="1CCECCB7"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Број корисника субвенција (од 36 ЈП)</w:t>
            </w:r>
          </w:p>
        </w:tc>
        <w:tc>
          <w:tcPr>
            <w:tcW w:w="1133" w:type="dxa"/>
            <w:tcBorders>
              <w:top w:val="nil"/>
              <w:left w:val="nil"/>
              <w:bottom w:val="nil"/>
              <w:right w:val="nil"/>
            </w:tcBorders>
            <w:shd w:val="clear" w:color="000000" w:fill="FFFFFF"/>
            <w:noWrap/>
            <w:vAlign w:val="center"/>
            <w:hideMark/>
          </w:tcPr>
          <w:p w14:paraId="44904E3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25</w:t>
            </w:r>
          </w:p>
        </w:tc>
        <w:tc>
          <w:tcPr>
            <w:tcW w:w="1156" w:type="dxa"/>
            <w:tcBorders>
              <w:top w:val="nil"/>
              <w:left w:val="nil"/>
              <w:bottom w:val="nil"/>
              <w:right w:val="nil"/>
            </w:tcBorders>
            <w:shd w:val="clear" w:color="000000" w:fill="FFFFFF"/>
            <w:noWrap/>
            <w:vAlign w:val="center"/>
            <w:hideMark/>
          </w:tcPr>
          <w:p w14:paraId="6F16581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25</w:t>
            </w:r>
          </w:p>
        </w:tc>
        <w:tc>
          <w:tcPr>
            <w:tcW w:w="1156" w:type="dxa"/>
            <w:tcBorders>
              <w:top w:val="nil"/>
              <w:left w:val="nil"/>
              <w:bottom w:val="nil"/>
              <w:right w:val="nil"/>
            </w:tcBorders>
            <w:shd w:val="clear" w:color="000000" w:fill="FFFFFF"/>
            <w:noWrap/>
            <w:vAlign w:val="center"/>
            <w:hideMark/>
          </w:tcPr>
          <w:p w14:paraId="473F6E8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27</w:t>
            </w:r>
          </w:p>
        </w:tc>
        <w:tc>
          <w:tcPr>
            <w:tcW w:w="1225" w:type="dxa"/>
            <w:tcBorders>
              <w:top w:val="nil"/>
              <w:left w:val="nil"/>
              <w:bottom w:val="nil"/>
              <w:right w:val="nil"/>
            </w:tcBorders>
            <w:shd w:val="clear" w:color="000000" w:fill="FFFFFF"/>
            <w:noWrap/>
            <w:vAlign w:val="center"/>
            <w:hideMark/>
          </w:tcPr>
          <w:p w14:paraId="678140E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27</w:t>
            </w:r>
          </w:p>
        </w:tc>
      </w:tr>
      <w:tr w:rsidR="00FD7592" w:rsidRPr="001B41AD" w14:paraId="492DF3BF" w14:textId="77777777" w:rsidTr="00405489">
        <w:trPr>
          <w:trHeight w:val="299"/>
        </w:trPr>
        <w:tc>
          <w:tcPr>
            <w:tcW w:w="4742" w:type="dxa"/>
            <w:tcBorders>
              <w:top w:val="nil"/>
              <w:left w:val="nil"/>
              <w:bottom w:val="nil"/>
              <w:right w:val="nil"/>
            </w:tcBorders>
            <w:shd w:val="clear" w:color="000000" w:fill="FFFFFF"/>
            <w:noWrap/>
            <w:vAlign w:val="center"/>
            <w:hideMark/>
          </w:tcPr>
          <w:p w14:paraId="282F91E3"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Исплаћене субвенције (млрд РСД)</w:t>
            </w:r>
          </w:p>
        </w:tc>
        <w:tc>
          <w:tcPr>
            <w:tcW w:w="1133" w:type="dxa"/>
            <w:tcBorders>
              <w:top w:val="nil"/>
              <w:left w:val="nil"/>
              <w:bottom w:val="nil"/>
              <w:right w:val="nil"/>
            </w:tcBorders>
            <w:shd w:val="clear" w:color="000000" w:fill="FFFFFF"/>
            <w:noWrap/>
            <w:vAlign w:val="center"/>
            <w:hideMark/>
          </w:tcPr>
          <w:p w14:paraId="43FC691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67,2</w:t>
            </w:r>
          </w:p>
        </w:tc>
        <w:tc>
          <w:tcPr>
            <w:tcW w:w="1156" w:type="dxa"/>
            <w:tcBorders>
              <w:top w:val="nil"/>
              <w:left w:val="nil"/>
              <w:bottom w:val="nil"/>
              <w:right w:val="nil"/>
            </w:tcBorders>
            <w:shd w:val="clear" w:color="000000" w:fill="FFFFFF"/>
            <w:noWrap/>
            <w:vAlign w:val="center"/>
            <w:hideMark/>
          </w:tcPr>
          <w:p w14:paraId="45575C1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56,0</w:t>
            </w:r>
          </w:p>
        </w:tc>
        <w:tc>
          <w:tcPr>
            <w:tcW w:w="1156" w:type="dxa"/>
            <w:tcBorders>
              <w:top w:val="nil"/>
              <w:left w:val="nil"/>
              <w:bottom w:val="nil"/>
              <w:right w:val="nil"/>
            </w:tcBorders>
            <w:shd w:val="clear" w:color="000000" w:fill="FFFFFF"/>
            <w:noWrap/>
            <w:vAlign w:val="center"/>
            <w:hideMark/>
          </w:tcPr>
          <w:p w14:paraId="43757B1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67,9</w:t>
            </w:r>
          </w:p>
        </w:tc>
        <w:tc>
          <w:tcPr>
            <w:tcW w:w="1225" w:type="dxa"/>
            <w:tcBorders>
              <w:top w:val="nil"/>
              <w:left w:val="nil"/>
              <w:bottom w:val="nil"/>
              <w:right w:val="nil"/>
            </w:tcBorders>
            <w:shd w:val="clear" w:color="000000" w:fill="FFFFFF"/>
            <w:noWrap/>
            <w:vAlign w:val="center"/>
            <w:hideMark/>
          </w:tcPr>
          <w:p w14:paraId="0CFFB77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62,3</w:t>
            </w:r>
          </w:p>
        </w:tc>
      </w:tr>
      <w:tr w:rsidR="00FD7592" w:rsidRPr="001B41AD" w14:paraId="338AA776" w14:textId="77777777" w:rsidTr="00405489">
        <w:trPr>
          <w:trHeight w:val="299"/>
        </w:trPr>
        <w:tc>
          <w:tcPr>
            <w:tcW w:w="4742" w:type="dxa"/>
            <w:tcBorders>
              <w:top w:val="nil"/>
              <w:left w:val="nil"/>
              <w:bottom w:val="nil"/>
              <w:right w:val="nil"/>
            </w:tcBorders>
            <w:shd w:val="clear" w:color="000000" w:fill="FFFFFF"/>
            <w:noWrap/>
            <w:vAlign w:val="center"/>
            <w:hideMark/>
          </w:tcPr>
          <w:p w14:paraId="02ECC3FA"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Укупни расходи буџета (млрд РСД)</w:t>
            </w:r>
          </w:p>
        </w:tc>
        <w:tc>
          <w:tcPr>
            <w:tcW w:w="1133" w:type="dxa"/>
            <w:tcBorders>
              <w:top w:val="nil"/>
              <w:left w:val="nil"/>
              <w:bottom w:val="nil"/>
              <w:right w:val="nil"/>
            </w:tcBorders>
            <w:shd w:val="clear" w:color="000000" w:fill="FFFFFF"/>
            <w:noWrap/>
            <w:vAlign w:val="center"/>
            <w:hideMark/>
          </w:tcPr>
          <w:p w14:paraId="5026FC4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1.751</w:t>
            </w:r>
          </w:p>
        </w:tc>
        <w:tc>
          <w:tcPr>
            <w:tcW w:w="1156" w:type="dxa"/>
            <w:tcBorders>
              <w:top w:val="nil"/>
              <w:left w:val="nil"/>
              <w:bottom w:val="nil"/>
              <w:right w:val="nil"/>
            </w:tcBorders>
            <w:shd w:val="clear" w:color="000000" w:fill="FFFFFF"/>
            <w:noWrap/>
            <w:vAlign w:val="center"/>
            <w:hideMark/>
          </w:tcPr>
          <w:p w14:paraId="02A8FAF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1.915</w:t>
            </w:r>
          </w:p>
        </w:tc>
        <w:tc>
          <w:tcPr>
            <w:tcW w:w="1156" w:type="dxa"/>
            <w:tcBorders>
              <w:top w:val="nil"/>
              <w:left w:val="nil"/>
              <w:bottom w:val="nil"/>
              <w:right w:val="nil"/>
            </w:tcBorders>
            <w:shd w:val="clear" w:color="000000" w:fill="FFFFFF"/>
            <w:noWrap/>
            <w:vAlign w:val="center"/>
            <w:hideMark/>
          </w:tcPr>
          <w:p w14:paraId="27B00DE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2.068</w:t>
            </w:r>
          </w:p>
        </w:tc>
        <w:tc>
          <w:tcPr>
            <w:tcW w:w="1225" w:type="dxa"/>
            <w:tcBorders>
              <w:top w:val="nil"/>
              <w:left w:val="nil"/>
              <w:bottom w:val="nil"/>
              <w:right w:val="nil"/>
            </w:tcBorders>
            <w:noWrap/>
            <w:vAlign w:val="center"/>
            <w:hideMark/>
          </w:tcPr>
          <w:p w14:paraId="28111CC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2.354</w:t>
            </w:r>
          </w:p>
        </w:tc>
      </w:tr>
      <w:tr w:rsidR="00FD7592" w:rsidRPr="001B41AD" w14:paraId="6AD7AEF2" w14:textId="77777777" w:rsidTr="00405489">
        <w:trPr>
          <w:trHeight w:val="299"/>
        </w:trPr>
        <w:tc>
          <w:tcPr>
            <w:tcW w:w="4742" w:type="dxa"/>
            <w:tcBorders>
              <w:top w:val="nil"/>
              <w:left w:val="nil"/>
              <w:bottom w:val="single" w:sz="4" w:space="0" w:color="002060"/>
              <w:right w:val="nil"/>
            </w:tcBorders>
            <w:shd w:val="clear" w:color="000000" w:fill="FFFFFF"/>
            <w:noWrap/>
            <w:vAlign w:val="center"/>
            <w:hideMark/>
          </w:tcPr>
          <w:p w14:paraId="69471C2D" w14:textId="77777777" w:rsidR="00FD7592" w:rsidRPr="001B41AD" w:rsidRDefault="00FD7592" w:rsidP="00405489">
            <w:pPr>
              <w:spacing w:after="0" w:line="240" w:lineRule="auto"/>
              <w:jc w:val="left"/>
              <w:rPr>
                <w:rFonts w:ascii="Calibri" w:eastAsia="Times New Roman" w:hAnsi="Calibri" w:cs="Calibri"/>
                <w:b/>
                <w:bCs/>
                <w:i/>
                <w:iCs/>
                <w:color w:val="002060"/>
                <w:sz w:val="18"/>
                <w:szCs w:val="18"/>
                <w:lang w:val="sr-Cyrl-CS"/>
              </w:rPr>
            </w:pPr>
            <w:r w:rsidRPr="001B41AD">
              <w:rPr>
                <w:rFonts w:ascii="Calibri" w:eastAsia="Times New Roman" w:hAnsi="Calibri" w:cs="Calibri"/>
                <w:b/>
                <w:bCs/>
                <w:i/>
                <w:iCs/>
                <w:color w:val="002060"/>
                <w:sz w:val="18"/>
                <w:szCs w:val="18"/>
                <w:lang w:val="sr-Cyrl-CS"/>
              </w:rPr>
              <w:t>% исплаћене субвенције/расходи буџета</w:t>
            </w:r>
          </w:p>
        </w:tc>
        <w:tc>
          <w:tcPr>
            <w:tcW w:w="1133" w:type="dxa"/>
            <w:tcBorders>
              <w:top w:val="nil"/>
              <w:left w:val="nil"/>
              <w:bottom w:val="single" w:sz="4" w:space="0" w:color="002060"/>
              <w:right w:val="nil"/>
            </w:tcBorders>
            <w:shd w:val="clear" w:color="000000" w:fill="FFFFFF"/>
            <w:noWrap/>
            <w:vAlign w:val="center"/>
            <w:hideMark/>
          </w:tcPr>
          <w:p w14:paraId="6810E108" w14:textId="77777777" w:rsidR="00FD7592" w:rsidRPr="001B41AD" w:rsidRDefault="00FD7592" w:rsidP="00405489">
            <w:pPr>
              <w:spacing w:after="0" w:line="240" w:lineRule="auto"/>
              <w:jc w:val="center"/>
              <w:rPr>
                <w:rFonts w:ascii="Calibri" w:eastAsia="Times New Roman" w:hAnsi="Calibri" w:cs="Calibri"/>
                <w:b/>
                <w:bCs/>
                <w:i/>
                <w:iCs/>
                <w:color w:val="002060"/>
                <w:sz w:val="18"/>
                <w:szCs w:val="18"/>
                <w:lang w:val="sr-Cyrl-CS"/>
              </w:rPr>
            </w:pPr>
            <w:r w:rsidRPr="001B41AD">
              <w:rPr>
                <w:rFonts w:ascii="Calibri" w:eastAsia="Times New Roman" w:hAnsi="Calibri" w:cs="Calibri"/>
                <w:b/>
                <w:bCs/>
                <w:i/>
                <w:iCs/>
                <w:color w:val="002060"/>
                <w:sz w:val="18"/>
                <w:szCs w:val="18"/>
                <w:lang w:val="sr-Cyrl-CS"/>
              </w:rPr>
              <w:t>3,8%</w:t>
            </w:r>
          </w:p>
        </w:tc>
        <w:tc>
          <w:tcPr>
            <w:tcW w:w="1156" w:type="dxa"/>
            <w:tcBorders>
              <w:top w:val="nil"/>
              <w:left w:val="nil"/>
              <w:bottom w:val="single" w:sz="4" w:space="0" w:color="002060"/>
              <w:right w:val="nil"/>
            </w:tcBorders>
            <w:shd w:val="clear" w:color="000000" w:fill="FFFFFF"/>
            <w:noWrap/>
            <w:vAlign w:val="center"/>
            <w:hideMark/>
          </w:tcPr>
          <w:p w14:paraId="6A95E551" w14:textId="77777777" w:rsidR="00FD7592" w:rsidRPr="001B41AD" w:rsidRDefault="00FD7592" w:rsidP="00405489">
            <w:pPr>
              <w:spacing w:after="0" w:line="240" w:lineRule="auto"/>
              <w:jc w:val="center"/>
              <w:rPr>
                <w:rFonts w:ascii="Calibri" w:eastAsia="Times New Roman" w:hAnsi="Calibri" w:cs="Calibri"/>
                <w:b/>
                <w:bCs/>
                <w:i/>
                <w:iCs/>
                <w:color w:val="002060"/>
                <w:sz w:val="18"/>
                <w:szCs w:val="18"/>
                <w:lang w:val="sr-Cyrl-CS"/>
              </w:rPr>
            </w:pPr>
            <w:r w:rsidRPr="001B41AD">
              <w:rPr>
                <w:rFonts w:ascii="Calibri" w:eastAsia="Times New Roman" w:hAnsi="Calibri" w:cs="Calibri"/>
                <w:b/>
                <w:bCs/>
                <w:i/>
                <w:iCs/>
                <w:color w:val="002060"/>
                <w:sz w:val="18"/>
                <w:szCs w:val="18"/>
                <w:lang w:val="sr-Cyrl-CS"/>
              </w:rPr>
              <w:t>2,9%</w:t>
            </w:r>
          </w:p>
        </w:tc>
        <w:tc>
          <w:tcPr>
            <w:tcW w:w="1156" w:type="dxa"/>
            <w:tcBorders>
              <w:top w:val="nil"/>
              <w:left w:val="nil"/>
              <w:bottom w:val="single" w:sz="4" w:space="0" w:color="002060"/>
              <w:right w:val="nil"/>
            </w:tcBorders>
            <w:shd w:val="clear" w:color="000000" w:fill="FFFFFF"/>
            <w:noWrap/>
            <w:vAlign w:val="center"/>
            <w:hideMark/>
          </w:tcPr>
          <w:p w14:paraId="138B4678" w14:textId="77777777" w:rsidR="00FD7592" w:rsidRPr="001B41AD" w:rsidRDefault="00FD7592" w:rsidP="00405489">
            <w:pPr>
              <w:spacing w:after="0" w:line="240" w:lineRule="auto"/>
              <w:jc w:val="center"/>
              <w:rPr>
                <w:rFonts w:ascii="Calibri" w:eastAsia="Times New Roman" w:hAnsi="Calibri" w:cs="Calibri"/>
                <w:b/>
                <w:bCs/>
                <w:i/>
                <w:iCs/>
                <w:color w:val="002060"/>
                <w:sz w:val="18"/>
                <w:szCs w:val="18"/>
                <w:lang w:val="sr-Cyrl-CS"/>
              </w:rPr>
            </w:pPr>
            <w:r w:rsidRPr="001B41AD">
              <w:rPr>
                <w:rFonts w:ascii="Calibri" w:eastAsia="Times New Roman" w:hAnsi="Calibri" w:cs="Calibri"/>
                <w:b/>
                <w:bCs/>
                <w:i/>
                <w:iCs/>
                <w:color w:val="002060"/>
                <w:sz w:val="18"/>
                <w:szCs w:val="18"/>
                <w:lang w:val="sr-Cyrl-CS"/>
              </w:rPr>
              <w:t>3,3%</w:t>
            </w:r>
          </w:p>
        </w:tc>
        <w:tc>
          <w:tcPr>
            <w:tcW w:w="1225" w:type="dxa"/>
            <w:tcBorders>
              <w:top w:val="nil"/>
              <w:left w:val="nil"/>
              <w:bottom w:val="single" w:sz="4" w:space="0" w:color="002060"/>
              <w:right w:val="nil"/>
            </w:tcBorders>
            <w:shd w:val="clear" w:color="000000" w:fill="FFFFFF"/>
            <w:noWrap/>
            <w:vAlign w:val="center"/>
            <w:hideMark/>
          </w:tcPr>
          <w:p w14:paraId="611B2E9A" w14:textId="77777777" w:rsidR="00FD7592" w:rsidRPr="001B41AD" w:rsidRDefault="00FD7592" w:rsidP="00405489">
            <w:pPr>
              <w:spacing w:after="0" w:line="240" w:lineRule="auto"/>
              <w:jc w:val="center"/>
              <w:rPr>
                <w:rFonts w:ascii="Calibri" w:eastAsia="Times New Roman" w:hAnsi="Calibri" w:cs="Calibri"/>
                <w:b/>
                <w:bCs/>
                <w:i/>
                <w:iCs/>
                <w:color w:val="002060"/>
                <w:sz w:val="18"/>
                <w:szCs w:val="18"/>
                <w:lang w:val="sr-Cyrl-CS"/>
              </w:rPr>
            </w:pPr>
            <w:r w:rsidRPr="001B41AD">
              <w:rPr>
                <w:rFonts w:ascii="Calibri" w:eastAsia="Times New Roman" w:hAnsi="Calibri" w:cs="Calibri"/>
                <w:b/>
                <w:bCs/>
                <w:i/>
                <w:iCs/>
                <w:color w:val="002060"/>
                <w:sz w:val="18"/>
                <w:szCs w:val="18"/>
                <w:lang w:val="sr-Cyrl-CS"/>
              </w:rPr>
              <w:t>2,6%</w:t>
            </w:r>
          </w:p>
        </w:tc>
      </w:tr>
    </w:tbl>
    <w:p w14:paraId="6F5F746B" w14:textId="77777777" w:rsidR="00FD7592" w:rsidRPr="001B41AD" w:rsidRDefault="00FD7592" w:rsidP="00FD7592">
      <w:pPr>
        <w:spacing w:after="0" w:line="276" w:lineRule="auto"/>
        <w:rPr>
          <w:rFonts w:eastAsia="MS PGothic" w:cstheme="minorHAnsi"/>
          <w:sz w:val="16"/>
          <w:szCs w:val="16"/>
          <w:lang w:val="sr-Cyrl-CS" w:eastAsia="ja-JP"/>
        </w:rPr>
      </w:pPr>
      <w:r w:rsidRPr="001B41AD">
        <w:rPr>
          <w:rFonts w:eastAsia="MS PGothic" w:cstheme="minorHAnsi"/>
          <w:sz w:val="16"/>
          <w:szCs w:val="16"/>
          <w:lang w:val="sr-Cyrl-CS" w:eastAsia="ja-JP"/>
        </w:rPr>
        <w:t>Извор: Министарство финансија</w:t>
      </w:r>
    </w:p>
    <w:p w14:paraId="3C022C79" w14:textId="77777777" w:rsidR="00FD7592" w:rsidRPr="001B41AD" w:rsidRDefault="00FD7592" w:rsidP="00FD7592">
      <w:pPr>
        <w:spacing w:after="0" w:line="276" w:lineRule="auto"/>
        <w:rPr>
          <w:rFonts w:eastAsia="MS PGothic" w:cstheme="minorHAnsi"/>
          <w:sz w:val="16"/>
          <w:szCs w:val="16"/>
          <w:lang w:val="sr-Cyrl-CS" w:eastAsia="ja-JP"/>
        </w:rPr>
      </w:pPr>
    </w:p>
    <w:p w14:paraId="3A7104AF" w14:textId="77777777" w:rsidR="00FD7592" w:rsidRPr="001B41AD" w:rsidRDefault="00FD7592" w:rsidP="00FD7592">
      <w:pPr>
        <w:spacing w:after="0" w:line="276" w:lineRule="auto"/>
        <w:rPr>
          <w:rFonts w:eastAsia="MS PGothic" w:cstheme="minorHAnsi"/>
          <w:szCs w:val="20"/>
          <w:lang w:val="sr-Cyrl-CS" w:eastAsia="ja-JP"/>
        </w:rPr>
        <w:sectPr w:rsidR="00FD7592" w:rsidRPr="001B41AD" w:rsidSect="00405489">
          <w:type w:val="continuous"/>
          <w:pgSz w:w="12240" w:h="15840"/>
          <w:pgMar w:top="1440" w:right="1440" w:bottom="1440" w:left="1440" w:header="720" w:footer="720" w:gutter="0"/>
          <w:cols w:space="720"/>
          <w:docGrid w:linePitch="360"/>
        </w:sectPr>
      </w:pPr>
    </w:p>
    <w:p w14:paraId="1CCD888A" w14:textId="77777777" w:rsidR="00FD7592" w:rsidRPr="001B41AD" w:rsidRDefault="00FD7592" w:rsidP="00FD7592">
      <w:pPr>
        <w:spacing w:after="240" w:line="240" w:lineRule="auto"/>
        <w:rPr>
          <w:rFonts w:eastAsia="MS PGothic" w:cstheme="minorHAnsi"/>
          <w:szCs w:val="20"/>
          <w:lang w:val="sr-Cyrl-CS" w:eastAsia="ja-JP"/>
        </w:rPr>
      </w:pPr>
      <w:r w:rsidRPr="001B41AD">
        <w:rPr>
          <w:rFonts w:eastAsia="MS PGothic" w:cstheme="minorHAnsi"/>
          <w:szCs w:val="20"/>
          <w:lang w:val="sr-Cyrl-CS" w:eastAsia="ja-JP"/>
        </w:rPr>
        <w:t xml:space="preserve">Највећи део субвенција предузећа углавном користе за капиталне пројекте, док одређени број предузећа користи и за одржавање текуће </w:t>
      </w:r>
      <w:r w:rsidRPr="001B41AD">
        <w:rPr>
          <w:rFonts w:eastAsia="MS PGothic" w:cstheme="minorHAnsi"/>
          <w:szCs w:val="20"/>
          <w:lang w:val="sr-Cyrl-CS" w:eastAsia="ja-JP"/>
        </w:rPr>
        <w:t>ликвидности. Учешће исплаћених субвенција у укупним расходима буџета из године у годину креће се у распону 3-4%.</w:t>
      </w:r>
    </w:p>
    <w:p w14:paraId="13FBDD3E" w14:textId="77777777" w:rsidR="00FD7592" w:rsidRPr="001B41AD" w:rsidRDefault="00FD7592" w:rsidP="00FD7592">
      <w:pPr>
        <w:spacing w:line="240" w:lineRule="auto"/>
        <w:rPr>
          <w:rFonts w:eastAsia="MS PGothic" w:cstheme="minorHAnsi"/>
          <w:szCs w:val="20"/>
          <w:lang w:val="sr-Cyrl-CS" w:eastAsia="ja-JP"/>
        </w:rPr>
        <w:sectPr w:rsidR="00FD7592" w:rsidRPr="001B41AD" w:rsidSect="00405489">
          <w:type w:val="continuous"/>
          <w:pgSz w:w="12240" w:h="15840"/>
          <w:pgMar w:top="1440" w:right="1440" w:bottom="1440" w:left="1440" w:header="720" w:footer="720" w:gutter="0"/>
          <w:cols w:num="2" w:space="720"/>
          <w:docGrid w:linePitch="360"/>
        </w:sectPr>
      </w:pPr>
    </w:p>
    <w:p w14:paraId="40635576" w14:textId="77777777" w:rsidR="00FD7592" w:rsidRPr="001B41AD" w:rsidRDefault="00FD7592" w:rsidP="00FD7592">
      <w:pPr>
        <w:spacing w:after="8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 xml:space="preserve">Табела </w:t>
      </w:r>
      <w:r w:rsidR="00BE37B4" w:rsidRPr="001B41AD">
        <w:rPr>
          <w:rFonts w:eastAsia="MS PGothic" w:cstheme="minorHAnsi"/>
          <w:b/>
          <w:color w:val="002060"/>
          <w:szCs w:val="20"/>
          <w:lang w:val="sr-Cyrl-CS" w:eastAsia="ja-JP"/>
        </w:rPr>
        <w:t>20</w:t>
      </w:r>
      <w:r w:rsidRPr="001B41AD">
        <w:rPr>
          <w:rFonts w:eastAsia="MS PGothic" w:cstheme="minorHAnsi"/>
          <w:b/>
          <w:color w:val="002060"/>
          <w:szCs w:val="20"/>
          <w:lang w:val="sr-Cyrl-CS" w:eastAsia="ja-JP"/>
        </w:rPr>
        <w:t>. Преглед 5 највећих корисника субвенција из буџета Републике Србије, млрд динара</w:t>
      </w:r>
    </w:p>
    <w:tbl>
      <w:tblPr>
        <w:tblW w:w="9420" w:type="dxa"/>
        <w:tblLook w:val="04A0" w:firstRow="1" w:lastRow="0" w:firstColumn="1" w:lastColumn="0" w:noHBand="0" w:noVBand="1"/>
      </w:tblPr>
      <w:tblGrid>
        <w:gridCol w:w="4000"/>
        <w:gridCol w:w="1060"/>
        <w:gridCol w:w="1420"/>
        <w:gridCol w:w="1520"/>
        <w:gridCol w:w="1420"/>
      </w:tblGrid>
      <w:tr w:rsidR="00FD7592" w:rsidRPr="001B41AD" w14:paraId="4CD9D50F" w14:textId="77777777" w:rsidTr="00E32355">
        <w:trPr>
          <w:trHeight w:val="285"/>
          <w:tblHeader/>
        </w:trPr>
        <w:tc>
          <w:tcPr>
            <w:tcW w:w="4000" w:type="dxa"/>
            <w:tcBorders>
              <w:top w:val="single" w:sz="4" w:space="0" w:color="002060"/>
              <w:left w:val="nil"/>
              <w:bottom w:val="single" w:sz="4" w:space="0" w:color="002060"/>
              <w:right w:val="nil"/>
            </w:tcBorders>
            <w:noWrap/>
            <w:vAlign w:val="center"/>
            <w:hideMark/>
          </w:tcPr>
          <w:p w14:paraId="3DD263B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Предузећа</w:t>
            </w:r>
          </w:p>
        </w:tc>
        <w:tc>
          <w:tcPr>
            <w:tcW w:w="1060" w:type="dxa"/>
            <w:tcBorders>
              <w:top w:val="single" w:sz="4" w:space="0" w:color="002060"/>
              <w:left w:val="nil"/>
              <w:bottom w:val="single" w:sz="4" w:space="0" w:color="002060"/>
              <w:right w:val="nil"/>
            </w:tcBorders>
            <w:noWrap/>
            <w:vAlign w:val="center"/>
            <w:hideMark/>
          </w:tcPr>
          <w:p w14:paraId="4B4820C5"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2021</w:t>
            </w:r>
          </w:p>
        </w:tc>
        <w:tc>
          <w:tcPr>
            <w:tcW w:w="1420" w:type="dxa"/>
            <w:tcBorders>
              <w:top w:val="single" w:sz="4" w:space="0" w:color="002060"/>
              <w:left w:val="nil"/>
              <w:bottom w:val="single" w:sz="4" w:space="0" w:color="002060"/>
              <w:right w:val="nil"/>
            </w:tcBorders>
            <w:noWrap/>
            <w:vAlign w:val="center"/>
            <w:hideMark/>
          </w:tcPr>
          <w:p w14:paraId="291E15BC"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2022</w:t>
            </w:r>
          </w:p>
        </w:tc>
        <w:tc>
          <w:tcPr>
            <w:tcW w:w="1520" w:type="dxa"/>
            <w:tcBorders>
              <w:top w:val="single" w:sz="4" w:space="0" w:color="002060"/>
              <w:left w:val="nil"/>
              <w:bottom w:val="single" w:sz="4" w:space="0" w:color="002060"/>
              <w:right w:val="nil"/>
            </w:tcBorders>
            <w:noWrap/>
            <w:vAlign w:val="center"/>
            <w:hideMark/>
          </w:tcPr>
          <w:p w14:paraId="0234A3EB"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2023</w:t>
            </w:r>
          </w:p>
        </w:tc>
        <w:tc>
          <w:tcPr>
            <w:tcW w:w="1420" w:type="dxa"/>
            <w:tcBorders>
              <w:top w:val="single" w:sz="4" w:space="0" w:color="002060"/>
              <w:left w:val="nil"/>
              <w:bottom w:val="single" w:sz="4" w:space="0" w:color="002060"/>
              <w:right w:val="nil"/>
            </w:tcBorders>
            <w:noWrap/>
            <w:vAlign w:val="center"/>
            <w:hideMark/>
          </w:tcPr>
          <w:p w14:paraId="388120F3"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2024</w:t>
            </w:r>
          </w:p>
        </w:tc>
      </w:tr>
      <w:tr w:rsidR="00FD7592" w:rsidRPr="001B41AD" w14:paraId="51600C68" w14:textId="77777777" w:rsidTr="00405489">
        <w:trPr>
          <w:trHeight w:val="300"/>
        </w:trPr>
        <w:tc>
          <w:tcPr>
            <w:tcW w:w="4000" w:type="dxa"/>
            <w:tcBorders>
              <w:top w:val="nil"/>
              <w:left w:val="nil"/>
              <w:bottom w:val="nil"/>
              <w:right w:val="nil"/>
            </w:tcBorders>
            <w:shd w:val="clear" w:color="000000" w:fill="FFFFFF"/>
            <w:noWrap/>
            <w:vAlign w:val="bottom"/>
            <w:hideMark/>
          </w:tcPr>
          <w:p w14:paraId="5BCF7591"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"Инфраструктура железнице Србије" ад</w:t>
            </w:r>
          </w:p>
        </w:tc>
        <w:tc>
          <w:tcPr>
            <w:tcW w:w="1060" w:type="dxa"/>
            <w:tcBorders>
              <w:top w:val="nil"/>
              <w:left w:val="nil"/>
              <w:bottom w:val="nil"/>
              <w:right w:val="nil"/>
            </w:tcBorders>
            <w:shd w:val="clear" w:color="000000" w:fill="FFFFFF"/>
            <w:noWrap/>
            <w:vAlign w:val="bottom"/>
            <w:hideMark/>
          </w:tcPr>
          <w:p w14:paraId="40DE22B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13,8</w:t>
            </w:r>
          </w:p>
        </w:tc>
        <w:tc>
          <w:tcPr>
            <w:tcW w:w="1420" w:type="dxa"/>
            <w:tcBorders>
              <w:top w:val="nil"/>
              <w:left w:val="nil"/>
              <w:bottom w:val="nil"/>
              <w:right w:val="nil"/>
            </w:tcBorders>
            <w:shd w:val="clear" w:color="000000" w:fill="FFFFFF"/>
            <w:noWrap/>
            <w:vAlign w:val="bottom"/>
            <w:hideMark/>
          </w:tcPr>
          <w:p w14:paraId="24E623D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12,8</w:t>
            </w:r>
          </w:p>
        </w:tc>
        <w:tc>
          <w:tcPr>
            <w:tcW w:w="1520" w:type="dxa"/>
            <w:tcBorders>
              <w:top w:val="nil"/>
              <w:left w:val="nil"/>
              <w:bottom w:val="nil"/>
              <w:right w:val="nil"/>
            </w:tcBorders>
            <w:shd w:val="clear" w:color="000000" w:fill="FFFFFF"/>
            <w:noWrap/>
            <w:vAlign w:val="bottom"/>
            <w:hideMark/>
          </w:tcPr>
          <w:p w14:paraId="2BFAB24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17,0</w:t>
            </w:r>
          </w:p>
        </w:tc>
        <w:tc>
          <w:tcPr>
            <w:tcW w:w="1420" w:type="dxa"/>
            <w:tcBorders>
              <w:top w:val="nil"/>
              <w:left w:val="nil"/>
              <w:bottom w:val="nil"/>
              <w:right w:val="nil"/>
            </w:tcBorders>
            <w:shd w:val="clear" w:color="000000" w:fill="FFFFFF"/>
            <w:noWrap/>
            <w:vAlign w:val="bottom"/>
            <w:hideMark/>
          </w:tcPr>
          <w:p w14:paraId="4B95EAD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17,3</w:t>
            </w:r>
          </w:p>
        </w:tc>
      </w:tr>
      <w:tr w:rsidR="00FD7592" w:rsidRPr="001B41AD" w14:paraId="4D665527" w14:textId="77777777" w:rsidTr="00405489">
        <w:trPr>
          <w:trHeight w:val="300"/>
        </w:trPr>
        <w:tc>
          <w:tcPr>
            <w:tcW w:w="4000" w:type="dxa"/>
            <w:tcBorders>
              <w:top w:val="nil"/>
              <w:left w:val="nil"/>
              <w:bottom w:val="nil"/>
              <w:right w:val="nil"/>
            </w:tcBorders>
            <w:shd w:val="clear" w:color="000000" w:fill="FFFFFF"/>
            <w:noWrap/>
            <w:vAlign w:val="bottom"/>
            <w:hideMark/>
          </w:tcPr>
          <w:p w14:paraId="6CC8CFBD"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"Путеви Србије"</w:t>
            </w:r>
          </w:p>
        </w:tc>
        <w:tc>
          <w:tcPr>
            <w:tcW w:w="1060" w:type="dxa"/>
            <w:tcBorders>
              <w:top w:val="nil"/>
              <w:left w:val="nil"/>
              <w:bottom w:val="nil"/>
              <w:right w:val="nil"/>
            </w:tcBorders>
            <w:shd w:val="clear" w:color="000000" w:fill="FFFFFF"/>
            <w:noWrap/>
            <w:vAlign w:val="bottom"/>
            <w:hideMark/>
          </w:tcPr>
          <w:p w14:paraId="6ED67D5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29,2</w:t>
            </w:r>
          </w:p>
        </w:tc>
        <w:tc>
          <w:tcPr>
            <w:tcW w:w="1420" w:type="dxa"/>
            <w:tcBorders>
              <w:top w:val="nil"/>
              <w:left w:val="nil"/>
              <w:bottom w:val="nil"/>
              <w:right w:val="nil"/>
            </w:tcBorders>
            <w:shd w:val="clear" w:color="000000" w:fill="FFFFFF"/>
            <w:noWrap/>
            <w:vAlign w:val="bottom"/>
            <w:hideMark/>
          </w:tcPr>
          <w:p w14:paraId="35928FC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22,6</w:t>
            </w:r>
          </w:p>
        </w:tc>
        <w:tc>
          <w:tcPr>
            <w:tcW w:w="1520" w:type="dxa"/>
            <w:tcBorders>
              <w:top w:val="nil"/>
              <w:left w:val="nil"/>
              <w:bottom w:val="nil"/>
              <w:right w:val="nil"/>
            </w:tcBorders>
            <w:shd w:val="clear" w:color="000000" w:fill="FFFFFF"/>
            <w:noWrap/>
            <w:vAlign w:val="bottom"/>
            <w:hideMark/>
          </w:tcPr>
          <w:p w14:paraId="52A288C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25,0</w:t>
            </w:r>
          </w:p>
        </w:tc>
        <w:tc>
          <w:tcPr>
            <w:tcW w:w="1420" w:type="dxa"/>
            <w:tcBorders>
              <w:top w:val="nil"/>
              <w:left w:val="nil"/>
              <w:bottom w:val="nil"/>
              <w:right w:val="nil"/>
            </w:tcBorders>
            <w:shd w:val="clear" w:color="000000" w:fill="FFFFFF"/>
            <w:noWrap/>
            <w:vAlign w:val="bottom"/>
            <w:hideMark/>
          </w:tcPr>
          <w:p w14:paraId="4067139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13,2</w:t>
            </w:r>
          </w:p>
        </w:tc>
      </w:tr>
      <w:tr w:rsidR="00FD7592" w:rsidRPr="001B41AD" w14:paraId="3144090E" w14:textId="77777777" w:rsidTr="00405489">
        <w:trPr>
          <w:trHeight w:val="300"/>
        </w:trPr>
        <w:tc>
          <w:tcPr>
            <w:tcW w:w="4000" w:type="dxa"/>
            <w:tcBorders>
              <w:top w:val="nil"/>
              <w:left w:val="nil"/>
              <w:bottom w:val="nil"/>
              <w:right w:val="nil"/>
            </w:tcBorders>
            <w:shd w:val="clear" w:color="000000" w:fill="FFFFFF"/>
            <w:noWrap/>
            <w:vAlign w:val="bottom"/>
            <w:hideMark/>
          </w:tcPr>
          <w:p w14:paraId="69DD8AD6"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"Електродистрибуција Србије" доо</w:t>
            </w:r>
          </w:p>
        </w:tc>
        <w:tc>
          <w:tcPr>
            <w:tcW w:w="1060" w:type="dxa"/>
            <w:tcBorders>
              <w:top w:val="nil"/>
              <w:left w:val="nil"/>
              <w:bottom w:val="nil"/>
              <w:right w:val="nil"/>
            </w:tcBorders>
            <w:shd w:val="clear" w:color="000000" w:fill="FFFFFF"/>
            <w:noWrap/>
            <w:vAlign w:val="bottom"/>
            <w:hideMark/>
          </w:tcPr>
          <w:p w14:paraId="7324337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0,0</w:t>
            </w:r>
          </w:p>
        </w:tc>
        <w:tc>
          <w:tcPr>
            <w:tcW w:w="1420" w:type="dxa"/>
            <w:tcBorders>
              <w:top w:val="nil"/>
              <w:left w:val="nil"/>
              <w:bottom w:val="nil"/>
              <w:right w:val="nil"/>
            </w:tcBorders>
            <w:shd w:val="clear" w:color="000000" w:fill="FFFFFF"/>
            <w:noWrap/>
            <w:vAlign w:val="bottom"/>
            <w:hideMark/>
          </w:tcPr>
          <w:p w14:paraId="4ED85D5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0,1</w:t>
            </w:r>
          </w:p>
        </w:tc>
        <w:tc>
          <w:tcPr>
            <w:tcW w:w="1520" w:type="dxa"/>
            <w:tcBorders>
              <w:top w:val="nil"/>
              <w:left w:val="nil"/>
              <w:bottom w:val="nil"/>
              <w:right w:val="nil"/>
            </w:tcBorders>
            <w:shd w:val="clear" w:color="000000" w:fill="FFFFFF"/>
            <w:noWrap/>
            <w:vAlign w:val="bottom"/>
            <w:hideMark/>
          </w:tcPr>
          <w:p w14:paraId="5D82848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3,4</w:t>
            </w:r>
          </w:p>
        </w:tc>
        <w:tc>
          <w:tcPr>
            <w:tcW w:w="1420" w:type="dxa"/>
            <w:tcBorders>
              <w:top w:val="nil"/>
              <w:left w:val="nil"/>
              <w:bottom w:val="nil"/>
              <w:right w:val="nil"/>
            </w:tcBorders>
            <w:shd w:val="clear" w:color="000000" w:fill="FFFFFF"/>
            <w:noWrap/>
            <w:vAlign w:val="bottom"/>
            <w:hideMark/>
          </w:tcPr>
          <w:p w14:paraId="73236E1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12,7</w:t>
            </w:r>
          </w:p>
        </w:tc>
      </w:tr>
      <w:tr w:rsidR="00FD7592" w:rsidRPr="001B41AD" w14:paraId="26AD7BF7" w14:textId="77777777" w:rsidTr="00405489">
        <w:trPr>
          <w:trHeight w:val="300"/>
        </w:trPr>
        <w:tc>
          <w:tcPr>
            <w:tcW w:w="4000" w:type="dxa"/>
            <w:tcBorders>
              <w:top w:val="nil"/>
              <w:left w:val="nil"/>
              <w:bottom w:val="nil"/>
              <w:right w:val="nil"/>
            </w:tcBorders>
            <w:shd w:val="clear" w:color="000000" w:fill="FFFFFF"/>
            <w:noWrap/>
            <w:vAlign w:val="bottom"/>
            <w:hideMark/>
          </w:tcPr>
          <w:p w14:paraId="1A1C32AF"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lastRenderedPageBreak/>
              <w:t xml:space="preserve">Јавно предузеће "ПЕУ Ресавица" </w:t>
            </w:r>
          </w:p>
        </w:tc>
        <w:tc>
          <w:tcPr>
            <w:tcW w:w="1060" w:type="dxa"/>
            <w:tcBorders>
              <w:top w:val="nil"/>
              <w:left w:val="nil"/>
              <w:bottom w:val="nil"/>
              <w:right w:val="nil"/>
            </w:tcBorders>
            <w:shd w:val="clear" w:color="000000" w:fill="FFFFFF"/>
            <w:noWrap/>
            <w:vAlign w:val="bottom"/>
            <w:hideMark/>
          </w:tcPr>
          <w:p w14:paraId="46D119D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8,5</w:t>
            </w:r>
          </w:p>
        </w:tc>
        <w:tc>
          <w:tcPr>
            <w:tcW w:w="1420" w:type="dxa"/>
            <w:tcBorders>
              <w:top w:val="nil"/>
              <w:left w:val="nil"/>
              <w:bottom w:val="nil"/>
              <w:right w:val="nil"/>
            </w:tcBorders>
            <w:shd w:val="clear" w:color="000000" w:fill="FFFFFF"/>
            <w:noWrap/>
            <w:vAlign w:val="bottom"/>
            <w:hideMark/>
          </w:tcPr>
          <w:p w14:paraId="5ED87A9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4,8</w:t>
            </w:r>
          </w:p>
        </w:tc>
        <w:tc>
          <w:tcPr>
            <w:tcW w:w="1520" w:type="dxa"/>
            <w:tcBorders>
              <w:top w:val="nil"/>
              <w:left w:val="nil"/>
              <w:bottom w:val="nil"/>
              <w:right w:val="nil"/>
            </w:tcBorders>
            <w:shd w:val="clear" w:color="000000" w:fill="FFFFFF"/>
            <w:noWrap/>
            <w:vAlign w:val="bottom"/>
            <w:hideMark/>
          </w:tcPr>
          <w:p w14:paraId="31E48D0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5,5</w:t>
            </w:r>
          </w:p>
        </w:tc>
        <w:tc>
          <w:tcPr>
            <w:tcW w:w="1420" w:type="dxa"/>
            <w:tcBorders>
              <w:top w:val="nil"/>
              <w:left w:val="nil"/>
              <w:bottom w:val="nil"/>
              <w:right w:val="nil"/>
            </w:tcBorders>
            <w:shd w:val="clear" w:color="000000" w:fill="FFFFFF"/>
            <w:noWrap/>
            <w:vAlign w:val="bottom"/>
            <w:hideMark/>
          </w:tcPr>
          <w:p w14:paraId="28036E5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5,5</w:t>
            </w:r>
          </w:p>
        </w:tc>
      </w:tr>
      <w:tr w:rsidR="00FD7592" w:rsidRPr="001B41AD" w14:paraId="066AF379" w14:textId="77777777" w:rsidTr="00405489">
        <w:trPr>
          <w:trHeight w:val="300"/>
        </w:trPr>
        <w:tc>
          <w:tcPr>
            <w:tcW w:w="4000" w:type="dxa"/>
            <w:tcBorders>
              <w:top w:val="nil"/>
              <w:left w:val="nil"/>
              <w:bottom w:val="nil"/>
              <w:right w:val="nil"/>
            </w:tcBorders>
            <w:shd w:val="clear" w:color="000000" w:fill="FFFFFF"/>
            <w:noWrap/>
            <w:vAlign w:val="bottom"/>
            <w:hideMark/>
          </w:tcPr>
          <w:p w14:paraId="68798393"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"Србијавоз" ад</w:t>
            </w:r>
          </w:p>
        </w:tc>
        <w:tc>
          <w:tcPr>
            <w:tcW w:w="1060" w:type="dxa"/>
            <w:tcBorders>
              <w:top w:val="nil"/>
              <w:left w:val="nil"/>
              <w:bottom w:val="nil"/>
              <w:right w:val="nil"/>
            </w:tcBorders>
            <w:shd w:val="clear" w:color="000000" w:fill="FFFFFF"/>
            <w:noWrap/>
            <w:vAlign w:val="bottom"/>
            <w:hideMark/>
          </w:tcPr>
          <w:p w14:paraId="18B99E3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3,8</w:t>
            </w:r>
          </w:p>
        </w:tc>
        <w:tc>
          <w:tcPr>
            <w:tcW w:w="1420" w:type="dxa"/>
            <w:tcBorders>
              <w:top w:val="nil"/>
              <w:left w:val="nil"/>
              <w:bottom w:val="nil"/>
              <w:right w:val="nil"/>
            </w:tcBorders>
            <w:shd w:val="clear" w:color="000000" w:fill="FFFFFF"/>
            <w:noWrap/>
            <w:vAlign w:val="bottom"/>
            <w:hideMark/>
          </w:tcPr>
          <w:p w14:paraId="23F812A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4,4</w:t>
            </w:r>
          </w:p>
        </w:tc>
        <w:tc>
          <w:tcPr>
            <w:tcW w:w="1520" w:type="dxa"/>
            <w:tcBorders>
              <w:top w:val="nil"/>
              <w:left w:val="nil"/>
              <w:bottom w:val="nil"/>
              <w:right w:val="nil"/>
            </w:tcBorders>
            <w:shd w:val="clear" w:color="000000" w:fill="FFFFFF"/>
            <w:noWrap/>
            <w:vAlign w:val="bottom"/>
            <w:hideMark/>
          </w:tcPr>
          <w:p w14:paraId="7EEF721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5,1</w:t>
            </w:r>
          </w:p>
        </w:tc>
        <w:tc>
          <w:tcPr>
            <w:tcW w:w="1420" w:type="dxa"/>
            <w:tcBorders>
              <w:top w:val="nil"/>
              <w:left w:val="nil"/>
              <w:bottom w:val="nil"/>
              <w:right w:val="nil"/>
            </w:tcBorders>
            <w:shd w:val="clear" w:color="000000" w:fill="FFFFFF"/>
            <w:noWrap/>
            <w:vAlign w:val="bottom"/>
            <w:hideMark/>
          </w:tcPr>
          <w:p w14:paraId="42F9DB9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5,3</w:t>
            </w:r>
          </w:p>
        </w:tc>
      </w:tr>
      <w:tr w:rsidR="00FD7592" w:rsidRPr="001B41AD" w14:paraId="626E7C88" w14:textId="77777777" w:rsidTr="00405489">
        <w:trPr>
          <w:trHeight w:val="300"/>
        </w:trPr>
        <w:tc>
          <w:tcPr>
            <w:tcW w:w="4000" w:type="dxa"/>
            <w:tcBorders>
              <w:top w:val="nil"/>
              <w:left w:val="nil"/>
              <w:bottom w:val="nil"/>
              <w:right w:val="nil"/>
            </w:tcBorders>
            <w:shd w:val="clear" w:color="000000" w:fill="FFFFFF"/>
            <w:noWrap/>
            <w:vAlign w:val="bottom"/>
            <w:hideMark/>
          </w:tcPr>
          <w:p w14:paraId="500B2FD7"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Остала ЈП</w:t>
            </w:r>
          </w:p>
        </w:tc>
        <w:tc>
          <w:tcPr>
            <w:tcW w:w="1060" w:type="dxa"/>
            <w:tcBorders>
              <w:top w:val="nil"/>
              <w:left w:val="nil"/>
              <w:bottom w:val="nil"/>
              <w:right w:val="nil"/>
            </w:tcBorders>
            <w:shd w:val="clear" w:color="000000" w:fill="FFFFFF"/>
            <w:noWrap/>
            <w:vAlign w:val="bottom"/>
            <w:hideMark/>
          </w:tcPr>
          <w:p w14:paraId="58371E8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12,0</w:t>
            </w:r>
          </w:p>
        </w:tc>
        <w:tc>
          <w:tcPr>
            <w:tcW w:w="1420" w:type="dxa"/>
            <w:tcBorders>
              <w:top w:val="nil"/>
              <w:left w:val="nil"/>
              <w:bottom w:val="nil"/>
              <w:right w:val="nil"/>
            </w:tcBorders>
            <w:shd w:val="clear" w:color="000000" w:fill="FFFFFF"/>
            <w:noWrap/>
            <w:vAlign w:val="bottom"/>
            <w:hideMark/>
          </w:tcPr>
          <w:p w14:paraId="5599F4B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11,3</w:t>
            </w:r>
          </w:p>
        </w:tc>
        <w:tc>
          <w:tcPr>
            <w:tcW w:w="1520" w:type="dxa"/>
            <w:tcBorders>
              <w:top w:val="nil"/>
              <w:left w:val="nil"/>
              <w:bottom w:val="nil"/>
              <w:right w:val="nil"/>
            </w:tcBorders>
            <w:shd w:val="clear" w:color="000000" w:fill="FFFFFF"/>
            <w:noWrap/>
            <w:vAlign w:val="bottom"/>
            <w:hideMark/>
          </w:tcPr>
          <w:p w14:paraId="0E4DA64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11,9</w:t>
            </w:r>
          </w:p>
        </w:tc>
        <w:tc>
          <w:tcPr>
            <w:tcW w:w="1420" w:type="dxa"/>
            <w:tcBorders>
              <w:top w:val="nil"/>
              <w:left w:val="nil"/>
              <w:bottom w:val="nil"/>
              <w:right w:val="nil"/>
            </w:tcBorders>
            <w:noWrap/>
            <w:vAlign w:val="bottom"/>
            <w:hideMark/>
          </w:tcPr>
          <w:p w14:paraId="53F112E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8,2</w:t>
            </w:r>
          </w:p>
        </w:tc>
      </w:tr>
      <w:tr w:rsidR="00FD7592" w:rsidRPr="001B41AD" w14:paraId="25C34191" w14:textId="77777777" w:rsidTr="00405489">
        <w:trPr>
          <w:trHeight w:val="300"/>
        </w:trPr>
        <w:tc>
          <w:tcPr>
            <w:tcW w:w="4000" w:type="dxa"/>
            <w:tcBorders>
              <w:top w:val="single" w:sz="4" w:space="0" w:color="002060"/>
              <w:left w:val="nil"/>
              <w:bottom w:val="single" w:sz="4" w:space="0" w:color="002060"/>
              <w:right w:val="nil"/>
            </w:tcBorders>
            <w:noWrap/>
            <w:vAlign w:val="center"/>
            <w:hideMark/>
          </w:tcPr>
          <w:p w14:paraId="43AC6717"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Укупно исплаћене субвенције:</w:t>
            </w:r>
          </w:p>
        </w:tc>
        <w:tc>
          <w:tcPr>
            <w:tcW w:w="1060" w:type="dxa"/>
            <w:tcBorders>
              <w:top w:val="single" w:sz="4" w:space="0" w:color="002060"/>
              <w:left w:val="nil"/>
              <w:bottom w:val="single" w:sz="4" w:space="0" w:color="002060"/>
              <w:right w:val="nil"/>
            </w:tcBorders>
            <w:noWrap/>
            <w:vAlign w:val="center"/>
            <w:hideMark/>
          </w:tcPr>
          <w:p w14:paraId="47FBB698"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67,2</w:t>
            </w:r>
          </w:p>
        </w:tc>
        <w:tc>
          <w:tcPr>
            <w:tcW w:w="1420" w:type="dxa"/>
            <w:tcBorders>
              <w:top w:val="single" w:sz="4" w:space="0" w:color="002060"/>
              <w:left w:val="nil"/>
              <w:bottom w:val="single" w:sz="4" w:space="0" w:color="002060"/>
              <w:right w:val="nil"/>
            </w:tcBorders>
            <w:noWrap/>
            <w:vAlign w:val="center"/>
            <w:hideMark/>
          </w:tcPr>
          <w:p w14:paraId="1E98CBDF"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56,0</w:t>
            </w:r>
          </w:p>
        </w:tc>
        <w:tc>
          <w:tcPr>
            <w:tcW w:w="1520" w:type="dxa"/>
            <w:tcBorders>
              <w:top w:val="single" w:sz="4" w:space="0" w:color="002060"/>
              <w:left w:val="nil"/>
              <w:bottom w:val="single" w:sz="4" w:space="0" w:color="002060"/>
              <w:right w:val="nil"/>
            </w:tcBorders>
            <w:noWrap/>
            <w:vAlign w:val="center"/>
            <w:hideMark/>
          </w:tcPr>
          <w:p w14:paraId="66D1FE01"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67,9</w:t>
            </w:r>
          </w:p>
        </w:tc>
        <w:tc>
          <w:tcPr>
            <w:tcW w:w="1420" w:type="dxa"/>
            <w:tcBorders>
              <w:top w:val="single" w:sz="4" w:space="0" w:color="002060"/>
              <w:left w:val="nil"/>
              <w:bottom w:val="single" w:sz="4" w:space="0" w:color="002060"/>
              <w:right w:val="nil"/>
            </w:tcBorders>
            <w:noWrap/>
            <w:vAlign w:val="center"/>
            <w:hideMark/>
          </w:tcPr>
          <w:p w14:paraId="210A5DF5"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62,3</w:t>
            </w:r>
          </w:p>
        </w:tc>
      </w:tr>
    </w:tbl>
    <w:p w14:paraId="4EB72F0B" w14:textId="77777777" w:rsidR="00FD7592" w:rsidRPr="001B41AD" w:rsidRDefault="00FD7592" w:rsidP="00FD7592">
      <w:pPr>
        <w:spacing w:after="0" w:line="276" w:lineRule="auto"/>
        <w:rPr>
          <w:rFonts w:eastAsia="MS PGothic" w:cstheme="minorHAnsi"/>
          <w:sz w:val="16"/>
          <w:szCs w:val="16"/>
          <w:lang w:val="sr-Cyrl-CS" w:eastAsia="ja-JP"/>
        </w:rPr>
      </w:pPr>
      <w:r w:rsidRPr="001B41AD">
        <w:rPr>
          <w:rFonts w:eastAsia="MS PGothic" w:cstheme="minorHAnsi"/>
          <w:sz w:val="16"/>
          <w:szCs w:val="16"/>
          <w:lang w:val="sr-Cyrl-CS" w:eastAsia="ja-JP"/>
        </w:rPr>
        <w:t>Извор: Министарство финансија</w:t>
      </w:r>
    </w:p>
    <w:p w14:paraId="64948AE4" w14:textId="77777777" w:rsidR="00FD7592" w:rsidRPr="001B41AD" w:rsidRDefault="00FD7592" w:rsidP="00FD7592">
      <w:pPr>
        <w:spacing w:after="0" w:line="276" w:lineRule="auto"/>
        <w:rPr>
          <w:rFonts w:eastAsia="MS PGothic" w:cstheme="minorHAnsi"/>
          <w:sz w:val="16"/>
          <w:szCs w:val="16"/>
          <w:lang w:val="sr-Cyrl-CS" w:eastAsia="ja-JP"/>
        </w:rPr>
      </w:pPr>
    </w:p>
    <w:p w14:paraId="31A13B20" w14:textId="77777777" w:rsidR="00FD7592" w:rsidRPr="001B41AD" w:rsidRDefault="00FD7592" w:rsidP="00FD7592">
      <w:pPr>
        <w:spacing w:after="0" w:line="276" w:lineRule="auto"/>
        <w:rPr>
          <w:rFonts w:eastAsia="MS PGothic" w:cstheme="minorHAnsi"/>
          <w:sz w:val="16"/>
          <w:szCs w:val="16"/>
          <w:lang w:val="sr-Cyrl-CS" w:eastAsia="ja-JP"/>
        </w:rPr>
        <w:sectPr w:rsidR="00FD7592" w:rsidRPr="001B41AD" w:rsidSect="00405489">
          <w:type w:val="continuous"/>
          <w:pgSz w:w="12240" w:h="15840"/>
          <w:pgMar w:top="1440" w:right="1440" w:bottom="1440" w:left="1440" w:header="720" w:footer="720" w:gutter="0"/>
          <w:cols w:space="720"/>
          <w:docGrid w:linePitch="360"/>
        </w:sectPr>
      </w:pPr>
    </w:p>
    <w:p w14:paraId="1165FC7D" w14:textId="77777777" w:rsidR="00FD7592" w:rsidRPr="001B41AD" w:rsidRDefault="00FD7592" w:rsidP="00184E32">
      <w:pPr>
        <w:spacing w:after="120" w:line="276" w:lineRule="auto"/>
        <w:rPr>
          <w:rFonts w:eastAsia="MS PGothic" w:cstheme="minorHAnsi"/>
          <w:szCs w:val="20"/>
          <w:lang w:val="sr-Cyrl-CS" w:eastAsia="ja-JP"/>
        </w:rPr>
      </w:pPr>
      <w:r w:rsidRPr="001B41AD">
        <w:rPr>
          <w:rFonts w:eastAsia="MS PGothic" w:cstheme="minorHAnsi"/>
          <w:szCs w:val="20"/>
          <w:lang w:val="sr-Cyrl-CS" w:eastAsia="ja-JP"/>
        </w:rPr>
        <w:t xml:space="preserve">Највећи корисник субвенција, у наведеном периоду, је </w:t>
      </w:r>
      <w:r w:rsidRPr="001B41AD">
        <w:rPr>
          <w:lang w:val="sr-Cyrl-CS"/>
        </w:rPr>
        <w:t>„Инфраструктура железнице Србије“ ад</w:t>
      </w:r>
      <w:r w:rsidRPr="001B41AD">
        <w:rPr>
          <w:rFonts w:eastAsia="MS PGothic" w:cstheme="minorHAnsi"/>
          <w:szCs w:val="20"/>
          <w:lang w:val="sr-Cyrl-CS" w:eastAsia="ja-JP"/>
        </w:rPr>
        <w:t xml:space="preserve">, чије су субвенције пре свега у функцији управљања инфраструктуром. У 2024. години субвенције исплаћене државним предузећима износиле су 62,3 млрд динара и оне су имале укупно учешће од 6,2% у укупно оствареним приходима 36 државних предузећа, што је на вишем нивоу у односу на претходну годину. Исплаћене субвенције за 5 највећих корисника имају учешће 86,9% у укупно исплаћеним субвенцијама. </w:t>
      </w:r>
    </w:p>
    <w:p w14:paraId="1094144A" w14:textId="77777777" w:rsidR="00FD7592" w:rsidRPr="001B41AD" w:rsidRDefault="00FD7592" w:rsidP="00184E32">
      <w:pPr>
        <w:spacing w:after="120"/>
        <w:rPr>
          <w:lang w:val="sr-Cyrl-CS"/>
        </w:rPr>
      </w:pPr>
      <w:r w:rsidRPr="001B41AD">
        <w:rPr>
          <w:lang w:val="sr-Cyrl-CS"/>
        </w:rPr>
        <w:t>Поред „Инфраструктура железнице Србије“ ад, највећи корисници субвенција су ЈП „Путеви Србије“ који средства примарно користи за редовно и ва</w:t>
      </w:r>
      <w:r w:rsidR="00DF4460" w:rsidRPr="001B41AD">
        <w:rPr>
          <w:lang w:val="sr-Cyrl-CS"/>
        </w:rPr>
        <w:t xml:space="preserve">нредно одржавање путева, затим </w:t>
      </w:r>
      <w:r w:rsidRPr="001B41AD">
        <w:rPr>
          <w:lang w:val="sr-Cyrl-CS"/>
        </w:rPr>
        <w:t xml:space="preserve">ЈП ПЕУ „Ресавица“ и „Србијавоз“ ад. Поред ових </w:t>
      </w:r>
      <w:r w:rsidRPr="001B41AD">
        <w:rPr>
          <w:lang w:val="sr-Cyrl-CS"/>
        </w:rPr>
        <w:t>корисника, у 2024. години издвојена су значајна средства и за подршку предузећу „Електродистрибуција Србије“ доо за пројекте замене мерних уређаја, уградњу паметних бројила, набавку дистрибутивних и енергетских трансформатора, а што је део напора за јачање енергетске стабилности и унапређење инфраструктурних капацитета државе.</w:t>
      </w:r>
    </w:p>
    <w:p w14:paraId="1BDB1C4C" w14:textId="77777777" w:rsidR="00FD7592" w:rsidRPr="001B41AD" w:rsidRDefault="00FD7592" w:rsidP="00FD7592">
      <w:pPr>
        <w:spacing w:after="80"/>
        <w:jc w:val="center"/>
        <w:rPr>
          <w:rFonts w:eastAsia="MS PGothic" w:cstheme="minorHAnsi"/>
          <w:b/>
          <w:color w:val="002060"/>
          <w:szCs w:val="20"/>
          <w:lang w:val="sr-Cyrl-CS" w:eastAsia="ja-JP"/>
        </w:rPr>
      </w:pPr>
    </w:p>
    <w:p w14:paraId="3FD9590A" w14:textId="77777777" w:rsidR="00FD7592" w:rsidRPr="001B41AD" w:rsidRDefault="00FD7592" w:rsidP="00FD7592">
      <w:pPr>
        <w:spacing w:after="80"/>
        <w:jc w:val="center"/>
        <w:rPr>
          <w:rFonts w:eastAsia="MS PGothic" w:cstheme="minorHAnsi"/>
          <w:b/>
          <w:color w:val="002060"/>
          <w:szCs w:val="20"/>
          <w:lang w:val="sr-Cyrl-CS" w:eastAsia="ja-JP"/>
        </w:rPr>
      </w:pPr>
    </w:p>
    <w:p w14:paraId="1039AEC6" w14:textId="77777777" w:rsidR="00FD7592" w:rsidRPr="001B41AD" w:rsidRDefault="00FD7592" w:rsidP="00FD7592">
      <w:pPr>
        <w:spacing w:after="80"/>
        <w:jc w:val="center"/>
        <w:rPr>
          <w:rFonts w:eastAsia="MS PGothic" w:cstheme="minorHAnsi"/>
          <w:b/>
          <w:color w:val="002060"/>
          <w:szCs w:val="20"/>
          <w:lang w:val="sr-Cyrl-CS" w:eastAsia="ja-JP"/>
        </w:rPr>
      </w:pPr>
    </w:p>
    <w:p w14:paraId="0FF2A91D" w14:textId="77777777" w:rsidR="00FD7592" w:rsidRPr="001B41AD" w:rsidRDefault="00FD7592" w:rsidP="00FD7592">
      <w:pPr>
        <w:spacing w:after="80"/>
        <w:jc w:val="center"/>
        <w:rPr>
          <w:rFonts w:eastAsia="MS PGothic" w:cstheme="minorHAnsi"/>
          <w:b/>
          <w:color w:val="002060"/>
          <w:szCs w:val="20"/>
          <w:lang w:val="sr-Cyrl-CS" w:eastAsia="ja-JP"/>
        </w:rPr>
      </w:pPr>
    </w:p>
    <w:p w14:paraId="6B4E8670" w14:textId="77777777" w:rsidR="00FD7592" w:rsidRPr="001B41AD" w:rsidRDefault="00FD7592" w:rsidP="00FD7592">
      <w:pPr>
        <w:spacing w:after="80"/>
        <w:jc w:val="center"/>
        <w:rPr>
          <w:rFonts w:eastAsia="MS PGothic" w:cstheme="minorHAnsi"/>
          <w:b/>
          <w:color w:val="002060"/>
          <w:szCs w:val="20"/>
          <w:lang w:val="sr-Cyrl-CS" w:eastAsia="ja-JP"/>
        </w:rPr>
      </w:pPr>
    </w:p>
    <w:p w14:paraId="3E886CC6" w14:textId="77777777" w:rsidR="00FD7592" w:rsidRPr="001B41AD" w:rsidRDefault="00FD7592" w:rsidP="00FD7592">
      <w:pPr>
        <w:spacing w:after="80"/>
        <w:jc w:val="center"/>
        <w:rPr>
          <w:rFonts w:eastAsia="MS PGothic" w:cstheme="minorHAnsi"/>
          <w:b/>
          <w:color w:val="002060"/>
          <w:szCs w:val="20"/>
          <w:lang w:val="sr-Cyrl-CS" w:eastAsia="ja-JP"/>
        </w:rPr>
      </w:pPr>
    </w:p>
    <w:p w14:paraId="12C1CBF6" w14:textId="77777777" w:rsidR="00FD7592" w:rsidRPr="001B41AD" w:rsidRDefault="00FD7592" w:rsidP="00FD7592">
      <w:pPr>
        <w:spacing w:after="80"/>
        <w:jc w:val="center"/>
        <w:rPr>
          <w:rFonts w:eastAsia="MS PGothic" w:cstheme="minorHAnsi"/>
          <w:b/>
          <w:color w:val="002060"/>
          <w:szCs w:val="20"/>
          <w:lang w:val="sr-Cyrl-CS" w:eastAsia="ja-JP"/>
        </w:rPr>
      </w:pPr>
    </w:p>
    <w:p w14:paraId="2FBA62A7" w14:textId="77777777" w:rsidR="00FD7592" w:rsidRPr="001B41AD" w:rsidRDefault="00FD7592" w:rsidP="00FD7592">
      <w:pPr>
        <w:spacing w:after="80"/>
        <w:jc w:val="center"/>
        <w:rPr>
          <w:rFonts w:eastAsia="MS PGothic" w:cstheme="minorHAnsi"/>
          <w:b/>
          <w:color w:val="002060"/>
          <w:szCs w:val="20"/>
          <w:lang w:val="sr-Cyrl-CS" w:eastAsia="ja-JP"/>
        </w:rPr>
        <w:sectPr w:rsidR="00FD7592" w:rsidRPr="001B41AD" w:rsidSect="00405489">
          <w:type w:val="continuous"/>
          <w:pgSz w:w="12240" w:h="15840"/>
          <w:pgMar w:top="1440" w:right="1440" w:bottom="1440" w:left="1440" w:header="720" w:footer="720" w:gutter="0"/>
          <w:cols w:num="2" w:space="720"/>
          <w:docGrid w:linePitch="360"/>
        </w:sectPr>
      </w:pPr>
    </w:p>
    <w:p w14:paraId="1C6762AF" w14:textId="77777777" w:rsidR="00DA551C" w:rsidRPr="001B41AD" w:rsidRDefault="00DA551C" w:rsidP="005D4FD9">
      <w:pPr>
        <w:spacing w:after="80"/>
        <w:rPr>
          <w:rFonts w:eastAsia="MS PGothic" w:cstheme="minorHAnsi"/>
          <w:b/>
          <w:color w:val="002060"/>
          <w:szCs w:val="20"/>
          <w:lang w:val="sr-Cyrl-CS" w:eastAsia="ja-JP"/>
        </w:rPr>
      </w:pPr>
    </w:p>
    <w:p w14:paraId="45418806" w14:textId="77777777" w:rsidR="00FD7592" w:rsidRPr="001B41AD" w:rsidRDefault="00FD7592" w:rsidP="00FD7592">
      <w:pPr>
        <w:spacing w:after="8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Табела 2</w:t>
      </w:r>
      <w:r w:rsidR="00BE37B4" w:rsidRPr="001B41AD">
        <w:rPr>
          <w:rFonts w:eastAsia="MS PGothic" w:cstheme="minorHAnsi"/>
          <w:b/>
          <w:color w:val="002060"/>
          <w:szCs w:val="20"/>
          <w:lang w:val="sr-Cyrl-CS" w:eastAsia="ja-JP"/>
        </w:rPr>
        <w:t>1</w:t>
      </w:r>
      <w:r w:rsidRPr="001B41AD">
        <w:rPr>
          <w:rFonts w:eastAsia="MS PGothic" w:cstheme="minorHAnsi"/>
          <w:b/>
          <w:color w:val="002060"/>
          <w:szCs w:val="20"/>
          <w:lang w:val="sr-Cyrl-CS" w:eastAsia="ja-JP"/>
        </w:rPr>
        <w:t xml:space="preserve">. Државна предузећа која су остварила нето добит у периоду 01.01–30.06.2025. године, </w:t>
      </w:r>
      <w:r w:rsidRPr="001B41AD">
        <w:rPr>
          <w:rFonts w:eastAsia="MS PGothic" w:cstheme="minorHAnsi"/>
          <w:b/>
          <w:color w:val="002060"/>
          <w:szCs w:val="20"/>
          <w:lang w:val="sr-Cyrl-CS" w:eastAsia="ja-JP"/>
        </w:rPr>
        <w:br w:type="textWrapping" w:clear="all"/>
        <w:t>у млн динара</w:t>
      </w:r>
    </w:p>
    <w:tbl>
      <w:tblPr>
        <w:tblW w:w="9478" w:type="dxa"/>
        <w:tblLook w:val="04A0" w:firstRow="1" w:lastRow="0" w:firstColumn="1" w:lastColumn="0" w:noHBand="0" w:noVBand="1"/>
      </w:tblPr>
      <w:tblGrid>
        <w:gridCol w:w="3380"/>
        <w:gridCol w:w="1195"/>
        <w:gridCol w:w="1195"/>
        <w:gridCol w:w="1195"/>
        <w:gridCol w:w="1241"/>
        <w:gridCol w:w="1272"/>
      </w:tblGrid>
      <w:tr w:rsidR="00FD7592" w:rsidRPr="001B41AD" w14:paraId="161A6EDE" w14:textId="77777777" w:rsidTr="00E32355">
        <w:trPr>
          <w:trHeight w:val="20"/>
          <w:tblHeader/>
        </w:trPr>
        <w:tc>
          <w:tcPr>
            <w:tcW w:w="3380" w:type="dxa"/>
            <w:tcBorders>
              <w:top w:val="single" w:sz="4" w:space="0" w:color="002060"/>
              <w:left w:val="nil"/>
              <w:bottom w:val="single" w:sz="4" w:space="0" w:color="002060"/>
              <w:right w:val="nil"/>
            </w:tcBorders>
            <w:vAlign w:val="center"/>
            <w:hideMark/>
          </w:tcPr>
          <w:p w14:paraId="7E0C2DB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Предузећа</w:t>
            </w:r>
          </w:p>
        </w:tc>
        <w:tc>
          <w:tcPr>
            <w:tcW w:w="1195" w:type="dxa"/>
            <w:tcBorders>
              <w:top w:val="single" w:sz="4" w:space="0" w:color="002060"/>
              <w:left w:val="nil"/>
              <w:bottom w:val="single" w:sz="4" w:space="0" w:color="002060"/>
              <w:right w:val="nil"/>
            </w:tcBorders>
            <w:vAlign w:val="center"/>
            <w:hideMark/>
          </w:tcPr>
          <w:p w14:paraId="34428FA9"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Реализација </w:t>
            </w:r>
            <w:r w:rsidRPr="001B41AD">
              <w:rPr>
                <w:rFonts w:ascii="Calibri" w:eastAsia="Times New Roman" w:hAnsi="Calibri" w:cs="Calibri"/>
                <w:b/>
                <w:bCs/>
                <w:color w:val="002060"/>
                <w:sz w:val="18"/>
                <w:szCs w:val="18"/>
                <w:lang w:val="sr-Cyrl-CS"/>
              </w:rPr>
              <w:br/>
              <w:t>2022</w:t>
            </w:r>
          </w:p>
        </w:tc>
        <w:tc>
          <w:tcPr>
            <w:tcW w:w="1195" w:type="dxa"/>
            <w:tcBorders>
              <w:top w:val="single" w:sz="4" w:space="0" w:color="002060"/>
              <w:left w:val="nil"/>
              <w:bottom w:val="single" w:sz="4" w:space="0" w:color="002060"/>
              <w:right w:val="nil"/>
            </w:tcBorders>
            <w:vAlign w:val="center"/>
            <w:hideMark/>
          </w:tcPr>
          <w:p w14:paraId="788E19A3"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Реализација </w:t>
            </w:r>
            <w:r w:rsidRPr="001B41AD">
              <w:rPr>
                <w:rFonts w:ascii="Calibri" w:eastAsia="Times New Roman" w:hAnsi="Calibri" w:cs="Calibri"/>
                <w:b/>
                <w:bCs/>
                <w:color w:val="002060"/>
                <w:sz w:val="18"/>
                <w:szCs w:val="18"/>
                <w:lang w:val="sr-Cyrl-CS"/>
              </w:rPr>
              <w:br/>
              <w:t>2023</w:t>
            </w:r>
          </w:p>
        </w:tc>
        <w:tc>
          <w:tcPr>
            <w:tcW w:w="1195" w:type="dxa"/>
            <w:tcBorders>
              <w:top w:val="single" w:sz="4" w:space="0" w:color="002060"/>
              <w:left w:val="nil"/>
              <w:bottom w:val="single" w:sz="4" w:space="0" w:color="002060"/>
              <w:right w:val="nil"/>
            </w:tcBorders>
            <w:vAlign w:val="center"/>
            <w:hideMark/>
          </w:tcPr>
          <w:p w14:paraId="7E7A7AD9"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Реализација </w:t>
            </w:r>
            <w:r w:rsidRPr="001B41AD">
              <w:rPr>
                <w:rFonts w:ascii="Calibri" w:eastAsia="Times New Roman" w:hAnsi="Calibri" w:cs="Calibri"/>
                <w:b/>
                <w:bCs/>
                <w:color w:val="002060"/>
                <w:sz w:val="18"/>
                <w:szCs w:val="18"/>
                <w:lang w:val="sr-Cyrl-CS"/>
              </w:rPr>
              <w:br/>
              <w:t>2024</w:t>
            </w:r>
          </w:p>
        </w:tc>
        <w:tc>
          <w:tcPr>
            <w:tcW w:w="1241" w:type="dxa"/>
            <w:tcBorders>
              <w:top w:val="single" w:sz="4" w:space="0" w:color="002060"/>
              <w:left w:val="nil"/>
              <w:bottom w:val="single" w:sz="4" w:space="0" w:color="002060"/>
              <w:right w:val="nil"/>
            </w:tcBorders>
            <w:vAlign w:val="center"/>
            <w:hideMark/>
          </w:tcPr>
          <w:p w14:paraId="3BC7C1C1" w14:textId="77777777" w:rsidR="00FD7592" w:rsidRPr="001B41AD" w:rsidRDefault="00DF4460"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План</w:t>
            </w:r>
            <w:r w:rsidR="00FD7592" w:rsidRPr="001B41AD">
              <w:rPr>
                <w:rFonts w:ascii="Calibri" w:eastAsia="Times New Roman" w:hAnsi="Calibri" w:cs="Calibri"/>
                <w:b/>
                <w:bCs/>
                <w:color w:val="002060"/>
                <w:sz w:val="18"/>
                <w:szCs w:val="18"/>
                <w:lang w:val="sr-Cyrl-CS"/>
              </w:rPr>
              <w:t xml:space="preserve">                                                                                                                                                                                                                                                                                                                                                  01.01 - 30.06.2025</w:t>
            </w:r>
          </w:p>
        </w:tc>
        <w:tc>
          <w:tcPr>
            <w:tcW w:w="1272" w:type="dxa"/>
            <w:tcBorders>
              <w:top w:val="single" w:sz="4" w:space="0" w:color="002060"/>
              <w:left w:val="nil"/>
              <w:bottom w:val="single" w:sz="4" w:space="0" w:color="002060"/>
              <w:right w:val="nil"/>
            </w:tcBorders>
            <w:vAlign w:val="center"/>
            <w:hideMark/>
          </w:tcPr>
          <w:p w14:paraId="7960EABE"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Реализација                                                                                                                                                                                                                                                                                                                    </w:t>
            </w:r>
            <w:r w:rsidR="00DF4460" w:rsidRPr="001B41AD">
              <w:rPr>
                <w:rFonts w:ascii="Calibri" w:eastAsia="Times New Roman" w:hAnsi="Calibri" w:cs="Calibri"/>
                <w:b/>
                <w:bCs/>
                <w:color w:val="002060"/>
                <w:sz w:val="18"/>
                <w:szCs w:val="18"/>
                <w:lang w:val="sr-Cyrl-CS"/>
              </w:rPr>
              <w:t xml:space="preserve">                          01.01</w:t>
            </w:r>
            <w:r w:rsidRPr="001B41AD">
              <w:rPr>
                <w:rFonts w:ascii="Calibri" w:eastAsia="Times New Roman" w:hAnsi="Calibri" w:cs="Calibri"/>
                <w:b/>
                <w:bCs/>
                <w:color w:val="002060"/>
                <w:sz w:val="18"/>
                <w:szCs w:val="18"/>
                <w:lang w:val="sr-Cyrl-CS"/>
              </w:rPr>
              <w:t xml:space="preserve"> - 30.06.2025</w:t>
            </w:r>
          </w:p>
        </w:tc>
      </w:tr>
      <w:tr w:rsidR="00FD7592" w:rsidRPr="001B41AD" w14:paraId="52323B29" w14:textId="77777777" w:rsidTr="005D4FD9">
        <w:trPr>
          <w:trHeight w:val="20"/>
        </w:trPr>
        <w:tc>
          <w:tcPr>
            <w:tcW w:w="3380" w:type="dxa"/>
            <w:tcBorders>
              <w:top w:val="nil"/>
              <w:left w:val="nil"/>
              <w:bottom w:val="nil"/>
              <w:right w:val="nil"/>
            </w:tcBorders>
            <w:shd w:val="clear" w:color="000000" w:fill="FFFFFF"/>
            <w:noWrap/>
            <w:vAlign w:val="center"/>
            <w:hideMark/>
          </w:tcPr>
          <w:p w14:paraId="0F1BE73C"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"Електропривреда Србије" ад</w:t>
            </w:r>
          </w:p>
        </w:tc>
        <w:tc>
          <w:tcPr>
            <w:tcW w:w="1195" w:type="dxa"/>
            <w:tcBorders>
              <w:top w:val="nil"/>
              <w:left w:val="nil"/>
              <w:bottom w:val="nil"/>
              <w:right w:val="nil"/>
            </w:tcBorders>
            <w:shd w:val="clear" w:color="000000" w:fill="FFFFFF"/>
            <w:noWrap/>
            <w:vAlign w:val="center"/>
            <w:hideMark/>
          </w:tcPr>
          <w:p w14:paraId="3C829F3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(72.634,5)</w:t>
            </w:r>
          </w:p>
        </w:tc>
        <w:tc>
          <w:tcPr>
            <w:tcW w:w="1195" w:type="dxa"/>
            <w:tcBorders>
              <w:top w:val="nil"/>
              <w:left w:val="nil"/>
              <w:bottom w:val="nil"/>
              <w:right w:val="nil"/>
            </w:tcBorders>
            <w:shd w:val="clear" w:color="000000" w:fill="FFFFFF"/>
            <w:noWrap/>
            <w:vAlign w:val="center"/>
            <w:hideMark/>
          </w:tcPr>
          <w:p w14:paraId="7A22160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112.446,8 </w:t>
            </w:r>
          </w:p>
        </w:tc>
        <w:tc>
          <w:tcPr>
            <w:tcW w:w="1195" w:type="dxa"/>
            <w:tcBorders>
              <w:top w:val="nil"/>
              <w:left w:val="nil"/>
              <w:bottom w:val="nil"/>
              <w:right w:val="nil"/>
            </w:tcBorders>
            <w:noWrap/>
            <w:vAlign w:val="center"/>
            <w:hideMark/>
          </w:tcPr>
          <w:p w14:paraId="08B50F9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24.431,1 </w:t>
            </w:r>
          </w:p>
        </w:tc>
        <w:tc>
          <w:tcPr>
            <w:tcW w:w="1241" w:type="dxa"/>
            <w:tcBorders>
              <w:top w:val="nil"/>
              <w:left w:val="nil"/>
              <w:bottom w:val="nil"/>
              <w:right w:val="nil"/>
            </w:tcBorders>
            <w:noWrap/>
            <w:vAlign w:val="center"/>
            <w:hideMark/>
          </w:tcPr>
          <w:p w14:paraId="252330E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12.321,7 </w:t>
            </w:r>
          </w:p>
        </w:tc>
        <w:tc>
          <w:tcPr>
            <w:tcW w:w="1272" w:type="dxa"/>
            <w:tcBorders>
              <w:top w:val="nil"/>
              <w:left w:val="nil"/>
              <w:bottom w:val="nil"/>
              <w:right w:val="nil"/>
            </w:tcBorders>
            <w:noWrap/>
            <w:vAlign w:val="center"/>
            <w:hideMark/>
          </w:tcPr>
          <w:p w14:paraId="5216DD3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27.351,6 </w:t>
            </w:r>
          </w:p>
        </w:tc>
      </w:tr>
      <w:tr w:rsidR="00FD7592" w:rsidRPr="001B41AD" w14:paraId="4EED1DED" w14:textId="77777777" w:rsidTr="005D4FD9">
        <w:trPr>
          <w:trHeight w:val="20"/>
        </w:trPr>
        <w:tc>
          <w:tcPr>
            <w:tcW w:w="3380" w:type="dxa"/>
            <w:tcBorders>
              <w:top w:val="nil"/>
              <w:left w:val="nil"/>
              <w:bottom w:val="nil"/>
              <w:right w:val="nil"/>
            </w:tcBorders>
            <w:shd w:val="clear" w:color="000000" w:fill="FFFFFF"/>
            <w:noWrap/>
            <w:vAlign w:val="center"/>
            <w:hideMark/>
          </w:tcPr>
          <w:p w14:paraId="6C14711A"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"Србијагас"</w:t>
            </w:r>
          </w:p>
        </w:tc>
        <w:tc>
          <w:tcPr>
            <w:tcW w:w="1195" w:type="dxa"/>
            <w:tcBorders>
              <w:top w:val="nil"/>
              <w:left w:val="nil"/>
              <w:bottom w:val="nil"/>
              <w:right w:val="nil"/>
            </w:tcBorders>
            <w:shd w:val="clear" w:color="000000" w:fill="FFFFFF"/>
            <w:noWrap/>
            <w:vAlign w:val="center"/>
            <w:hideMark/>
          </w:tcPr>
          <w:p w14:paraId="6743F12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5.488,7 </w:t>
            </w:r>
          </w:p>
        </w:tc>
        <w:tc>
          <w:tcPr>
            <w:tcW w:w="1195" w:type="dxa"/>
            <w:tcBorders>
              <w:top w:val="nil"/>
              <w:left w:val="nil"/>
              <w:bottom w:val="nil"/>
              <w:right w:val="nil"/>
            </w:tcBorders>
            <w:shd w:val="clear" w:color="000000" w:fill="FFFFFF"/>
            <w:noWrap/>
            <w:vAlign w:val="center"/>
            <w:hideMark/>
          </w:tcPr>
          <w:p w14:paraId="34871EA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12.029,8 </w:t>
            </w:r>
          </w:p>
        </w:tc>
        <w:tc>
          <w:tcPr>
            <w:tcW w:w="1195" w:type="dxa"/>
            <w:tcBorders>
              <w:top w:val="nil"/>
              <w:left w:val="nil"/>
              <w:bottom w:val="nil"/>
              <w:right w:val="nil"/>
            </w:tcBorders>
            <w:noWrap/>
            <w:vAlign w:val="center"/>
            <w:hideMark/>
          </w:tcPr>
          <w:p w14:paraId="3EAF394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8.373,9 </w:t>
            </w:r>
          </w:p>
        </w:tc>
        <w:tc>
          <w:tcPr>
            <w:tcW w:w="1241" w:type="dxa"/>
            <w:tcBorders>
              <w:top w:val="nil"/>
              <w:left w:val="nil"/>
              <w:bottom w:val="nil"/>
              <w:right w:val="nil"/>
            </w:tcBorders>
            <w:noWrap/>
            <w:vAlign w:val="center"/>
            <w:hideMark/>
          </w:tcPr>
          <w:p w14:paraId="6334CEA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7.818,5 </w:t>
            </w:r>
          </w:p>
        </w:tc>
        <w:tc>
          <w:tcPr>
            <w:tcW w:w="1272" w:type="dxa"/>
            <w:tcBorders>
              <w:top w:val="nil"/>
              <w:left w:val="nil"/>
              <w:bottom w:val="nil"/>
              <w:right w:val="nil"/>
            </w:tcBorders>
            <w:noWrap/>
            <w:vAlign w:val="center"/>
            <w:hideMark/>
          </w:tcPr>
          <w:p w14:paraId="7BE9AF0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4.832,8 </w:t>
            </w:r>
          </w:p>
        </w:tc>
      </w:tr>
      <w:tr w:rsidR="00FD7592" w:rsidRPr="001B41AD" w14:paraId="7725FE40" w14:textId="77777777" w:rsidTr="005D4FD9">
        <w:trPr>
          <w:trHeight w:val="20"/>
        </w:trPr>
        <w:tc>
          <w:tcPr>
            <w:tcW w:w="3380" w:type="dxa"/>
            <w:tcBorders>
              <w:top w:val="nil"/>
              <w:left w:val="nil"/>
              <w:bottom w:val="nil"/>
              <w:right w:val="nil"/>
            </w:tcBorders>
            <w:shd w:val="clear" w:color="000000" w:fill="FFFFFF"/>
            <w:noWrap/>
            <w:vAlign w:val="center"/>
            <w:hideMark/>
          </w:tcPr>
          <w:p w14:paraId="79A1DA58"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"Пошта Србије"</w:t>
            </w:r>
          </w:p>
        </w:tc>
        <w:tc>
          <w:tcPr>
            <w:tcW w:w="1195" w:type="dxa"/>
            <w:tcBorders>
              <w:top w:val="nil"/>
              <w:left w:val="nil"/>
              <w:bottom w:val="nil"/>
              <w:right w:val="nil"/>
            </w:tcBorders>
            <w:shd w:val="clear" w:color="000000" w:fill="FFFFFF"/>
            <w:noWrap/>
            <w:vAlign w:val="center"/>
            <w:hideMark/>
          </w:tcPr>
          <w:p w14:paraId="51426C9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2.967,4 </w:t>
            </w:r>
          </w:p>
        </w:tc>
        <w:tc>
          <w:tcPr>
            <w:tcW w:w="1195" w:type="dxa"/>
            <w:tcBorders>
              <w:top w:val="nil"/>
              <w:left w:val="nil"/>
              <w:bottom w:val="nil"/>
              <w:right w:val="nil"/>
            </w:tcBorders>
            <w:shd w:val="clear" w:color="000000" w:fill="FFFFFF"/>
            <w:noWrap/>
            <w:vAlign w:val="center"/>
            <w:hideMark/>
          </w:tcPr>
          <w:p w14:paraId="7C4C91D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3.174,4 </w:t>
            </w:r>
          </w:p>
        </w:tc>
        <w:tc>
          <w:tcPr>
            <w:tcW w:w="1195" w:type="dxa"/>
            <w:tcBorders>
              <w:top w:val="nil"/>
              <w:left w:val="nil"/>
              <w:bottom w:val="nil"/>
              <w:right w:val="nil"/>
            </w:tcBorders>
            <w:noWrap/>
            <w:vAlign w:val="center"/>
            <w:hideMark/>
          </w:tcPr>
          <w:p w14:paraId="20835BF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2.102,3 </w:t>
            </w:r>
          </w:p>
        </w:tc>
        <w:tc>
          <w:tcPr>
            <w:tcW w:w="1241" w:type="dxa"/>
            <w:tcBorders>
              <w:top w:val="nil"/>
              <w:left w:val="nil"/>
              <w:bottom w:val="nil"/>
              <w:right w:val="nil"/>
            </w:tcBorders>
            <w:noWrap/>
            <w:vAlign w:val="center"/>
            <w:hideMark/>
          </w:tcPr>
          <w:p w14:paraId="6A6BE69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1.356,0 </w:t>
            </w:r>
          </w:p>
        </w:tc>
        <w:tc>
          <w:tcPr>
            <w:tcW w:w="1272" w:type="dxa"/>
            <w:tcBorders>
              <w:top w:val="nil"/>
              <w:left w:val="nil"/>
              <w:bottom w:val="nil"/>
              <w:right w:val="nil"/>
            </w:tcBorders>
            <w:noWrap/>
            <w:vAlign w:val="center"/>
            <w:hideMark/>
          </w:tcPr>
          <w:p w14:paraId="4879790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2.557,7 </w:t>
            </w:r>
          </w:p>
        </w:tc>
      </w:tr>
      <w:tr w:rsidR="00FD7592" w:rsidRPr="001B41AD" w14:paraId="1E5DA1EF" w14:textId="77777777" w:rsidTr="005D4FD9">
        <w:trPr>
          <w:trHeight w:val="20"/>
        </w:trPr>
        <w:tc>
          <w:tcPr>
            <w:tcW w:w="3380" w:type="dxa"/>
            <w:tcBorders>
              <w:top w:val="nil"/>
              <w:left w:val="nil"/>
              <w:bottom w:val="nil"/>
              <w:right w:val="nil"/>
            </w:tcBorders>
            <w:shd w:val="clear" w:color="000000" w:fill="FFFFFF"/>
            <w:noWrap/>
            <w:vAlign w:val="center"/>
            <w:hideMark/>
          </w:tcPr>
          <w:p w14:paraId="0797DA3C"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"Електромрежа Србије" ад</w:t>
            </w:r>
          </w:p>
        </w:tc>
        <w:tc>
          <w:tcPr>
            <w:tcW w:w="1195" w:type="dxa"/>
            <w:tcBorders>
              <w:top w:val="nil"/>
              <w:left w:val="nil"/>
              <w:bottom w:val="nil"/>
              <w:right w:val="nil"/>
            </w:tcBorders>
            <w:shd w:val="clear" w:color="000000" w:fill="FFFFFF"/>
            <w:noWrap/>
            <w:vAlign w:val="center"/>
            <w:hideMark/>
          </w:tcPr>
          <w:p w14:paraId="679BE25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8.145,6 </w:t>
            </w:r>
          </w:p>
        </w:tc>
        <w:tc>
          <w:tcPr>
            <w:tcW w:w="1195" w:type="dxa"/>
            <w:tcBorders>
              <w:top w:val="nil"/>
              <w:left w:val="nil"/>
              <w:bottom w:val="nil"/>
              <w:right w:val="nil"/>
            </w:tcBorders>
            <w:shd w:val="clear" w:color="000000" w:fill="FFFFFF"/>
            <w:noWrap/>
            <w:vAlign w:val="center"/>
            <w:hideMark/>
          </w:tcPr>
          <w:p w14:paraId="624847A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3.024,9 </w:t>
            </w:r>
          </w:p>
        </w:tc>
        <w:tc>
          <w:tcPr>
            <w:tcW w:w="1195" w:type="dxa"/>
            <w:tcBorders>
              <w:top w:val="nil"/>
              <w:left w:val="nil"/>
              <w:bottom w:val="nil"/>
              <w:right w:val="nil"/>
            </w:tcBorders>
            <w:noWrap/>
            <w:vAlign w:val="center"/>
            <w:hideMark/>
          </w:tcPr>
          <w:p w14:paraId="09F1B62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3.508,3 </w:t>
            </w:r>
          </w:p>
        </w:tc>
        <w:tc>
          <w:tcPr>
            <w:tcW w:w="1241" w:type="dxa"/>
            <w:tcBorders>
              <w:top w:val="nil"/>
              <w:left w:val="nil"/>
              <w:bottom w:val="nil"/>
              <w:right w:val="nil"/>
            </w:tcBorders>
            <w:noWrap/>
            <w:vAlign w:val="center"/>
            <w:hideMark/>
          </w:tcPr>
          <w:p w14:paraId="18E5998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491,6 </w:t>
            </w:r>
          </w:p>
        </w:tc>
        <w:tc>
          <w:tcPr>
            <w:tcW w:w="1272" w:type="dxa"/>
            <w:tcBorders>
              <w:top w:val="nil"/>
              <w:left w:val="nil"/>
              <w:bottom w:val="nil"/>
              <w:right w:val="nil"/>
            </w:tcBorders>
            <w:noWrap/>
            <w:vAlign w:val="center"/>
            <w:hideMark/>
          </w:tcPr>
          <w:p w14:paraId="3B3FEC6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1.389,9 </w:t>
            </w:r>
          </w:p>
        </w:tc>
      </w:tr>
      <w:tr w:rsidR="00FD7592" w:rsidRPr="001B41AD" w14:paraId="34CA1BC2" w14:textId="77777777" w:rsidTr="005D4FD9">
        <w:trPr>
          <w:trHeight w:val="20"/>
        </w:trPr>
        <w:tc>
          <w:tcPr>
            <w:tcW w:w="3380" w:type="dxa"/>
            <w:tcBorders>
              <w:top w:val="nil"/>
              <w:left w:val="nil"/>
              <w:bottom w:val="nil"/>
              <w:right w:val="nil"/>
            </w:tcBorders>
            <w:shd w:val="clear" w:color="000000" w:fill="FFFFFF"/>
            <w:noWrap/>
            <w:vAlign w:val="center"/>
            <w:hideMark/>
          </w:tcPr>
          <w:p w14:paraId="091A183B"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"Скијалишта Србије"</w:t>
            </w:r>
          </w:p>
        </w:tc>
        <w:tc>
          <w:tcPr>
            <w:tcW w:w="1195" w:type="dxa"/>
            <w:tcBorders>
              <w:top w:val="nil"/>
              <w:left w:val="nil"/>
              <w:bottom w:val="nil"/>
              <w:right w:val="nil"/>
            </w:tcBorders>
            <w:shd w:val="clear" w:color="000000" w:fill="FFFFFF"/>
            <w:noWrap/>
            <w:vAlign w:val="center"/>
            <w:hideMark/>
          </w:tcPr>
          <w:p w14:paraId="4920511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242,3 </w:t>
            </w:r>
          </w:p>
        </w:tc>
        <w:tc>
          <w:tcPr>
            <w:tcW w:w="1195" w:type="dxa"/>
            <w:tcBorders>
              <w:top w:val="nil"/>
              <w:left w:val="nil"/>
              <w:bottom w:val="nil"/>
              <w:right w:val="nil"/>
            </w:tcBorders>
            <w:shd w:val="clear" w:color="000000" w:fill="FFFFFF"/>
            <w:noWrap/>
            <w:vAlign w:val="center"/>
            <w:hideMark/>
          </w:tcPr>
          <w:p w14:paraId="77D2FDD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59,6 </w:t>
            </w:r>
          </w:p>
        </w:tc>
        <w:tc>
          <w:tcPr>
            <w:tcW w:w="1195" w:type="dxa"/>
            <w:tcBorders>
              <w:top w:val="nil"/>
              <w:left w:val="nil"/>
              <w:bottom w:val="nil"/>
              <w:right w:val="nil"/>
            </w:tcBorders>
            <w:noWrap/>
            <w:vAlign w:val="center"/>
            <w:hideMark/>
          </w:tcPr>
          <w:p w14:paraId="7462482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44,5 </w:t>
            </w:r>
          </w:p>
        </w:tc>
        <w:tc>
          <w:tcPr>
            <w:tcW w:w="1241" w:type="dxa"/>
            <w:tcBorders>
              <w:top w:val="nil"/>
              <w:left w:val="nil"/>
              <w:bottom w:val="nil"/>
              <w:right w:val="nil"/>
            </w:tcBorders>
            <w:noWrap/>
            <w:vAlign w:val="center"/>
            <w:hideMark/>
          </w:tcPr>
          <w:p w14:paraId="7976C89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377,3 </w:t>
            </w:r>
          </w:p>
        </w:tc>
        <w:tc>
          <w:tcPr>
            <w:tcW w:w="1272" w:type="dxa"/>
            <w:tcBorders>
              <w:top w:val="nil"/>
              <w:left w:val="nil"/>
              <w:bottom w:val="nil"/>
              <w:right w:val="nil"/>
            </w:tcBorders>
            <w:noWrap/>
            <w:vAlign w:val="center"/>
            <w:hideMark/>
          </w:tcPr>
          <w:p w14:paraId="5CFB6E7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457,2 </w:t>
            </w:r>
          </w:p>
        </w:tc>
      </w:tr>
      <w:tr w:rsidR="00FD7592" w:rsidRPr="001B41AD" w14:paraId="44693C14" w14:textId="77777777" w:rsidTr="005D4FD9">
        <w:trPr>
          <w:trHeight w:val="20"/>
        </w:trPr>
        <w:tc>
          <w:tcPr>
            <w:tcW w:w="3380" w:type="dxa"/>
            <w:tcBorders>
              <w:top w:val="nil"/>
              <w:left w:val="nil"/>
              <w:bottom w:val="nil"/>
              <w:right w:val="nil"/>
            </w:tcBorders>
            <w:shd w:val="clear" w:color="000000" w:fill="FFFFFF"/>
            <w:noWrap/>
            <w:vAlign w:val="center"/>
            <w:hideMark/>
          </w:tcPr>
          <w:p w14:paraId="4897A85C"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"Југоимпорт-СДПР"</w:t>
            </w:r>
          </w:p>
        </w:tc>
        <w:tc>
          <w:tcPr>
            <w:tcW w:w="1195" w:type="dxa"/>
            <w:tcBorders>
              <w:top w:val="nil"/>
              <w:left w:val="nil"/>
              <w:bottom w:val="nil"/>
              <w:right w:val="nil"/>
            </w:tcBorders>
            <w:shd w:val="clear" w:color="000000" w:fill="FFFFFF"/>
            <w:noWrap/>
            <w:vAlign w:val="center"/>
            <w:hideMark/>
          </w:tcPr>
          <w:p w14:paraId="7D22A4D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392,5 </w:t>
            </w:r>
          </w:p>
        </w:tc>
        <w:tc>
          <w:tcPr>
            <w:tcW w:w="1195" w:type="dxa"/>
            <w:tcBorders>
              <w:top w:val="nil"/>
              <w:left w:val="nil"/>
              <w:bottom w:val="nil"/>
              <w:right w:val="nil"/>
            </w:tcBorders>
            <w:shd w:val="clear" w:color="000000" w:fill="FFFFFF"/>
            <w:noWrap/>
            <w:vAlign w:val="center"/>
            <w:hideMark/>
          </w:tcPr>
          <w:p w14:paraId="3519C62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601,7 </w:t>
            </w:r>
          </w:p>
        </w:tc>
        <w:tc>
          <w:tcPr>
            <w:tcW w:w="1195" w:type="dxa"/>
            <w:tcBorders>
              <w:top w:val="nil"/>
              <w:left w:val="nil"/>
              <w:bottom w:val="nil"/>
              <w:right w:val="nil"/>
            </w:tcBorders>
            <w:noWrap/>
            <w:vAlign w:val="center"/>
            <w:hideMark/>
          </w:tcPr>
          <w:p w14:paraId="38D2E8E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445,0 </w:t>
            </w:r>
          </w:p>
        </w:tc>
        <w:tc>
          <w:tcPr>
            <w:tcW w:w="1241" w:type="dxa"/>
            <w:tcBorders>
              <w:top w:val="nil"/>
              <w:left w:val="nil"/>
              <w:bottom w:val="nil"/>
              <w:right w:val="nil"/>
            </w:tcBorders>
            <w:noWrap/>
            <w:vAlign w:val="center"/>
            <w:hideMark/>
          </w:tcPr>
          <w:p w14:paraId="0E3CFA7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361,8 </w:t>
            </w:r>
          </w:p>
        </w:tc>
        <w:tc>
          <w:tcPr>
            <w:tcW w:w="1272" w:type="dxa"/>
            <w:tcBorders>
              <w:top w:val="nil"/>
              <w:left w:val="nil"/>
              <w:bottom w:val="nil"/>
              <w:right w:val="nil"/>
            </w:tcBorders>
            <w:noWrap/>
            <w:vAlign w:val="center"/>
            <w:hideMark/>
          </w:tcPr>
          <w:p w14:paraId="5461BBA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204,5 </w:t>
            </w:r>
          </w:p>
        </w:tc>
      </w:tr>
      <w:tr w:rsidR="00FD7592" w:rsidRPr="001B41AD" w14:paraId="409866DA" w14:textId="77777777" w:rsidTr="005D4FD9">
        <w:trPr>
          <w:trHeight w:val="20"/>
        </w:trPr>
        <w:tc>
          <w:tcPr>
            <w:tcW w:w="3380" w:type="dxa"/>
            <w:tcBorders>
              <w:top w:val="nil"/>
              <w:left w:val="nil"/>
              <w:bottom w:val="nil"/>
              <w:right w:val="nil"/>
            </w:tcBorders>
            <w:shd w:val="clear" w:color="000000" w:fill="FFFFFF"/>
            <w:noWrap/>
            <w:vAlign w:val="center"/>
            <w:hideMark/>
          </w:tcPr>
          <w:p w14:paraId="1432A482"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"Србијашуме"</w:t>
            </w:r>
          </w:p>
        </w:tc>
        <w:tc>
          <w:tcPr>
            <w:tcW w:w="1195" w:type="dxa"/>
            <w:tcBorders>
              <w:top w:val="nil"/>
              <w:left w:val="nil"/>
              <w:bottom w:val="nil"/>
              <w:right w:val="nil"/>
            </w:tcBorders>
            <w:shd w:val="clear" w:color="000000" w:fill="FFFFFF"/>
            <w:noWrap/>
            <w:vAlign w:val="center"/>
            <w:hideMark/>
          </w:tcPr>
          <w:p w14:paraId="75DDCF8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737,9 </w:t>
            </w:r>
          </w:p>
        </w:tc>
        <w:tc>
          <w:tcPr>
            <w:tcW w:w="1195" w:type="dxa"/>
            <w:tcBorders>
              <w:top w:val="nil"/>
              <w:left w:val="nil"/>
              <w:bottom w:val="nil"/>
              <w:right w:val="nil"/>
            </w:tcBorders>
            <w:shd w:val="clear" w:color="000000" w:fill="FFFFFF"/>
            <w:noWrap/>
            <w:vAlign w:val="center"/>
            <w:hideMark/>
          </w:tcPr>
          <w:p w14:paraId="596ECEF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725,7 </w:t>
            </w:r>
          </w:p>
        </w:tc>
        <w:tc>
          <w:tcPr>
            <w:tcW w:w="1195" w:type="dxa"/>
            <w:tcBorders>
              <w:top w:val="nil"/>
              <w:left w:val="nil"/>
              <w:bottom w:val="nil"/>
              <w:right w:val="nil"/>
            </w:tcBorders>
            <w:noWrap/>
            <w:vAlign w:val="center"/>
            <w:hideMark/>
          </w:tcPr>
          <w:p w14:paraId="0B060B9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173,1 </w:t>
            </w:r>
          </w:p>
        </w:tc>
        <w:tc>
          <w:tcPr>
            <w:tcW w:w="1241" w:type="dxa"/>
            <w:tcBorders>
              <w:top w:val="nil"/>
              <w:left w:val="nil"/>
              <w:bottom w:val="nil"/>
              <w:right w:val="nil"/>
            </w:tcBorders>
            <w:noWrap/>
            <w:hideMark/>
          </w:tcPr>
          <w:p w14:paraId="01F71BA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17,6 </w:t>
            </w:r>
          </w:p>
        </w:tc>
        <w:tc>
          <w:tcPr>
            <w:tcW w:w="1272" w:type="dxa"/>
            <w:tcBorders>
              <w:top w:val="nil"/>
              <w:left w:val="nil"/>
              <w:bottom w:val="nil"/>
              <w:right w:val="nil"/>
            </w:tcBorders>
            <w:noWrap/>
            <w:vAlign w:val="center"/>
            <w:hideMark/>
          </w:tcPr>
          <w:p w14:paraId="7FECF5A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119,8 </w:t>
            </w:r>
          </w:p>
        </w:tc>
      </w:tr>
      <w:tr w:rsidR="00FD7592" w:rsidRPr="001B41AD" w14:paraId="00CC3787" w14:textId="77777777" w:rsidTr="005D4FD9">
        <w:trPr>
          <w:trHeight w:val="20"/>
        </w:trPr>
        <w:tc>
          <w:tcPr>
            <w:tcW w:w="3380" w:type="dxa"/>
            <w:tcBorders>
              <w:top w:val="nil"/>
              <w:left w:val="nil"/>
              <w:bottom w:val="nil"/>
              <w:right w:val="nil"/>
            </w:tcBorders>
            <w:shd w:val="clear" w:color="000000" w:fill="FFFFFF"/>
            <w:noWrap/>
            <w:vAlign w:val="center"/>
            <w:hideMark/>
          </w:tcPr>
          <w:p w14:paraId="31AE94AF"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"Дипос" доо</w:t>
            </w:r>
          </w:p>
        </w:tc>
        <w:tc>
          <w:tcPr>
            <w:tcW w:w="1195" w:type="dxa"/>
            <w:tcBorders>
              <w:top w:val="nil"/>
              <w:left w:val="nil"/>
              <w:bottom w:val="nil"/>
              <w:right w:val="nil"/>
            </w:tcBorders>
            <w:shd w:val="clear" w:color="000000" w:fill="FFFFFF"/>
            <w:noWrap/>
            <w:vAlign w:val="center"/>
            <w:hideMark/>
          </w:tcPr>
          <w:p w14:paraId="118ACF1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143,2 </w:t>
            </w:r>
          </w:p>
        </w:tc>
        <w:tc>
          <w:tcPr>
            <w:tcW w:w="1195" w:type="dxa"/>
            <w:tcBorders>
              <w:top w:val="nil"/>
              <w:left w:val="nil"/>
              <w:bottom w:val="nil"/>
              <w:right w:val="nil"/>
            </w:tcBorders>
            <w:shd w:val="clear" w:color="000000" w:fill="FFFFFF"/>
            <w:noWrap/>
            <w:vAlign w:val="center"/>
            <w:hideMark/>
          </w:tcPr>
          <w:p w14:paraId="1537BD8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193,4 </w:t>
            </w:r>
          </w:p>
        </w:tc>
        <w:tc>
          <w:tcPr>
            <w:tcW w:w="1195" w:type="dxa"/>
            <w:tcBorders>
              <w:top w:val="nil"/>
              <w:left w:val="nil"/>
              <w:bottom w:val="nil"/>
              <w:right w:val="nil"/>
            </w:tcBorders>
            <w:noWrap/>
            <w:vAlign w:val="center"/>
            <w:hideMark/>
          </w:tcPr>
          <w:p w14:paraId="166F073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226,6 </w:t>
            </w:r>
          </w:p>
        </w:tc>
        <w:tc>
          <w:tcPr>
            <w:tcW w:w="1241" w:type="dxa"/>
            <w:tcBorders>
              <w:top w:val="nil"/>
              <w:left w:val="nil"/>
              <w:bottom w:val="nil"/>
              <w:right w:val="nil"/>
            </w:tcBorders>
            <w:noWrap/>
            <w:vAlign w:val="center"/>
            <w:hideMark/>
          </w:tcPr>
          <w:p w14:paraId="3C757A2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88,1 </w:t>
            </w:r>
          </w:p>
        </w:tc>
        <w:tc>
          <w:tcPr>
            <w:tcW w:w="1272" w:type="dxa"/>
            <w:tcBorders>
              <w:top w:val="nil"/>
              <w:left w:val="nil"/>
              <w:bottom w:val="nil"/>
              <w:right w:val="nil"/>
            </w:tcBorders>
            <w:noWrap/>
            <w:vAlign w:val="center"/>
            <w:hideMark/>
          </w:tcPr>
          <w:p w14:paraId="01DC704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118,3 </w:t>
            </w:r>
          </w:p>
        </w:tc>
      </w:tr>
      <w:tr w:rsidR="00FD7592" w:rsidRPr="001B41AD" w14:paraId="5A970BCD" w14:textId="77777777" w:rsidTr="005D4FD9">
        <w:trPr>
          <w:trHeight w:val="20"/>
        </w:trPr>
        <w:tc>
          <w:tcPr>
            <w:tcW w:w="3380" w:type="dxa"/>
            <w:tcBorders>
              <w:top w:val="nil"/>
              <w:left w:val="nil"/>
              <w:bottom w:val="nil"/>
              <w:right w:val="nil"/>
            </w:tcBorders>
            <w:shd w:val="clear" w:color="000000" w:fill="FFFFFF"/>
            <w:noWrap/>
            <w:vAlign w:val="center"/>
            <w:hideMark/>
          </w:tcPr>
          <w:p w14:paraId="357AE07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"Транснафта" ад</w:t>
            </w:r>
          </w:p>
        </w:tc>
        <w:tc>
          <w:tcPr>
            <w:tcW w:w="1195" w:type="dxa"/>
            <w:tcBorders>
              <w:top w:val="nil"/>
              <w:left w:val="nil"/>
              <w:bottom w:val="nil"/>
              <w:right w:val="nil"/>
            </w:tcBorders>
            <w:shd w:val="clear" w:color="000000" w:fill="FFFFFF"/>
            <w:noWrap/>
            <w:vAlign w:val="center"/>
            <w:hideMark/>
          </w:tcPr>
          <w:p w14:paraId="4601ABA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344,4 </w:t>
            </w:r>
          </w:p>
        </w:tc>
        <w:tc>
          <w:tcPr>
            <w:tcW w:w="1195" w:type="dxa"/>
            <w:tcBorders>
              <w:top w:val="nil"/>
              <w:left w:val="nil"/>
              <w:bottom w:val="nil"/>
              <w:right w:val="nil"/>
            </w:tcBorders>
            <w:shd w:val="clear" w:color="000000" w:fill="FFFFFF"/>
            <w:noWrap/>
            <w:vAlign w:val="center"/>
            <w:hideMark/>
          </w:tcPr>
          <w:p w14:paraId="4922495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279,0 </w:t>
            </w:r>
          </w:p>
        </w:tc>
        <w:tc>
          <w:tcPr>
            <w:tcW w:w="1195" w:type="dxa"/>
            <w:tcBorders>
              <w:top w:val="nil"/>
              <w:left w:val="nil"/>
              <w:bottom w:val="nil"/>
              <w:right w:val="nil"/>
            </w:tcBorders>
            <w:noWrap/>
            <w:vAlign w:val="center"/>
            <w:hideMark/>
          </w:tcPr>
          <w:p w14:paraId="43650A4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217,9 </w:t>
            </w:r>
          </w:p>
        </w:tc>
        <w:tc>
          <w:tcPr>
            <w:tcW w:w="1241" w:type="dxa"/>
            <w:tcBorders>
              <w:top w:val="nil"/>
              <w:left w:val="nil"/>
              <w:bottom w:val="nil"/>
              <w:right w:val="nil"/>
            </w:tcBorders>
            <w:noWrap/>
            <w:vAlign w:val="center"/>
            <w:hideMark/>
          </w:tcPr>
          <w:p w14:paraId="164897B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19,8 </w:t>
            </w:r>
          </w:p>
        </w:tc>
        <w:tc>
          <w:tcPr>
            <w:tcW w:w="1272" w:type="dxa"/>
            <w:tcBorders>
              <w:top w:val="nil"/>
              <w:left w:val="nil"/>
              <w:bottom w:val="nil"/>
              <w:right w:val="nil"/>
            </w:tcBorders>
            <w:noWrap/>
            <w:vAlign w:val="center"/>
            <w:hideMark/>
          </w:tcPr>
          <w:p w14:paraId="79F22C3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68,8 </w:t>
            </w:r>
          </w:p>
        </w:tc>
      </w:tr>
      <w:tr w:rsidR="00FD7592" w:rsidRPr="001B41AD" w14:paraId="7CB3D760" w14:textId="77777777" w:rsidTr="005D4FD9">
        <w:trPr>
          <w:trHeight w:val="20"/>
        </w:trPr>
        <w:tc>
          <w:tcPr>
            <w:tcW w:w="3380" w:type="dxa"/>
            <w:tcBorders>
              <w:top w:val="nil"/>
              <w:left w:val="nil"/>
              <w:bottom w:val="nil"/>
              <w:right w:val="nil"/>
            </w:tcBorders>
            <w:shd w:val="clear" w:color="000000" w:fill="FFFFFF"/>
            <w:noWrap/>
            <w:vAlign w:val="center"/>
            <w:hideMark/>
          </w:tcPr>
          <w:p w14:paraId="6FAC9ECC"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"Национални парк Копаоник"</w:t>
            </w:r>
          </w:p>
        </w:tc>
        <w:tc>
          <w:tcPr>
            <w:tcW w:w="1195" w:type="dxa"/>
            <w:tcBorders>
              <w:top w:val="nil"/>
              <w:left w:val="nil"/>
              <w:bottom w:val="nil"/>
              <w:right w:val="nil"/>
            </w:tcBorders>
            <w:shd w:val="clear" w:color="000000" w:fill="FFFFFF"/>
            <w:noWrap/>
            <w:vAlign w:val="center"/>
            <w:hideMark/>
          </w:tcPr>
          <w:p w14:paraId="4C54E47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11,1 </w:t>
            </w:r>
          </w:p>
        </w:tc>
        <w:tc>
          <w:tcPr>
            <w:tcW w:w="1195" w:type="dxa"/>
            <w:tcBorders>
              <w:top w:val="nil"/>
              <w:left w:val="nil"/>
              <w:bottom w:val="nil"/>
              <w:right w:val="nil"/>
            </w:tcBorders>
            <w:shd w:val="clear" w:color="000000" w:fill="FFFFFF"/>
            <w:noWrap/>
            <w:vAlign w:val="center"/>
            <w:hideMark/>
          </w:tcPr>
          <w:p w14:paraId="6FCD292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10,1 </w:t>
            </w:r>
          </w:p>
        </w:tc>
        <w:tc>
          <w:tcPr>
            <w:tcW w:w="1195" w:type="dxa"/>
            <w:tcBorders>
              <w:top w:val="nil"/>
              <w:left w:val="nil"/>
              <w:bottom w:val="nil"/>
              <w:right w:val="nil"/>
            </w:tcBorders>
            <w:noWrap/>
            <w:vAlign w:val="center"/>
            <w:hideMark/>
          </w:tcPr>
          <w:p w14:paraId="2CB0B66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12,1 </w:t>
            </w:r>
          </w:p>
        </w:tc>
        <w:tc>
          <w:tcPr>
            <w:tcW w:w="1241" w:type="dxa"/>
            <w:tcBorders>
              <w:top w:val="nil"/>
              <w:left w:val="nil"/>
              <w:bottom w:val="nil"/>
              <w:right w:val="nil"/>
            </w:tcBorders>
            <w:noWrap/>
            <w:vAlign w:val="center"/>
            <w:hideMark/>
          </w:tcPr>
          <w:p w14:paraId="1252635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40,6 </w:t>
            </w:r>
          </w:p>
        </w:tc>
        <w:tc>
          <w:tcPr>
            <w:tcW w:w="1272" w:type="dxa"/>
            <w:tcBorders>
              <w:top w:val="nil"/>
              <w:left w:val="nil"/>
              <w:bottom w:val="nil"/>
              <w:right w:val="nil"/>
            </w:tcBorders>
            <w:noWrap/>
            <w:vAlign w:val="center"/>
            <w:hideMark/>
          </w:tcPr>
          <w:p w14:paraId="7DBAA75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52,0 </w:t>
            </w:r>
          </w:p>
        </w:tc>
      </w:tr>
      <w:tr w:rsidR="00FD7592" w:rsidRPr="001B41AD" w14:paraId="1F47E28B" w14:textId="77777777" w:rsidTr="005D4FD9">
        <w:trPr>
          <w:trHeight w:val="20"/>
        </w:trPr>
        <w:tc>
          <w:tcPr>
            <w:tcW w:w="3380" w:type="dxa"/>
            <w:tcBorders>
              <w:top w:val="nil"/>
              <w:left w:val="nil"/>
              <w:bottom w:val="nil"/>
              <w:right w:val="nil"/>
            </w:tcBorders>
            <w:shd w:val="clear" w:color="000000" w:fill="FFFFFF"/>
            <w:noWrap/>
            <w:vAlign w:val="center"/>
            <w:hideMark/>
          </w:tcPr>
          <w:p w14:paraId="1A5A856C"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"Железнице Србије" ад</w:t>
            </w:r>
          </w:p>
        </w:tc>
        <w:tc>
          <w:tcPr>
            <w:tcW w:w="1195" w:type="dxa"/>
            <w:tcBorders>
              <w:top w:val="nil"/>
              <w:left w:val="nil"/>
              <w:bottom w:val="nil"/>
              <w:right w:val="nil"/>
            </w:tcBorders>
            <w:shd w:val="clear" w:color="000000" w:fill="FFFFFF"/>
            <w:noWrap/>
            <w:vAlign w:val="center"/>
            <w:hideMark/>
          </w:tcPr>
          <w:p w14:paraId="1DBD4A5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(1.237,8)</w:t>
            </w:r>
          </w:p>
        </w:tc>
        <w:tc>
          <w:tcPr>
            <w:tcW w:w="1195" w:type="dxa"/>
            <w:tcBorders>
              <w:top w:val="nil"/>
              <w:left w:val="nil"/>
              <w:bottom w:val="nil"/>
              <w:right w:val="nil"/>
            </w:tcBorders>
            <w:shd w:val="clear" w:color="000000" w:fill="FFFFFF"/>
            <w:noWrap/>
            <w:vAlign w:val="center"/>
            <w:hideMark/>
          </w:tcPr>
          <w:p w14:paraId="01D9B7B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(167,7)</w:t>
            </w:r>
          </w:p>
        </w:tc>
        <w:tc>
          <w:tcPr>
            <w:tcW w:w="1195" w:type="dxa"/>
            <w:tcBorders>
              <w:top w:val="nil"/>
              <w:left w:val="nil"/>
              <w:bottom w:val="nil"/>
              <w:right w:val="nil"/>
            </w:tcBorders>
            <w:noWrap/>
            <w:vAlign w:val="center"/>
            <w:hideMark/>
          </w:tcPr>
          <w:p w14:paraId="186A6FC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(1.001,8)</w:t>
            </w:r>
          </w:p>
        </w:tc>
        <w:tc>
          <w:tcPr>
            <w:tcW w:w="1241" w:type="dxa"/>
            <w:tcBorders>
              <w:top w:val="nil"/>
              <w:left w:val="nil"/>
              <w:bottom w:val="nil"/>
              <w:right w:val="nil"/>
            </w:tcBorders>
            <w:noWrap/>
            <w:vAlign w:val="center"/>
            <w:hideMark/>
          </w:tcPr>
          <w:p w14:paraId="464E0B6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(126,0)</w:t>
            </w:r>
          </w:p>
        </w:tc>
        <w:tc>
          <w:tcPr>
            <w:tcW w:w="1272" w:type="dxa"/>
            <w:tcBorders>
              <w:top w:val="nil"/>
              <w:left w:val="nil"/>
              <w:bottom w:val="nil"/>
              <w:right w:val="nil"/>
            </w:tcBorders>
            <w:noWrap/>
            <w:vAlign w:val="center"/>
            <w:hideMark/>
          </w:tcPr>
          <w:p w14:paraId="3B17E8B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49,2 </w:t>
            </w:r>
          </w:p>
        </w:tc>
      </w:tr>
      <w:tr w:rsidR="00FD7592" w:rsidRPr="001B41AD" w14:paraId="49D3CF97" w14:textId="77777777" w:rsidTr="005D4FD9">
        <w:trPr>
          <w:trHeight w:val="20"/>
        </w:trPr>
        <w:tc>
          <w:tcPr>
            <w:tcW w:w="3380" w:type="dxa"/>
            <w:tcBorders>
              <w:top w:val="nil"/>
              <w:left w:val="nil"/>
              <w:bottom w:val="nil"/>
              <w:right w:val="nil"/>
            </w:tcBorders>
            <w:shd w:val="clear" w:color="000000" w:fill="FFFFFF"/>
            <w:noWrap/>
            <w:vAlign w:val="center"/>
            <w:hideMark/>
          </w:tcPr>
          <w:p w14:paraId="23CAA01A"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"Државна лутрија Србије" доо</w:t>
            </w:r>
          </w:p>
        </w:tc>
        <w:tc>
          <w:tcPr>
            <w:tcW w:w="1195" w:type="dxa"/>
            <w:tcBorders>
              <w:top w:val="nil"/>
              <w:left w:val="nil"/>
              <w:bottom w:val="nil"/>
              <w:right w:val="nil"/>
            </w:tcBorders>
            <w:shd w:val="clear" w:color="000000" w:fill="FFFFFF"/>
            <w:noWrap/>
            <w:vAlign w:val="center"/>
            <w:hideMark/>
          </w:tcPr>
          <w:p w14:paraId="2F6CC25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292,5 </w:t>
            </w:r>
          </w:p>
        </w:tc>
        <w:tc>
          <w:tcPr>
            <w:tcW w:w="1195" w:type="dxa"/>
            <w:tcBorders>
              <w:top w:val="nil"/>
              <w:left w:val="nil"/>
              <w:bottom w:val="nil"/>
              <w:right w:val="nil"/>
            </w:tcBorders>
            <w:shd w:val="clear" w:color="000000" w:fill="FFFFFF"/>
            <w:noWrap/>
            <w:vAlign w:val="center"/>
            <w:hideMark/>
          </w:tcPr>
          <w:p w14:paraId="7A69371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273,3 </w:t>
            </w:r>
          </w:p>
        </w:tc>
        <w:tc>
          <w:tcPr>
            <w:tcW w:w="1195" w:type="dxa"/>
            <w:tcBorders>
              <w:top w:val="nil"/>
              <w:left w:val="nil"/>
              <w:bottom w:val="nil"/>
              <w:right w:val="nil"/>
            </w:tcBorders>
            <w:noWrap/>
            <w:vAlign w:val="center"/>
            <w:hideMark/>
          </w:tcPr>
          <w:p w14:paraId="3174186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148,0 </w:t>
            </w:r>
          </w:p>
        </w:tc>
        <w:tc>
          <w:tcPr>
            <w:tcW w:w="1241" w:type="dxa"/>
            <w:tcBorders>
              <w:top w:val="nil"/>
              <w:left w:val="nil"/>
              <w:bottom w:val="nil"/>
              <w:right w:val="nil"/>
            </w:tcBorders>
            <w:noWrap/>
            <w:vAlign w:val="center"/>
            <w:hideMark/>
          </w:tcPr>
          <w:p w14:paraId="4DD8B1D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24,1 </w:t>
            </w:r>
          </w:p>
        </w:tc>
        <w:tc>
          <w:tcPr>
            <w:tcW w:w="1272" w:type="dxa"/>
            <w:tcBorders>
              <w:top w:val="nil"/>
              <w:left w:val="nil"/>
              <w:bottom w:val="nil"/>
              <w:right w:val="nil"/>
            </w:tcBorders>
            <w:noWrap/>
            <w:vAlign w:val="center"/>
            <w:hideMark/>
          </w:tcPr>
          <w:p w14:paraId="0D2B1BB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42,2 </w:t>
            </w:r>
          </w:p>
        </w:tc>
      </w:tr>
      <w:tr w:rsidR="00FD7592" w:rsidRPr="001B41AD" w14:paraId="410E79F8" w14:textId="77777777" w:rsidTr="005D4FD9">
        <w:trPr>
          <w:trHeight w:val="20"/>
        </w:trPr>
        <w:tc>
          <w:tcPr>
            <w:tcW w:w="3380" w:type="dxa"/>
            <w:tcBorders>
              <w:top w:val="nil"/>
              <w:left w:val="nil"/>
              <w:bottom w:val="nil"/>
              <w:right w:val="nil"/>
            </w:tcBorders>
            <w:shd w:val="clear" w:color="000000" w:fill="FFFFFF"/>
            <w:noWrap/>
            <w:vAlign w:val="center"/>
            <w:hideMark/>
          </w:tcPr>
          <w:p w14:paraId="5DCFBAF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"Национални парк Тара"</w:t>
            </w:r>
          </w:p>
        </w:tc>
        <w:tc>
          <w:tcPr>
            <w:tcW w:w="1195" w:type="dxa"/>
            <w:tcBorders>
              <w:top w:val="nil"/>
              <w:left w:val="nil"/>
              <w:bottom w:val="nil"/>
              <w:right w:val="nil"/>
            </w:tcBorders>
            <w:shd w:val="clear" w:color="000000" w:fill="FFFFFF"/>
            <w:noWrap/>
            <w:vAlign w:val="center"/>
            <w:hideMark/>
          </w:tcPr>
          <w:p w14:paraId="0544207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6,9 </w:t>
            </w:r>
          </w:p>
        </w:tc>
        <w:tc>
          <w:tcPr>
            <w:tcW w:w="1195" w:type="dxa"/>
            <w:tcBorders>
              <w:top w:val="nil"/>
              <w:left w:val="nil"/>
              <w:bottom w:val="nil"/>
              <w:right w:val="nil"/>
            </w:tcBorders>
            <w:shd w:val="clear" w:color="000000" w:fill="FFFFFF"/>
            <w:noWrap/>
            <w:vAlign w:val="center"/>
            <w:hideMark/>
          </w:tcPr>
          <w:p w14:paraId="219D8E4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15,8 </w:t>
            </w:r>
          </w:p>
        </w:tc>
        <w:tc>
          <w:tcPr>
            <w:tcW w:w="1195" w:type="dxa"/>
            <w:tcBorders>
              <w:top w:val="nil"/>
              <w:left w:val="nil"/>
              <w:bottom w:val="nil"/>
              <w:right w:val="nil"/>
            </w:tcBorders>
            <w:noWrap/>
            <w:vAlign w:val="center"/>
            <w:hideMark/>
          </w:tcPr>
          <w:p w14:paraId="346823F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14,7 </w:t>
            </w:r>
          </w:p>
        </w:tc>
        <w:tc>
          <w:tcPr>
            <w:tcW w:w="1241" w:type="dxa"/>
            <w:tcBorders>
              <w:top w:val="nil"/>
              <w:left w:val="nil"/>
              <w:bottom w:val="nil"/>
              <w:right w:val="nil"/>
            </w:tcBorders>
            <w:noWrap/>
            <w:vAlign w:val="center"/>
            <w:hideMark/>
          </w:tcPr>
          <w:p w14:paraId="1A38A35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3,9 </w:t>
            </w:r>
          </w:p>
        </w:tc>
        <w:tc>
          <w:tcPr>
            <w:tcW w:w="1272" w:type="dxa"/>
            <w:tcBorders>
              <w:top w:val="nil"/>
              <w:left w:val="nil"/>
              <w:bottom w:val="nil"/>
              <w:right w:val="nil"/>
            </w:tcBorders>
            <w:noWrap/>
            <w:vAlign w:val="center"/>
            <w:hideMark/>
          </w:tcPr>
          <w:p w14:paraId="09DEBD3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35,1 </w:t>
            </w:r>
          </w:p>
        </w:tc>
      </w:tr>
      <w:tr w:rsidR="00FD7592" w:rsidRPr="001B41AD" w14:paraId="6F758395" w14:textId="77777777" w:rsidTr="005D4FD9">
        <w:trPr>
          <w:trHeight w:val="20"/>
        </w:trPr>
        <w:tc>
          <w:tcPr>
            <w:tcW w:w="3380" w:type="dxa"/>
            <w:tcBorders>
              <w:top w:val="nil"/>
              <w:left w:val="nil"/>
              <w:bottom w:val="nil"/>
              <w:right w:val="nil"/>
            </w:tcBorders>
            <w:shd w:val="clear" w:color="000000" w:fill="FFFFFF"/>
            <w:noWrap/>
            <w:vAlign w:val="center"/>
            <w:hideMark/>
          </w:tcPr>
          <w:p w14:paraId="6369EA6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"Просветни преглед" доо</w:t>
            </w:r>
          </w:p>
        </w:tc>
        <w:tc>
          <w:tcPr>
            <w:tcW w:w="1195" w:type="dxa"/>
            <w:tcBorders>
              <w:top w:val="nil"/>
              <w:left w:val="nil"/>
              <w:bottom w:val="nil"/>
              <w:right w:val="nil"/>
            </w:tcBorders>
            <w:shd w:val="clear" w:color="000000" w:fill="FFFFFF"/>
            <w:noWrap/>
            <w:vAlign w:val="center"/>
            <w:hideMark/>
          </w:tcPr>
          <w:p w14:paraId="7152139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23,9 </w:t>
            </w:r>
          </w:p>
        </w:tc>
        <w:tc>
          <w:tcPr>
            <w:tcW w:w="1195" w:type="dxa"/>
            <w:tcBorders>
              <w:top w:val="nil"/>
              <w:left w:val="nil"/>
              <w:bottom w:val="nil"/>
              <w:right w:val="nil"/>
            </w:tcBorders>
            <w:shd w:val="clear" w:color="000000" w:fill="FFFFFF"/>
            <w:noWrap/>
            <w:vAlign w:val="center"/>
            <w:hideMark/>
          </w:tcPr>
          <w:p w14:paraId="74C634B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27,1 </w:t>
            </w:r>
          </w:p>
        </w:tc>
        <w:tc>
          <w:tcPr>
            <w:tcW w:w="1195" w:type="dxa"/>
            <w:tcBorders>
              <w:top w:val="nil"/>
              <w:left w:val="nil"/>
              <w:bottom w:val="nil"/>
              <w:right w:val="nil"/>
            </w:tcBorders>
            <w:noWrap/>
            <w:vAlign w:val="center"/>
            <w:hideMark/>
          </w:tcPr>
          <w:p w14:paraId="72E2090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20,7 </w:t>
            </w:r>
          </w:p>
        </w:tc>
        <w:tc>
          <w:tcPr>
            <w:tcW w:w="1241" w:type="dxa"/>
            <w:tcBorders>
              <w:top w:val="nil"/>
              <w:left w:val="nil"/>
              <w:bottom w:val="nil"/>
              <w:right w:val="nil"/>
            </w:tcBorders>
            <w:noWrap/>
            <w:vAlign w:val="center"/>
            <w:hideMark/>
          </w:tcPr>
          <w:p w14:paraId="64805D2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27,4 </w:t>
            </w:r>
          </w:p>
        </w:tc>
        <w:tc>
          <w:tcPr>
            <w:tcW w:w="1272" w:type="dxa"/>
            <w:tcBorders>
              <w:top w:val="nil"/>
              <w:left w:val="nil"/>
              <w:bottom w:val="nil"/>
              <w:right w:val="nil"/>
            </w:tcBorders>
            <w:noWrap/>
            <w:vAlign w:val="center"/>
            <w:hideMark/>
          </w:tcPr>
          <w:p w14:paraId="2B83844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25,3 </w:t>
            </w:r>
          </w:p>
        </w:tc>
      </w:tr>
      <w:tr w:rsidR="00FD7592" w:rsidRPr="001B41AD" w14:paraId="1195BFFB" w14:textId="77777777" w:rsidTr="005D4FD9">
        <w:trPr>
          <w:trHeight w:val="20"/>
        </w:trPr>
        <w:tc>
          <w:tcPr>
            <w:tcW w:w="3380" w:type="dxa"/>
            <w:tcBorders>
              <w:top w:val="nil"/>
              <w:left w:val="nil"/>
              <w:bottom w:val="nil"/>
              <w:right w:val="nil"/>
            </w:tcBorders>
            <w:shd w:val="clear" w:color="000000" w:fill="FFFFFF"/>
            <w:noWrap/>
            <w:vAlign w:val="center"/>
            <w:hideMark/>
          </w:tcPr>
          <w:p w14:paraId="0A45E06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"Нуклеарни објекти"</w:t>
            </w:r>
          </w:p>
        </w:tc>
        <w:tc>
          <w:tcPr>
            <w:tcW w:w="1195" w:type="dxa"/>
            <w:tcBorders>
              <w:top w:val="nil"/>
              <w:left w:val="nil"/>
              <w:bottom w:val="nil"/>
              <w:right w:val="nil"/>
            </w:tcBorders>
            <w:shd w:val="clear" w:color="000000" w:fill="FFFFFF"/>
            <w:noWrap/>
            <w:vAlign w:val="center"/>
            <w:hideMark/>
          </w:tcPr>
          <w:p w14:paraId="35BE408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15,0 </w:t>
            </w:r>
          </w:p>
        </w:tc>
        <w:tc>
          <w:tcPr>
            <w:tcW w:w="1195" w:type="dxa"/>
            <w:tcBorders>
              <w:top w:val="nil"/>
              <w:left w:val="nil"/>
              <w:bottom w:val="nil"/>
              <w:right w:val="nil"/>
            </w:tcBorders>
            <w:shd w:val="clear" w:color="000000" w:fill="FFFFFF"/>
            <w:noWrap/>
            <w:vAlign w:val="center"/>
            <w:hideMark/>
          </w:tcPr>
          <w:p w14:paraId="5EBD8F7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16,0 </w:t>
            </w:r>
          </w:p>
        </w:tc>
        <w:tc>
          <w:tcPr>
            <w:tcW w:w="1195" w:type="dxa"/>
            <w:tcBorders>
              <w:top w:val="nil"/>
              <w:left w:val="nil"/>
              <w:bottom w:val="nil"/>
              <w:right w:val="nil"/>
            </w:tcBorders>
            <w:noWrap/>
            <w:vAlign w:val="center"/>
            <w:hideMark/>
          </w:tcPr>
          <w:p w14:paraId="2934E88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60,8 </w:t>
            </w:r>
          </w:p>
        </w:tc>
        <w:tc>
          <w:tcPr>
            <w:tcW w:w="1241" w:type="dxa"/>
            <w:tcBorders>
              <w:top w:val="nil"/>
              <w:left w:val="nil"/>
              <w:bottom w:val="nil"/>
              <w:right w:val="nil"/>
            </w:tcBorders>
            <w:noWrap/>
            <w:vAlign w:val="center"/>
            <w:hideMark/>
          </w:tcPr>
          <w:p w14:paraId="6DCA1E6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0,0 </w:t>
            </w:r>
          </w:p>
        </w:tc>
        <w:tc>
          <w:tcPr>
            <w:tcW w:w="1272" w:type="dxa"/>
            <w:tcBorders>
              <w:top w:val="nil"/>
              <w:left w:val="nil"/>
              <w:bottom w:val="nil"/>
              <w:right w:val="nil"/>
            </w:tcBorders>
            <w:noWrap/>
            <w:vAlign w:val="center"/>
            <w:hideMark/>
          </w:tcPr>
          <w:p w14:paraId="7DFDEDB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23,5 </w:t>
            </w:r>
          </w:p>
        </w:tc>
      </w:tr>
      <w:tr w:rsidR="00FD7592" w:rsidRPr="001B41AD" w14:paraId="66AD6C17" w14:textId="77777777" w:rsidTr="005D4FD9">
        <w:trPr>
          <w:trHeight w:val="20"/>
        </w:trPr>
        <w:tc>
          <w:tcPr>
            <w:tcW w:w="3380" w:type="dxa"/>
            <w:tcBorders>
              <w:top w:val="nil"/>
              <w:left w:val="nil"/>
              <w:bottom w:val="nil"/>
              <w:right w:val="nil"/>
            </w:tcBorders>
            <w:shd w:val="clear" w:color="000000" w:fill="FFFFFF"/>
            <w:noWrap/>
            <w:vAlign w:val="center"/>
            <w:hideMark/>
          </w:tcPr>
          <w:p w14:paraId="38F2B7B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"Национални парк Фрушка гора"</w:t>
            </w:r>
          </w:p>
        </w:tc>
        <w:tc>
          <w:tcPr>
            <w:tcW w:w="1195" w:type="dxa"/>
            <w:tcBorders>
              <w:top w:val="nil"/>
              <w:left w:val="nil"/>
              <w:bottom w:val="nil"/>
              <w:right w:val="nil"/>
            </w:tcBorders>
            <w:shd w:val="clear" w:color="000000" w:fill="FFFFFF"/>
            <w:noWrap/>
            <w:vAlign w:val="center"/>
            <w:hideMark/>
          </w:tcPr>
          <w:p w14:paraId="527E651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3,2 </w:t>
            </w:r>
          </w:p>
        </w:tc>
        <w:tc>
          <w:tcPr>
            <w:tcW w:w="1195" w:type="dxa"/>
            <w:tcBorders>
              <w:top w:val="nil"/>
              <w:left w:val="nil"/>
              <w:bottom w:val="nil"/>
              <w:right w:val="nil"/>
            </w:tcBorders>
            <w:shd w:val="clear" w:color="000000" w:fill="FFFFFF"/>
            <w:noWrap/>
            <w:vAlign w:val="center"/>
            <w:hideMark/>
          </w:tcPr>
          <w:p w14:paraId="55F8B7A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2,1 </w:t>
            </w:r>
          </w:p>
        </w:tc>
        <w:tc>
          <w:tcPr>
            <w:tcW w:w="1195" w:type="dxa"/>
            <w:tcBorders>
              <w:top w:val="nil"/>
              <w:left w:val="nil"/>
              <w:bottom w:val="nil"/>
              <w:right w:val="nil"/>
            </w:tcBorders>
            <w:noWrap/>
            <w:vAlign w:val="center"/>
            <w:hideMark/>
          </w:tcPr>
          <w:p w14:paraId="41AAB0D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1,8 </w:t>
            </w:r>
          </w:p>
        </w:tc>
        <w:tc>
          <w:tcPr>
            <w:tcW w:w="1241" w:type="dxa"/>
            <w:tcBorders>
              <w:top w:val="nil"/>
              <w:left w:val="nil"/>
              <w:bottom w:val="nil"/>
              <w:right w:val="nil"/>
            </w:tcBorders>
            <w:noWrap/>
            <w:vAlign w:val="center"/>
            <w:hideMark/>
          </w:tcPr>
          <w:p w14:paraId="4C4F689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0,5 </w:t>
            </w:r>
          </w:p>
        </w:tc>
        <w:tc>
          <w:tcPr>
            <w:tcW w:w="1272" w:type="dxa"/>
            <w:tcBorders>
              <w:top w:val="nil"/>
              <w:left w:val="nil"/>
              <w:bottom w:val="nil"/>
              <w:right w:val="nil"/>
            </w:tcBorders>
            <w:noWrap/>
            <w:vAlign w:val="center"/>
            <w:hideMark/>
          </w:tcPr>
          <w:p w14:paraId="1D6C816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19,1 </w:t>
            </w:r>
          </w:p>
        </w:tc>
      </w:tr>
      <w:tr w:rsidR="00FD7592" w:rsidRPr="001B41AD" w14:paraId="2D043B3B" w14:textId="77777777" w:rsidTr="005D4FD9">
        <w:trPr>
          <w:trHeight w:val="20"/>
        </w:trPr>
        <w:tc>
          <w:tcPr>
            <w:tcW w:w="3380" w:type="dxa"/>
            <w:tcBorders>
              <w:top w:val="nil"/>
              <w:left w:val="nil"/>
              <w:bottom w:val="nil"/>
              <w:right w:val="nil"/>
            </w:tcBorders>
            <w:shd w:val="clear" w:color="000000" w:fill="FFFFFF"/>
            <w:noWrap/>
            <w:vAlign w:val="center"/>
            <w:hideMark/>
          </w:tcPr>
          <w:p w14:paraId="26188B1E"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lastRenderedPageBreak/>
              <w:t>Јавно предузеће "Национални парк Ђердап"</w:t>
            </w:r>
          </w:p>
        </w:tc>
        <w:tc>
          <w:tcPr>
            <w:tcW w:w="1195" w:type="dxa"/>
            <w:tcBorders>
              <w:top w:val="nil"/>
              <w:left w:val="nil"/>
              <w:bottom w:val="nil"/>
              <w:right w:val="nil"/>
            </w:tcBorders>
            <w:shd w:val="clear" w:color="000000" w:fill="FFFFFF"/>
            <w:noWrap/>
            <w:vAlign w:val="center"/>
            <w:hideMark/>
          </w:tcPr>
          <w:p w14:paraId="169DD2C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13,6 </w:t>
            </w:r>
          </w:p>
        </w:tc>
        <w:tc>
          <w:tcPr>
            <w:tcW w:w="1195" w:type="dxa"/>
            <w:tcBorders>
              <w:top w:val="nil"/>
              <w:left w:val="nil"/>
              <w:bottom w:val="nil"/>
              <w:right w:val="nil"/>
            </w:tcBorders>
            <w:shd w:val="clear" w:color="000000" w:fill="FFFFFF"/>
            <w:noWrap/>
            <w:vAlign w:val="center"/>
            <w:hideMark/>
          </w:tcPr>
          <w:p w14:paraId="3FAC87D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15,6 </w:t>
            </w:r>
          </w:p>
        </w:tc>
        <w:tc>
          <w:tcPr>
            <w:tcW w:w="1195" w:type="dxa"/>
            <w:tcBorders>
              <w:top w:val="nil"/>
              <w:left w:val="nil"/>
              <w:bottom w:val="nil"/>
              <w:right w:val="nil"/>
            </w:tcBorders>
            <w:noWrap/>
            <w:vAlign w:val="center"/>
            <w:hideMark/>
          </w:tcPr>
          <w:p w14:paraId="58E52C7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7,1 </w:t>
            </w:r>
          </w:p>
        </w:tc>
        <w:tc>
          <w:tcPr>
            <w:tcW w:w="1241" w:type="dxa"/>
            <w:tcBorders>
              <w:top w:val="nil"/>
              <w:left w:val="nil"/>
              <w:bottom w:val="nil"/>
              <w:right w:val="nil"/>
            </w:tcBorders>
            <w:noWrap/>
            <w:vAlign w:val="center"/>
            <w:hideMark/>
          </w:tcPr>
          <w:p w14:paraId="6AE86CE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5,8 </w:t>
            </w:r>
          </w:p>
        </w:tc>
        <w:tc>
          <w:tcPr>
            <w:tcW w:w="1272" w:type="dxa"/>
            <w:tcBorders>
              <w:top w:val="nil"/>
              <w:left w:val="nil"/>
              <w:bottom w:val="nil"/>
              <w:right w:val="nil"/>
            </w:tcBorders>
            <w:noWrap/>
            <w:vAlign w:val="center"/>
            <w:hideMark/>
          </w:tcPr>
          <w:p w14:paraId="71A6F4A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16,1 </w:t>
            </w:r>
          </w:p>
        </w:tc>
      </w:tr>
      <w:tr w:rsidR="00FD7592" w:rsidRPr="001B41AD" w14:paraId="3C654B6E" w14:textId="77777777" w:rsidTr="005D4FD9">
        <w:trPr>
          <w:trHeight w:val="20"/>
        </w:trPr>
        <w:tc>
          <w:tcPr>
            <w:tcW w:w="3380" w:type="dxa"/>
            <w:tcBorders>
              <w:top w:val="nil"/>
              <w:left w:val="nil"/>
              <w:bottom w:val="nil"/>
              <w:right w:val="nil"/>
            </w:tcBorders>
            <w:shd w:val="clear" w:color="000000" w:fill="FFFFFF"/>
            <w:noWrap/>
            <w:vAlign w:val="center"/>
            <w:hideMark/>
          </w:tcPr>
          <w:p w14:paraId="1660FF7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"Емисиона техника и везе"</w:t>
            </w:r>
          </w:p>
        </w:tc>
        <w:tc>
          <w:tcPr>
            <w:tcW w:w="1195" w:type="dxa"/>
            <w:tcBorders>
              <w:top w:val="nil"/>
              <w:left w:val="nil"/>
              <w:bottom w:val="nil"/>
              <w:right w:val="nil"/>
            </w:tcBorders>
            <w:shd w:val="clear" w:color="000000" w:fill="FFFFFF"/>
            <w:noWrap/>
            <w:vAlign w:val="center"/>
            <w:hideMark/>
          </w:tcPr>
          <w:p w14:paraId="2234E7C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45,4 </w:t>
            </w:r>
          </w:p>
        </w:tc>
        <w:tc>
          <w:tcPr>
            <w:tcW w:w="1195" w:type="dxa"/>
            <w:tcBorders>
              <w:top w:val="nil"/>
              <w:left w:val="nil"/>
              <w:bottom w:val="nil"/>
              <w:right w:val="nil"/>
            </w:tcBorders>
            <w:shd w:val="clear" w:color="000000" w:fill="FFFFFF"/>
            <w:noWrap/>
            <w:vAlign w:val="center"/>
            <w:hideMark/>
          </w:tcPr>
          <w:p w14:paraId="62AB65B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48,9 </w:t>
            </w:r>
          </w:p>
        </w:tc>
        <w:tc>
          <w:tcPr>
            <w:tcW w:w="1195" w:type="dxa"/>
            <w:tcBorders>
              <w:top w:val="nil"/>
              <w:left w:val="nil"/>
              <w:bottom w:val="nil"/>
              <w:right w:val="nil"/>
            </w:tcBorders>
            <w:noWrap/>
            <w:vAlign w:val="center"/>
            <w:hideMark/>
          </w:tcPr>
          <w:p w14:paraId="646A542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42,6 </w:t>
            </w:r>
          </w:p>
        </w:tc>
        <w:tc>
          <w:tcPr>
            <w:tcW w:w="1241" w:type="dxa"/>
            <w:tcBorders>
              <w:top w:val="nil"/>
              <w:left w:val="nil"/>
              <w:bottom w:val="nil"/>
              <w:right w:val="nil"/>
            </w:tcBorders>
            <w:noWrap/>
            <w:vAlign w:val="center"/>
            <w:hideMark/>
          </w:tcPr>
          <w:p w14:paraId="5E2B563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(137,9)</w:t>
            </w:r>
          </w:p>
        </w:tc>
        <w:tc>
          <w:tcPr>
            <w:tcW w:w="1272" w:type="dxa"/>
            <w:tcBorders>
              <w:top w:val="nil"/>
              <w:left w:val="nil"/>
              <w:bottom w:val="nil"/>
              <w:right w:val="nil"/>
            </w:tcBorders>
            <w:noWrap/>
            <w:vAlign w:val="center"/>
            <w:hideMark/>
          </w:tcPr>
          <w:p w14:paraId="3F97C4C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8,8 </w:t>
            </w:r>
          </w:p>
        </w:tc>
      </w:tr>
      <w:tr w:rsidR="00FD7592" w:rsidRPr="001B41AD" w14:paraId="52105814" w14:textId="77777777" w:rsidTr="005D4FD9">
        <w:trPr>
          <w:trHeight w:val="20"/>
        </w:trPr>
        <w:tc>
          <w:tcPr>
            <w:tcW w:w="3380" w:type="dxa"/>
            <w:tcBorders>
              <w:top w:val="nil"/>
              <w:left w:val="nil"/>
              <w:bottom w:val="nil"/>
              <w:right w:val="nil"/>
            </w:tcBorders>
            <w:shd w:val="clear" w:color="000000" w:fill="FFFFFF"/>
            <w:noWrap/>
            <w:vAlign w:val="center"/>
            <w:hideMark/>
          </w:tcPr>
          <w:p w14:paraId="150B90D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"Парк Палић" доо</w:t>
            </w:r>
          </w:p>
        </w:tc>
        <w:tc>
          <w:tcPr>
            <w:tcW w:w="1195" w:type="dxa"/>
            <w:tcBorders>
              <w:top w:val="nil"/>
              <w:left w:val="nil"/>
              <w:bottom w:val="nil"/>
              <w:right w:val="nil"/>
            </w:tcBorders>
            <w:shd w:val="clear" w:color="000000" w:fill="FFFFFF"/>
            <w:noWrap/>
            <w:vAlign w:val="center"/>
            <w:hideMark/>
          </w:tcPr>
          <w:p w14:paraId="77BFF4F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2,2 </w:t>
            </w:r>
          </w:p>
        </w:tc>
        <w:tc>
          <w:tcPr>
            <w:tcW w:w="1195" w:type="dxa"/>
            <w:tcBorders>
              <w:top w:val="nil"/>
              <w:left w:val="nil"/>
              <w:bottom w:val="nil"/>
              <w:right w:val="nil"/>
            </w:tcBorders>
            <w:shd w:val="clear" w:color="000000" w:fill="FFFFFF"/>
            <w:noWrap/>
            <w:vAlign w:val="center"/>
            <w:hideMark/>
          </w:tcPr>
          <w:p w14:paraId="1A26CEA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0,3 </w:t>
            </w:r>
          </w:p>
        </w:tc>
        <w:tc>
          <w:tcPr>
            <w:tcW w:w="1195" w:type="dxa"/>
            <w:tcBorders>
              <w:top w:val="nil"/>
              <w:left w:val="nil"/>
              <w:bottom w:val="nil"/>
              <w:right w:val="nil"/>
            </w:tcBorders>
            <w:noWrap/>
            <w:vAlign w:val="center"/>
            <w:hideMark/>
          </w:tcPr>
          <w:p w14:paraId="5DD1B0D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1,1 </w:t>
            </w:r>
          </w:p>
        </w:tc>
        <w:tc>
          <w:tcPr>
            <w:tcW w:w="1241" w:type="dxa"/>
            <w:tcBorders>
              <w:top w:val="nil"/>
              <w:left w:val="nil"/>
              <w:bottom w:val="nil"/>
              <w:right w:val="nil"/>
            </w:tcBorders>
            <w:noWrap/>
            <w:vAlign w:val="center"/>
            <w:hideMark/>
          </w:tcPr>
          <w:p w14:paraId="507AAE8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1,9 </w:t>
            </w:r>
          </w:p>
        </w:tc>
        <w:tc>
          <w:tcPr>
            <w:tcW w:w="1272" w:type="dxa"/>
            <w:tcBorders>
              <w:top w:val="nil"/>
              <w:left w:val="nil"/>
              <w:bottom w:val="nil"/>
              <w:right w:val="nil"/>
            </w:tcBorders>
            <w:noWrap/>
            <w:vAlign w:val="center"/>
            <w:hideMark/>
          </w:tcPr>
          <w:p w14:paraId="0D8568C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5,3 </w:t>
            </w:r>
          </w:p>
        </w:tc>
      </w:tr>
      <w:tr w:rsidR="00FD7592" w:rsidRPr="001B41AD" w14:paraId="715FC2E9" w14:textId="77777777" w:rsidTr="005D4FD9">
        <w:trPr>
          <w:trHeight w:val="20"/>
        </w:trPr>
        <w:tc>
          <w:tcPr>
            <w:tcW w:w="3380" w:type="dxa"/>
            <w:tcBorders>
              <w:top w:val="nil"/>
              <w:left w:val="nil"/>
              <w:bottom w:val="nil"/>
              <w:right w:val="nil"/>
            </w:tcBorders>
            <w:shd w:val="clear" w:color="000000" w:fill="FFFFFF"/>
            <w:noWrap/>
            <w:vAlign w:val="center"/>
            <w:hideMark/>
          </w:tcPr>
          <w:p w14:paraId="580FD84C"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"Метохија" доо</w:t>
            </w:r>
          </w:p>
        </w:tc>
        <w:tc>
          <w:tcPr>
            <w:tcW w:w="1195" w:type="dxa"/>
            <w:tcBorders>
              <w:top w:val="nil"/>
              <w:left w:val="nil"/>
              <w:bottom w:val="nil"/>
              <w:right w:val="nil"/>
            </w:tcBorders>
            <w:shd w:val="clear" w:color="000000" w:fill="FFFFFF"/>
            <w:noWrap/>
            <w:vAlign w:val="center"/>
            <w:hideMark/>
          </w:tcPr>
          <w:p w14:paraId="72E9BE1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1,5 </w:t>
            </w:r>
          </w:p>
        </w:tc>
        <w:tc>
          <w:tcPr>
            <w:tcW w:w="1195" w:type="dxa"/>
            <w:tcBorders>
              <w:top w:val="nil"/>
              <w:left w:val="nil"/>
              <w:bottom w:val="nil"/>
              <w:right w:val="nil"/>
            </w:tcBorders>
            <w:shd w:val="clear" w:color="000000" w:fill="FFFFFF"/>
            <w:noWrap/>
            <w:vAlign w:val="center"/>
            <w:hideMark/>
          </w:tcPr>
          <w:p w14:paraId="0C2D5F9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1,1 </w:t>
            </w:r>
          </w:p>
        </w:tc>
        <w:tc>
          <w:tcPr>
            <w:tcW w:w="1195" w:type="dxa"/>
            <w:tcBorders>
              <w:top w:val="nil"/>
              <w:left w:val="nil"/>
              <w:bottom w:val="nil"/>
              <w:right w:val="nil"/>
            </w:tcBorders>
            <w:noWrap/>
            <w:vAlign w:val="center"/>
            <w:hideMark/>
          </w:tcPr>
          <w:p w14:paraId="43B87CA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1,9 </w:t>
            </w:r>
          </w:p>
        </w:tc>
        <w:tc>
          <w:tcPr>
            <w:tcW w:w="1241" w:type="dxa"/>
            <w:tcBorders>
              <w:top w:val="nil"/>
              <w:left w:val="nil"/>
              <w:bottom w:val="nil"/>
              <w:right w:val="nil"/>
            </w:tcBorders>
            <w:noWrap/>
            <w:vAlign w:val="center"/>
            <w:hideMark/>
          </w:tcPr>
          <w:p w14:paraId="1793860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3,4 </w:t>
            </w:r>
          </w:p>
        </w:tc>
        <w:tc>
          <w:tcPr>
            <w:tcW w:w="1272" w:type="dxa"/>
            <w:tcBorders>
              <w:top w:val="nil"/>
              <w:left w:val="nil"/>
              <w:bottom w:val="nil"/>
              <w:right w:val="nil"/>
            </w:tcBorders>
            <w:noWrap/>
            <w:vAlign w:val="center"/>
            <w:hideMark/>
          </w:tcPr>
          <w:p w14:paraId="1189DFE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0,1 </w:t>
            </w:r>
          </w:p>
        </w:tc>
      </w:tr>
      <w:tr w:rsidR="00FD7592" w:rsidRPr="001B41AD" w14:paraId="2FC519B2" w14:textId="77777777" w:rsidTr="005D4FD9">
        <w:trPr>
          <w:trHeight w:val="20"/>
        </w:trPr>
        <w:tc>
          <w:tcPr>
            <w:tcW w:w="3380" w:type="dxa"/>
            <w:tcBorders>
              <w:top w:val="single" w:sz="4" w:space="0" w:color="002060"/>
              <w:left w:val="nil"/>
              <w:bottom w:val="single" w:sz="4" w:space="0" w:color="002060"/>
              <w:right w:val="nil"/>
            </w:tcBorders>
            <w:noWrap/>
            <w:vAlign w:val="center"/>
            <w:hideMark/>
          </w:tcPr>
          <w:p w14:paraId="01C5599D"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Укупно:</w:t>
            </w:r>
          </w:p>
        </w:tc>
        <w:tc>
          <w:tcPr>
            <w:tcW w:w="1195" w:type="dxa"/>
            <w:tcBorders>
              <w:top w:val="single" w:sz="4" w:space="0" w:color="002060"/>
              <w:left w:val="nil"/>
              <w:bottom w:val="single" w:sz="4" w:space="0" w:color="002060"/>
              <w:right w:val="nil"/>
            </w:tcBorders>
            <w:noWrap/>
            <w:vAlign w:val="center"/>
            <w:hideMark/>
          </w:tcPr>
          <w:p w14:paraId="0B0B7DFB"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(54.995,0)</w:t>
            </w:r>
          </w:p>
        </w:tc>
        <w:tc>
          <w:tcPr>
            <w:tcW w:w="1195" w:type="dxa"/>
            <w:tcBorders>
              <w:top w:val="single" w:sz="4" w:space="0" w:color="002060"/>
              <w:left w:val="nil"/>
              <w:bottom w:val="single" w:sz="4" w:space="0" w:color="002060"/>
              <w:right w:val="nil"/>
            </w:tcBorders>
            <w:noWrap/>
            <w:vAlign w:val="center"/>
            <w:hideMark/>
          </w:tcPr>
          <w:p w14:paraId="52ECC487"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132.777,8 </w:t>
            </w:r>
          </w:p>
        </w:tc>
        <w:tc>
          <w:tcPr>
            <w:tcW w:w="1195" w:type="dxa"/>
            <w:tcBorders>
              <w:top w:val="single" w:sz="4" w:space="0" w:color="002060"/>
              <w:left w:val="nil"/>
              <w:bottom w:val="single" w:sz="4" w:space="0" w:color="002060"/>
              <w:right w:val="nil"/>
            </w:tcBorders>
            <w:noWrap/>
            <w:vAlign w:val="center"/>
            <w:hideMark/>
          </w:tcPr>
          <w:p w14:paraId="603C3E4E"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38.831,6 </w:t>
            </w:r>
          </w:p>
        </w:tc>
        <w:tc>
          <w:tcPr>
            <w:tcW w:w="1241" w:type="dxa"/>
            <w:tcBorders>
              <w:top w:val="single" w:sz="4" w:space="0" w:color="002060"/>
              <w:left w:val="nil"/>
              <w:bottom w:val="single" w:sz="4" w:space="0" w:color="002060"/>
              <w:right w:val="nil"/>
            </w:tcBorders>
            <w:noWrap/>
            <w:vAlign w:val="center"/>
            <w:hideMark/>
          </w:tcPr>
          <w:p w14:paraId="022F2E00"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22.697,3 </w:t>
            </w:r>
          </w:p>
        </w:tc>
        <w:tc>
          <w:tcPr>
            <w:tcW w:w="1272" w:type="dxa"/>
            <w:tcBorders>
              <w:top w:val="single" w:sz="4" w:space="0" w:color="002060"/>
              <w:left w:val="nil"/>
              <w:bottom w:val="single" w:sz="4" w:space="0" w:color="002060"/>
              <w:right w:val="nil"/>
            </w:tcBorders>
            <w:noWrap/>
            <w:vAlign w:val="center"/>
            <w:hideMark/>
          </w:tcPr>
          <w:p w14:paraId="67046C8C"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37.377,2 </w:t>
            </w:r>
          </w:p>
        </w:tc>
      </w:tr>
    </w:tbl>
    <w:p w14:paraId="37777C2F" w14:textId="77777777" w:rsidR="00FD7592" w:rsidRPr="001B41AD" w:rsidRDefault="00FD7592" w:rsidP="00FD7592">
      <w:pPr>
        <w:spacing w:after="0" w:line="276" w:lineRule="auto"/>
        <w:rPr>
          <w:rFonts w:eastAsia="MS PGothic" w:cstheme="minorHAnsi"/>
          <w:sz w:val="16"/>
          <w:szCs w:val="16"/>
          <w:lang w:val="sr-Cyrl-CS" w:eastAsia="ja-JP"/>
        </w:rPr>
      </w:pPr>
      <w:r w:rsidRPr="001B41AD">
        <w:rPr>
          <w:rFonts w:eastAsia="MS PGothic" w:cstheme="minorHAnsi"/>
          <w:sz w:val="16"/>
          <w:szCs w:val="16"/>
          <w:lang w:val="sr-Cyrl-CS" w:eastAsia="ja-JP"/>
        </w:rPr>
        <w:t>Извор: Финансијски извештаји (АПР) и квартални извештај за 2025. годину</w:t>
      </w:r>
    </w:p>
    <w:p w14:paraId="7DE3EB97" w14:textId="77777777" w:rsidR="00FD7592" w:rsidRPr="001B41AD" w:rsidRDefault="00FD7592" w:rsidP="00FD7592">
      <w:pPr>
        <w:spacing w:after="80"/>
        <w:jc w:val="center"/>
        <w:rPr>
          <w:rFonts w:eastAsia="MS PGothic" w:cstheme="minorHAnsi"/>
          <w:b/>
          <w:color w:val="002060"/>
          <w:szCs w:val="20"/>
          <w:lang w:val="sr-Cyrl-CS" w:eastAsia="ja-JP"/>
        </w:rPr>
      </w:pPr>
    </w:p>
    <w:p w14:paraId="2BD1FBDD" w14:textId="77777777" w:rsidR="00FD7592" w:rsidRPr="001B41AD" w:rsidRDefault="00FD7592" w:rsidP="00FD7592">
      <w:pPr>
        <w:spacing w:after="0" w:line="276" w:lineRule="auto"/>
        <w:rPr>
          <w:rFonts w:eastAsia="MS PGothic" w:cstheme="minorHAnsi"/>
          <w:sz w:val="18"/>
          <w:szCs w:val="18"/>
          <w:lang w:val="sr-Cyrl-CS" w:eastAsia="ja-JP"/>
        </w:rPr>
        <w:sectPr w:rsidR="00FD7592" w:rsidRPr="001B41AD" w:rsidSect="00405489">
          <w:type w:val="continuous"/>
          <w:pgSz w:w="12240" w:h="15840"/>
          <w:pgMar w:top="1440" w:right="1440" w:bottom="1440" w:left="1440" w:header="720" w:footer="720" w:gutter="0"/>
          <w:cols w:space="720"/>
          <w:docGrid w:linePitch="360"/>
        </w:sectPr>
      </w:pPr>
    </w:p>
    <w:p w14:paraId="31B81870" w14:textId="77777777" w:rsidR="00FD7592" w:rsidRPr="001B41AD" w:rsidRDefault="00FD7592" w:rsidP="00184E32">
      <w:pPr>
        <w:spacing w:after="120"/>
        <w:rPr>
          <w:rFonts w:eastAsia="MS PGothic" w:cstheme="minorHAnsi"/>
          <w:szCs w:val="20"/>
          <w:lang w:val="sr-Cyrl-CS" w:eastAsia="ja-JP"/>
        </w:rPr>
      </w:pPr>
      <w:r w:rsidRPr="001B41AD">
        <w:rPr>
          <w:rFonts w:eastAsia="MS PGothic" w:cstheme="minorHAnsi"/>
          <w:szCs w:val="20"/>
          <w:lang w:val="sr-Cyrl-CS" w:eastAsia="ja-JP"/>
        </w:rPr>
        <w:t>У другом кварталу текуће године добит је остварило 20 предузећа у укупном износу од 37,4 млрд динара, што је више у односу на планирану добит од 22,7 млрд динара (64,7%). Највећи утицај на позитиван нето резултат у посматраном периоду имају „Електропривреда Србије” ад и ЈП „Србијагас” који су остварили нето добит у износу од 27,4 млрд динара односно 4,8 млрд динара.</w:t>
      </w:r>
    </w:p>
    <w:p w14:paraId="7E8E61A4" w14:textId="77777777" w:rsidR="00C427B6" w:rsidRPr="001B41AD" w:rsidRDefault="00FD7592" w:rsidP="00184E32">
      <w:pPr>
        <w:spacing w:after="120"/>
        <w:rPr>
          <w:rFonts w:eastAsia="MS PGothic" w:cstheme="minorHAnsi"/>
          <w:szCs w:val="20"/>
          <w:lang w:val="sr-Cyrl-CS" w:eastAsia="ja-JP"/>
        </w:rPr>
      </w:pPr>
      <w:r w:rsidRPr="001B41AD">
        <w:rPr>
          <w:rFonts w:eastAsia="MS PGothic" w:cstheme="minorHAnsi"/>
          <w:szCs w:val="20"/>
          <w:lang w:val="sr-Cyrl-CS" w:eastAsia="ja-JP"/>
        </w:rPr>
        <w:t xml:space="preserve">У односу на остварен број добиташа на крају другог квартала, 16 предузећа је остварило негативан нето резултат у износу од 18,5 млрд </w:t>
      </w:r>
    </w:p>
    <w:p w14:paraId="3744D26E" w14:textId="77777777" w:rsidR="00FD7592" w:rsidRPr="001B41AD" w:rsidRDefault="00FD7592" w:rsidP="00184E32">
      <w:pPr>
        <w:spacing w:after="120"/>
        <w:rPr>
          <w:rFonts w:eastAsia="MS PGothic" w:cstheme="minorHAnsi"/>
          <w:szCs w:val="20"/>
          <w:lang w:val="sr-Cyrl-CS" w:eastAsia="ja-JP"/>
        </w:rPr>
      </w:pPr>
      <w:r w:rsidRPr="001B41AD">
        <w:rPr>
          <w:rFonts w:eastAsia="MS PGothic" w:cstheme="minorHAnsi"/>
          <w:szCs w:val="20"/>
          <w:lang w:val="sr-Cyrl-CS" w:eastAsia="ja-JP"/>
        </w:rPr>
        <w:t>динара, што је ниже од планираног нето резултата од 9,5 млн динара. Највећи утицај на негативан нето резултат у посматраном периоду имају ЈП „Путеви Србије” и „Електродистрибуција Србије” доо који су остварили нето губитак у износу од 10,9 млрд динара односно 4,3 млрд динара.</w:t>
      </w:r>
    </w:p>
    <w:p w14:paraId="30481B5F" w14:textId="5D065B73" w:rsidR="00FD7592" w:rsidRPr="001B41AD" w:rsidRDefault="00FD7592" w:rsidP="00FD7592">
      <w:pPr>
        <w:rPr>
          <w:rFonts w:eastAsia="MS PGothic" w:cstheme="minorHAnsi"/>
          <w:szCs w:val="20"/>
          <w:lang w:val="sr-Cyrl-CS" w:eastAsia="ja-JP"/>
        </w:rPr>
        <w:sectPr w:rsidR="00FD7592" w:rsidRPr="001B41AD" w:rsidSect="00405489">
          <w:headerReference w:type="even" r:id="rId148"/>
          <w:footerReference w:type="even" r:id="rId149"/>
          <w:footerReference w:type="default" r:id="rId150"/>
          <w:headerReference w:type="first" r:id="rId151"/>
          <w:type w:val="continuous"/>
          <w:pgSz w:w="12240" w:h="15840"/>
          <w:pgMar w:top="1440" w:right="1440" w:bottom="1440" w:left="1440" w:header="720" w:footer="720" w:gutter="0"/>
          <w:cols w:num="2" w:space="720"/>
          <w:docGrid w:linePitch="360"/>
        </w:sectPr>
      </w:pPr>
    </w:p>
    <w:p w14:paraId="594EDDDB" w14:textId="77777777" w:rsidR="00FD7592" w:rsidRPr="001B41AD" w:rsidRDefault="00FD7592" w:rsidP="00FD7592">
      <w:pPr>
        <w:spacing w:after="12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Табела 2</w:t>
      </w:r>
      <w:r w:rsidR="00BE37B4" w:rsidRPr="001B41AD">
        <w:rPr>
          <w:rFonts w:eastAsia="MS PGothic" w:cstheme="minorHAnsi"/>
          <w:b/>
          <w:color w:val="002060"/>
          <w:szCs w:val="20"/>
          <w:lang w:val="sr-Cyrl-CS" w:eastAsia="ja-JP"/>
        </w:rPr>
        <w:t>2</w:t>
      </w:r>
      <w:r w:rsidRPr="001B41AD">
        <w:rPr>
          <w:rFonts w:eastAsia="MS PGothic" w:cstheme="minorHAnsi"/>
          <w:b/>
          <w:color w:val="002060"/>
          <w:szCs w:val="20"/>
          <w:lang w:val="sr-Cyrl-CS" w:eastAsia="ja-JP"/>
        </w:rPr>
        <w:t xml:space="preserve">. Државна предузећа која су остварила нето губитак у периоду 01.01–30.06.2025. године </w:t>
      </w:r>
      <w:r w:rsidRPr="001B41AD">
        <w:rPr>
          <w:rFonts w:eastAsia="MS PGothic" w:cstheme="minorHAnsi"/>
          <w:b/>
          <w:color w:val="002060"/>
          <w:szCs w:val="20"/>
          <w:lang w:val="sr-Cyrl-CS" w:eastAsia="ja-JP"/>
        </w:rPr>
        <w:br w:type="textWrapping" w:clear="all"/>
        <w:t>у млн динара</w:t>
      </w:r>
    </w:p>
    <w:tbl>
      <w:tblPr>
        <w:tblW w:w="9280" w:type="dxa"/>
        <w:tblLook w:val="04A0" w:firstRow="1" w:lastRow="0" w:firstColumn="1" w:lastColumn="0" w:noHBand="0" w:noVBand="1"/>
      </w:tblPr>
      <w:tblGrid>
        <w:gridCol w:w="2931"/>
        <w:gridCol w:w="1242"/>
        <w:gridCol w:w="1242"/>
        <w:gridCol w:w="1242"/>
        <w:gridCol w:w="1308"/>
        <w:gridCol w:w="1315"/>
      </w:tblGrid>
      <w:tr w:rsidR="00FD7592" w:rsidRPr="001B41AD" w14:paraId="6A4A25B4" w14:textId="77777777" w:rsidTr="00FA5C17">
        <w:trPr>
          <w:trHeight w:val="20"/>
        </w:trPr>
        <w:tc>
          <w:tcPr>
            <w:tcW w:w="2931" w:type="dxa"/>
            <w:tcBorders>
              <w:top w:val="single" w:sz="4" w:space="0" w:color="002060"/>
              <w:left w:val="nil"/>
              <w:bottom w:val="single" w:sz="4" w:space="0" w:color="002060"/>
              <w:right w:val="nil"/>
            </w:tcBorders>
            <w:vAlign w:val="center"/>
            <w:hideMark/>
          </w:tcPr>
          <w:p w14:paraId="41A20C4D"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Предузећа</w:t>
            </w:r>
          </w:p>
        </w:tc>
        <w:tc>
          <w:tcPr>
            <w:tcW w:w="1242" w:type="dxa"/>
            <w:tcBorders>
              <w:top w:val="single" w:sz="4" w:space="0" w:color="002060"/>
              <w:left w:val="nil"/>
              <w:bottom w:val="single" w:sz="4" w:space="0" w:color="002060"/>
              <w:right w:val="nil"/>
            </w:tcBorders>
            <w:vAlign w:val="center"/>
            <w:hideMark/>
          </w:tcPr>
          <w:p w14:paraId="00BEB57A"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Реализација </w:t>
            </w:r>
            <w:r w:rsidRPr="001B41AD">
              <w:rPr>
                <w:rFonts w:ascii="Calibri" w:eastAsia="Times New Roman" w:hAnsi="Calibri" w:cs="Calibri"/>
                <w:b/>
                <w:bCs/>
                <w:color w:val="002060"/>
                <w:sz w:val="18"/>
                <w:szCs w:val="18"/>
                <w:lang w:val="sr-Cyrl-CS"/>
              </w:rPr>
              <w:br/>
              <w:t>2022</w:t>
            </w:r>
          </w:p>
        </w:tc>
        <w:tc>
          <w:tcPr>
            <w:tcW w:w="1242" w:type="dxa"/>
            <w:tcBorders>
              <w:top w:val="single" w:sz="4" w:space="0" w:color="002060"/>
              <w:left w:val="nil"/>
              <w:bottom w:val="single" w:sz="4" w:space="0" w:color="002060"/>
              <w:right w:val="nil"/>
            </w:tcBorders>
            <w:vAlign w:val="center"/>
            <w:hideMark/>
          </w:tcPr>
          <w:p w14:paraId="2F44B215"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Реализација </w:t>
            </w:r>
            <w:r w:rsidRPr="001B41AD">
              <w:rPr>
                <w:rFonts w:ascii="Calibri" w:eastAsia="Times New Roman" w:hAnsi="Calibri" w:cs="Calibri"/>
                <w:b/>
                <w:bCs/>
                <w:color w:val="002060"/>
                <w:sz w:val="18"/>
                <w:szCs w:val="18"/>
                <w:lang w:val="sr-Cyrl-CS"/>
              </w:rPr>
              <w:br/>
              <w:t>2023</w:t>
            </w:r>
          </w:p>
        </w:tc>
        <w:tc>
          <w:tcPr>
            <w:tcW w:w="1242" w:type="dxa"/>
            <w:tcBorders>
              <w:top w:val="single" w:sz="4" w:space="0" w:color="002060"/>
              <w:left w:val="nil"/>
              <w:bottom w:val="single" w:sz="4" w:space="0" w:color="002060"/>
              <w:right w:val="nil"/>
            </w:tcBorders>
            <w:vAlign w:val="center"/>
            <w:hideMark/>
          </w:tcPr>
          <w:p w14:paraId="7970A24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Реализација </w:t>
            </w:r>
            <w:r w:rsidRPr="001B41AD">
              <w:rPr>
                <w:rFonts w:ascii="Calibri" w:eastAsia="Times New Roman" w:hAnsi="Calibri" w:cs="Calibri"/>
                <w:b/>
                <w:bCs/>
                <w:color w:val="002060"/>
                <w:sz w:val="18"/>
                <w:szCs w:val="18"/>
                <w:lang w:val="sr-Cyrl-CS"/>
              </w:rPr>
              <w:br/>
              <w:t>2024</w:t>
            </w:r>
          </w:p>
        </w:tc>
        <w:tc>
          <w:tcPr>
            <w:tcW w:w="1308" w:type="dxa"/>
            <w:tcBorders>
              <w:top w:val="single" w:sz="4" w:space="0" w:color="002060"/>
              <w:left w:val="nil"/>
              <w:bottom w:val="single" w:sz="4" w:space="0" w:color="002060"/>
              <w:right w:val="nil"/>
            </w:tcBorders>
            <w:vAlign w:val="center"/>
            <w:hideMark/>
          </w:tcPr>
          <w:p w14:paraId="710E4A2E"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План                                                                                                                                                                                                                                                                                                                                                   01.01 - 30.06.2025</w:t>
            </w:r>
          </w:p>
        </w:tc>
        <w:tc>
          <w:tcPr>
            <w:tcW w:w="1315" w:type="dxa"/>
            <w:tcBorders>
              <w:top w:val="single" w:sz="4" w:space="0" w:color="002060"/>
              <w:left w:val="nil"/>
              <w:bottom w:val="single" w:sz="4" w:space="0" w:color="002060"/>
              <w:right w:val="nil"/>
            </w:tcBorders>
            <w:vAlign w:val="center"/>
            <w:hideMark/>
          </w:tcPr>
          <w:p w14:paraId="4C40BAC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Реализација                                                                                                                                                                                                                                                                                                                    </w:t>
            </w:r>
            <w:r w:rsidR="00DF4460" w:rsidRPr="001B41AD">
              <w:rPr>
                <w:rFonts w:ascii="Calibri" w:eastAsia="Times New Roman" w:hAnsi="Calibri" w:cs="Calibri"/>
                <w:b/>
                <w:bCs/>
                <w:color w:val="002060"/>
                <w:sz w:val="18"/>
                <w:szCs w:val="18"/>
                <w:lang w:val="sr-Cyrl-CS"/>
              </w:rPr>
              <w:t xml:space="preserve">                          01.01</w:t>
            </w:r>
            <w:r w:rsidRPr="001B41AD">
              <w:rPr>
                <w:rFonts w:ascii="Calibri" w:eastAsia="Times New Roman" w:hAnsi="Calibri" w:cs="Calibri"/>
                <w:b/>
                <w:bCs/>
                <w:color w:val="002060"/>
                <w:sz w:val="18"/>
                <w:szCs w:val="18"/>
                <w:lang w:val="sr-Cyrl-CS"/>
              </w:rPr>
              <w:t xml:space="preserve"> - 30.06.2025</w:t>
            </w:r>
          </w:p>
        </w:tc>
      </w:tr>
      <w:tr w:rsidR="00FD7592" w:rsidRPr="001B41AD" w14:paraId="683D8F56" w14:textId="77777777" w:rsidTr="00FA5C17">
        <w:trPr>
          <w:trHeight w:val="20"/>
        </w:trPr>
        <w:tc>
          <w:tcPr>
            <w:tcW w:w="2931" w:type="dxa"/>
            <w:tcBorders>
              <w:top w:val="nil"/>
              <w:left w:val="nil"/>
              <w:bottom w:val="nil"/>
              <w:right w:val="nil"/>
            </w:tcBorders>
            <w:shd w:val="clear" w:color="000000" w:fill="FFFFFF"/>
            <w:noWrap/>
            <w:vAlign w:val="center"/>
            <w:hideMark/>
          </w:tcPr>
          <w:p w14:paraId="39955A2F"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"Путеви Србије"</w:t>
            </w:r>
          </w:p>
        </w:tc>
        <w:tc>
          <w:tcPr>
            <w:tcW w:w="1242" w:type="dxa"/>
            <w:tcBorders>
              <w:top w:val="nil"/>
              <w:left w:val="nil"/>
              <w:bottom w:val="nil"/>
              <w:right w:val="nil"/>
            </w:tcBorders>
            <w:shd w:val="clear" w:color="000000" w:fill="FFFFFF"/>
            <w:noWrap/>
            <w:vAlign w:val="center"/>
            <w:hideMark/>
          </w:tcPr>
          <w:p w14:paraId="31B1973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(5.121,8)</w:t>
            </w:r>
          </w:p>
        </w:tc>
        <w:tc>
          <w:tcPr>
            <w:tcW w:w="1242" w:type="dxa"/>
            <w:tcBorders>
              <w:top w:val="nil"/>
              <w:left w:val="nil"/>
              <w:bottom w:val="nil"/>
              <w:right w:val="nil"/>
            </w:tcBorders>
            <w:shd w:val="clear" w:color="000000" w:fill="FFFFFF"/>
            <w:noWrap/>
            <w:vAlign w:val="center"/>
            <w:hideMark/>
          </w:tcPr>
          <w:p w14:paraId="0502E02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(6.818,9)</w:t>
            </w:r>
          </w:p>
        </w:tc>
        <w:tc>
          <w:tcPr>
            <w:tcW w:w="1242" w:type="dxa"/>
            <w:tcBorders>
              <w:top w:val="nil"/>
              <w:left w:val="nil"/>
              <w:bottom w:val="nil"/>
              <w:right w:val="nil"/>
            </w:tcBorders>
            <w:noWrap/>
            <w:vAlign w:val="center"/>
            <w:hideMark/>
          </w:tcPr>
          <w:p w14:paraId="5A5E742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(11.421,5)</w:t>
            </w:r>
          </w:p>
        </w:tc>
        <w:tc>
          <w:tcPr>
            <w:tcW w:w="1308" w:type="dxa"/>
            <w:tcBorders>
              <w:top w:val="nil"/>
              <w:left w:val="nil"/>
              <w:bottom w:val="nil"/>
              <w:right w:val="nil"/>
            </w:tcBorders>
            <w:noWrap/>
            <w:vAlign w:val="center"/>
            <w:hideMark/>
          </w:tcPr>
          <w:p w14:paraId="749B3EF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15.021,1 </w:t>
            </w:r>
          </w:p>
        </w:tc>
        <w:tc>
          <w:tcPr>
            <w:tcW w:w="1315" w:type="dxa"/>
            <w:tcBorders>
              <w:top w:val="nil"/>
              <w:left w:val="nil"/>
              <w:bottom w:val="nil"/>
              <w:right w:val="nil"/>
            </w:tcBorders>
            <w:noWrap/>
            <w:vAlign w:val="center"/>
            <w:hideMark/>
          </w:tcPr>
          <w:p w14:paraId="02CC073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(10.897,4)</w:t>
            </w:r>
          </w:p>
        </w:tc>
      </w:tr>
      <w:tr w:rsidR="00FD7592" w:rsidRPr="001B41AD" w14:paraId="0DF6D2C7" w14:textId="77777777" w:rsidTr="00FA5C17">
        <w:trPr>
          <w:trHeight w:val="20"/>
        </w:trPr>
        <w:tc>
          <w:tcPr>
            <w:tcW w:w="2931" w:type="dxa"/>
            <w:tcBorders>
              <w:top w:val="nil"/>
              <w:left w:val="nil"/>
              <w:bottom w:val="nil"/>
              <w:right w:val="nil"/>
            </w:tcBorders>
            <w:shd w:val="clear" w:color="000000" w:fill="FFFFFF"/>
            <w:noWrap/>
            <w:vAlign w:val="center"/>
            <w:hideMark/>
          </w:tcPr>
          <w:p w14:paraId="1CB0C597"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"Електродистрибуција Србије" доо</w:t>
            </w:r>
          </w:p>
        </w:tc>
        <w:tc>
          <w:tcPr>
            <w:tcW w:w="1242" w:type="dxa"/>
            <w:tcBorders>
              <w:top w:val="nil"/>
              <w:left w:val="nil"/>
              <w:bottom w:val="nil"/>
              <w:right w:val="nil"/>
            </w:tcBorders>
            <w:shd w:val="clear" w:color="000000" w:fill="FFFFFF"/>
            <w:noWrap/>
            <w:vAlign w:val="center"/>
            <w:hideMark/>
          </w:tcPr>
          <w:p w14:paraId="4498F93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249,8 </w:t>
            </w:r>
          </w:p>
        </w:tc>
        <w:tc>
          <w:tcPr>
            <w:tcW w:w="1242" w:type="dxa"/>
            <w:tcBorders>
              <w:top w:val="nil"/>
              <w:left w:val="nil"/>
              <w:bottom w:val="nil"/>
              <w:right w:val="nil"/>
            </w:tcBorders>
            <w:shd w:val="clear" w:color="000000" w:fill="FFFFFF"/>
            <w:noWrap/>
            <w:vAlign w:val="center"/>
            <w:hideMark/>
          </w:tcPr>
          <w:p w14:paraId="3B9C7D4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(1.206,0)</w:t>
            </w:r>
          </w:p>
        </w:tc>
        <w:tc>
          <w:tcPr>
            <w:tcW w:w="1242" w:type="dxa"/>
            <w:tcBorders>
              <w:top w:val="nil"/>
              <w:left w:val="nil"/>
              <w:bottom w:val="nil"/>
              <w:right w:val="nil"/>
            </w:tcBorders>
            <w:noWrap/>
            <w:vAlign w:val="center"/>
            <w:hideMark/>
          </w:tcPr>
          <w:p w14:paraId="7D7EFAA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(6.932,9)</w:t>
            </w:r>
          </w:p>
        </w:tc>
        <w:tc>
          <w:tcPr>
            <w:tcW w:w="1308" w:type="dxa"/>
            <w:tcBorders>
              <w:top w:val="nil"/>
              <w:left w:val="nil"/>
              <w:bottom w:val="nil"/>
              <w:right w:val="nil"/>
            </w:tcBorders>
            <w:noWrap/>
            <w:vAlign w:val="center"/>
            <w:hideMark/>
          </w:tcPr>
          <w:p w14:paraId="0B6223F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(2.411,8)</w:t>
            </w:r>
          </w:p>
        </w:tc>
        <w:tc>
          <w:tcPr>
            <w:tcW w:w="1315" w:type="dxa"/>
            <w:tcBorders>
              <w:top w:val="nil"/>
              <w:left w:val="nil"/>
              <w:bottom w:val="nil"/>
              <w:right w:val="nil"/>
            </w:tcBorders>
            <w:noWrap/>
            <w:vAlign w:val="center"/>
            <w:hideMark/>
          </w:tcPr>
          <w:p w14:paraId="4F0BACF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(4.298,8)</w:t>
            </w:r>
          </w:p>
        </w:tc>
      </w:tr>
      <w:tr w:rsidR="00FD7592" w:rsidRPr="001B41AD" w14:paraId="03B663B9" w14:textId="77777777" w:rsidTr="00FA5C17">
        <w:trPr>
          <w:trHeight w:val="20"/>
        </w:trPr>
        <w:tc>
          <w:tcPr>
            <w:tcW w:w="2931" w:type="dxa"/>
            <w:tcBorders>
              <w:top w:val="nil"/>
              <w:left w:val="nil"/>
              <w:bottom w:val="nil"/>
              <w:right w:val="nil"/>
            </w:tcBorders>
            <w:shd w:val="clear" w:color="000000" w:fill="FFFFFF"/>
            <w:noWrap/>
            <w:vAlign w:val="center"/>
            <w:hideMark/>
          </w:tcPr>
          <w:p w14:paraId="5100D05E"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"Инфраструктура железнице Србије" ад</w:t>
            </w:r>
          </w:p>
        </w:tc>
        <w:tc>
          <w:tcPr>
            <w:tcW w:w="1242" w:type="dxa"/>
            <w:tcBorders>
              <w:top w:val="nil"/>
              <w:left w:val="nil"/>
              <w:bottom w:val="nil"/>
              <w:right w:val="nil"/>
            </w:tcBorders>
            <w:shd w:val="clear" w:color="000000" w:fill="FFFFFF"/>
            <w:noWrap/>
            <w:vAlign w:val="center"/>
            <w:hideMark/>
          </w:tcPr>
          <w:p w14:paraId="2746893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(5.283,7)</w:t>
            </w:r>
          </w:p>
        </w:tc>
        <w:tc>
          <w:tcPr>
            <w:tcW w:w="1242" w:type="dxa"/>
            <w:tcBorders>
              <w:top w:val="nil"/>
              <w:left w:val="nil"/>
              <w:bottom w:val="nil"/>
              <w:right w:val="nil"/>
            </w:tcBorders>
            <w:shd w:val="clear" w:color="000000" w:fill="FFFFFF"/>
            <w:noWrap/>
            <w:vAlign w:val="center"/>
            <w:hideMark/>
          </w:tcPr>
          <w:p w14:paraId="580A6EA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(7.204,0)</w:t>
            </w:r>
          </w:p>
        </w:tc>
        <w:tc>
          <w:tcPr>
            <w:tcW w:w="1242" w:type="dxa"/>
            <w:tcBorders>
              <w:top w:val="nil"/>
              <w:left w:val="nil"/>
              <w:bottom w:val="nil"/>
              <w:right w:val="nil"/>
            </w:tcBorders>
            <w:noWrap/>
            <w:vAlign w:val="center"/>
            <w:hideMark/>
          </w:tcPr>
          <w:p w14:paraId="2344B41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(4.672,5)</w:t>
            </w:r>
          </w:p>
        </w:tc>
        <w:tc>
          <w:tcPr>
            <w:tcW w:w="1308" w:type="dxa"/>
            <w:tcBorders>
              <w:top w:val="nil"/>
              <w:left w:val="nil"/>
              <w:bottom w:val="nil"/>
              <w:right w:val="nil"/>
            </w:tcBorders>
            <w:noWrap/>
            <w:vAlign w:val="center"/>
            <w:hideMark/>
          </w:tcPr>
          <w:p w14:paraId="1DBCEC7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(1.199,8)</w:t>
            </w:r>
          </w:p>
        </w:tc>
        <w:tc>
          <w:tcPr>
            <w:tcW w:w="1315" w:type="dxa"/>
            <w:tcBorders>
              <w:top w:val="nil"/>
              <w:left w:val="nil"/>
              <w:bottom w:val="nil"/>
              <w:right w:val="nil"/>
            </w:tcBorders>
            <w:noWrap/>
            <w:vAlign w:val="center"/>
            <w:hideMark/>
          </w:tcPr>
          <w:p w14:paraId="73C911A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(1.542,0)</w:t>
            </w:r>
          </w:p>
        </w:tc>
      </w:tr>
      <w:tr w:rsidR="00FD7592" w:rsidRPr="001B41AD" w14:paraId="4A738379" w14:textId="77777777" w:rsidTr="00FA5C17">
        <w:trPr>
          <w:trHeight w:val="20"/>
        </w:trPr>
        <w:tc>
          <w:tcPr>
            <w:tcW w:w="2931" w:type="dxa"/>
            <w:tcBorders>
              <w:top w:val="nil"/>
              <w:left w:val="nil"/>
              <w:bottom w:val="nil"/>
              <w:right w:val="nil"/>
            </w:tcBorders>
            <w:shd w:val="clear" w:color="000000" w:fill="FFFFFF"/>
            <w:noWrap/>
            <w:vAlign w:val="center"/>
            <w:hideMark/>
          </w:tcPr>
          <w:p w14:paraId="071C6B08"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"Србијавоз" ад</w:t>
            </w:r>
          </w:p>
        </w:tc>
        <w:tc>
          <w:tcPr>
            <w:tcW w:w="1242" w:type="dxa"/>
            <w:tcBorders>
              <w:top w:val="nil"/>
              <w:left w:val="nil"/>
              <w:bottom w:val="nil"/>
              <w:right w:val="nil"/>
            </w:tcBorders>
            <w:shd w:val="clear" w:color="000000" w:fill="FFFFFF"/>
            <w:noWrap/>
            <w:vAlign w:val="center"/>
            <w:hideMark/>
          </w:tcPr>
          <w:p w14:paraId="6842B59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(344,2)</w:t>
            </w:r>
          </w:p>
        </w:tc>
        <w:tc>
          <w:tcPr>
            <w:tcW w:w="1242" w:type="dxa"/>
            <w:tcBorders>
              <w:top w:val="nil"/>
              <w:left w:val="nil"/>
              <w:bottom w:val="nil"/>
              <w:right w:val="nil"/>
            </w:tcBorders>
            <w:shd w:val="clear" w:color="000000" w:fill="FFFFFF"/>
            <w:noWrap/>
            <w:vAlign w:val="center"/>
            <w:hideMark/>
          </w:tcPr>
          <w:p w14:paraId="623C8D8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176,0 </w:t>
            </w:r>
          </w:p>
        </w:tc>
        <w:tc>
          <w:tcPr>
            <w:tcW w:w="1242" w:type="dxa"/>
            <w:tcBorders>
              <w:top w:val="nil"/>
              <w:left w:val="nil"/>
              <w:bottom w:val="nil"/>
              <w:right w:val="nil"/>
            </w:tcBorders>
            <w:noWrap/>
            <w:vAlign w:val="center"/>
            <w:hideMark/>
          </w:tcPr>
          <w:p w14:paraId="480F99E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(258,9)</w:t>
            </w:r>
          </w:p>
        </w:tc>
        <w:tc>
          <w:tcPr>
            <w:tcW w:w="1308" w:type="dxa"/>
            <w:tcBorders>
              <w:top w:val="nil"/>
              <w:left w:val="nil"/>
              <w:bottom w:val="nil"/>
              <w:right w:val="nil"/>
            </w:tcBorders>
            <w:noWrap/>
            <w:vAlign w:val="center"/>
            <w:hideMark/>
          </w:tcPr>
          <w:p w14:paraId="198F8BB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(468,4)</w:t>
            </w:r>
          </w:p>
        </w:tc>
        <w:tc>
          <w:tcPr>
            <w:tcW w:w="1315" w:type="dxa"/>
            <w:tcBorders>
              <w:top w:val="nil"/>
              <w:left w:val="nil"/>
              <w:bottom w:val="nil"/>
              <w:right w:val="nil"/>
            </w:tcBorders>
            <w:noWrap/>
            <w:vAlign w:val="center"/>
            <w:hideMark/>
          </w:tcPr>
          <w:p w14:paraId="32F05ED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(607,0)</w:t>
            </w:r>
          </w:p>
        </w:tc>
      </w:tr>
      <w:tr w:rsidR="00FD7592" w:rsidRPr="001B41AD" w14:paraId="4C6054D2" w14:textId="77777777" w:rsidTr="00FA5C17">
        <w:trPr>
          <w:trHeight w:val="20"/>
        </w:trPr>
        <w:tc>
          <w:tcPr>
            <w:tcW w:w="2931" w:type="dxa"/>
            <w:tcBorders>
              <w:top w:val="nil"/>
              <w:left w:val="nil"/>
              <w:bottom w:val="nil"/>
              <w:right w:val="nil"/>
            </w:tcBorders>
            <w:shd w:val="clear" w:color="000000" w:fill="FFFFFF"/>
            <w:noWrap/>
            <w:vAlign w:val="center"/>
            <w:hideMark/>
          </w:tcPr>
          <w:p w14:paraId="4C878E3A"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"Србија Карго" ад</w:t>
            </w:r>
          </w:p>
        </w:tc>
        <w:tc>
          <w:tcPr>
            <w:tcW w:w="1242" w:type="dxa"/>
            <w:tcBorders>
              <w:top w:val="nil"/>
              <w:left w:val="nil"/>
              <w:bottom w:val="nil"/>
              <w:right w:val="nil"/>
            </w:tcBorders>
            <w:shd w:val="clear" w:color="000000" w:fill="FFFFFF"/>
            <w:noWrap/>
            <w:vAlign w:val="center"/>
            <w:hideMark/>
          </w:tcPr>
          <w:p w14:paraId="076815A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(1.432,1)</w:t>
            </w:r>
          </w:p>
        </w:tc>
        <w:tc>
          <w:tcPr>
            <w:tcW w:w="1242" w:type="dxa"/>
            <w:tcBorders>
              <w:top w:val="nil"/>
              <w:left w:val="nil"/>
              <w:bottom w:val="nil"/>
              <w:right w:val="nil"/>
            </w:tcBorders>
            <w:shd w:val="clear" w:color="000000" w:fill="FFFFFF"/>
            <w:noWrap/>
            <w:vAlign w:val="center"/>
            <w:hideMark/>
          </w:tcPr>
          <w:p w14:paraId="3F142FB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(1.671,7)</w:t>
            </w:r>
          </w:p>
        </w:tc>
        <w:tc>
          <w:tcPr>
            <w:tcW w:w="1242" w:type="dxa"/>
            <w:tcBorders>
              <w:top w:val="nil"/>
              <w:left w:val="nil"/>
              <w:bottom w:val="nil"/>
              <w:right w:val="nil"/>
            </w:tcBorders>
            <w:noWrap/>
            <w:vAlign w:val="center"/>
            <w:hideMark/>
          </w:tcPr>
          <w:p w14:paraId="04775D3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(2.668,9)</w:t>
            </w:r>
          </w:p>
        </w:tc>
        <w:tc>
          <w:tcPr>
            <w:tcW w:w="1308" w:type="dxa"/>
            <w:tcBorders>
              <w:top w:val="nil"/>
              <w:left w:val="nil"/>
              <w:bottom w:val="nil"/>
              <w:right w:val="nil"/>
            </w:tcBorders>
            <w:noWrap/>
            <w:vAlign w:val="center"/>
            <w:hideMark/>
          </w:tcPr>
          <w:p w14:paraId="723FE9B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(605,8)</w:t>
            </w:r>
          </w:p>
        </w:tc>
        <w:tc>
          <w:tcPr>
            <w:tcW w:w="1315" w:type="dxa"/>
            <w:tcBorders>
              <w:top w:val="nil"/>
              <w:left w:val="nil"/>
              <w:bottom w:val="nil"/>
              <w:right w:val="nil"/>
            </w:tcBorders>
            <w:noWrap/>
            <w:vAlign w:val="center"/>
            <w:hideMark/>
          </w:tcPr>
          <w:p w14:paraId="18F6BA9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(504,7)</w:t>
            </w:r>
          </w:p>
        </w:tc>
      </w:tr>
      <w:tr w:rsidR="00FD7592" w:rsidRPr="001B41AD" w14:paraId="638D84B6" w14:textId="77777777" w:rsidTr="00FA5C17">
        <w:trPr>
          <w:trHeight w:val="20"/>
        </w:trPr>
        <w:tc>
          <w:tcPr>
            <w:tcW w:w="2931" w:type="dxa"/>
            <w:tcBorders>
              <w:top w:val="nil"/>
              <w:left w:val="nil"/>
              <w:bottom w:val="nil"/>
              <w:right w:val="nil"/>
            </w:tcBorders>
            <w:shd w:val="clear" w:color="000000" w:fill="FFFFFF"/>
            <w:noWrap/>
            <w:vAlign w:val="center"/>
            <w:hideMark/>
          </w:tcPr>
          <w:p w14:paraId="26A2D7B4"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Јавно предузеће ПЕУ "Ресавица" </w:t>
            </w:r>
          </w:p>
        </w:tc>
        <w:tc>
          <w:tcPr>
            <w:tcW w:w="1242" w:type="dxa"/>
            <w:tcBorders>
              <w:top w:val="nil"/>
              <w:left w:val="nil"/>
              <w:bottom w:val="nil"/>
              <w:right w:val="nil"/>
            </w:tcBorders>
            <w:shd w:val="clear" w:color="000000" w:fill="FFFFFF"/>
            <w:noWrap/>
            <w:vAlign w:val="center"/>
            <w:hideMark/>
          </w:tcPr>
          <w:p w14:paraId="5039DEF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(1.621,1)</w:t>
            </w:r>
          </w:p>
        </w:tc>
        <w:tc>
          <w:tcPr>
            <w:tcW w:w="1242" w:type="dxa"/>
            <w:tcBorders>
              <w:top w:val="nil"/>
              <w:left w:val="nil"/>
              <w:bottom w:val="nil"/>
              <w:right w:val="nil"/>
            </w:tcBorders>
            <w:shd w:val="clear" w:color="000000" w:fill="FFFFFF"/>
            <w:noWrap/>
            <w:vAlign w:val="center"/>
            <w:hideMark/>
          </w:tcPr>
          <w:p w14:paraId="572AB97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(2.152,4)</w:t>
            </w:r>
          </w:p>
        </w:tc>
        <w:tc>
          <w:tcPr>
            <w:tcW w:w="1242" w:type="dxa"/>
            <w:tcBorders>
              <w:top w:val="nil"/>
              <w:left w:val="nil"/>
              <w:bottom w:val="nil"/>
              <w:right w:val="nil"/>
            </w:tcBorders>
            <w:noWrap/>
            <w:vAlign w:val="center"/>
            <w:hideMark/>
          </w:tcPr>
          <w:p w14:paraId="1D1AC68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(1.623,7)</w:t>
            </w:r>
          </w:p>
        </w:tc>
        <w:tc>
          <w:tcPr>
            <w:tcW w:w="1308" w:type="dxa"/>
            <w:tcBorders>
              <w:top w:val="nil"/>
              <w:left w:val="nil"/>
              <w:bottom w:val="nil"/>
              <w:right w:val="nil"/>
            </w:tcBorders>
            <w:noWrap/>
            <w:vAlign w:val="center"/>
            <w:hideMark/>
          </w:tcPr>
          <w:p w14:paraId="273E116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(608,9)</w:t>
            </w:r>
          </w:p>
        </w:tc>
        <w:tc>
          <w:tcPr>
            <w:tcW w:w="1315" w:type="dxa"/>
            <w:tcBorders>
              <w:top w:val="nil"/>
              <w:left w:val="nil"/>
              <w:bottom w:val="nil"/>
              <w:right w:val="nil"/>
            </w:tcBorders>
            <w:noWrap/>
            <w:vAlign w:val="center"/>
            <w:hideMark/>
          </w:tcPr>
          <w:p w14:paraId="132DEA9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(311,7)</w:t>
            </w:r>
          </w:p>
        </w:tc>
      </w:tr>
      <w:tr w:rsidR="00FD7592" w:rsidRPr="001B41AD" w14:paraId="68939CC7" w14:textId="77777777" w:rsidTr="00FA5C17">
        <w:trPr>
          <w:trHeight w:val="20"/>
        </w:trPr>
        <w:tc>
          <w:tcPr>
            <w:tcW w:w="2931" w:type="dxa"/>
            <w:tcBorders>
              <w:top w:val="nil"/>
              <w:left w:val="nil"/>
              <w:bottom w:val="nil"/>
              <w:right w:val="nil"/>
            </w:tcBorders>
            <w:shd w:val="clear" w:color="000000" w:fill="FFFFFF"/>
            <w:noWrap/>
            <w:vAlign w:val="center"/>
            <w:hideMark/>
          </w:tcPr>
          <w:p w14:paraId="47291C7F"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"Завод за уџбенике"</w:t>
            </w:r>
          </w:p>
        </w:tc>
        <w:tc>
          <w:tcPr>
            <w:tcW w:w="1242" w:type="dxa"/>
            <w:tcBorders>
              <w:top w:val="nil"/>
              <w:left w:val="nil"/>
              <w:bottom w:val="nil"/>
              <w:right w:val="nil"/>
            </w:tcBorders>
            <w:shd w:val="clear" w:color="000000" w:fill="FFFFFF"/>
            <w:noWrap/>
            <w:vAlign w:val="center"/>
            <w:hideMark/>
          </w:tcPr>
          <w:p w14:paraId="0F3720F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(213,6)</w:t>
            </w:r>
          </w:p>
        </w:tc>
        <w:tc>
          <w:tcPr>
            <w:tcW w:w="1242" w:type="dxa"/>
            <w:tcBorders>
              <w:top w:val="nil"/>
              <w:left w:val="nil"/>
              <w:bottom w:val="nil"/>
              <w:right w:val="nil"/>
            </w:tcBorders>
            <w:shd w:val="clear" w:color="000000" w:fill="FFFFFF"/>
            <w:noWrap/>
            <w:vAlign w:val="center"/>
            <w:hideMark/>
          </w:tcPr>
          <w:p w14:paraId="50F740C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(96,8)</w:t>
            </w:r>
          </w:p>
        </w:tc>
        <w:tc>
          <w:tcPr>
            <w:tcW w:w="1242" w:type="dxa"/>
            <w:tcBorders>
              <w:top w:val="nil"/>
              <w:left w:val="nil"/>
              <w:bottom w:val="nil"/>
              <w:right w:val="nil"/>
            </w:tcBorders>
            <w:noWrap/>
            <w:vAlign w:val="center"/>
            <w:hideMark/>
          </w:tcPr>
          <w:p w14:paraId="387CBE8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(323,4)</w:t>
            </w:r>
          </w:p>
        </w:tc>
        <w:tc>
          <w:tcPr>
            <w:tcW w:w="1308" w:type="dxa"/>
            <w:tcBorders>
              <w:top w:val="nil"/>
              <w:left w:val="nil"/>
              <w:bottom w:val="nil"/>
              <w:right w:val="nil"/>
            </w:tcBorders>
            <w:noWrap/>
            <w:vAlign w:val="center"/>
            <w:hideMark/>
          </w:tcPr>
          <w:p w14:paraId="24A514C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(169,2)</w:t>
            </w:r>
          </w:p>
        </w:tc>
        <w:tc>
          <w:tcPr>
            <w:tcW w:w="1315" w:type="dxa"/>
            <w:tcBorders>
              <w:top w:val="nil"/>
              <w:left w:val="nil"/>
              <w:bottom w:val="nil"/>
              <w:right w:val="nil"/>
            </w:tcBorders>
            <w:noWrap/>
            <w:vAlign w:val="center"/>
            <w:hideMark/>
          </w:tcPr>
          <w:p w14:paraId="6C1B262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(199,0)</w:t>
            </w:r>
          </w:p>
        </w:tc>
      </w:tr>
      <w:tr w:rsidR="00FD7592" w:rsidRPr="001B41AD" w14:paraId="4CAC5C30" w14:textId="77777777" w:rsidTr="00FA5C17">
        <w:trPr>
          <w:trHeight w:val="20"/>
        </w:trPr>
        <w:tc>
          <w:tcPr>
            <w:tcW w:w="2931" w:type="dxa"/>
            <w:tcBorders>
              <w:top w:val="nil"/>
              <w:left w:val="nil"/>
              <w:bottom w:val="nil"/>
              <w:right w:val="nil"/>
            </w:tcBorders>
            <w:shd w:val="clear" w:color="000000" w:fill="FFFFFF"/>
            <w:noWrap/>
            <w:vAlign w:val="center"/>
            <w:hideMark/>
          </w:tcPr>
          <w:p w14:paraId="01F26CD1"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за склоништа</w:t>
            </w:r>
          </w:p>
        </w:tc>
        <w:tc>
          <w:tcPr>
            <w:tcW w:w="1242" w:type="dxa"/>
            <w:tcBorders>
              <w:top w:val="nil"/>
              <w:left w:val="nil"/>
              <w:bottom w:val="nil"/>
              <w:right w:val="nil"/>
            </w:tcBorders>
            <w:shd w:val="clear" w:color="000000" w:fill="FFFFFF"/>
            <w:noWrap/>
            <w:vAlign w:val="center"/>
            <w:hideMark/>
          </w:tcPr>
          <w:p w14:paraId="4C453E5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(112,9)</w:t>
            </w:r>
          </w:p>
        </w:tc>
        <w:tc>
          <w:tcPr>
            <w:tcW w:w="1242" w:type="dxa"/>
            <w:tcBorders>
              <w:top w:val="nil"/>
              <w:left w:val="nil"/>
              <w:bottom w:val="nil"/>
              <w:right w:val="nil"/>
            </w:tcBorders>
            <w:shd w:val="clear" w:color="000000" w:fill="FFFFFF"/>
            <w:noWrap/>
            <w:vAlign w:val="center"/>
            <w:hideMark/>
          </w:tcPr>
          <w:p w14:paraId="1775036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(117,3)</w:t>
            </w:r>
          </w:p>
        </w:tc>
        <w:tc>
          <w:tcPr>
            <w:tcW w:w="1242" w:type="dxa"/>
            <w:tcBorders>
              <w:top w:val="nil"/>
              <w:left w:val="nil"/>
              <w:bottom w:val="nil"/>
              <w:right w:val="nil"/>
            </w:tcBorders>
            <w:noWrap/>
            <w:vAlign w:val="center"/>
            <w:hideMark/>
          </w:tcPr>
          <w:p w14:paraId="7F10133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(79,4)</w:t>
            </w:r>
          </w:p>
        </w:tc>
        <w:tc>
          <w:tcPr>
            <w:tcW w:w="1308" w:type="dxa"/>
            <w:tcBorders>
              <w:top w:val="nil"/>
              <w:left w:val="nil"/>
              <w:bottom w:val="nil"/>
              <w:right w:val="nil"/>
            </w:tcBorders>
            <w:noWrap/>
            <w:vAlign w:val="center"/>
            <w:hideMark/>
          </w:tcPr>
          <w:p w14:paraId="26BE9A9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(68,9)</w:t>
            </w:r>
          </w:p>
        </w:tc>
        <w:tc>
          <w:tcPr>
            <w:tcW w:w="1315" w:type="dxa"/>
            <w:tcBorders>
              <w:top w:val="nil"/>
              <w:left w:val="nil"/>
              <w:bottom w:val="nil"/>
              <w:right w:val="nil"/>
            </w:tcBorders>
            <w:noWrap/>
            <w:vAlign w:val="center"/>
            <w:hideMark/>
          </w:tcPr>
          <w:p w14:paraId="793DA33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(40,8)</w:t>
            </w:r>
          </w:p>
        </w:tc>
      </w:tr>
      <w:tr w:rsidR="00FD7592" w:rsidRPr="001B41AD" w14:paraId="36D3CBAE" w14:textId="77777777" w:rsidTr="00FA5C17">
        <w:trPr>
          <w:trHeight w:val="20"/>
        </w:trPr>
        <w:tc>
          <w:tcPr>
            <w:tcW w:w="2931" w:type="dxa"/>
            <w:tcBorders>
              <w:top w:val="nil"/>
              <w:left w:val="nil"/>
              <w:bottom w:val="nil"/>
              <w:right w:val="nil"/>
            </w:tcBorders>
            <w:shd w:val="clear" w:color="000000" w:fill="FFFFFF"/>
            <w:noWrap/>
            <w:vAlign w:val="center"/>
            <w:hideMark/>
          </w:tcPr>
          <w:p w14:paraId="0B596F30"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"Службени гласник"</w:t>
            </w:r>
          </w:p>
        </w:tc>
        <w:tc>
          <w:tcPr>
            <w:tcW w:w="1242" w:type="dxa"/>
            <w:tcBorders>
              <w:top w:val="nil"/>
              <w:left w:val="nil"/>
              <w:bottom w:val="nil"/>
              <w:right w:val="nil"/>
            </w:tcBorders>
            <w:shd w:val="clear" w:color="000000" w:fill="FFFFFF"/>
            <w:noWrap/>
            <w:vAlign w:val="center"/>
            <w:hideMark/>
          </w:tcPr>
          <w:p w14:paraId="010B3E7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8,4 </w:t>
            </w:r>
          </w:p>
        </w:tc>
        <w:tc>
          <w:tcPr>
            <w:tcW w:w="1242" w:type="dxa"/>
            <w:tcBorders>
              <w:top w:val="nil"/>
              <w:left w:val="nil"/>
              <w:bottom w:val="nil"/>
              <w:right w:val="nil"/>
            </w:tcBorders>
            <w:shd w:val="clear" w:color="000000" w:fill="FFFFFF"/>
            <w:noWrap/>
            <w:vAlign w:val="center"/>
            <w:hideMark/>
          </w:tcPr>
          <w:p w14:paraId="2766F26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6,8 </w:t>
            </w:r>
          </w:p>
        </w:tc>
        <w:tc>
          <w:tcPr>
            <w:tcW w:w="1242" w:type="dxa"/>
            <w:tcBorders>
              <w:top w:val="nil"/>
              <w:left w:val="nil"/>
              <w:bottom w:val="nil"/>
              <w:right w:val="nil"/>
            </w:tcBorders>
            <w:noWrap/>
            <w:vAlign w:val="center"/>
            <w:hideMark/>
          </w:tcPr>
          <w:p w14:paraId="336F321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28,2 </w:t>
            </w:r>
          </w:p>
        </w:tc>
        <w:tc>
          <w:tcPr>
            <w:tcW w:w="1308" w:type="dxa"/>
            <w:tcBorders>
              <w:top w:val="nil"/>
              <w:left w:val="nil"/>
              <w:bottom w:val="nil"/>
              <w:right w:val="nil"/>
            </w:tcBorders>
            <w:noWrap/>
            <w:vAlign w:val="center"/>
            <w:hideMark/>
          </w:tcPr>
          <w:p w14:paraId="4BE1705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17,2 </w:t>
            </w:r>
          </w:p>
        </w:tc>
        <w:tc>
          <w:tcPr>
            <w:tcW w:w="1315" w:type="dxa"/>
            <w:tcBorders>
              <w:top w:val="nil"/>
              <w:left w:val="nil"/>
              <w:bottom w:val="nil"/>
              <w:right w:val="nil"/>
            </w:tcBorders>
            <w:noWrap/>
            <w:vAlign w:val="center"/>
            <w:hideMark/>
          </w:tcPr>
          <w:p w14:paraId="229E87F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(38,2)</w:t>
            </w:r>
          </w:p>
        </w:tc>
      </w:tr>
      <w:tr w:rsidR="00FD7592" w:rsidRPr="001B41AD" w14:paraId="509AB14F" w14:textId="77777777" w:rsidTr="00FA5C17">
        <w:trPr>
          <w:trHeight w:val="20"/>
        </w:trPr>
        <w:tc>
          <w:tcPr>
            <w:tcW w:w="2931" w:type="dxa"/>
            <w:tcBorders>
              <w:top w:val="nil"/>
              <w:left w:val="nil"/>
              <w:bottom w:val="nil"/>
              <w:right w:val="nil"/>
            </w:tcBorders>
            <w:shd w:val="clear" w:color="000000" w:fill="FFFFFF"/>
            <w:noWrap/>
            <w:vAlign w:val="center"/>
            <w:hideMark/>
          </w:tcPr>
          <w:p w14:paraId="763992B9"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"Коридори Србије" доо</w:t>
            </w:r>
          </w:p>
        </w:tc>
        <w:tc>
          <w:tcPr>
            <w:tcW w:w="1242" w:type="dxa"/>
            <w:tcBorders>
              <w:top w:val="nil"/>
              <w:left w:val="nil"/>
              <w:bottom w:val="nil"/>
              <w:right w:val="nil"/>
            </w:tcBorders>
            <w:shd w:val="clear" w:color="000000" w:fill="FFFFFF"/>
            <w:noWrap/>
            <w:vAlign w:val="center"/>
            <w:hideMark/>
          </w:tcPr>
          <w:p w14:paraId="19BEAC1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0,0 </w:t>
            </w:r>
          </w:p>
        </w:tc>
        <w:tc>
          <w:tcPr>
            <w:tcW w:w="1242" w:type="dxa"/>
            <w:tcBorders>
              <w:top w:val="nil"/>
              <w:left w:val="nil"/>
              <w:bottom w:val="nil"/>
              <w:right w:val="nil"/>
            </w:tcBorders>
            <w:shd w:val="clear" w:color="000000" w:fill="FFFFFF"/>
            <w:noWrap/>
            <w:vAlign w:val="center"/>
            <w:hideMark/>
          </w:tcPr>
          <w:p w14:paraId="42DD6D0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0,0 </w:t>
            </w:r>
          </w:p>
        </w:tc>
        <w:tc>
          <w:tcPr>
            <w:tcW w:w="1242" w:type="dxa"/>
            <w:tcBorders>
              <w:top w:val="nil"/>
              <w:left w:val="nil"/>
              <w:bottom w:val="nil"/>
              <w:right w:val="nil"/>
            </w:tcBorders>
            <w:noWrap/>
            <w:vAlign w:val="center"/>
            <w:hideMark/>
          </w:tcPr>
          <w:p w14:paraId="43ACDB5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0,0 </w:t>
            </w:r>
          </w:p>
        </w:tc>
        <w:tc>
          <w:tcPr>
            <w:tcW w:w="1308" w:type="dxa"/>
            <w:tcBorders>
              <w:top w:val="nil"/>
              <w:left w:val="nil"/>
              <w:bottom w:val="nil"/>
              <w:right w:val="nil"/>
            </w:tcBorders>
            <w:noWrap/>
            <w:vAlign w:val="center"/>
            <w:hideMark/>
          </w:tcPr>
          <w:p w14:paraId="5966A59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(0,0)</w:t>
            </w:r>
          </w:p>
        </w:tc>
        <w:tc>
          <w:tcPr>
            <w:tcW w:w="1315" w:type="dxa"/>
            <w:tcBorders>
              <w:top w:val="nil"/>
              <w:left w:val="nil"/>
              <w:bottom w:val="nil"/>
              <w:right w:val="nil"/>
            </w:tcBorders>
            <w:noWrap/>
            <w:vAlign w:val="center"/>
            <w:hideMark/>
          </w:tcPr>
          <w:p w14:paraId="51EB72A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(18,5)</w:t>
            </w:r>
          </w:p>
        </w:tc>
      </w:tr>
      <w:tr w:rsidR="00FD7592" w:rsidRPr="001B41AD" w14:paraId="6E992AA4" w14:textId="77777777" w:rsidTr="00FA5C17">
        <w:trPr>
          <w:trHeight w:val="20"/>
        </w:trPr>
        <w:tc>
          <w:tcPr>
            <w:tcW w:w="2931" w:type="dxa"/>
            <w:tcBorders>
              <w:top w:val="nil"/>
              <w:left w:val="nil"/>
              <w:bottom w:val="nil"/>
              <w:right w:val="nil"/>
            </w:tcBorders>
            <w:shd w:val="clear" w:color="000000" w:fill="FFFFFF"/>
            <w:noWrap/>
            <w:vAlign w:val="center"/>
            <w:hideMark/>
          </w:tcPr>
          <w:p w14:paraId="5990FD76"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водопривредно предузеће "Србијаводе"</w:t>
            </w:r>
          </w:p>
        </w:tc>
        <w:tc>
          <w:tcPr>
            <w:tcW w:w="1242" w:type="dxa"/>
            <w:tcBorders>
              <w:top w:val="nil"/>
              <w:left w:val="nil"/>
              <w:bottom w:val="nil"/>
              <w:right w:val="nil"/>
            </w:tcBorders>
            <w:shd w:val="clear" w:color="000000" w:fill="FFFFFF"/>
            <w:noWrap/>
            <w:vAlign w:val="center"/>
            <w:hideMark/>
          </w:tcPr>
          <w:p w14:paraId="2A5888F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37,8 </w:t>
            </w:r>
          </w:p>
        </w:tc>
        <w:tc>
          <w:tcPr>
            <w:tcW w:w="1242" w:type="dxa"/>
            <w:tcBorders>
              <w:top w:val="nil"/>
              <w:left w:val="nil"/>
              <w:bottom w:val="nil"/>
              <w:right w:val="nil"/>
            </w:tcBorders>
            <w:shd w:val="clear" w:color="000000" w:fill="FFFFFF"/>
            <w:noWrap/>
            <w:vAlign w:val="center"/>
            <w:hideMark/>
          </w:tcPr>
          <w:p w14:paraId="218A165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16,1 </w:t>
            </w:r>
          </w:p>
        </w:tc>
        <w:tc>
          <w:tcPr>
            <w:tcW w:w="1242" w:type="dxa"/>
            <w:tcBorders>
              <w:top w:val="nil"/>
              <w:left w:val="nil"/>
              <w:bottom w:val="nil"/>
              <w:right w:val="nil"/>
            </w:tcBorders>
            <w:noWrap/>
            <w:vAlign w:val="center"/>
            <w:hideMark/>
          </w:tcPr>
          <w:p w14:paraId="4987AF1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23,7 </w:t>
            </w:r>
          </w:p>
        </w:tc>
        <w:tc>
          <w:tcPr>
            <w:tcW w:w="1308" w:type="dxa"/>
            <w:tcBorders>
              <w:top w:val="nil"/>
              <w:left w:val="nil"/>
              <w:bottom w:val="nil"/>
              <w:right w:val="nil"/>
            </w:tcBorders>
            <w:noWrap/>
            <w:vAlign w:val="center"/>
            <w:hideMark/>
          </w:tcPr>
          <w:p w14:paraId="7554FAF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(84,9) </w:t>
            </w:r>
          </w:p>
        </w:tc>
        <w:tc>
          <w:tcPr>
            <w:tcW w:w="1315" w:type="dxa"/>
            <w:tcBorders>
              <w:top w:val="nil"/>
              <w:left w:val="nil"/>
              <w:bottom w:val="nil"/>
              <w:right w:val="nil"/>
            </w:tcBorders>
            <w:noWrap/>
            <w:vAlign w:val="center"/>
            <w:hideMark/>
          </w:tcPr>
          <w:p w14:paraId="582DC2DB"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(15,1)</w:t>
            </w:r>
          </w:p>
        </w:tc>
      </w:tr>
      <w:tr w:rsidR="00FD7592" w:rsidRPr="001B41AD" w14:paraId="3E540164" w14:textId="77777777" w:rsidTr="00FA5C17">
        <w:trPr>
          <w:trHeight w:val="20"/>
        </w:trPr>
        <w:tc>
          <w:tcPr>
            <w:tcW w:w="2931" w:type="dxa"/>
            <w:tcBorders>
              <w:top w:val="nil"/>
              <w:left w:val="nil"/>
              <w:bottom w:val="nil"/>
              <w:right w:val="nil"/>
            </w:tcBorders>
            <w:shd w:val="clear" w:color="000000" w:fill="FFFFFF"/>
            <w:noWrap/>
            <w:vAlign w:val="center"/>
            <w:hideMark/>
          </w:tcPr>
          <w:p w14:paraId="0505C2AD"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"Парк природе Мокра Гора" доо</w:t>
            </w:r>
          </w:p>
        </w:tc>
        <w:tc>
          <w:tcPr>
            <w:tcW w:w="1242" w:type="dxa"/>
            <w:tcBorders>
              <w:top w:val="nil"/>
              <w:left w:val="nil"/>
              <w:bottom w:val="nil"/>
              <w:right w:val="nil"/>
            </w:tcBorders>
            <w:shd w:val="clear" w:color="000000" w:fill="FFFFFF"/>
            <w:noWrap/>
            <w:vAlign w:val="center"/>
            <w:hideMark/>
          </w:tcPr>
          <w:p w14:paraId="490A2C4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0,0 </w:t>
            </w:r>
          </w:p>
        </w:tc>
        <w:tc>
          <w:tcPr>
            <w:tcW w:w="1242" w:type="dxa"/>
            <w:tcBorders>
              <w:top w:val="nil"/>
              <w:left w:val="nil"/>
              <w:bottom w:val="nil"/>
              <w:right w:val="nil"/>
            </w:tcBorders>
            <w:shd w:val="clear" w:color="000000" w:fill="FFFFFF"/>
            <w:noWrap/>
            <w:vAlign w:val="center"/>
            <w:hideMark/>
          </w:tcPr>
          <w:p w14:paraId="265294C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7,7 </w:t>
            </w:r>
          </w:p>
        </w:tc>
        <w:tc>
          <w:tcPr>
            <w:tcW w:w="1242" w:type="dxa"/>
            <w:tcBorders>
              <w:top w:val="nil"/>
              <w:left w:val="nil"/>
              <w:bottom w:val="nil"/>
              <w:right w:val="nil"/>
            </w:tcBorders>
            <w:noWrap/>
            <w:vAlign w:val="center"/>
            <w:hideMark/>
          </w:tcPr>
          <w:p w14:paraId="4922C4C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5,6 </w:t>
            </w:r>
          </w:p>
        </w:tc>
        <w:tc>
          <w:tcPr>
            <w:tcW w:w="1308" w:type="dxa"/>
            <w:tcBorders>
              <w:top w:val="nil"/>
              <w:left w:val="nil"/>
              <w:bottom w:val="nil"/>
              <w:right w:val="nil"/>
            </w:tcBorders>
            <w:noWrap/>
            <w:vAlign w:val="center"/>
            <w:hideMark/>
          </w:tcPr>
          <w:p w14:paraId="55E4C7E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2,0 </w:t>
            </w:r>
          </w:p>
        </w:tc>
        <w:tc>
          <w:tcPr>
            <w:tcW w:w="1315" w:type="dxa"/>
            <w:tcBorders>
              <w:top w:val="nil"/>
              <w:left w:val="nil"/>
              <w:bottom w:val="nil"/>
              <w:right w:val="nil"/>
            </w:tcBorders>
            <w:noWrap/>
            <w:vAlign w:val="center"/>
            <w:hideMark/>
          </w:tcPr>
          <w:p w14:paraId="44D51A0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(5,8)</w:t>
            </w:r>
          </w:p>
        </w:tc>
      </w:tr>
      <w:tr w:rsidR="00FD7592" w:rsidRPr="001B41AD" w14:paraId="53974381" w14:textId="77777777" w:rsidTr="00FA5C17">
        <w:trPr>
          <w:trHeight w:val="20"/>
        </w:trPr>
        <w:tc>
          <w:tcPr>
            <w:tcW w:w="2931" w:type="dxa"/>
            <w:tcBorders>
              <w:top w:val="nil"/>
              <w:left w:val="nil"/>
              <w:bottom w:val="nil"/>
              <w:right w:val="nil"/>
            </w:tcBorders>
            <w:shd w:val="clear" w:color="000000" w:fill="FFFFFF"/>
            <w:noWrap/>
            <w:vAlign w:val="center"/>
            <w:hideMark/>
          </w:tcPr>
          <w:p w14:paraId="37C62F6C"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"Стара планина"</w:t>
            </w:r>
          </w:p>
        </w:tc>
        <w:tc>
          <w:tcPr>
            <w:tcW w:w="1242" w:type="dxa"/>
            <w:tcBorders>
              <w:top w:val="nil"/>
              <w:left w:val="nil"/>
              <w:bottom w:val="nil"/>
              <w:right w:val="nil"/>
            </w:tcBorders>
            <w:shd w:val="clear" w:color="000000" w:fill="FFFFFF"/>
            <w:noWrap/>
            <w:vAlign w:val="center"/>
            <w:hideMark/>
          </w:tcPr>
          <w:p w14:paraId="491610C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3,0 </w:t>
            </w:r>
          </w:p>
        </w:tc>
        <w:tc>
          <w:tcPr>
            <w:tcW w:w="1242" w:type="dxa"/>
            <w:tcBorders>
              <w:top w:val="nil"/>
              <w:left w:val="nil"/>
              <w:bottom w:val="nil"/>
              <w:right w:val="nil"/>
            </w:tcBorders>
            <w:shd w:val="clear" w:color="000000" w:fill="FFFFFF"/>
            <w:noWrap/>
            <w:vAlign w:val="center"/>
            <w:hideMark/>
          </w:tcPr>
          <w:p w14:paraId="6E8DCA1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2,4 </w:t>
            </w:r>
          </w:p>
        </w:tc>
        <w:tc>
          <w:tcPr>
            <w:tcW w:w="1242" w:type="dxa"/>
            <w:tcBorders>
              <w:top w:val="nil"/>
              <w:left w:val="nil"/>
              <w:bottom w:val="nil"/>
              <w:right w:val="nil"/>
            </w:tcBorders>
            <w:noWrap/>
            <w:vAlign w:val="center"/>
            <w:hideMark/>
          </w:tcPr>
          <w:p w14:paraId="508F294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4,6 </w:t>
            </w:r>
          </w:p>
        </w:tc>
        <w:tc>
          <w:tcPr>
            <w:tcW w:w="1308" w:type="dxa"/>
            <w:tcBorders>
              <w:top w:val="nil"/>
              <w:left w:val="nil"/>
              <w:bottom w:val="nil"/>
              <w:right w:val="nil"/>
            </w:tcBorders>
            <w:noWrap/>
            <w:vAlign w:val="center"/>
            <w:hideMark/>
          </w:tcPr>
          <w:p w14:paraId="1F30518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8,6 </w:t>
            </w:r>
          </w:p>
        </w:tc>
        <w:tc>
          <w:tcPr>
            <w:tcW w:w="1315" w:type="dxa"/>
            <w:tcBorders>
              <w:top w:val="nil"/>
              <w:left w:val="nil"/>
              <w:bottom w:val="nil"/>
              <w:right w:val="nil"/>
            </w:tcBorders>
            <w:noWrap/>
            <w:vAlign w:val="center"/>
            <w:hideMark/>
          </w:tcPr>
          <w:p w14:paraId="1BB3963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(5,4)</w:t>
            </w:r>
          </w:p>
        </w:tc>
      </w:tr>
      <w:tr w:rsidR="00FD7592" w:rsidRPr="001B41AD" w14:paraId="6716E0C1" w14:textId="77777777" w:rsidTr="00FA5C17">
        <w:trPr>
          <w:trHeight w:val="20"/>
        </w:trPr>
        <w:tc>
          <w:tcPr>
            <w:tcW w:w="2931" w:type="dxa"/>
            <w:tcBorders>
              <w:top w:val="nil"/>
              <w:left w:val="nil"/>
              <w:bottom w:val="nil"/>
              <w:right w:val="nil"/>
            </w:tcBorders>
            <w:shd w:val="clear" w:color="000000" w:fill="FFFFFF"/>
            <w:noWrap/>
            <w:vAlign w:val="center"/>
            <w:hideMark/>
          </w:tcPr>
          <w:p w14:paraId="6D057F2E"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Јавно предузеће "Мрежа-мост"</w:t>
            </w:r>
          </w:p>
        </w:tc>
        <w:tc>
          <w:tcPr>
            <w:tcW w:w="1242" w:type="dxa"/>
            <w:tcBorders>
              <w:top w:val="nil"/>
              <w:left w:val="nil"/>
              <w:bottom w:val="nil"/>
              <w:right w:val="nil"/>
            </w:tcBorders>
            <w:shd w:val="clear" w:color="000000" w:fill="FFFFFF"/>
            <w:noWrap/>
            <w:vAlign w:val="center"/>
            <w:hideMark/>
          </w:tcPr>
          <w:p w14:paraId="06ED075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3,4 </w:t>
            </w:r>
          </w:p>
        </w:tc>
        <w:tc>
          <w:tcPr>
            <w:tcW w:w="1242" w:type="dxa"/>
            <w:tcBorders>
              <w:top w:val="nil"/>
              <w:left w:val="nil"/>
              <w:bottom w:val="nil"/>
              <w:right w:val="nil"/>
            </w:tcBorders>
            <w:shd w:val="clear" w:color="000000" w:fill="FFFFFF"/>
            <w:noWrap/>
            <w:vAlign w:val="center"/>
            <w:hideMark/>
          </w:tcPr>
          <w:p w14:paraId="4E3E6EC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4,3 </w:t>
            </w:r>
          </w:p>
        </w:tc>
        <w:tc>
          <w:tcPr>
            <w:tcW w:w="1242" w:type="dxa"/>
            <w:tcBorders>
              <w:top w:val="nil"/>
              <w:left w:val="nil"/>
              <w:bottom w:val="nil"/>
              <w:right w:val="nil"/>
            </w:tcBorders>
            <w:noWrap/>
            <w:vAlign w:val="center"/>
            <w:hideMark/>
          </w:tcPr>
          <w:p w14:paraId="4C2D165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1,7 </w:t>
            </w:r>
          </w:p>
        </w:tc>
        <w:tc>
          <w:tcPr>
            <w:tcW w:w="1308" w:type="dxa"/>
            <w:tcBorders>
              <w:top w:val="nil"/>
              <w:left w:val="nil"/>
              <w:bottom w:val="nil"/>
              <w:right w:val="nil"/>
            </w:tcBorders>
            <w:noWrap/>
            <w:vAlign w:val="center"/>
            <w:hideMark/>
          </w:tcPr>
          <w:p w14:paraId="78BF1B7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0,0 </w:t>
            </w:r>
          </w:p>
        </w:tc>
        <w:tc>
          <w:tcPr>
            <w:tcW w:w="1315" w:type="dxa"/>
            <w:tcBorders>
              <w:top w:val="nil"/>
              <w:left w:val="nil"/>
              <w:bottom w:val="nil"/>
              <w:right w:val="nil"/>
            </w:tcBorders>
            <w:noWrap/>
            <w:vAlign w:val="center"/>
            <w:hideMark/>
          </w:tcPr>
          <w:p w14:paraId="568C7FF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(5,3)</w:t>
            </w:r>
          </w:p>
        </w:tc>
      </w:tr>
      <w:tr w:rsidR="00FD7592" w:rsidRPr="001B41AD" w14:paraId="11C128AE" w14:textId="77777777" w:rsidTr="00FA5C17">
        <w:trPr>
          <w:trHeight w:val="20"/>
        </w:trPr>
        <w:tc>
          <w:tcPr>
            <w:tcW w:w="2931" w:type="dxa"/>
            <w:tcBorders>
              <w:top w:val="nil"/>
              <w:left w:val="nil"/>
              <w:bottom w:val="nil"/>
              <w:right w:val="nil"/>
            </w:tcBorders>
            <w:shd w:val="clear" w:color="000000" w:fill="FFFFFF"/>
            <w:noWrap/>
            <w:vAlign w:val="center"/>
            <w:hideMark/>
          </w:tcPr>
          <w:p w14:paraId="73B92FC4"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"Резерват Увац" доо</w:t>
            </w:r>
          </w:p>
        </w:tc>
        <w:tc>
          <w:tcPr>
            <w:tcW w:w="1242" w:type="dxa"/>
            <w:tcBorders>
              <w:top w:val="nil"/>
              <w:left w:val="nil"/>
              <w:bottom w:val="nil"/>
              <w:right w:val="nil"/>
            </w:tcBorders>
            <w:shd w:val="clear" w:color="000000" w:fill="FFFFFF"/>
            <w:noWrap/>
            <w:vAlign w:val="center"/>
            <w:hideMark/>
          </w:tcPr>
          <w:p w14:paraId="226A625F"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(0,1)</w:t>
            </w:r>
          </w:p>
        </w:tc>
        <w:tc>
          <w:tcPr>
            <w:tcW w:w="1242" w:type="dxa"/>
            <w:tcBorders>
              <w:top w:val="nil"/>
              <w:left w:val="nil"/>
              <w:bottom w:val="nil"/>
              <w:right w:val="nil"/>
            </w:tcBorders>
            <w:shd w:val="clear" w:color="000000" w:fill="FFFFFF"/>
            <w:noWrap/>
            <w:vAlign w:val="center"/>
            <w:hideMark/>
          </w:tcPr>
          <w:p w14:paraId="664CAD3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3,3 </w:t>
            </w:r>
          </w:p>
        </w:tc>
        <w:tc>
          <w:tcPr>
            <w:tcW w:w="1242" w:type="dxa"/>
            <w:tcBorders>
              <w:top w:val="nil"/>
              <w:left w:val="nil"/>
              <w:bottom w:val="nil"/>
              <w:right w:val="nil"/>
            </w:tcBorders>
            <w:noWrap/>
            <w:vAlign w:val="center"/>
            <w:hideMark/>
          </w:tcPr>
          <w:p w14:paraId="269D83C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2,6 </w:t>
            </w:r>
          </w:p>
        </w:tc>
        <w:tc>
          <w:tcPr>
            <w:tcW w:w="1308" w:type="dxa"/>
            <w:tcBorders>
              <w:top w:val="nil"/>
              <w:left w:val="nil"/>
              <w:bottom w:val="nil"/>
              <w:right w:val="nil"/>
            </w:tcBorders>
            <w:noWrap/>
            <w:vAlign w:val="center"/>
            <w:hideMark/>
          </w:tcPr>
          <w:p w14:paraId="03D61622"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0,0 </w:t>
            </w:r>
          </w:p>
        </w:tc>
        <w:tc>
          <w:tcPr>
            <w:tcW w:w="1315" w:type="dxa"/>
            <w:tcBorders>
              <w:top w:val="nil"/>
              <w:left w:val="nil"/>
              <w:bottom w:val="nil"/>
              <w:right w:val="nil"/>
            </w:tcBorders>
            <w:noWrap/>
            <w:vAlign w:val="center"/>
            <w:hideMark/>
          </w:tcPr>
          <w:p w14:paraId="471BD4D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(1,3)</w:t>
            </w:r>
          </w:p>
        </w:tc>
      </w:tr>
      <w:tr w:rsidR="00FD7592" w:rsidRPr="001B41AD" w14:paraId="6CDB8708" w14:textId="77777777" w:rsidTr="00FA5C17">
        <w:trPr>
          <w:trHeight w:val="20"/>
        </w:trPr>
        <w:tc>
          <w:tcPr>
            <w:tcW w:w="2931" w:type="dxa"/>
            <w:tcBorders>
              <w:top w:val="nil"/>
              <w:left w:val="nil"/>
              <w:bottom w:val="nil"/>
              <w:right w:val="nil"/>
            </w:tcBorders>
            <w:shd w:val="clear" w:color="000000" w:fill="FFFFFF"/>
            <w:noWrap/>
            <w:vAlign w:val="center"/>
            <w:hideMark/>
          </w:tcPr>
          <w:p w14:paraId="3A425641"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"Тврђава Голубачки град" доо</w:t>
            </w:r>
          </w:p>
        </w:tc>
        <w:tc>
          <w:tcPr>
            <w:tcW w:w="1242" w:type="dxa"/>
            <w:tcBorders>
              <w:top w:val="nil"/>
              <w:left w:val="nil"/>
              <w:bottom w:val="nil"/>
              <w:right w:val="nil"/>
            </w:tcBorders>
            <w:shd w:val="clear" w:color="000000" w:fill="FFFFFF"/>
            <w:noWrap/>
            <w:vAlign w:val="center"/>
            <w:hideMark/>
          </w:tcPr>
          <w:p w14:paraId="1DF3DA8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(5,6)</w:t>
            </w:r>
          </w:p>
        </w:tc>
        <w:tc>
          <w:tcPr>
            <w:tcW w:w="1242" w:type="dxa"/>
            <w:tcBorders>
              <w:top w:val="nil"/>
              <w:left w:val="nil"/>
              <w:bottom w:val="nil"/>
              <w:right w:val="nil"/>
            </w:tcBorders>
            <w:shd w:val="clear" w:color="000000" w:fill="FFFFFF"/>
            <w:noWrap/>
            <w:vAlign w:val="center"/>
            <w:hideMark/>
          </w:tcPr>
          <w:p w14:paraId="2F140C0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9,0 </w:t>
            </w:r>
          </w:p>
        </w:tc>
        <w:tc>
          <w:tcPr>
            <w:tcW w:w="1242" w:type="dxa"/>
            <w:tcBorders>
              <w:top w:val="nil"/>
              <w:left w:val="nil"/>
              <w:bottom w:val="nil"/>
              <w:right w:val="nil"/>
            </w:tcBorders>
            <w:noWrap/>
            <w:vAlign w:val="center"/>
            <w:hideMark/>
          </w:tcPr>
          <w:p w14:paraId="2F1DE985"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1,6 </w:t>
            </w:r>
          </w:p>
        </w:tc>
        <w:tc>
          <w:tcPr>
            <w:tcW w:w="1308" w:type="dxa"/>
            <w:tcBorders>
              <w:top w:val="nil"/>
              <w:left w:val="nil"/>
              <w:bottom w:val="nil"/>
              <w:right w:val="nil"/>
            </w:tcBorders>
            <w:noWrap/>
            <w:vAlign w:val="center"/>
            <w:hideMark/>
          </w:tcPr>
          <w:p w14:paraId="299454A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(3,6)</w:t>
            </w:r>
          </w:p>
        </w:tc>
        <w:tc>
          <w:tcPr>
            <w:tcW w:w="1315" w:type="dxa"/>
            <w:tcBorders>
              <w:top w:val="nil"/>
              <w:left w:val="nil"/>
              <w:bottom w:val="nil"/>
              <w:right w:val="nil"/>
            </w:tcBorders>
            <w:noWrap/>
            <w:vAlign w:val="center"/>
            <w:hideMark/>
          </w:tcPr>
          <w:p w14:paraId="3A80737E"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(1,1)</w:t>
            </w:r>
          </w:p>
        </w:tc>
      </w:tr>
      <w:tr w:rsidR="00FD7592" w:rsidRPr="001B41AD" w14:paraId="0DC374A8" w14:textId="77777777" w:rsidTr="00FA5C17">
        <w:trPr>
          <w:trHeight w:val="20"/>
        </w:trPr>
        <w:tc>
          <w:tcPr>
            <w:tcW w:w="2931" w:type="dxa"/>
            <w:tcBorders>
              <w:top w:val="single" w:sz="4" w:space="0" w:color="002060"/>
              <w:left w:val="nil"/>
              <w:bottom w:val="single" w:sz="4" w:space="0" w:color="002060"/>
              <w:right w:val="nil"/>
            </w:tcBorders>
            <w:noWrap/>
            <w:vAlign w:val="center"/>
            <w:hideMark/>
          </w:tcPr>
          <w:p w14:paraId="3CD82B14"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Укупно:</w:t>
            </w:r>
          </w:p>
        </w:tc>
        <w:tc>
          <w:tcPr>
            <w:tcW w:w="1242" w:type="dxa"/>
            <w:tcBorders>
              <w:top w:val="single" w:sz="4" w:space="0" w:color="002060"/>
              <w:left w:val="nil"/>
              <w:bottom w:val="single" w:sz="4" w:space="0" w:color="002060"/>
              <w:right w:val="nil"/>
            </w:tcBorders>
            <w:noWrap/>
            <w:vAlign w:val="center"/>
            <w:hideMark/>
          </w:tcPr>
          <w:p w14:paraId="4BF96AC4"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(13.832,7)</w:t>
            </w:r>
          </w:p>
        </w:tc>
        <w:tc>
          <w:tcPr>
            <w:tcW w:w="1242" w:type="dxa"/>
            <w:tcBorders>
              <w:top w:val="single" w:sz="4" w:space="0" w:color="002060"/>
              <w:left w:val="nil"/>
              <w:bottom w:val="single" w:sz="4" w:space="0" w:color="002060"/>
              <w:right w:val="nil"/>
            </w:tcBorders>
            <w:noWrap/>
            <w:vAlign w:val="center"/>
            <w:hideMark/>
          </w:tcPr>
          <w:p w14:paraId="3A81CC80"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(19.041,5)</w:t>
            </w:r>
          </w:p>
        </w:tc>
        <w:tc>
          <w:tcPr>
            <w:tcW w:w="1242" w:type="dxa"/>
            <w:tcBorders>
              <w:top w:val="single" w:sz="4" w:space="0" w:color="002060"/>
              <w:left w:val="nil"/>
              <w:bottom w:val="single" w:sz="4" w:space="0" w:color="002060"/>
              <w:right w:val="nil"/>
            </w:tcBorders>
            <w:noWrap/>
            <w:vAlign w:val="center"/>
            <w:hideMark/>
          </w:tcPr>
          <w:p w14:paraId="208F288A"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(27.913,1)</w:t>
            </w:r>
          </w:p>
        </w:tc>
        <w:tc>
          <w:tcPr>
            <w:tcW w:w="1308" w:type="dxa"/>
            <w:tcBorders>
              <w:top w:val="single" w:sz="4" w:space="0" w:color="002060"/>
              <w:left w:val="nil"/>
              <w:bottom w:val="single" w:sz="4" w:space="0" w:color="002060"/>
              <w:right w:val="nil"/>
            </w:tcBorders>
            <w:noWrap/>
            <w:vAlign w:val="center"/>
            <w:hideMark/>
          </w:tcPr>
          <w:p w14:paraId="2F12E809"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 xml:space="preserve">9.515,2 </w:t>
            </w:r>
          </w:p>
        </w:tc>
        <w:tc>
          <w:tcPr>
            <w:tcW w:w="1315" w:type="dxa"/>
            <w:tcBorders>
              <w:top w:val="single" w:sz="4" w:space="0" w:color="002060"/>
              <w:left w:val="nil"/>
              <w:bottom w:val="single" w:sz="4" w:space="0" w:color="002060"/>
              <w:right w:val="nil"/>
            </w:tcBorders>
            <w:noWrap/>
            <w:vAlign w:val="center"/>
            <w:hideMark/>
          </w:tcPr>
          <w:p w14:paraId="035C7A10"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(18.492,0)</w:t>
            </w:r>
          </w:p>
        </w:tc>
      </w:tr>
    </w:tbl>
    <w:p w14:paraId="1E5F1764" w14:textId="77777777" w:rsidR="00FD7592" w:rsidRPr="001B41AD" w:rsidRDefault="00FD7592" w:rsidP="00FD7592">
      <w:pPr>
        <w:spacing w:after="0" w:line="276" w:lineRule="auto"/>
        <w:rPr>
          <w:rFonts w:eastAsia="MS PGothic" w:cstheme="minorHAnsi"/>
          <w:sz w:val="16"/>
          <w:szCs w:val="16"/>
          <w:lang w:val="sr-Cyrl-CS" w:eastAsia="ja-JP"/>
        </w:rPr>
      </w:pPr>
      <w:r w:rsidRPr="001B41AD">
        <w:rPr>
          <w:rFonts w:eastAsia="MS PGothic" w:cstheme="minorHAnsi"/>
          <w:sz w:val="16"/>
          <w:szCs w:val="16"/>
          <w:lang w:val="sr-Cyrl-CS" w:eastAsia="ja-JP"/>
        </w:rPr>
        <w:t>Извор: Финансијски извештаји (АПР) и квартални извештај за 2025. годину</w:t>
      </w:r>
    </w:p>
    <w:p w14:paraId="4111204F" w14:textId="77777777" w:rsidR="00FD7592" w:rsidRPr="001B41AD" w:rsidRDefault="00FD7592" w:rsidP="00FD7592">
      <w:pPr>
        <w:spacing w:after="0" w:line="276" w:lineRule="auto"/>
        <w:rPr>
          <w:rFonts w:eastAsia="MS PGothic" w:cstheme="minorHAnsi"/>
          <w:sz w:val="16"/>
          <w:szCs w:val="16"/>
          <w:lang w:val="sr-Cyrl-CS" w:eastAsia="ja-JP"/>
        </w:rPr>
      </w:pPr>
    </w:p>
    <w:p w14:paraId="49114D64" w14:textId="77777777" w:rsidR="00FD7592" w:rsidRPr="001B41AD" w:rsidRDefault="00FD7592" w:rsidP="00FD7592">
      <w:pPr>
        <w:rPr>
          <w:rFonts w:eastAsia="MS PGothic" w:cstheme="minorHAnsi"/>
          <w:szCs w:val="20"/>
          <w:lang w:val="sr-Cyrl-CS" w:eastAsia="ja-JP"/>
        </w:rPr>
        <w:sectPr w:rsidR="00FD7592" w:rsidRPr="001B41AD" w:rsidSect="00405489">
          <w:headerReference w:type="even" r:id="rId152"/>
          <w:footerReference w:type="even" r:id="rId153"/>
          <w:footerReference w:type="default" r:id="rId154"/>
          <w:headerReference w:type="first" r:id="rId155"/>
          <w:type w:val="continuous"/>
          <w:pgSz w:w="12240" w:h="15840"/>
          <w:pgMar w:top="1440" w:right="1440" w:bottom="1440" w:left="1440" w:header="720" w:footer="720" w:gutter="0"/>
          <w:cols w:space="720"/>
          <w:docGrid w:linePitch="360"/>
        </w:sectPr>
      </w:pPr>
    </w:p>
    <w:p w14:paraId="37D2D53D" w14:textId="77777777" w:rsidR="00FD7592" w:rsidRPr="001B41AD" w:rsidRDefault="00FD7592" w:rsidP="00405489">
      <w:pPr>
        <w:spacing w:line="256" w:lineRule="auto"/>
        <w:rPr>
          <w:rFonts w:ascii="Calibri" w:eastAsia="MS PGothic" w:hAnsi="Calibri" w:cs="Calibri"/>
          <w:color w:val="44546A"/>
          <w:szCs w:val="20"/>
          <w:lang w:val="sr-Cyrl-CS" w:eastAsia="ja-JP"/>
        </w:rPr>
      </w:pPr>
      <w:r w:rsidRPr="001B41AD">
        <w:rPr>
          <w:rFonts w:ascii="Calibri" w:eastAsia="MS PGothic" w:hAnsi="Calibri" w:cs="Calibri"/>
          <w:color w:val="44546A"/>
          <w:szCs w:val="20"/>
          <w:lang w:val="sr-Cyrl-CS" w:eastAsia="ja-JP"/>
        </w:rPr>
        <w:t>Сектор буџета - Одељење за праћење фискалних ризика je у току 2024. и 2025. године, у сарадњи са Светском банком, извршио ревизију Алтман З-</w:t>
      </w:r>
      <w:r w:rsidRPr="001B41AD">
        <w:rPr>
          <w:rFonts w:ascii="Calibri" w:eastAsia="MS PGothic" w:hAnsi="Calibri" w:cs="Calibri"/>
          <w:color w:val="44546A"/>
          <w:szCs w:val="20"/>
          <w:lang w:val="sr-Cyrl-CS" w:eastAsia="ja-JP"/>
        </w:rPr>
        <w:t xml:space="preserve">скор модела који се користи за процену фискалних ризика државних предузећа. </w:t>
      </w:r>
    </w:p>
    <w:p w14:paraId="2E4B4BD2" w14:textId="77777777" w:rsidR="00FD7592" w:rsidRPr="001B41AD" w:rsidRDefault="00FD7592" w:rsidP="00FD7592">
      <w:pPr>
        <w:spacing w:after="12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lastRenderedPageBreak/>
        <w:t>Табела 2</w:t>
      </w:r>
      <w:r w:rsidR="00BE37B4" w:rsidRPr="001B41AD">
        <w:rPr>
          <w:rFonts w:eastAsia="MS PGothic" w:cstheme="minorHAnsi"/>
          <w:b/>
          <w:color w:val="002060"/>
          <w:szCs w:val="20"/>
          <w:lang w:val="sr-Cyrl-CS" w:eastAsia="ja-JP"/>
        </w:rPr>
        <w:t>3</w:t>
      </w:r>
      <w:r w:rsidRPr="001B41AD">
        <w:rPr>
          <w:rFonts w:eastAsia="MS PGothic" w:cstheme="minorHAnsi"/>
          <w:b/>
          <w:color w:val="002060"/>
          <w:szCs w:val="20"/>
          <w:lang w:val="sr-Cyrl-CS" w:eastAsia="ja-JP"/>
        </w:rPr>
        <w:t>. Резултати прилагођеног Алтман З" скора по годинама за 36 државних предузећа</w:t>
      </w:r>
    </w:p>
    <w:tbl>
      <w:tblPr>
        <w:tblW w:w="4180" w:type="dxa"/>
        <w:tblLook w:val="04A0" w:firstRow="1" w:lastRow="0" w:firstColumn="1" w:lastColumn="0" w:noHBand="0" w:noVBand="1"/>
      </w:tblPr>
      <w:tblGrid>
        <w:gridCol w:w="1300"/>
        <w:gridCol w:w="960"/>
        <w:gridCol w:w="960"/>
        <w:gridCol w:w="960"/>
      </w:tblGrid>
      <w:tr w:rsidR="00FD7592" w:rsidRPr="001B41AD" w14:paraId="3EA3FFF5" w14:textId="77777777" w:rsidTr="00FA5C17">
        <w:trPr>
          <w:trHeight w:val="20"/>
        </w:trPr>
        <w:tc>
          <w:tcPr>
            <w:tcW w:w="1300" w:type="dxa"/>
            <w:tcBorders>
              <w:top w:val="single" w:sz="4" w:space="0" w:color="002060"/>
              <w:left w:val="nil"/>
              <w:bottom w:val="single" w:sz="4" w:space="0" w:color="002060"/>
              <w:right w:val="nil"/>
            </w:tcBorders>
            <w:noWrap/>
            <w:vAlign w:val="center"/>
            <w:hideMark/>
          </w:tcPr>
          <w:p w14:paraId="19A875C8"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Врста ризика</w:t>
            </w:r>
          </w:p>
        </w:tc>
        <w:tc>
          <w:tcPr>
            <w:tcW w:w="960" w:type="dxa"/>
            <w:tcBorders>
              <w:top w:val="single" w:sz="4" w:space="0" w:color="002060"/>
              <w:left w:val="nil"/>
              <w:bottom w:val="single" w:sz="4" w:space="0" w:color="002060"/>
              <w:right w:val="nil"/>
            </w:tcBorders>
            <w:vAlign w:val="center"/>
          </w:tcPr>
          <w:p w14:paraId="6EBB3FDD"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2022</w:t>
            </w:r>
          </w:p>
        </w:tc>
        <w:tc>
          <w:tcPr>
            <w:tcW w:w="960" w:type="dxa"/>
            <w:tcBorders>
              <w:top w:val="single" w:sz="4" w:space="0" w:color="002060"/>
              <w:left w:val="nil"/>
              <w:bottom w:val="single" w:sz="4" w:space="0" w:color="002060"/>
              <w:right w:val="nil"/>
            </w:tcBorders>
            <w:vAlign w:val="center"/>
          </w:tcPr>
          <w:p w14:paraId="208DE2B2"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2023</w:t>
            </w:r>
          </w:p>
        </w:tc>
        <w:tc>
          <w:tcPr>
            <w:tcW w:w="960" w:type="dxa"/>
            <w:tcBorders>
              <w:top w:val="single" w:sz="4" w:space="0" w:color="002060"/>
              <w:left w:val="nil"/>
              <w:bottom w:val="single" w:sz="4" w:space="0" w:color="002060"/>
              <w:right w:val="nil"/>
            </w:tcBorders>
            <w:noWrap/>
            <w:vAlign w:val="center"/>
          </w:tcPr>
          <w:p w14:paraId="7E3E7F3B"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2024</w:t>
            </w:r>
          </w:p>
        </w:tc>
      </w:tr>
      <w:tr w:rsidR="00FD7592" w:rsidRPr="001B41AD" w14:paraId="26A2EF01" w14:textId="77777777" w:rsidTr="00FA5C17">
        <w:trPr>
          <w:trHeight w:val="20"/>
        </w:trPr>
        <w:tc>
          <w:tcPr>
            <w:tcW w:w="1300" w:type="dxa"/>
            <w:tcBorders>
              <w:top w:val="single" w:sz="4" w:space="0" w:color="002060"/>
              <w:left w:val="nil"/>
              <w:bottom w:val="nil"/>
              <w:right w:val="nil"/>
            </w:tcBorders>
            <w:noWrap/>
            <w:vAlign w:val="center"/>
            <w:hideMark/>
          </w:tcPr>
          <w:p w14:paraId="349F27DB"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Низак</w:t>
            </w:r>
          </w:p>
        </w:tc>
        <w:tc>
          <w:tcPr>
            <w:tcW w:w="960" w:type="dxa"/>
            <w:tcBorders>
              <w:top w:val="single" w:sz="4" w:space="0" w:color="002060"/>
              <w:left w:val="nil"/>
              <w:bottom w:val="nil"/>
              <w:right w:val="nil"/>
            </w:tcBorders>
            <w:vAlign w:val="center"/>
          </w:tcPr>
          <w:p w14:paraId="58C8CBD5"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23</w:t>
            </w:r>
          </w:p>
        </w:tc>
        <w:tc>
          <w:tcPr>
            <w:tcW w:w="960" w:type="dxa"/>
            <w:tcBorders>
              <w:top w:val="single" w:sz="4" w:space="0" w:color="002060"/>
              <w:left w:val="nil"/>
              <w:bottom w:val="nil"/>
              <w:right w:val="nil"/>
            </w:tcBorders>
            <w:vAlign w:val="center"/>
          </w:tcPr>
          <w:p w14:paraId="2A408AF7"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23</w:t>
            </w:r>
          </w:p>
        </w:tc>
        <w:tc>
          <w:tcPr>
            <w:tcW w:w="960" w:type="dxa"/>
            <w:tcBorders>
              <w:top w:val="single" w:sz="4" w:space="0" w:color="002060"/>
              <w:left w:val="nil"/>
              <w:bottom w:val="nil"/>
              <w:right w:val="nil"/>
            </w:tcBorders>
            <w:noWrap/>
            <w:vAlign w:val="center"/>
          </w:tcPr>
          <w:p w14:paraId="091FDE61"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w:t>
            </w:r>
          </w:p>
        </w:tc>
      </w:tr>
      <w:tr w:rsidR="00FD7592" w:rsidRPr="001B41AD" w14:paraId="318B1915" w14:textId="77777777" w:rsidTr="00FA5C17">
        <w:trPr>
          <w:trHeight w:val="20"/>
        </w:trPr>
        <w:tc>
          <w:tcPr>
            <w:tcW w:w="1300" w:type="dxa"/>
            <w:tcBorders>
              <w:top w:val="nil"/>
              <w:left w:val="nil"/>
              <w:right w:val="nil"/>
            </w:tcBorders>
            <w:noWrap/>
            <w:vAlign w:val="center"/>
            <w:hideMark/>
          </w:tcPr>
          <w:p w14:paraId="53B7C2F1"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Средњи</w:t>
            </w:r>
          </w:p>
        </w:tc>
        <w:tc>
          <w:tcPr>
            <w:tcW w:w="960" w:type="dxa"/>
            <w:tcBorders>
              <w:top w:val="nil"/>
              <w:left w:val="nil"/>
              <w:right w:val="nil"/>
            </w:tcBorders>
            <w:vAlign w:val="center"/>
          </w:tcPr>
          <w:p w14:paraId="4BBE7FA0"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4</w:t>
            </w:r>
          </w:p>
        </w:tc>
        <w:tc>
          <w:tcPr>
            <w:tcW w:w="960" w:type="dxa"/>
            <w:tcBorders>
              <w:top w:val="nil"/>
              <w:left w:val="nil"/>
              <w:right w:val="nil"/>
            </w:tcBorders>
            <w:vAlign w:val="center"/>
          </w:tcPr>
          <w:p w14:paraId="6633026D"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6</w:t>
            </w:r>
          </w:p>
        </w:tc>
        <w:tc>
          <w:tcPr>
            <w:tcW w:w="960" w:type="dxa"/>
            <w:tcBorders>
              <w:top w:val="nil"/>
              <w:left w:val="nil"/>
              <w:right w:val="nil"/>
            </w:tcBorders>
            <w:noWrap/>
            <w:vAlign w:val="center"/>
          </w:tcPr>
          <w:p w14:paraId="4DF0FF9D"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10</w:t>
            </w:r>
          </w:p>
        </w:tc>
      </w:tr>
      <w:tr w:rsidR="00FD7592" w:rsidRPr="001B41AD" w14:paraId="5D3301E7" w14:textId="77777777" w:rsidTr="00FA5C17">
        <w:trPr>
          <w:trHeight w:val="20"/>
        </w:trPr>
        <w:tc>
          <w:tcPr>
            <w:tcW w:w="1300" w:type="dxa"/>
            <w:tcBorders>
              <w:top w:val="nil"/>
              <w:left w:val="nil"/>
              <w:bottom w:val="single" w:sz="4" w:space="0" w:color="002060"/>
              <w:right w:val="nil"/>
            </w:tcBorders>
            <w:noWrap/>
            <w:vAlign w:val="center"/>
            <w:hideMark/>
          </w:tcPr>
          <w:p w14:paraId="404DF573"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Висок</w:t>
            </w:r>
          </w:p>
        </w:tc>
        <w:tc>
          <w:tcPr>
            <w:tcW w:w="960" w:type="dxa"/>
            <w:tcBorders>
              <w:top w:val="nil"/>
              <w:left w:val="nil"/>
              <w:bottom w:val="single" w:sz="4" w:space="0" w:color="002060"/>
              <w:right w:val="nil"/>
            </w:tcBorders>
            <w:vAlign w:val="center"/>
          </w:tcPr>
          <w:p w14:paraId="09CE06CF"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9</w:t>
            </w:r>
          </w:p>
        </w:tc>
        <w:tc>
          <w:tcPr>
            <w:tcW w:w="960" w:type="dxa"/>
            <w:tcBorders>
              <w:top w:val="nil"/>
              <w:left w:val="nil"/>
              <w:bottom w:val="single" w:sz="4" w:space="0" w:color="002060"/>
              <w:right w:val="nil"/>
            </w:tcBorders>
            <w:vAlign w:val="center"/>
          </w:tcPr>
          <w:p w14:paraId="3FE7F85C"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7</w:t>
            </w:r>
          </w:p>
        </w:tc>
        <w:tc>
          <w:tcPr>
            <w:tcW w:w="960" w:type="dxa"/>
            <w:tcBorders>
              <w:top w:val="nil"/>
              <w:left w:val="nil"/>
              <w:bottom w:val="single" w:sz="4" w:space="0" w:color="002060"/>
              <w:right w:val="nil"/>
            </w:tcBorders>
            <w:noWrap/>
            <w:vAlign w:val="center"/>
          </w:tcPr>
          <w:p w14:paraId="412FAE00"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6</w:t>
            </w:r>
          </w:p>
        </w:tc>
      </w:tr>
    </w:tbl>
    <w:p w14:paraId="08DCD4D6" w14:textId="77777777" w:rsidR="00FD7592" w:rsidRPr="001B41AD" w:rsidRDefault="00FD7592" w:rsidP="00FD7592">
      <w:pPr>
        <w:spacing w:before="40" w:after="0" w:line="276" w:lineRule="auto"/>
        <w:rPr>
          <w:rFonts w:eastAsia="MS PGothic" w:cstheme="minorHAnsi"/>
          <w:sz w:val="16"/>
          <w:szCs w:val="16"/>
          <w:lang w:val="sr-Cyrl-CS" w:eastAsia="ja-JP"/>
        </w:rPr>
      </w:pPr>
      <w:r w:rsidRPr="001B41AD">
        <w:rPr>
          <w:rFonts w:eastAsia="MS PGothic" w:cstheme="minorHAnsi"/>
          <w:sz w:val="16"/>
          <w:szCs w:val="16"/>
          <w:lang w:val="sr-Cyrl-CS" w:eastAsia="ja-JP"/>
        </w:rPr>
        <w:t>Извор: Министарство финансија</w:t>
      </w:r>
    </w:p>
    <w:p w14:paraId="1ADDC806" w14:textId="77777777" w:rsidR="00FD7592" w:rsidRPr="001B41AD" w:rsidRDefault="00FD7592" w:rsidP="00184E32">
      <w:pPr>
        <w:spacing w:after="120"/>
        <w:rPr>
          <w:rFonts w:eastAsia="MS PGothic" w:cstheme="minorHAnsi"/>
          <w:szCs w:val="20"/>
          <w:lang w:val="sr-Cyrl-CS" w:eastAsia="ja-JP"/>
        </w:rPr>
      </w:pPr>
      <w:r w:rsidRPr="001B41AD">
        <w:rPr>
          <w:rFonts w:eastAsia="MS PGothic" w:cstheme="minorHAnsi"/>
          <w:szCs w:val="20"/>
          <w:lang w:val="sr-Cyrl-CS" w:eastAsia="ja-JP"/>
        </w:rPr>
        <w:t>Према подацима из званичних финансијских извештаја достављених на дан 31. децембра 2024. године, од 36 државних предузећа, применом овог модела идентификовано је учешће 16,7% државних предузећа која су високоризична, 27,8% државних предузеће имају умерен ризик док преостала државна предузећа (55,5%) имају низак ризик у пословању. Државна предузећа код којих је идентификован умерен ризик пословања су из енергетског сектора, железничког саобраћаја и грађевинско-техничке гране. Посматрано кроз годишње периоде, наставља се опадајући тренд високоризичних предузећа, где је у 2021. години било 10 високоризичних предузећа, док се на крају 2024. године тај број смањио на 6.</w:t>
      </w:r>
    </w:p>
    <w:p w14:paraId="494F3D16" w14:textId="77777777" w:rsidR="00FD7592" w:rsidRPr="001B41AD" w:rsidRDefault="00FD7592" w:rsidP="00184E32">
      <w:pPr>
        <w:spacing w:after="120"/>
        <w:rPr>
          <w:rFonts w:eastAsia="MS PGothic" w:cstheme="minorHAnsi"/>
          <w:szCs w:val="20"/>
          <w:lang w:val="sr-Cyrl-CS" w:eastAsia="ja-JP"/>
        </w:rPr>
      </w:pPr>
      <w:r w:rsidRPr="001B41AD">
        <w:rPr>
          <w:rFonts w:eastAsia="MS PGothic" w:cstheme="minorHAnsi"/>
          <w:szCs w:val="20"/>
          <w:lang w:val="sr-Cyrl-CS" w:eastAsia="ja-JP"/>
        </w:rPr>
        <w:t>Квантификација ризика представља један од главних изазова у процени ризика и његовом материјалном изражавању. Према моделу који примењује Сектор буџета - Одељење за праћење фискалних ризика, квантификација ризика подразумева идентификовање и приказ потенцијалних издатака који могу настати за појединачна предузећа, односно представљају потенцијалну претњу за буџет Републике Србије, јер могу довести до непланираних интервенција у отплати обавеза државним предузећима. Ови издаци се најчешће називају „очекивани издаци“ и они представљају статистички прорачун, који укључује комбинацију вероватноће настанка издатка и величине годишњих обавеза по кредитима, као једних од најосетљивијих и највећих издатaка који могу захтевати подршку из буџета.</w:t>
      </w:r>
    </w:p>
    <w:p w14:paraId="7FE74397" w14:textId="77777777" w:rsidR="00FD7592" w:rsidRPr="001B41AD" w:rsidRDefault="00FD7592" w:rsidP="00184E32">
      <w:pPr>
        <w:spacing w:after="120"/>
        <w:rPr>
          <w:rFonts w:eastAsia="MS PGothic" w:cstheme="minorHAnsi"/>
          <w:szCs w:val="20"/>
          <w:lang w:val="sr-Cyrl-CS" w:eastAsia="ja-JP"/>
        </w:rPr>
      </w:pPr>
      <w:r w:rsidRPr="001B41AD">
        <w:rPr>
          <w:rFonts w:eastAsia="MS PGothic" w:cstheme="minorHAnsi"/>
          <w:szCs w:val="20"/>
          <w:lang w:val="sr-Cyrl-CS" w:eastAsia="ja-JP"/>
        </w:rPr>
        <w:t xml:space="preserve">Према резултатима модела, укупан фискални ризик односно очекивани издатак за 36 државних предузећа за 2025. годину процењује се на око 8,1 млрд динара. Ови резултати указују на неопходност континуираног праћења и управљања ризиком како би се ублажиле потенцијалне финансијске последице по јавне </w:t>
      </w:r>
      <w:r w:rsidRPr="001B41AD">
        <w:rPr>
          <w:rFonts w:eastAsia="MS PGothic" w:cstheme="minorHAnsi"/>
          <w:szCs w:val="20"/>
          <w:lang w:val="sr-Cyrl-CS" w:eastAsia="ja-JP"/>
        </w:rPr>
        <w:t>финансије, уз истовремено развијање мера које би ојачале стабилност ових предузећа.</w:t>
      </w:r>
    </w:p>
    <w:p w14:paraId="6618E673" w14:textId="77777777" w:rsidR="00FD7592" w:rsidRPr="001B41AD" w:rsidRDefault="00FD7592" w:rsidP="00184E32">
      <w:pPr>
        <w:spacing w:after="120"/>
        <w:rPr>
          <w:rFonts w:eastAsia="MS PGothic" w:cstheme="minorHAnsi"/>
          <w:szCs w:val="20"/>
          <w:lang w:val="sr-Cyrl-CS" w:eastAsia="ja-JP"/>
        </w:rPr>
      </w:pPr>
      <w:r w:rsidRPr="001B41AD">
        <w:rPr>
          <w:rFonts w:eastAsia="MS PGothic" w:cstheme="minorHAnsi"/>
          <w:szCs w:val="20"/>
          <w:lang w:val="sr-Cyrl-CS" w:eastAsia="ja-JP"/>
        </w:rPr>
        <w:t>Процене за наредне три године указују да ће у 2026. години износити 9,6 млрд динара, у 2027. години 7,6 млрд динара, док се за 2028. годину предвиђа смањење на 3,5 млрд динара. Имајући у виду да на величину очекиваног издатка директно утичу годишње обавезе по кредитима, свако ново задуживање предузећа довело би до повећања очекиваног издатка, што указује на значај контроле дуга и одрживог управљања финансијским обавезама.</w:t>
      </w:r>
    </w:p>
    <w:p w14:paraId="644DA783" w14:textId="77777777" w:rsidR="00FD7592" w:rsidRPr="001B41AD" w:rsidRDefault="00FD7592" w:rsidP="00184E32">
      <w:pPr>
        <w:spacing w:after="120"/>
        <w:rPr>
          <w:rFonts w:eastAsia="MS PGothic" w:cstheme="minorHAnsi"/>
          <w:szCs w:val="20"/>
          <w:lang w:val="sr-Cyrl-CS" w:eastAsia="ja-JP"/>
        </w:rPr>
      </w:pPr>
      <w:r w:rsidRPr="001B41AD">
        <w:rPr>
          <w:rFonts w:eastAsia="MS PGothic" w:cstheme="minorHAnsi"/>
          <w:szCs w:val="20"/>
          <w:lang w:val="sr-Cyrl-CS" w:eastAsia="ja-JP"/>
        </w:rPr>
        <w:t>Министарство финансија у наредном периоду наставиће са даљим унапређењем анализа, прикупљања квалитативних информациј</w:t>
      </w:r>
      <w:r w:rsidR="006A141F" w:rsidRPr="001B41AD">
        <w:rPr>
          <w:rFonts w:eastAsia="MS PGothic" w:cstheme="minorHAnsi"/>
          <w:szCs w:val="20"/>
          <w:lang w:val="sr-Cyrl-CS" w:eastAsia="ja-JP"/>
        </w:rPr>
        <w:t xml:space="preserve">а, унапређењем модела, а све у </w:t>
      </w:r>
      <w:r w:rsidRPr="001B41AD">
        <w:rPr>
          <w:rFonts w:eastAsia="MS PGothic" w:cstheme="minorHAnsi"/>
          <w:szCs w:val="20"/>
          <w:lang w:val="sr-Cyrl-CS" w:eastAsia="ja-JP"/>
        </w:rPr>
        <w:t>циљу да се модел учини свеобухватнијим и прецизнијим, како би се обезбедила поуздана основа за управљање ризицима и подржала одрживост јавних финансија.</w:t>
      </w:r>
    </w:p>
    <w:p w14:paraId="12202F59" w14:textId="77777777" w:rsidR="00FD7592" w:rsidRPr="001B41AD" w:rsidRDefault="00FD7592" w:rsidP="00FD7592">
      <w:pPr>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Уплата добити</w:t>
      </w:r>
    </w:p>
    <w:p w14:paraId="77C52C3D"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Уплата добити од стране државних предузећа и дивиденди друштава капитала у којима држава има власништво представљају део непореских прихода. Од успешности пословања ових предузећа зависи и висина прихода буџета по овом основу. Уплата редовне добити и дивиденди је редован буџетски непорески приход, док се уплате из нераспоређене добити третирају као приход са једнократним карактером и не представљају трајни извор прихода.</w:t>
      </w:r>
    </w:p>
    <w:p w14:paraId="623F283A"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Привредна друштва чији је оснивач Република Србија или у којима Република Србија има учешће у власништву дужна су да најкасније до 30. новембра текуће буџетске године у буџет Републике Србије уплате најмање 50% сразмерног дела добити по завршном рачуну за претходну годину, који у складу са законом који уређује привредна друштва припада Републици Србији као члану друштва.</w:t>
      </w:r>
    </w:p>
    <w:p w14:paraId="2BF733E1"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Изузетно, уз сагласност Владе, обавезу по основу уплате добити нема субјекат који донесе одлуку да из добити покрије губитак или повећа капитал или средства употреби за финансирање инвестиција.</w:t>
      </w:r>
    </w:p>
    <w:p w14:paraId="458E0D6A" w14:textId="77777777" w:rsidR="00FD7592" w:rsidRPr="001B41AD" w:rsidRDefault="00FD7592" w:rsidP="00FD7592">
      <w:pPr>
        <w:rPr>
          <w:rFonts w:eastAsia="MS PGothic" w:cstheme="minorHAnsi"/>
          <w:szCs w:val="20"/>
          <w:lang w:val="sr-Cyrl-CS" w:eastAsia="ja-JP"/>
        </w:rPr>
        <w:sectPr w:rsidR="00FD7592" w:rsidRPr="001B41AD" w:rsidSect="00405489">
          <w:type w:val="continuous"/>
          <w:pgSz w:w="12240" w:h="15840"/>
          <w:pgMar w:top="1440" w:right="1440" w:bottom="1440" w:left="1440" w:header="720" w:footer="720" w:gutter="0"/>
          <w:cols w:num="2" w:space="720"/>
          <w:docGrid w:linePitch="360"/>
        </w:sectPr>
      </w:pPr>
    </w:p>
    <w:p w14:paraId="59319ED4" w14:textId="77777777" w:rsidR="00E32355" w:rsidRPr="001B41AD" w:rsidRDefault="00E32355" w:rsidP="00FD7592">
      <w:pPr>
        <w:spacing w:after="120"/>
        <w:jc w:val="center"/>
        <w:rPr>
          <w:rFonts w:eastAsia="MS PGothic" w:cstheme="minorHAnsi"/>
          <w:b/>
          <w:color w:val="002060"/>
          <w:szCs w:val="20"/>
          <w:lang w:val="sr-Cyrl-CS" w:eastAsia="ja-JP"/>
        </w:rPr>
      </w:pPr>
    </w:p>
    <w:p w14:paraId="75A56AB4" w14:textId="7B467634" w:rsidR="00FD7592" w:rsidRPr="001B41AD" w:rsidRDefault="00FD7592" w:rsidP="00FD7592">
      <w:pPr>
        <w:spacing w:after="12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lastRenderedPageBreak/>
        <w:t>Табела 2</w:t>
      </w:r>
      <w:r w:rsidR="00BE37B4" w:rsidRPr="001B41AD">
        <w:rPr>
          <w:rFonts w:eastAsia="MS PGothic" w:cstheme="minorHAnsi"/>
          <w:b/>
          <w:color w:val="002060"/>
          <w:szCs w:val="20"/>
          <w:lang w:val="sr-Cyrl-CS" w:eastAsia="ja-JP"/>
        </w:rPr>
        <w:t>4</w:t>
      </w:r>
      <w:r w:rsidRPr="001B41AD">
        <w:rPr>
          <w:rFonts w:eastAsia="MS PGothic" w:cstheme="minorHAnsi"/>
          <w:b/>
          <w:color w:val="002060"/>
          <w:szCs w:val="20"/>
          <w:lang w:val="sr-Cyrl-CS" w:eastAsia="ja-JP"/>
        </w:rPr>
        <w:t>: Учешће уплаћене добити у укупним приходима буџета Републике Србије</w:t>
      </w:r>
    </w:p>
    <w:tbl>
      <w:tblPr>
        <w:tblW w:w="9389" w:type="dxa"/>
        <w:tblLook w:val="04A0" w:firstRow="1" w:lastRow="0" w:firstColumn="1" w:lastColumn="0" w:noHBand="0" w:noVBand="1"/>
      </w:tblPr>
      <w:tblGrid>
        <w:gridCol w:w="5639"/>
        <w:gridCol w:w="976"/>
        <w:gridCol w:w="976"/>
        <w:gridCol w:w="910"/>
        <w:gridCol w:w="888"/>
      </w:tblGrid>
      <w:tr w:rsidR="00FD7592" w:rsidRPr="001B41AD" w14:paraId="129DEBA9" w14:textId="77777777" w:rsidTr="007545C1">
        <w:trPr>
          <w:trHeight w:val="20"/>
        </w:trPr>
        <w:tc>
          <w:tcPr>
            <w:tcW w:w="5639" w:type="dxa"/>
            <w:tcBorders>
              <w:top w:val="single" w:sz="4" w:space="0" w:color="002060"/>
              <w:left w:val="nil"/>
              <w:bottom w:val="nil"/>
              <w:right w:val="nil"/>
            </w:tcBorders>
            <w:noWrap/>
            <w:vAlign w:val="bottom"/>
            <w:hideMark/>
          </w:tcPr>
          <w:p w14:paraId="65FB7B5E" w14:textId="77777777" w:rsidR="00FD7592" w:rsidRPr="001B41AD" w:rsidRDefault="00FD7592" w:rsidP="00405489">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 </w:t>
            </w:r>
          </w:p>
        </w:tc>
        <w:tc>
          <w:tcPr>
            <w:tcW w:w="976" w:type="dxa"/>
            <w:tcBorders>
              <w:top w:val="single" w:sz="4" w:space="0" w:color="002060"/>
              <w:left w:val="nil"/>
              <w:bottom w:val="single" w:sz="4" w:space="0" w:color="auto"/>
              <w:right w:val="nil"/>
            </w:tcBorders>
            <w:noWrap/>
            <w:vAlign w:val="center"/>
            <w:hideMark/>
          </w:tcPr>
          <w:p w14:paraId="7BB8A846"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2021</w:t>
            </w:r>
          </w:p>
        </w:tc>
        <w:tc>
          <w:tcPr>
            <w:tcW w:w="976" w:type="dxa"/>
            <w:tcBorders>
              <w:top w:val="single" w:sz="4" w:space="0" w:color="002060"/>
              <w:left w:val="nil"/>
              <w:bottom w:val="single" w:sz="4" w:space="0" w:color="auto"/>
              <w:right w:val="nil"/>
            </w:tcBorders>
            <w:noWrap/>
            <w:vAlign w:val="center"/>
            <w:hideMark/>
          </w:tcPr>
          <w:p w14:paraId="761C918B"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2022</w:t>
            </w:r>
          </w:p>
        </w:tc>
        <w:tc>
          <w:tcPr>
            <w:tcW w:w="910" w:type="dxa"/>
            <w:tcBorders>
              <w:top w:val="single" w:sz="4" w:space="0" w:color="002060"/>
              <w:left w:val="nil"/>
              <w:bottom w:val="single" w:sz="4" w:space="0" w:color="auto"/>
              <w:right w:val="nil"/>
            </w:tcBorders>
            <w:noWrap/>
            <w:vAlign w:val="center"/>
            <w:hideMark/>
          </w:tcPr>
          <w:p w14:paraId="4108751C"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2023</w:t>
            </w:r>
          </w:p>
        </w:tc>
        <w:tc>
          <w:tcPr>
            <w:tcW w:w="888" w:type="dxa"/>
            <w:tcBorders>
              <w:top w:val="single" w:sz="4" w:space="0" w:color="002060"/>
              <w:left w:val="nil"/>
              <w:bottom w:val="single" w:sz="4" w:space="0" w:color="auto"/>
              <w:right w:val="nil"/>
            </w:tcBorders>
            <w:noWrap/>
            <w:vAlign w:val="center"/>
            <w:hideMark/>
          </w:tcPr>
          <w:p w14:paraId="7C81977F"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2024</w:t>
            </w:r>
          </w:p>
        </w:tc>
      </w:tr>
      <w:tr w:rsidR="00FD7592" w:rsidRPr="001B41AD" w14:paraId="24F3C2C7" w14:textId="77777777" w:rsidTr="007545C1">
        <w:trPr>
          <w:trHeight w:val="20"/>
        </w:trPr>
        <w:tc>
          <w:tcPr>
            <w:tcW w:w="5639" w:type="dxa"/>
            <w:tcBorders>
              <w:top w:val="nil"/>
              <w:left w:val="nil"/>
              <w:bottom w:val="nil"/>
              <w:right w:val="nil"/>
            </w:tcBorders>
            <w:noWrap/>
            <w:vAlign w:val="bottom"/>
            <w:hideMark/>
          </w:tcPr>
          <w:p w14:paraId="4F666412"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Укупни приходи буџета Републике Србије, у млрд динара</w:t>
            </w:r>
          </w:p>
        </w:tc>
        <w:tc>
          <w:tcPr>
            <w:tcW w:w="976" w:type="dxa"/>
            <w:tcBorders>
              <w:top w:val="nil"/>
              <w:left w:val="nil"/>
              <w:bottom w:val="nil"/>
              <w:right w:val="nil"/>
            </w:tcBorders>
            <w:shd w:val="clear" w:color="000000" w:fill="FFFFFF"/>
            <w:noWrap/>
            <w:vAlign w:val="center"/>
            <w:hideMark/>
          </w:tcPr>
          <w:p w14:paraId="2619F0CA"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1.465,4</w:t>
            </w:r>
          </w:p>
        </w:tc>
        <w:tc>
          <w:tcPr>
            <w:tcW w:w="976" w:type="dxa"/>
            <w:tcBorders>
              <w:top w:val="nil"/>
              <w:left w:val="nil"/>
              <w:bottom w:val="nil"/>
              <w:right w:val="nil"/>
            </w:tcBorders>
            <w:shd w:val="clear" w:color="000000" w:fill="FFFFFF"/>
            <w:noWrap/>
            <w:vAlign w:val="center"/>
            <w:hideMark/>
          </w:tcPr>
          <w:p w14:paraId="4C373E9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1.680,3</w:t>
            </w:r>
          </w:p>
        </w:tc>
        <w:tc>
          <w:tcPr>
            <w:tcW w:w="910" w:type="dxa"/>
            <w:tcBorders>
              <w:top w:val="nil"/>
              <w:left w:val="nil"/>
              <w:bottom w:val="nil"/>
              <w:right w:val="nil"/>
            </w:tcBorders>
            <w:shd w:val="clear" w:color="000000" w:fill="FFFFFF"/>
            <w:noWrap/>
            <w:vAlign w:val="center"/>
            <w:hideMark/>
          </w:tcPr>
          <w:p w14:paraId="7E68EC1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1.889,1</w:t>
            </w:r>
          </w:p>
        </w:tc>
        <w:tc>
          <w:tcPr>
            <w:tcW w:w="888" w:type="dxa"/>
            <w:tcBorders>
              <w:top w:val="nil"/>
              <w:left w:val="nil"/>
              <w:bottom w:val="nil"/>
              <w:right w:val="nil"/>
            </w:tcBorders>
            <w:noWrap/>
            <w:vAlign w:val="center"/>
            <w:hideMark/>
          </w:tcPr>
          <w:p w14:paraId="1A3601E7"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2.141,6</w:t>
            </w:r>
          </w:p>
        </w:tc>
      </w:tr>
      <w:tr w:rsidR="00FD7592" w:rsidRPr="001B41AD" w14:paraId="2548C26C" w14:textId="77777777" w:rsidTr="007545C1">
        <w:trPr>
          <w:trHeight w:val="20"/>
        </w:trPr>
        <w:tc>
          <w:tcPr>
            <w:tcW w:w="5639" w:type="dxa"/>
            <w:tcBorders>
              <w:top w:val="nil"/>
              <w:left w:val="nil"/>
              <w:bottom w:val="nil"/>
              <w:right w:val="nil"/>
            </w:tcBorders>
            <w:noWrap/>
            <w:vAlign w:val="bottom"/>
            <w:hideMark/>
          </w:tcPr>
          <w:p w14:paraId="36840730"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Непорески приходи буџета Републике Србије, у млрд динара</w:t>
            </w:r>
          </w:p>
        </w:tc>
        <w:tc>
          <w:tcPr>
            <w:tcW w:w="976" w:type="dxa"/>
            <w:tcBorders>
              <w:top w:val="nil"/>
              <w:left w:val="nil"/>
              <w:bottom w:val="nil"/>
              <w:right w:val="nil"/>
            </w:tcBorders>
            <w:shd w:val="clear" w:color="000000" w:fill="FFFFFF"/>
            <w:noWrap/>
            <w:vAlign w:val="center"/>
            <w:hideMark/>
          </w:tcPr>
          <w:p w14:paraId="02148D7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156,6</w:t>
            </w:r>
          </w:p>
        </w:tc>
        <w:tc>
          <w:tcPr>
            <w:tcW w:w="976" w:type="dxa"/>
            <w:tcBorders>
              <w:top w:val="nil"/>
              <w:left w:val="nil"/>
              <w:bottom w:val="nil"/>
              <w:right w:val="nil"/>
            </w:tcBorders>
            <w:shd w:val="clear" w:color="000000" w:fill="FFFFFF"/>
            <w:noWrap/>
            <w:vAlign w:val="center"/>
            <w:hideMark/>
          </w:tcPr>
          <w:p w14:paraId="6982C2B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170,8</w:t>
            </w:r>
          </w:p>
        </w:tc>
        <w:tc>
          <w:tcPr>
            <w:tcW w:w="910" w:type="dxa"/>
            <w:tcBorders>
              <w:top w:val="nil"/>
              <w:left w:val="nil"/>
              <w:bottom w:val="nil"/>
              <w:right w:val="nil"/>
            </w:tcBorders>
            <w:shd w:val="clear" w:color="000000" w:fill="FFFFFF"/>
            <w:noWrap/>
            <w:vAlign w:val="center"/>
            <w:hideMark/>
          </w:tcPr>
          <w:p w14:paraId="5875268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193,9</w:t>
            </w:r>
          </w:p>
        </w:tc>
        <w:tc>
          <w:tcPr>
            <w:tcW w:w="888" w:type="dxa"/>
            <w:tcBorders>
              <w:top w:val="nil"/>
              <w:left w:val="nil"/>
              <w:bottom w:val="nil"/>
              <w:right w:val="nil"/>
            </w:tcBorders>
            <w:noWrap/>
            <w:vAlign w:val="center"/>
            <w:hideMark/>
          </w:tcPr>
          <w:p w14:paraId="2153C21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248,9</w:t>
            </w:r>
          </w:p>
        </w:tc>
      </w:tr>
      <w:tr w:rsidR="00FD7592" w:rsidRPr="001B41AD" w14:paraId="23E2B5ED" w14:textId="77777777" w:rsidTr="007545C1">
        <w:trPr>
          <w:trHeight w:val="20"/>
        </w:trPr>
        <w:tc>
          <w:tcPr>
            <w:tcW w:w="5639" w:type="dxa"/>
            <w:tcBorders>
              <w:top w:val="nil"/>
              <w:left w:val="nil"/>
              <w:bottom w:val="nil"/>
              <w:right w:val="nil"/>
            </w:tcBorders>
            <w:noWrap/>
            <w:vAlign w:val="bottom"/>
            <w:hideMark/>
          </w:tcPr>
          <w:p w14:paraId="73575E3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Уплаћена добит предузећа, у млрд динара</w:t>
            </w:r>
          </w:p>
        </w:tc>
        <w:tc>
          <w:tcPr>
            <w:tcW w:w="976" w:type="dxa"/>
            <w:tcBorders>
              <w:top w:val="nil"/>
              <w:left w:val="nil"/>
              <w:bottom w:val="nil"/>
              <w:right w:val="nil"/>
            </w:tcBorders>
            <w:shd w:val="clear" w:color="000000" w:fill="FFFFFF"/>
            <w:noWrap/>
            <w:vAlign w:val="center"/>
            <w:hideMark/>
          </w:tcPr>
          <w:p w14:paraId="79C60133"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4,6</w:t>
            </w:r>
          </w:p>
        </w:tc>
        <w:tc>
          <w:tcPr>
            <w:tcW w:w="976" w:type="dxa"/>
            <w:tcBorders>
              <w:top w:val="nil"/>
              <w:left w:val="nil"/>
              <w:bottom w:val="nil"/>
              <w:right w:val="nil"/>
            </w:tcBorders>
            <w:shd w:val="clear" w:color="000000" w:fill="FFFFFF"/>
            <w:noWrap/>
            <w:vAlign w:val="center"/>
            <w:hideMark/>
          </w:tcPr>
          <w:p w14:paraId="3C28FBB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1,9</w:t>
            </w:r>
          </w:p>
        </w:tc>
        <w:tc>
          <w:tcPr>
            <w:tcW w:w="910" w:type="dxa"/>
            <w:tcBorders>
              <w:top w:val="nil"/>
              <w:left w:val="nil"/>
              <w:bottom w:val="nil"/>
              <w:right w:val="nil"/>
            </w:tcBorders>
            <w:shd w:val="clear" w:color="000000" w:fill="FFFFFF"/>
            <w:noWrap/>
            <w:vAlign w:val="center"/>
            <w:hideMark/>
          </w:tcPr>
          <w:p w14:paraId="0B4E3F0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4,3</w:t>
            </w:r>
          </w:p>
        </w:tc>
        <w:tc>
          <w:tcPr>
            <w:tcW w:w="888" w:type="dxa"/>
            <w:tcBorders>
              <w:top w:val="nil"/>
              <w:left w:val="nil"/>
              <w:bottom w:val="nil"/>
              <w:right w:val="nil"/>
            </w:tcBorders>
            <w:noWrap/>
            <w:vAlign w:val="center"/>
            <w:hideMark/>
          </w:tcPr>
          <w:p w14:paraId="53D4C051"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1,6</w:t>
            </w:r>
          </w:p>
        </w:tc>
      </w:tr>
      <w:tr w:rsidR="00FD7592" w:rsidRPr="001B41AD" w14:paraId="4D2134C0" w14:textId="77777777" w:rsidTr="007545C1">
        <w:trPr>
          <w:trHeight w:val="20"/>
        </w:trPr>
        <w:tc>
          <w:tcPr>
            <w:tcW w:w="5639" w:type="dxa"/>
            <w:tcBorders>
              <w:top w:val="nil"/>
              <w:left w:val="nil"/>
              <w:bottom w:val="nil"/>
              <w:right w:val="nil"/>
            </w:tcBorders>
            <w:vAlign w:val="bottom"/>
            <w:hideMark/>
          </w:tcPr>
          <w:p w14:paraId="4B69F80C" w14:textId="77777777" w:rsidR="00FD7592" w:rsidRPr="001B41AD" w:rsidRDefault="00FD7592" w:rsidP="00405489">
            <w:pPr>
              <w:spacing w:after="0" w:line="240" w:lineRule="auto"/>
              <w:jc w:val="left"/>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 учешће уплаћене добити у укупним приходима буџета РС</w:t>
            </w:r>
          </w:p>
        </w:tc>
        <w:tc>
          <w:tcPr>
            <w:tcW w:w="976" w:type="dxa"/>
            <w:tcBorders>
              <w:top w:val="nil"/>
              <w:left w:val="nil"/>
              <w:bottom w:val="nil"/>
              <w:right w:val="nil"/>
            </w:tcBorders>
            <w:shd w:val="clear" w:color="000000" w:fill="FFFFFF"/>
            <w:noWrap/>
            <w:vAlign w:val="center"/>
            <w:hideMark/>
          </w:tcPr>
          <w:p w14:paraId="3B5DD1FB" w14:textId="77777777" w:rsidR="00FD7592" w:rsidRPr="001B41AD" w:rsidRDefault="00FD7592" w:rsidP="00405489">
            <w:pPr>
              <w:spacing w:after="0" w:line="240" w:lineRule="auto"/>
              <w:jc w:val="center"/>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0,3%</w:t>
            </w:r>
          </w:p>
        </w:tc>
        <w:tc>
          <w:tcPr>
            <w:tcW w:w="976" w:type="dxa"/>
            <w:tcBorders>
              <w:top w:val="nil"/>
              <w:left w:val="nil"/>
              <w:bottom w:val="nil"/>
              <w:right w:val="nil"/>
            </w:tcBorders>
            <w:shd w:val="clear" w:color="000000" w:fill="FFFFFF"/>
            <w:noWrap/>
            <w:vAlign w:val="center"/>
            <w:hideMark/>
          </w:tcPr>
          <w:p w14:paraId="194D5A0F" w14:textId="77777777" w:rsidR="00FD7592" w:rsidRPr="001B41AD" w:rsidRDefault="00FD7592" w:rsidP="00405489">
            <w:pPr>
              <w:spacing w:after="0" w:line="240" w:lineRule="auto"/>
              <w:jc w:val="center"/>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0,1%</w:t>
            </w:r>
          </w:p>
        </w:tc>
        <w:tc>
          <w:tcPr>
            <w:tcW w:w="910" w:type="dxa"/>
            <w:tcBorders>
              <w:top w:val="nil"/>
              <w:left w:val="nil"/>
              <w:bottom w:val="nil"/>
              <w:right w:val="nil"/>
            </w:tcBorders>
            <w:shd w:val="clear" w:color="000000" w:fill="FFFFFF"/>
            <w:noWrap/>
            <w:vAlign w:val="center"/>
            <w:hideMark/>
          </w:tcPr>
          <w:p w14:paraId="4784BD0D" w14:textId="77777777" w:rsidR="00FD7592" w:rsidRPr="001B41AD" w:rsidRDefault="00FD7592" w:rsidP="00405489">
            <w:pPr>
              <w:spacing w:after="0" w:line="240" w:lineRule="auto"/>
              <w:jc w:val="center"/>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0,2%</w:t>
            </w:r>
          </w:p>
        </w:tc>
        <w:tc>
          <w:tcPr>
            <w:tcW w:w="888" w:type="dxa"/>
            <w:tcBorders>
              <w:top w:val="nil"/>
              <w:left w:val="nil"/>
              <w:bottom w:val="nil"/>
              <w:right w:val="nil"/>
            </w:tcBorders>
            <w:shd w:val="clear" w:color="000000" w:fill="FFFFFF"/>
            <w:noWrap/>
            <w:vAlign w:val="center"/>
            <w:hideMark/>
          </w:tcPr>
          <w:p w14:paraId="4A558020" w14:textId="77777777" w:rsidR="00FD7592" w:rsidRPr="001B41AD" w:rsidRDefault="00FD7592" w:rsidP="00405489">
            <w:pPr>
              <w:spacing w:after="0" w:line="240" w:lineRule="auto"/>
              <w:jc w:val="center"/>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0,1%</w:t>
            </w:r>
          </w:p>
        </w:tc>
      </w:tr>
      <w:tr w:rsidR="00FD7592" w:rsidRPr="001B41AD" w14:paraId="01DC8061" w14:textId="77777777" w:rsidTr="007545C1">
        <w:trPr>
          <w:trHeight w:val="20"/>
        </w:trPr>
        <w:tc>
          <w:tcPr>
            <w:tcW w:w="5639" w:type="dxa"/>
            <w:tcBorders>
              <w:top w:val="nil"/>
              <w:left w:val="nil"/>
              <w:bottom w:val="single" w:sz="4" w:space="0" w:color="002060"/>
              <w:right w:val="nil"/>
            </w:tcBorders>
            <w:vAlign w:val="bottom"/>
            <w:hideMark/>
          </w:tcPr>
          <w:p w14:paraId="0DF17D86" w14:textId="77777777" w:rsidR="00FD7592" w:rsidRPr="001B41AD" w:rsidRDefault="00FD7592" w:rsidP="00405489">
            <w:pPr>
              <w:spacing w:after="0" w:line="240" w:lineRule="auto"/>
              <w:jc w:val="left"/>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 учешће уплаћене добити у непореским приходима буџета РС</w:t>
            </w:r>
          </w:p>
        </w:tc>
        <w:tc>
          <w:tcPr>
            <w:tcW w:w="976" w:type="dxa"/>
            <w:tcBorders>
              <w:top w:val="nil"/>
              <w:left w:val="nil"/>
              <w:bottom w:val="single" w:sz="4" w:space="0" w:color="002060"/>
              <w:right w:val="nil"/>
            </w:tcBorders>
            <w:shd w:val="clear" w:color="000000" w:fill="FFFFFF"/>
            <w:noWrap/>
            <w:vAlign w:val="center"/>
            <w:hideMark/>
          </w:tcPr>
          <w:p w14:paraId="04693402" w14:textId="77777777" w:rsidR="00FD7592" w:rsidRPr="001B41AD" w:rsidRDefault="00FD7592" w:rsidP="00405489">
            <w:pPr>
              <w:spacing w:after="0" w:line="240" w:lineRule="auto"/>
              <w:jc w:val="center"/>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2,9%</w:t>
            </w:r>
          </w:p>
        </w:tc>
        <w:tc>
          <w:tcPr>
            <w:tcW w:w="976" w:type="dxa"/>
            <w:tcBorders>
              <w:top w:val="nil"/>
              <w:left w:val="nil"/>
              <w:bottom w:val="single" w:sz="4" w:space="0" w:color="002060"/>
              <w:right w:val="nil"/>
            </w:tcBorders>
            <w:shd w:val="clear" w:color="000000" w:fill="FFFFFF"/>
            <w:noWrap/>
            <w:vAlign w:val="center"/>
            <w:hideMark/>
          </w:tcPr>
          <w:p w14:paraId="52FCD84A" w14:textId="77777777" w:rsidR="00FD7592" w:rsidRPr="001B41AD" w:rsidRDefault="00FD7592" w:rsidP="00405489">
            <w:pPr>
              <w:spacing w:after="0" w:line="240" w:lineRule="auto"/>
              <w:jc w:val="center"/>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1,1%</w:t>
            </w:r>
          </w:p>
        </w:tc>
        <w:tc>
          <w:tcPr>
            <w:tcW w:w="910" w:type="dxa"/>
            <w:tcBorders>
              <w:top w:val="nil"/>
              <w:left w:val="nil"/>
              <w:bottom w:val="single" w:sz="4" w:space="0" w:color="002060"/>
              <w:right w:val="nil"/>
            </w:tcBorders>
            <w:shd w:val="clear" w:color="000000" w:fill="FFFFFF"/>
            <w:noWrap/>
            <w:vAlign w:val="center"/>
            <w:hideMark/>
          </w:tcPr>
          <w:p w14:paraId="49026520" w14:textId="77777777" w:rsidR="00FD7592" w:rsidRPr="001B41AD" w:rsidRDefault="00FD7592" w:rsidP="00405489">
            <w:pPr>
              <w:spacing w:after="0" w:line="240" w:lineRule="auto"/>
              <w:jc w:val="center"/>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2,2%</w:t>
            </w:r>
          </w:p>
        </w:tc>
        <w:tc>
          <w:tcPr>
            <w:tcW w:w="888" w:type="dxa"/>
            <w:tcBorders>
              <w:top w:val="nil"/>
              <w:left w:val="nil"/>
              <w:bottom w:val="single" w:sz="4" w:space="0" w:color="002060"/>
              <w:right w:val="nil"/>
            </w:tcBorders>
            <w:shd w:val="clear" w:color="000000" w:fill="FFFFFF"/>
            <w:noWrap/>
            <w:vAlign w:val="center"/>
            <w:hideMark/>
          </w:tcPr>
          <w:p w14:paraId="7BEE5915" w14:textId="77777777" w:rsidR="00FD7592" w:rsidRPr="001B41AD" w:rsidRDefault="00FD7592" w:rsidP="00405489">
            <w:pPr>
              <w:spacing w:after="0" w:line="240" w:lineRule="auto"/>
              <w:jc w:val="center"/>
              <w:rPr>
                <w:rFonts w:ascii="Calibri" w:eastAsia="Times New Roman" w:hAnsi="Calibri" w:cs="Calibri"/>
                <w:i/>
                <w:iCs/>
                <w:color w:val="002060"/>
                <w:sz w:val="18"/>
                <w:szCs w:val="18"/>
                <w:lang w:val="sr-Cyrl-CS"/>
              </w:rPr>
            </w:pPr>
            <w:r w:rsidRPr="001B41AD">
              <w:rPr>
                <w:rFonts w:ascii="Calibri" w:eastAsia="Times New Roman" w:hAnsi="Calibri" w:cs="Calibri"/>
                <w:i/>
                <w:iCs/>
                <w:color w:val="002060"/>
                <w:sz w:val="18"/>
                <w:szCs w:val="18"/>
                <w:lang w:val="sr-Cyrl-CS"/>
              </w:rPr>
              <w:t>0,6%</w:t>
            </w:r>
          </w:p>
        </w:tc>
      </w:tr>
    </w:tbl>
    <w:p w14:paraId="0335C58F" w14:textId="77777777" w:rsidR="00FD7592" w:rsidRPr="001B41AD" w:rsidRDefault="00FD7592" w:rsidP="00FD7592">
      <w:pPr>
        <w:spacing w:after="0" w:line="276" w:lineRule="auto"/>
        <w:rPr>
          <w:rFonts w:eastAsia="MS PGothic" w:cstheme="minorHAnsi"/>
          <w:sz w:val="16"/>
          <w:szCs w:val="16"/>
          <w:lang w:val="sr-Cyrl-CS" w:eastAsia="ja-JP"/>
        </w:rPr>
      </w:pPr>
      <w:r w:rsidRPr="001B41AD">
        <w:rPr>
          <w:rFonts w:eastAsia="MS PGothic" w:cstheme="minorHAnsi"/>
          <w:sz w:val="16"/>
          <w:szCs w:val="16"/>
          <w:lang w:val="sr-Cyrl-CS" w:eastAsia="ja-JP"/>
        </w:rPr>
        <w:t>Извор: Министарство финансија</w:t>
      </w:r>
    </w:p>
    <w:p w14:paraId="40E8BAE5" w14:textId="77777777" w:rsidR="00FD7592" w:rsidRPr="001B41AD" w:rsidRDefault="00FD7592" w:rsidP="00FD7592">
      <w:pPr>
        <w:spacing w:after="0" w:line="276" w:lineRule="auto"/>
        <w:rPr>
          <w:rFonts w:eastAsia="MS PGothic" w:cstheme="minorHAnsi"/>
          <w:sz w:val="16"/>
          <w:szCs w:val="16"/>
          <w:lang w:val="sr-Cyrl-CS" w:eastAsia="ja-JP"/>
        </w:rPr>
        <w:sectPr w:rsidR="00FD7592" w:rsidRPr="001B41AD" w:rsidSect="00405489">
          <w:type w:val="continuous"/>
          <w:pgSz w:w="12240" w:h="15840"/>
          <w:pgMar w:top="1440" w:right="1440" w:bottom="1440" w:left="1440" w:header="720" w:footer="720" w:gutter="0"/>
          <w:cols w:space="720"/>
          <w:docGrid w:linePitch="360"/>
        </w:sectPr>
      </w:pPr>
    </w:p>
    <w:p w14:paraId="3B56B9A8" w14:textId="77777777" w:rsidR="00FD7592" w:rsidRPr="001B41AD" w:rsidRDefault="00FD7592" w:rsidP="00FD7592">
      <w:pPr>
        <w:rPr>
          <w:rFonts w:ascii="Calibri" w:eastAsia="MS PGothic" w:hAnsi="Calibri" w:cs="Calibri"/>
          <w:color w:val="44546A"/>
          <w:szCs w:val="20"/>
          <w:lang w:val="sr-Cyrl-CS" w:eastAsia="ja-JP"/>
        </w:rPr>
      </w:pPr>
    </w:p>
    <w:p w14:paraId="091D2565" w14:textId="77777777" w:rsidR="00FD7592" w:rsidRPr="001B41AD" w:rsidRDefault="00FD7592" w:rsidP="00FD7592">
      <w:pPr>
        <w:rPr>
          <w:rFonts w:ascii="Calibri" w:eastAsia="MS PGothic" w:hAnsi="Calibri" w:cs="Calibri"/>
          <w:color w:val="44546A"/>
          <w:szCs w:val="20"/>
          <w:lang w:val="sr-Cyrl-CS" w:eastAsia="ja-JP"/>
        </w:rPr>
        <w:sectPr w:rsidR="00FD7592" w:rsidRPr="001B41AD" w:rsidSect="00405489">
          <w:type w:val="continuous"/>
          <w:pgSz w:w="12240" w:h="15840"/>
          <w:pgMar w:top="1440" w:right="1440" w:bottom="1350" w:left="1440" w:header="720" w:footer="720" w:gutter="0"/>
          <w:cols w:num="2" w:space="720"/>
          <w:docGrid w:linePitch="360"/>
        </w:sectPr>
      </w:pPr>
    </w:p>
    <w:p w14:paraId="3E30527B" w14:textId="77777777" w:rsidR="00FD7592" w:rsidRPr="001B41AD" w:rsidRDefault="00FD7592" w:rsidP="00FD7592">
      <w:pPr>
        <w:rPr>
          <w:rFonts w:ascii="Calibri" w:eastAsia="MS PGothic" w:hAnsi="Calibri" w:cs="Calibri"/>
          <w:color w:val="44546A"/>
          <w:szCs w:val="20"/>
          <w:lang w:val="sr-Cyrl-CS" w:eastAsia="ja-JP"/>
        </w:rPr>
      </w:pPr>
      <w:r w:rsidRPr="001B41AD">
        <w:rPr>
          <w:rFonts w:ascii="Calibri" w:eastAsia="MS PGothic" w:hAnsi="Calibri" w:cs="Calibri"/>
          <w:color w:val="44546A"/>
          <w:szCs w:val="20"/>
          <w:lang w:val="sr-Cyrl-CS" w:eastAsia="ja-JP"/>
        </w:rPr>
        <w:t>Од стране 36 државних предузећа која прати Сектор буџета - Одељење за праћење фискалних ризика, у току 2024. године по овом основу уплаћено је 1,6 млрд динара у буџет Републике.</w:t>
      </w:r>
    </w:p>
    <w:p w14:paraId="5ED91AC3" w14:textId="77777777" w:rsidR="00FD7592" w:rsidRPr="001B41AD" w:rsidRDefault="00FD7592" w:rsidP="00405489">
      <w:pPr>
        <w:rPr>
          <w:rFonts w:ascii="Calibri" w:eastAsia="MS PGothic" w:hAnsi="Calibri" w:cs="Calibri"/>
          <w:color w:val="44546A"/>
          <w:szCs w:val="20"/>
          <w:lang w:val="sr-Cyrl-CS" w:eastAsia="ja-JP"/>
        </w:rPr>
      </w:pPr>
      <w:r w:rsidRPr="001B41AD">
        <w:rPr>
          <w:rFonts w:ascii="Calibri" w:eastAsia="MS PGothic" w:hAnsi="Calibri" w:cs="Calibri"/>
          <w:color w:val="44546A"/>
          <w:szCs w:val="20"/>
          <w:lang w:val="sr-Cyrl-CS" w:eastAsia="ja-JP"/>
        </w:rPr>
        <w:t xml:space="preserve">Укупна уплаћена добит предузећа у буџет Републике Србије у 2024. години чинила је 0,1% </w:t>
      </w:r>
      <w:r w:rsidRPr="001B41AD">
        <w:rPr>
          <w:rFonts w:ascii="Calibri" w:eastAsia="MS PGothic" w:hAnsi="Calibri" w:cs="Calibri"/>
          <w:color w:val="44546A"/>
          <w:szCs w:val="20"/>
          <w:lang w:val="sr-Cyrl-CS" w:eastAsia="ja-JP"/>
        </w:rPr>
        <w:t>укупног прихода буџета Републике Србије (2023: 0,2%), односно 0,6% непореског прихода буџета Републике Србије (2023: 2,2%). У структури уплата у 2024. години доминантно учешће имају уплате од ЈП „Пошта” Србије 0,6 млрд динара и ЈП „Србијашуме” 0,4 млрд динара.</w:t>
      </w:r>
    </w:p>
    <w:p w14:paraId="49E4A220" w14:textId="77777777" w:rsidR="00B406B8" w:rsidRPr="001B41AD" w:rsidRDefault="00B406B8" w:rsidP="00FD7592">
      <w:pPr>
        <w:spacing w:after="120"/>
        <w:jc w:val="center"/>
        <w:rPr>
          <w:rFonts w:eastAsia="MS PGothic" w:cstheme="minorHAnsi"/>
          <w:b/>
          <w:color w:val="002060"/>
          <w:spacing w:val="-4"/>
          <w:szCs w:val="20"/>
          <w:lang w:val="sr-Cyrl-CS" w:eastAsia="ja-JP"/>
        </w:rPr>
        <w:sectPr w:rsidR="00B406B8" w:rsidRPr="001B41AD" w:rsidSect="00405489">
          <w:type w:val="continuous"/>
          <w:pgSz w:w="12240" w:h="15840"/>
          <w:pgMar w:top="1440" w:right="1440" w:bottom="1350" w:left="1440" w:header="720" w:footer="720" w:gutter="0"/>
          <w:cols w:num="2" w:space="720"/>
          <w:docGrid w:linePitch="360"/>
        </w:sectPr>
      </w:pPr>
    </w:p>
    <w:p w14:paraId="3E993969" w14:textId="77777777" w:rsidR="00E32355" w:rsidRPr="001B41AD" w:rsidRDefault="00E32355" w:rsidP="00FD7592">
      <w:pPr>
        <w:spacing w:after="120"/>
        <w:jc w:val="center"/>
        <w:rPr>
          <w:rFonts w:eastAsia="MS PGothic" w:cstheme="minorHAnsi"/>
          <w:b/>
          <w:color w:val="002060"/>
          <w:spacing w:val="-4"/>
          <w:szCs w:val="20"/>
          <w:lang w:val="sr-Cyrl-CS" w:eastAsia="ja-JP"/>
        </w:rPr>
      </w:pPr>
    </w:p>
    <w:p w14:paraId="632C860E" w14:textId="42A7E8C2" w:rsidR="00FD7592" w:rsidRPr="001B41AD" w:rsidRDefault="00FD7592" w:rsidP="00FD7592">
      <w:pPr>
        <w:spacing w:after="120"/>
        <w:jc w:val="center"/>
        <w:rPr>
          <w:rFonts w:eastAsia="MS PGothic" w:cstheme="minorHAnsi"/>
          <w:b/>
          <w:color w:val="002060"/>
          <w:spacing w:val="-4"/>
          <w:szCs w:val="20"/>
          <w:lang w:val="sr-Cyrl-CS" w:eastAsia="ja-JP"/>
        </w:rPr>
      </w:pPr>
      <w:r w:rsidRPr="001B41AD">
        <w:rPr>
          <w:rFonts w:eastAsia="MS PGothic" w:cstheme="minorHAnsi"/>
          <w:b/>
          <w:color w:val="002060"/>
          <w:spacing w:val="-4"/>
          <w:szCs w:val="20"/>
          <w:lang w:val="sr-Cyrl-CS" w:eastAsia="ja-JP"/>
        </w:rPr>
        <w:t>Табела 2</w:t>
      </w:r>
      <w:r w:rsidR="00BE37B4" w:rsidRPr="001B41AD">
        <w:rPr>
          <w:rFonts w:eastAsia="MS PGothic" w:cstheme="minorHAnsi"/>
          <w:b/>
          <w:color w:val="002060"/>
          <w:spacing w:val="-4"/>
          <w:szCs w:val="20"/>
          <w:lang w:val="sr-Cyrl-CS" w:eastAsia="ja-JP"/>
        </w:rPr>
        <w:t>5</w:t>
      </w:r>
      <w:r w:rsidRPr="001B41AD">
        <w:rPr>
          <w:rFonts w:eastAsia="MS PGothic" w:cstheme="minorHAnsi"/>
          <w:b/>
          <w:color w:val="002060"/>
          <w:spacing w:val="-4"/>
          <w:szCs w:val="20"/>
          <w:lang w:val="sr-Cyrl-CS" w:eastAsia="ja-JP"/>
        </w:rPr>
        <w:t>: Уплате добити у буџет РС по предузећимa за 2023. и 2024. годину, млрд динара</w:t>
      </w:r>
    </w:p>
    <w:p w14:paraId="3E1FBE86" w14:textId="77777777" w:rsidR="00C47DE8" w:rsidRPr="001B41AD" w:rsidRDefault="00C47DE8" w:rsidP="00405489">
      <w:pPr>
        <w:spacing w:after="0" w:line="240" w:lineRule="auto"/>
        <w:jc w:val="center"/>
        <w:rPr>
          <w:rFonts w:ascii="Calibri" w:eastAsia="Times New Roman" w:hAnsi="Calibri" w:cs="Calibri"/>
          <w:b/>
          <w:bCs/>
          <w:color w:val="002060"/>
          <w:sz w:val="18"/>
          <w:szCs w:val="18"/>
          <w:lang w:val="sr-Cyrl-CS"/>
        </w:rPr>
        <w:sectPr w:rsidR="00C47DE8" w:rsidRPr="001B41AD" w:rsidSect="00BB0049">
          <w:type w:val="continuous"/>
          <w:pgSz w:w="12240" w:h="15840"/>
          <w:pgMar w:top="1440" w:right="1440" w:bottom="1350" w:left="1440" w:header="720" w:footer="720" w:gutter="0"/>
          <w:cols w:space="720"/>
          <w:docGrid w:linePitch="360"/>
        </w:sectPr>
      </w:pPr>
    </w:p>
    <w:tbl>
      <w:tblPr>
        <w:tblW w:w="9449" w:type="dxa"/>
        <w:tblLook w:val="04A0" w:firstRow="1" w:lastRow="0" w:firstColumn="1" w:lastColumn="0" w:noHBand="0" w:noVBand="1"/>
      </w:tblPr>
      <w:tblGrid>
        <w:gridCol w:w="5121"/>
        <w:gridCol w:w="2048"/>
        <w:gridCol w:w="2280"/>
      </w:tblGrid>
      <w:tr w:rsidR="00FD7592" w:rsidRPr="001B41AD" w14:paraId="183259F1" w14:textId="77777777" w:rsidTr="007545C1">
        <w:trPr>
          <w:trHeight w:val="20"/>
        </w:trPr>
        <w:tc>
          <w:tcPr>
            <w:tcW w:w="5121" w:type="dxa"/>
            <w:tcBorders>
              <w:top w:val="single" w:sz="4" w:space="0" w:color="002060"/>
              <w:left w:val="nil"/>
              <w:bottom w:val="single" w:sz="4" w:space="0" w:color="002060"/>
              <w:right w:val="nil"/>
            </w:tcBorders>
            <w:noWrap/>
            <w:vAlign w:val="center"/>
            <w:hideMark/>
          </w:tcPr>
          <w:p w14:paraId="62DCE2AF"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Уплатиоци добити</w:t>
            </w:r>
          </w:p>
        </w:tc>
        <w:tc>
          <w:tcPr>
            <w:tcW w:w="2048" w:type="dxa"/>
            <w:tcBorders>
              <w:top w:val="single" w:sz="4" w:space="0" w:color="002060"/>
              <w:left w:val="nil"/>
              <w:bottom w:val="single" w:sz="4" w:space="0" w:color="002060"/>
              <w:right w:val="nil"/>
            </w:tcBorders>
            <w:noWrap/>
            <w:vAlign w:val="center"/>
            <w:hideMark/>
          </w:tcPr>
          <w:p w14:paraId="4EF142C4"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2023</w:t>
            </w:r>
          </w:p>
        </w:tc>
        <w:tc>
          <w:tcPr>
            <w:tcW w:w="2280" w:type="dxa"/>
            <w:tcBorders>
              <w:top w:val="single" w:sz="4" w:space="0" w:color="002060"/>
              <w:left w:val="nil"/>
              <w:bottom w:val="single" w:sz="4" w:space="0" w:color="002060"/>
              <w:right w:val="nil"/>
            </w:tcBorders>
            <w:noWrap/>
            <w:vAlign w:val="center"/>
            <w:hideMark/>
          </w:tcPr>
          <w:p w14:paraId="189B4853"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2024</w:t>
            </w:r>
          </w:p>
        </w:tc>
      </w:tr>
      <w:tr w:rsidR="00FD7592" w:rsidRPr="001B41AD" w14:paraId="6C72839D" w14:textId="77777777" w:rsidTr="007545C1">
        <w:trPr>
          <w:trHeight w:val="20"/>
        </w:trPr>
        <w:tc>
          <w:tcPr>
            <w:tcW w:w="5121" w:type="dxa"/>
            <w:tcBorders>
              <w:top w:val="nil"/>
              <w:left w:val="nil"/>
              <w:bottom w:val="nil"/>
              <w:right w:val="nil"/>
            </w:tcBorders>
            <w:noWrap/>
            <w:vAlign w:val="bottom"/>
            <w:hideMark/>
          </w:tcPr>
          <w:p w14:paraId="5EB1387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 ЈП Пошта Србије</w:t>
            </w:r>
          </w:p>
        </w:tc>
        <w:tc>
          <w:tcPr>
            <w:tcW w:w="2048" w:type="dxa"/>
            <w:tcBorders>
              <w:top w:val="nil"/>
              <w:left w:val="nil"/>
              <w:bottom w:val="nil"/>
              <w:right w:val="nil"/>
            </w:tcBorders>
            <w:noWrap/>
            <w:vAlign w:val="bottom"/>
            <w:hideMark/>
          </w:tcPr>
          <w:p w14:paraId="4FCFCC6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1,2</w:t>
            </w:r>
          </w:p>
        </w:tc>
        <w:tc>
          <w:tcPr>
            <w:tcW w:w="2280" w:type="dxa"/>
            <w:tcBorders>
              <w:top w:val="nil"/>
              <w:left w:val="nil"/>
              <w:bottom w:val="nil"/>
              <w:right w:val="nil"/>
            </w:tcBorders>
            <w:noWrap/>
            <w:vAlign w:val="bottom"/>
            <w:hideMark/>
          </w:tcPr>
          <w:p w14:paraId="71E15478"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0,6</w:t>
            </w:r>
          </w:p>
        </w:tc>
      </w:tr>
      <w:tr w:rsidR="00FD7592" w:rsidRPr="001B41AD" w14:paraId="01A3B8C0" w14:textId="77777777" w:rsidTr="007545C1">
        <w:trPr>
          <w:trHeight w:val="20"/>
        </w:trPr>
        <w:tc>
          <w:tcPr>
            <w:tcW w:w="5121" w:type="dxa"/>
            <w:tcBorders>
              <w:top w:val="nil"/>
              <w:left w:val="nil"/>
              <w:bottom w:val="nil"/>
              <w:right w:val="nil"/>
            </w:tcBorders>
            <w:noWrap/>
            <w:vAlign w:val="bottom"/>
            <w:hideMark/>
          </w:tcPr>
          <w:p w14:paraId="00302057"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 ЈП Србијашуме</w:t>
            </w:r>
          </w:p>
        </w:tc>
        <w:tc>
          <w:tcPr>
            <w:tcW w:w="2048" w:type="dxa"/>
            <w:tcBorders>
              <w:top w:val="nil"/>
              <w:left w:val="nil"/>
              <w:bottom w:val="nil"/>
              <w:right w:val="nil"/>
            </w:tcBorders>
            <w:noWrap/>
            <w:vAlign w:val="bottom"/>
            <w:hideMark/>
          </w:tcPr>
          <w:p w14:paraId="5155584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0,4</w:t>
            </w:r>
          </w:p>
        </w:tc>
        <w:tc>
          <w:tcPr>
            <w:tcW w:w="2280" w:type="dxa"/>
            <w:tcBorders>
              <w:top w:val="nil"/>
              <w:left w:val="nil"/>
              <w:bottom w:val="nil"/>
              <w:right w:val="nil"/>
            </w:tcBorders>
            <w:noWrap/>
            <w:vAlign w:val="bottom"/>
            <w:hideMark/>
          </w:tcPr>
          <w:p w14:paraId="5228C894"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0,4</w:t>
            </w:r>
          </w:p>
        </w:tc>
      </w:tr>
      <w:tr w:rsidR="00FD7592" w:rsidRPr="001B41AD" w14:paraId="45DDD167" w14:textId="77777777" w:rsidTr="007545C1">
        <w:trPr>
          <w:trHeight w:val="20"/>
        </w:trPr>
        <w:tc>
          <w:tcPr>
            <w:tcW w:w="5121" w:type="dxa"/>
            <w:tcBorders>
              <w:top w:val="nil"/>
              <w:left w:val="nil"/>
              <w:bottom w:val="nil"/>
              <w:right w:val="nil"/>
            </w:tcBorders>
            <w:noWrap/>
            <w:vAlign w:val="bottom"/>
            <w:hideMark/>
          </w:tcPr>
          <w:p w14:paraId="00F34F35"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 Југоимпорт-СДПР</w:t>
            </w:r>
          </w:p>
        </w:tc>
        <w:tc>
          <w:tcPr>
            <w:tcW w:w="2048" w:type="dxa"/>
            <w:tcBorders>
              <w:top w:val="nil"/>
              <w:left w:val="nil"/>
              <w:bottom w:val="nil"/>
              <w:right w:val="nil"/>
            </w:tcBorders>
            <w:noWrap/>
            <w:vAlign w:val="bottom"/>
            <w:hideMark/>
          </w:tcPr>
          <w:p w14:paraId="1132533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0,2</w:t>
            </w:r>
          </w:p>
        </w:tc>
        <w:tc>
          <w:tcPr>
            <w:tcW w:w="2280" w:type="dxa"/>
            <w:tcBorders>
              <w:top w:val="nil"/>
              <w:left w:val="nil"/>
              <w:bottom w:val="nil"/>
              <w:right w:val="nil"/>
            </w:tcBorders>
            <w:noWrap/>
            <w:vAlign w:val="bottom"/>
            <w:hideMark/>
          </w:tcPr>
          <w:p w14:paraId="52B005D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0,3</w:t>
            </w:r>
          </w:p>
        </w:tc>
      </w:tr>
      <w:tr w:rsidR="00FD7592" w:rsidRPr="001B41AD" w14:paraId="35182FFF" w14:textId="77777777" w:rsidTr="007545C1">
        <w:trPr>
          <w:trHeight w:val="20"/>
        </w:trPr>
        <w:tc>
          <w:tcPr>
            <w:tcW w:w="5121" w:type="dxa"/>
            <w:tcBorders>
              <w:top w:val="nil"/>
              <w:left w:val="nil"/>
              <w:bottom w:val="nil"/>
              <w:right w:val="nil"/>
            </w:tcBorders>
            <w:noWrap/>
            <w:vAlign w:val="bottom"/>
            <w:hideMark/>
          </w:tcPr>
          <w:p w14:paraId="69B743F7"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 Државна лутрија Србије</w:t>
            </w:r>
          </w:p>
        </w:tc>
        <w:tc>
          <w:tcPr>
            <w:tcW w:w="2048" w:type="dxa"/>
            <w:tcBorders>
              <w:top w:val="nil"/>
              <w:left w:val="nil"/>
              <w:bottom w:val="nil"/>
              <w:right w:val="nil"/>
            </w:tcBorders>
            <w:noWrap/>
            <w:vAlign w:val="bottom"/>
            <w:hideMark/>
          </w:tcPr>
          <w:p w14:paraId="36B75BFC"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0,1</w:t>
            </w:r>
          </w:p>
        </w:tc>
        <w:tc>
          <w:tcPr>
            <w:tcW w:w="2280" w:type="dxa"/>
            <w:tcBorders>
              <w:top w:val="nil"/>
              <w:left w:val="nil"/>
              <w:bottom w:val="nil"/>
              <w:right w:val="nil"/>
            </w:tcBorders>
            <w:noWrap/>
            <w:vAlign w:val="bottom"/>
            <w:hideMark/>
          </w:tcPr>
          <w:p w14:paraId="335092B0"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0,1</w:t>
            </w:r>
          </w:p>
        </w:tc>
      </w:tr>
      <w:tr w:rsidR="00FD7592" w:rsidRPr="001B41AD" w14:paraId="6AED7B9E" w14:textId="77777777" w:rsidTr="007545C1">
        <w:trPr>
          <w:trHeight w:val="20"/>
        </w:trPr>
        <w:tc>
          <w:tcPr>
            <w:tcW w:w="5121" w:type="dxa"/>
            <w:tcBorders>
              <w:top w:val="nil"/>
              <w:left w:val="nil"/>
              <w:bottom w:val="nil"/>
              <w:right w:val="nil"/>
            </w:tcBorders>
            <w:noWrap/>
            <w:vAlign w:val="bottom"/>
            <w:hideMark/>
          </w:tcPr>
          <w:p w14:paraId="7BF61D1A"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 xml:space="preserve"> Дипос</w:t>
            </w:r>
          </w:p>
        </w:tc>
        <w:tc>
          <w:tcPr>
            <w:tcW w:w="2048" w:type="dxa"/>
            <w:tcBorders>
              <w:top w:val="nil"/>
              <w:left w:val="nil"/>
              <w:bottom w:val="nil"/>
              <w:right w:val="nil"/>
            </w:tcBorders>
            <w:noWrap/>
            <w:vAlign w:val="bottom"/>
            <w:hideMark/>
          </w:tcPr>
          <w:p w14:paraId="2BC77BF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0,1</w:t>
            </w:r>
          </w:p>
        </w:tc>
        <w:tc>
          <w:tcPr>
            <w:tcW w:w="2280" w:type="dxa"/>
            <w:tcBorders>
              <w:top w:val="nil"/>
              <w:left w:val="nil"/>
              <w:bottom w:val="nil"/>
              <w:right w:val="nil"/>
            </w:tcBorders>
            <w:noWrap/>
            <w:vAlign w:val="bottom"/>
            <w:hideMark/>
          </w:tcPr>
          <w:p w14:paraId="1EEC5109"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0,1</w:t>
            </w:r>
          </w:p>
        </w:tc>
      </w:tr>
      <w:tr w:rsidR="00FD7592" w:rsidRPr="001B41AD" w14:paraId="0B8BFEE6" w14:textId="77777777" w:rsidTr="007545C1">
        <w:trPr>
          <w:trHeight w:val="20"/>
        </w:trPr>
        <w:tc>
          <w:tcPr>
            <w:tcW w:w="5121" w:type="dxa"/>
            <w:tcBorders>
              <w:top w:val="nil"/>
              <w:left w:val="nil"/>
              <w:bottom w:val="nil"/>
              <w:right w:val="nil"/>
            </w:tcBorders>
            <w:noWrap/>
            <w:vAlign w:val="bottom"/>
            <w:hideMark/>
          </w:tcPr>
          <w:p w14:paraId="33AC42D4" w14:textId="77777777" w:rsidR="00FD7592" w:rsidRPr="001B41AD" w:rsidRDefault="00FD7592" w:rsidP="00405489">
            <w:pPr>
              <w:spacing w:after="0" w:line="240" w:lineRule="auto"/>
              <w:jc w:val="left"/>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Остала предузећа</w:t>
            </w:r>
          </w:p>
        </w:tc>
        <w:tc>
          <w:tcPr>
            <w:tcW w:w="2048" w:type="dxa"/>
            <w:tcBorders>
              <w:top w:val="nil"/>
              <w:left w:val="nil"/>
              <w:bottom w:val="nil"/>
              <w:right w:val="nil"/>
            </w:tcBorders>
            <w:noWrap/>
            <w:vAlign w:val="bottom"/>
            <w:hideMark/>
          </w:tcPr>
          <w:p w14:paraId="728C7E2D"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2,3</w:t>
            </w:r>
          </w:p>
        </w:tc>
        <w:tc>
          <w:tcPr>
            <w:tcW w:w="2280" w:type="dxa"/>
            <w:tcBorders>
              <w:top w:val="nil"/>
              <w:left w:val="nil"/>
              <w:bottom w:val="nil"/>
              <w:right w:val="nil"/>
            </w:tcBorders>
            <w:noWrap/>
            <w:vAlign w:val="bottom"/>
            <w:hideMark/>
          </w:tcPr>
          <w:p w14:paraId="12D18946" w14:textId="77777777" w:rsidR="00FD7592" w:rsidRPr="001B41AD" w:rsidRDefault="00FD7592" w:rsidP="00405489">
            <w:pPr>
              <w:spacing w:after="0" w:line="240" w:lineRule="auto"/>
              <w:jc w:val="center"/>
              <w:rPr>
                <w:rFonts w:ascii="Calibri" w:eastAsia="Times New Roman" w:hAnsi="Calibri" w:cs="Calibri"/>
                <w:color w:val="002060"/>
                <w:sz w:val="18"/>
                <w:szCs w:val="18"/>
                <w:lang w:val="sr-Cyrl-CS"/>
              </w:rPr>
            </w:pPr>
            <w:r w:rsidRPr="001B41AD">
              <w:rPr>
                <w:rFonts w:ascii="Calibri" w:eastAsia="Times New Roman" w:hAnsi="Calibri" w:cs="Calibri"/>
                <w:color w:val="002060"/>
                <w:sz w:val="18"/>
                <w:szCs w:val="18"/>
                <w:lang w:val="sr-Cyrl-CS"/>
              </w:rPr>
              <w:t>0,1</w:t>
            </w:r>
          </w:p>
        </w:tc>
      </w:tr>
      <w:tr w:rsidR="00FD7592" w:rsidRPr="001B41AD" w14:paraId="69ED5D62" w14:textId="77777777" w:rsidTr="007545C1">
        <w:trPr>
          <w:trHeight w:val="20"/>
        </w:trPr>
        <w:tc>
          <w:tcPr>
            <w:tcW w:w="5121" w:type="dxa"/>
            <w:tcBorders>
              <w:top w:val="single" w:sz="4" w:space="0" w:color="002060"/>
              <w:left w:val="nil"/>
              <w:bottom w:val="single" w:sz="4" w:space="0" w:color="002060"/>
              <w:right w:val="nil"/>
            </w:tcBorders>
            <w:noWrap/>
            <w:vAlign w:val="center"/>
            <w:hideMark/>
          </w:tcPr>
          <w:p w14:paraId="14BE8770" w14:textId="77777777" w:rsidR="00FD7592" w:rsidRPr="001B41AD" w:rsidRDefault="00FD7592" w:rsidP="00405489">
            <w:pPr>
              <w:spacing w:after="0" w:line="240" w:lineRule="auto"/>
              <w:jc w:val="left"/>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Укупно:</w:t>
            </w:r>
          </w:p>
        </w:tc>
        <w:tc>
          <w:tcPr>
            <w:tcW w:w="2048" w:type="dxa"/>
            <w:tcBorders>
              <w:top w:val="single" w:sz="4" w:space="0" w:color="002060"/>
              <w:left w:val="nil"/>
              <w:bottom w:val="single" w:sz="4" w:space="0" w:color="002060"/>
              <w:right w:val="nil"/>
            </w:tcBorders>
            <w:noWrap/>
            <w:vAlign w:val="center"/>
            <w:hideMark/>
          </w:tcPr>
          <w:p w14:paraId="6C5E8AE8"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4,3</w:t>
            </w:r>
          </w:p>
        </w:tc>
        <w:tc>
          <w:tcPr>
            <w:tcW w:w="2280" w:type="dxa"/>
            <w:tcBorders>
              <w:top w:val="single" w:sz="4" w:space="0" w:color="002060"/>
              <w:left w:val="nil"/>
              <w:bottom w:val="single" w:sz="4" w:space="0" w:color="002060"/>
              <w:right w:val="nil"/>
            </w:tcBorders>
            <w:noWrap/>
            <w:vAlign w:val="center"/>
            <w:hideMark/>
          </w:tcPr>
          <w:p w14:paraId="0203E178" w14:textId="77777777" w:rsidR="00FD7592" w:rsidRPr="001B41AD" w:rsidRDefault="00FD7592" w:rsidP="00405489">
            <w:pPr>
              <w:spacing w:after="0" w:line="240" w:lineRule="auto"/>
              <w:jc w:val="center"/>
              <w:rPr>
                <w:rFonts w:ascii="Calibri" w:eastAsia="Times New Roman" w:hAnsi="Calibri" w:cs="Calibri"/>
                <w:b/>
                <w:bCs/>
                <w:color w:val="002060"/>
                <w:sz w:val="18"/>
                <w:szCs w:val="18"/>
                <w:lang w:val="sr-Cyrl-CS"/>
              </w:rPr>
            </w:pPr>
            <w:r w:rsidRPr="001B41AD">
              <w:rPr>
                <w:rFonts w:ascii="Calibri" w:eastAsia="Times New Roman" w:hAnsi="Calibri" w:cs="Calibri"/>
                <w:b/>
                <w:bCs/>
                <w:color w:val="002060"/>
                <w:sz w:val="18"/>
                <w:szCs w:val="18"/>
                <w:lang w:val="sr-Cyrl-CS"/>
              </w:rPr>
              <w:t>1,6</w:t>
            </w:r>
          </w:p>
        </w:tc>
      </w:tr>
    </w:tbl>
    <w:p w14:paraId="5224598F" w14:textId="77777777" w:rsidR="00C47DE8" w:rsidRPr="001B41AD" w:rsidRDefault="00C47DE8" w:rsidP="00FD7592">
      <w:pPr>
        <w:spacing w:after="0" w:line="276" w:lineRule="auto"/>
        <w:rPr>
          <w:rFonts w:ascii="Calibri" w:eastAsia="MS PGothic" w:hAnsi="Calibri" w:cs="Calibri"/>
          <w:color w:val="44546A"/>
          <w:sz w:val="16"/>
          <w:szCs w:val="16"/>
          <w:lang w:val="sr-Cyrl-CS" w:eastAsia="ja-JP"/>
        </w:rPr>
        <w:sectPr w:rsidR="00C47DE8" w:rsidRPr="001B41AD" w:rsidSect="00BB0049">
          <w:type w:val="continuous"/>
          <w:pgSz w:w="12240" w:h="15840"/>
          <w:pgMar w:top="1440" w:right="1440" w:bottom="1350" w:left="1440" w:header="720" w:footer="720" w:gutter="0"/>
          <w:cols w:space="720"/>
          <w:docGrid w:linePitch="360"/>
        </w:sectPr>
      </w:pPr>
    </w:p>
    <w:p w14:paraId="578CB570" w14:textId="77777777" w:rsidR="00C47DE8" w:rsidRPr="001B41AD" w:rsidRDefault="00FD7592" w:rsidP="00C47DE8">
      <w:pPr>
        <w:spacing w:after="0" w:line="276" w:lineRule="auto"/>
        <w:rPr>
          <w:rFonts w:ascii="Calibri" w:eastAsia="MS PGothic" w:hAnsi="Calibri" w:cs="Calibri"/>
          <w:color w:val="44546A"/>
          <w:szCs w:val="20"/>
          <w:lang w:val="sr-Cyrl-CS" w:eastAsia="ja-JP"/>
        </w:rPr>
      </w:pPr>
      <w:r w:rsidRPr="001B41AD">
        <w:rPr>
          <w:rFonts w:ascii="Calibri" w:eastAsia="MS PGothic" w:hAnsi="Calibri" w:cs="Calibri"/>
          <w:color w:val="44546A"/>
          <w:sz w:val="16"/>
          <w:szCs w:val="16"/>
          <w:lang w:val="sr-Cyrl-CS" w:eastAsia="ja-JP"/>
        </w:rPr>
        <w:t>Извор: Министарство финансија</w:t>
      </w:r>
    </w:p>
    <w:p w14:paraId="4C197882" w14:textId="77777777" w:rsidR="00FD7592" w:rsidRPr="001B41AD" w:rsidRDefault="00FD7592" w:rsidP="00FD7592">
      <w:pPr>
        <w:jc w:val="left"/>
        <w:rPr>
          <w:rFonts w:cstheme="minorHAnsi"/>
          <w:b/>
          <w:color w:val="2F5496" w:themeColor="accent1" w:themeShade="BF"/>
          <w:sz w:val="22"/>
          <w:lang w:val="sr-Cyrl-CS"/>
        </w:rPr>
      </w:pPr>
    </w:p>
    <w:p w14:paraId="0830DF82" w14:textId="77777777" w:rsidR="00B406B8" w:rsidRPr="001B41AD" w:rsidRDefault="00B406B8" w:rsidP="00FD7592">
      <w:pPr>
        <w:jc w:val="left"/>
        <w:rPr>
          <w:rFonts w:cstheme="minorHAnsi"/>
          <w:b/>
          <w:color w:val="2F5496" w:themeColor="accent1" w:themeShade="BF"/>
          <w:sz w:val="22"/>
          <w:lang w:val="sr-Cyrl-CS"/>
        </w:rPr>
        <w:sectPr w:rsidR="00B406B8" w:rsidRPr="001B41AD" w:rsidSect="00B406B8">
          <w:type w:val="continuous"/>
          <w:pgSz w:w="12240" w:h="15840"/>
          <w:pgMar w:top="1440" w:right="1440" w:bottom="1350" w:left="1440" w:header="720" w:footer="720" w:gutter="0"/>
          <w:cols w:num="2" w:space="720"/>
          <w:docGrid w:linePitch="360"/>
        </w:sectPr>
      </w:pPr>
    </w:p>
    <w:bookmarkEnd w:id="47"/>
    <w:bookmarkEnd w:id="48"/>
    <w:bookmarkEnd w:id="49"/>
    <w:bookmarkEnd w:id="50"/>
    <w:bookmarkEnd w:id="51"/>
    <w:p w14:paraId="55FB2E41" w14:textId="77777777" w:rsidR="00C47DE8" w:rsidRPr="001B41AD" w:rsidRDefault="00C47DE8" w:rsidP="00C47DE8">
      <w:pPr>
        <w:spacing w:after="0" w:line="276" w:lineRule="auto"/>
        <w:rPr>
          <w:rFonts w:ascii="Calibri" w:eastAsia="MS PGothic" w:hAnsi="Calibri" w:cs="Calibri"/>
          <w:color w:val="44546A"/>
          <w:szCs w:val="20"/>
          <w:lang w:val="sr-Cyrl-CS" w:eastAsia="ja-JP"/>
        </w:rPr>
      </w:pPr>
      <w:r w:rsidRPr="001B41AD">
        <w:rPr>
          <w:rFonts w:ascii="Calibri" w:eastAsia="MS PGothic" w:hAnsi="Calibri" w:cs="Calibri"/>
          <w:color w:val="44546A"/>
          <w:szCs w:val="20"/>
          <w:lang w:val="sr-Cyrl-CS" w:eastAsia="ja-JP"/>
        </w:rPr>
        <w:t xml:space="preserve">Ублажавање потенцијалних ризика, који настају као последица пословања државних предузећа, обухвата низ мера везаних за одговорност, профитабилност и транспарентност у пословању ових предузећа. </w:t>
      </w:r>
    </w:p>
    <w:p w14:paraId="202A5E04" w14:textId="77777777" w:rsidR="00BE37B4" w:rsidRPr="001B41AD" w:rsidRDefault="00BE37B4" w:rsidP="00FD7592">
      <w:pPr>
        <w:jc w:val="left"/>
        <w:rPr>
          <w:rFonts w:cstheme="minorHAnsi"/>
          <w:b/>
          <w:color w:val="2F5496" w:themeColor="accent1" w:themeShade="BF"/>
          <w:sz w:val="22"/>
          <w:lang w:val="sr-Cyrl-CS"/>
        </w:rPr>
      </w:pPr>
    </w:p>
    <w:p w14:paraId="1465703C" w14:textId="77777777" w:rsidR="00FD7592" w:rsidRPr="001B41AD" w:rsidRDefault="00FD7592" w:rsidP="00FD7592">
      <w:pPr>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Судски поступци</w:t>
      </w:r>
    </w:p>
    <w:p w14:paraId="128F6ACB"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Услед бројних судских поступака, пред домаћим и међународним судовима, где је терет плаћања на Републици Србији као туженој страни, идентификовани су различити фискални ризици који постоје услед неизвесности у вези са исходом ових процеса.</w:t>
      </w:r>
    </w:p>
    <w:p w14:paraId="23009BAE"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Република Србија је по основу новчаних казни и пенала по решењу судова (економска класификација 483), као и накнаде штете за повреде или штету нанету од стране државних органа (економска класификација 485) у 2022. </w:t>
      </w:r>
      <w:r w:rsidRPr="001B41AD">
        <w:rPr>
          <w:rFonts w:eastAsia="MS PGothic" w:cstheme="minorHAnsi"/>
          <w:szCs w:val="20"/>
          <w:lang w:val="sr-Cyrl-CS" w:eastAsia="ja-JP"/>
        </w:rPr>
        <w:t xml:space="preserve">години из буџета Републике Србије платила 26,8 млрд динара, у 2023. години 25,4 млрд динара, док је извршење у 2024. години износило 24,6 млрд динара. </w:t>
      </w:r>
    </w:p>
    <w:p w14:paraId="696122F2" w14:textId="77777777" w:rsidR="007545C1"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Закључно са 30.9.2025. године извршење буџета по овом о</w:t>
      </w:r>
      <w:r w:rsidR="007545C1" w:rsidRPr="001B41AD">
        <w:rPr>
          <w:rFonts w:eastAsia="MS PGothic" w:cstheme="minorHAnsi"/>
          <w:szCs w:val="20"/>
          <w:lang w:val="sr-Cyrl-CS" w:eastAsia="ja-JP"/>
        </w:rPr>
        <w:t xml:space="preserve">снову износи 20,4 млрд динара. </w:t>
      </w:r>
    </w:p>
    <w:p w14:paraId="5060D799" w14:textId="77777777" w:rsidR="00784712" w:rsidRPr="001B41AD" w:rsidRDefault="00784712" w:rsidP="00FD7592">
      <w:pPr>
        <w:rPr>
          <w:rFonts w:eastAsia="MS PGothic" w:cstheme="minorHAnsi"/>
          <w:b/>
          <w:color w:val="002060"/>
          <w:szCs w:val="20"/>
          <w:lang w:val="sr-Cyrl-CS" w:eastAsia="ja-JP"/>
        </w:rPr>
      </w:pPr>
    </w:p>
    <w:p w14:paraId="3AB5E5DB" w14:textId="77777777" w:rsidR="00784712" w:rsidRPr="001B41AD" w:rsidRDefault="00784712" w:rsidP="00FD7592">
      <w:pPr>
        <w:rPr>
          <w:rFonts w:eastAsia="MS PGothic" w:cstheme="minorHAnsi"/>
          <w:b/>
          <w:color w:val="002060"/>
          <w:szCs w:val="20"/>
          <w:lang w:val="sr-Cyrl-CS" w:eastAsia="ja-JP"/>
        </w:rPr>
      </w:pPr>
    </w:p>
    <w:p w14:paraId="38330DA0" w14:textId="77777777" w:rsidR="00784712" w:rsidRPr="001B41AD" w:rsidRDefault="00784712" w:rsidP="00FD7592">
      <w:pPr>
        <w:rPr>
          <w:rFonts w:eastAsia="MS PGothic" w:cstheme="minorHAnsi"/>
          <w:b/>
          <w:color w:val="002060"/>
          <w:szCs w:val="20"/>
          <w:lang w:val="sr-Cyrl-CS" w:eastAsia="ja-JP"/>
        </w:rPr>
      </w:pPr>
    </w:p>
    <w:p w14:paraId="12A0E453" w14:textId="77777777" w:rsidR="00784712" w:rsidRPr="001B41AD" w:rsidRDefault="00784712" w:rsidP="00FD7592">
      <w:pPr>
        <w:rPr>
          <w:rFonts w:eastAsia="MS PGothic" w:cstheme="minorHAnsi"/>
          <w:b/>
          <w:color w:val="002060"/>
          <w:szCs w:val="20"/>
          <w:lang w:val="sr-Cyrl-CS" w:eastAsia="ja-JP"/>
        </w:rPr>
      </w:pPr>
    </w:p>
    <w:p w14:paraId="6D218CD4" w14:textId="77777777" w:rsidR="00784712" w:rsidRPr="001B41AD" w:rsidRDefault="00784712" w:rsidP="00FD7592">
      <w:pPr>
        <w:rPr>
          <w:rFonts w:eastAsia="MS PGothic" w:cstheme="minorHAnsi"/>
          <w:b/>
          <w:color w:val="002060"/>
          <w:szCs w:val="20"/>
          <w:lang w:val="sr-Cyrl-CS" w:eastAsia="ja-JP"/>
        </w:rPr>
      </w:pPr>
    </w:p>
    <w:p w14:paraId="10A43FFE" w14:textId="77777777" w:rsidR="00784712" w:rsidRPr="001B41AD" w:rsidRDefault="00784712" w:rsidP="00FD7592">
      <w:pPr>
        <w:rPr>
          <w:rFonts w:eastAsia="MS PGothic" w:cstheme="minorHAnsi"/>
          <w:b/>
          <w:color w:val="002060"/>
          <w:szCs w:val="20"/>
          <w:lang w:val="sr-Cyrl-CS" w:eastAsia="ja-JP"/>
        </w:rPr>
      </w:pPr>
    </w:p>
    <w:p w14:paraId="59C8B525" w14:textId="77777777" w:rsidR="00784712" w:rsidRPr="001B41AD" w:rsidRDefault="00784712" w:rsidP="00FD7592">
      <w:pPr>
        <w:rPr>
          <w:rFonts w:eastAsia="MS PGothic" w:cstheme="minorHAnsi"/>
          <w:b/>
          <w:color w:val="002060"/>
          <w:szCs w:val="20"/>
          <w:lang w:val="sr-Cyrl-CS" w:eastAsia="ja-JP"/>
        </w:rPr>
      </w:pPr>
    </w:p>
    <w:p w14:paraId="2F219668" w14:textId="77777777" w:rsidR="00784712" w:rsidRPr="001B41AD" w:rsidRDefault="00784712" w:rsidP="00FD7592">
      <w:pPr>
        <w:rPr>
          <w:rFonts w:eastAsia="MS PGothic" w:cstheme="minorHAnsi"/>
          <w:b/>
          <w:color w:val="002060"/>
          <w:szCs w:val="20"/>
          <w:lang w:val="sr-Cyrl-CS" w:eastAsia="ja-JP"/>
        </w:rPr>
      </w:pPr>
    </w:p>
    <w:p w14:paraId="4E869BB8" w14:textId="3FC97887" w:rsidR="00FD7592" w:rsidRPr="001B41AD" w:rsidRDefault="00FD7592" w:rsidP="00FD7592">
      <w:pPr>
        <w:rPr>
          <w:rFonts w:eastAsia="MS PGothic" w:cstheme="minorHAnsi"/>
          <w:szCs w:val="20"/>
          <w:lang w:val="sr-Cyrl-CS" w:eastAsia="ja-JP"/>
        </w:rPr>
      </w:pPr>
      <w:r w:rsidRPr="001B41AD">
        <w:rPr>
          <w:rFonts w:eastAsia="MS PGothic" w:cstheme="minorHAnsi"/>
          <w:b/>
          <w:color w:val="002060"/>
          <w:szCs w:val="20"/>
          <w:lang w:val="sr-Cyrl-CS" w:eastAsia="ja-JP"/>
        </w:rPr>
        <w:lastRenderedPageBreak/>
        <w:t>План, апропријације и извршење буџета Републике Србије по ек. класификацијама 483 и 485 у периоду од 2019. до 30. септембра 2025. године</w:t>
      </w:r>
    </w:p>
    <w:p w14:paraId="1D10BAB6" w14:textId="77777777" w:rsidR="00FD7592" w:rsidRPr="001B41AD" w:rsidRDefault="00FD7592" w:rsidP="00EA07E6">
      <w:pPr>
        <w:spacing w:after="120" w:line="240" w:lineRule="auto"/>
        <w:jc w:val="left"/>
        <w:rPr>
          <w:rFonts w:eastAsia="MS PGothic" w:cstheme="minorHAnsi"/>
          <w:sz w:val="16"/>
          <w:szCs w:val="18"/>
          <w:lang w:val="sr-Cyrl-CS" w:eastAsia="ja-JP"/>
        </w:rPr>
      </w:pPr>
      <w:r w:rsidRPr="001B41AD">
        <w:rPr>
          <w:noProof/>
        </w:rPr>
        <w:drawing>
          <wp:inline distT="0" distB="0" distL="0" distR="0" wp14:anchorId="4FD64EF8" wp14:editId="750516E3">
            <wp:extent cx="2743200" cy="2117725"/>
            <wp:effectExtent l="0" t="0" r="0" b="15875"/>
            <wp:docPr id="3" name="Chart 3">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r w:rsidRPr="001B41AD">
        <w:rPr>
          <w:rFonts w:eastAsia="MS PGothic" w:cstheme="minorHAnsi"/>
          <w:sz w:val="16"/>
          <w:szCs w:val="18"/>
          <w:lang w:val="sr-Cyrl-CS" w:eastAsia="ja-JP"/>
        </w:rPr>
        <w:t>Извор: Министарство финансија, Управа за трезор, Сектор буџета</w:t>
      </w:r>
    </w:p>
    <w:p w14:paraId="76523400" w14:textId="48E9D174" w:rsidR="00B406B8" w:rsidRPr="001B41AD" w:rsidRDefault="00FD7592" w:rsidP="00E32355">
      <w:pPr>
        <w:rPr>
          <w:rFonts w:eastAsia="MS PGothic" w:cstheme="minorHAnsi"/>
          <w:b/>
          <w:color w:val="002060"/>
          <w:szCs w:val="20"/>
          <w:lang w:val="sr-Cyrl-CS" w:eastAsia="ja-JP"/>
        </w:rPr>
      </w:pPr>
      <w:r w:rsidRPr="001B41AD">
        <w:rPr>
          <w:rFonts w:eastAsia="MS PGothic" w:cstheme="minorHAnsi"/>
          <w:szCs w:val="20"/>
          <w:lang w:val="sr-Cyrl-CS" w:eastAsia="ja-JP"/>
        </w:rPr>
        <w:t xml:space="preserve">Према подацима Државног правобранилаштва, 31.12.2022. године било је укупно 306.727 активних судских спорова. На исти дан 2023. године било је 320.860 активних предмета, а 31.12.2024. године број предмета у раду био је 306.101. На дан 30. септембар 2025. године пред Државним правобранилаштвом води се 321.430 судских поступака. </w:t>
      </w:r>
    </w:p>
    <w:p w14:paraId="4AA1CF39" w14:textId="77777777" w:rsidR="00FD7592" w:rsidRPr="001B41AD" w:rsidRDefault="00FD7592" w:rsidP="00FD7592">
      <w:pPr>
        <w:spacing w:after="40"/>
        <w:jc w:val="center"/>
        <w:rPr>
          <w:rFonts w:eastAsia="MS PGothic" w:cstheme="minorHAnsi"/>
          <w:b/>
          <w:color w:val="002060"/>
          <w:szCs w:val="20"/>
          <w:lang w:val="sr-Cyrl-CS" w:eastAsia="ja-JP"/>
        </w:rPr>
      </w:pPr>
      <w:r w:rsidRPr="001B41AD">
        <w:rPr>
          <w:rFonts w:eastAsia="MS PGothic" w:cstheme="minorHAnsi"/>
          <w:b/>
          <w:color w:val="002060"/>
          <w:szCs w:val="20"/>
          <w:lang w:val="sr-Cyrl-CS" w:eastAsia="ja-JP"/>
        </w:rPr>
        <w:t>Укупан број активних спорова у Државном правобранилаштву Републике Србије</w:t>
      </w:r>
    </w:p>
    <w:p w14:paraId="1E362C30" w14:textId="07D66DD4" w:rsidR="00FD7592" w:rsidRPr="001B41AD" w:rsidRDefault="00FD7592" w:rsidP="00784712">
      <w:pPr>
        <w:spacing w:after="40"/>
        <w:rPr>
          <w:rFonts w:ascii="Calibri" w:eastAsia="MS PGothic" w:hAnsi="Calibri" w:cs="Calibri"/>
          <w:sz w:val="16"/>
          <w:szCs w:val="18"/>
          <w:lang w:val="sr-Cyrl-CS" w:eastAsia="ja-JP"/>
        </w:rPr>
      </w:pPr>
      <w:r w:rsidRPr="001B41AD">
        <w:rPr>
          <w:noProof/>
        </w:rPr>
        <w:drawing>
          <wp:inline distT="0" distB="0" distL="0" distR="0" wp14:anchorId="02A119E3" wp14:editId="72FFA7C8">
            <wp:extent cx="2905125" cy="1800225"/>
            <wp:effectExtent l="0" t="0" r="0" b="0"/>
            <wp:docPr id="4" name="Chart 4">
              <a:extLst xmlns:a="http://schemas.openxmlformats.org/drawingml/2006/main">
                <a:ext uri="{FF2B5EF4-FFF2-40B4-BE49-F238E27FC236}">
                  <a16:creationId xmlns:a16="http://schemas.microsoft.com/office/drawing/2014/main" id="{00000000-0008-0000-01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r w:rsidRPr="001B41AD">
        <w:rPr>
          <w:rFonts w:ascii="Calibri" w:eastAsia="MS PGothic" w:hAnsi="Calibri" w:cs="Calibri"/>
          <w:sz w:val="16"/>
          <w:szCs w:val="18"/>
          <w:lang w:val="sr-Cyrl-CS" w:eastAsia="ja-JP"/>
        </w:rPr>
        <w:t>Извор: Државно правобранилаштво Републике Србије</w:t>
      </w:r>
    </w:p>
    <w:p w14:paraId="1F4A01BC"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Број примљених предмета у 2019. години био је 165.061, док је овај број у 2024. години износио 111.397, а у периоду јануар - септембар 2025. године примљено је 79.600 нових предмета. Са друге стране, број архивираних предмета је у 2019. години износио 165.440, док је у 2024. години број архивираних предмета износио </w:t>
      </w:r>
      <w:r w:rsidRPr="001B41AD">
        <w:rPr>
          <w:rFonts w:eastAsia="MS PGothic" w:cstheme="minorHAnsi"/>
          <w:szCs w:val="20"/>
          <w:lang w:val="sr-Cyrl-CS" w:eastAsia="ja-JP"/>
        </w:rPr>
        <w:t xml:space="preserve">125.548 предмета. У периоду јануар – септембар 2025. године решено је 68.418 предмета. </w:t>
      </w:r>
    </w:p>
    <w:p w14:paraId="75314A08"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Број нових предмета у периоду од 2019. до 2024. године је у опадању и са нивоа од 35,7% у 2019. години, учешће нових предмета у укупном броју предмета на дан 31.12.2024. године опада на 25,8%.</w:t>
      </w:r>
    </w:p>
    <w:p w14:paraId="2C38C86C" w14:textId="2858279C" w:rsidR="00FD7592" w:rsidRPr="001B41AD" w:rsidRDefault="00FD7592" w:rsidP="00EA07E6">
      <w:pPr>
        <w:spacing w:after="0" w:line="240" w:lineRule="auto"/>
        <w:rPr>
          <w:rFonts w:eastAsia="MS PGothic" w:cstheme="minorHAnsi"/>
          <w:szCs w:val="20"/>
          <w:lang w:val="sr-Cyrl-CS" w:eastAsia="ja-JP"/>
        </w:rPr>
      </w:pPr>
      <w:r w:rsidRPr="001B41AD">
        <w:rPr>
          <w:rFonts w:eastAsia="MS PGothic" w:cstheme="minorHAnsi"/>
          <w:szCs w:val="20"/>
          <w:lang w:val="sr-Cyrl-CS" w:eastAsia="ja-JP"/>
        </w:rPr>
        <w:t>У циљу смањења трошкова у тзв. „буџетским” поступцима, у току 2019. године дошло је до измена Закона о извршењу и обезбеђењу („Службени гласник РС”, бр. 106/15, 106/15 – аутентично тумачење, 113/17 – аутентично тумачење и 54/19), који је ступио на снагу 1. јануара 2020. године. Наведеним законом је прописано да је извршни поверилац дужан да о намери подношења предлога за извршење писменим путем обавести министарство надлежно за финансије најкасније 30 дана пре подношења предлога за извршење, уколико се као извршни дужник појављује Република Србија, аутономна покрајина, јединица локалне самоуправе, директни или индиректни корисник буџетских средстава.</w:t>
      </w:r>
    </w:p>
    <w:p w14:paraId="44FDD741" w14:textId="77777777" w:rsidR="00FE1F42" w:rsidRPr="001B41AD" w:rsidRDefault="00FE1F42" w:rsidP="00FD7592">
      <w:pPr>
        <w:rPr>
          <w:rFonts w:eastAsia="MS PGothic" w:cstheme="minorHAnsi"/>
          <w:szCs w:val="20"/>
          <w:lang w:val="sr-Cyrl-CS" w:eastAsia="ja-JP"/>
        </w:rPr>
      </w:pPr>
    </w:p>
    <w:p w14:paraId="196D9CD8" w14:textId="263471C8"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Намера је била да се наведеном мером подстакне добровољно плаћање обавезе од стране надлежног органа, како би се избегли трошкови принудне наплате. Међутим, у пракси ова мера није донела очекиване резултате. </w:t>
      </w:r>
    </w:p>
    <w:p w14:paraId="16EE333E" w14:textId="6AF1F249" w:rsidR="00FE1F4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У складу са постојећим трендом кретања извршења републичког буџета у периоду од 2019. до 2024. године можемо очекивати да ће се у наредне 3 године расходи републичког буџета по основу судских поступака, базирано на пројекцијама по изведеној константној стопи раста у наведеном периоду, кретати на нивоу од </w:t>
      </w:r>
      <w:r w:rsidR="00784712" w:rsidRPr="001B41AD">
        <w:rPr>
          <w:rFonts w:ascii="Calibri" w:eastAsia="MS PGothic" w:hAnsi="Calibri" w:cs="Calibri"/>
          <w:noProof/>
          <w:sz w:val="16"/>
          <w:szCs w:val="18"/>
        </w:rPr>
        <w:lastRenderedPageBreak/>
        <w:drawing>
          <wp:anchor distT="0" distB="0" distL="114300" distR="114300" simplePos="0" relativeHeight="251679744" behindDoc="0" locked="0" layoutInCell="1" allowOverlap="1" wp14:anchorId="0C80FA57" wp14:editId="0D3D600A">
            <wp:simplePos x="0" y="0"/>
            <wp:positionH relativeFrom="margin">
              <wp:posOffset>0</wp:posOffset>
            </wp:positionH>
            <wp:positionV relativeFrom="page">
              <wp:posOffset>1720215</wp:posOffset>
            </wp:positionV>
            <wp:extent cx="2743835" cy="1987550"/>
            <wp:effectExtent l="0" t="0" r="0" b="0"/>
            <wp:wrapTopAndBottom/>
            <wp:docPr id="17" name="Picture 17"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graph with different colored bars&#10;&#10;AI-generated content may be incorrect."/>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743835" cy="1987550"/>
                    </a:xfrm>
                    <a:prstGeom prst="rect">
                      <a:avLst/>
                    </a:prstGeom>
                    <a:noFill/>
                  </pic:spPr>
                </pic:pic>
              </a:graphicData>
            </a:graphic>
            <wp14:sizeRelH relativeFrom="margin">
              <wp14:pctWidth>0</wp14:pctWidth>
            </wp14:sizeRelH>
            <wp14:sizeRelV relativeFrom="margin">
              <wp14:pctHeight>0</wp14:pctHeight>
            </wp14:sizeRelV>
          </wp:anchor>
        </w:drawing>
      </w:r>
      <w:r w:rsidR="000D676D" w:rsidRPr="001B41AD">
        <w:rPr>
          <w:rFonts w:eastAsia="MS PGothic" w:cstheme="minorHAnsi"/>
          <w:szCs w:val="20"/>
          <w:lang w:val="sr-Cyrl-CS" w:eastAsia="ja-JP"/>
        </w:rPr>
        <w:t>26</w:t>
      </w:r>
      <w:r w:rsidRPr="001B41AD">
        <w:rPr>
          <w:rFonts w:eastAsia="MS PGothic" w:cstheme="minorHAnsi"/>
          <w:szCs w:val="20"/>
          <w:lang w:val="sr-Cyrl-CS" w:eastAsia="ja-JP"/>
        </w:rPr>
        <w:t>,4 до 30,2 млрд динара, односно оквирно 28,3</w:t>
      </w:r>
      <w:r w:rsidR="00E32355" w:rsidRPr="001B41AD">
        <w:rPr>
          <w:rFonts w:eastAsia="MS PGothic" w:cstheme="minorHAnsi"/>
          <w:szCs w:val="20"/>
          <w:lang w:val="sr-Cyrl-CS" w:eastAsia="ja-JP"/>
        </w:rPr>
        <w:t xml:space="preserve"> </w:t>
      </w:r>
      <w:r w:rsidRPr="001B41AD">
        <w:rPr>
          <w:rFonts w:eastAsia="MS PGothic" w:cstheme="minorHAnsi"/>
          <w:szCs w:val="20"/>
          <w:lang w:val="sr-Cyrl-CS" w:eastAsia="ja-JP"/>
        </w:rPr>
        <w:t xml:space="preserve">млрд динара просечно годишње. </w:t>
      </w:r>
    </w:p>
    <w:p w14:paraId="63FB70B6" w14:textId="72753E91" w:rsidR="00FE1F42" w:rsidRPr="001B41AD" w:rsidRDefault="00FE1F42" w:rsidP="00FD7592">
      <w:pPr>
        <w:rPr>
          <w:rFonts w:eastAsia="MS PGothic" w:cstheme="minorHAnsi"/>
          <w:sz w:val="18"/>
          <w:szCs w:val="18"/>
          <w:lang w:val="sr-Cyrl-CS" w:eastAsia="ja-JP"/>
        </w:rPr>
      </w:pPr>
      <w:r w:rsidRPr="001B41AD">
        <w:rPr>
          <w:rFonts w:eastAsia="MS PGothic" w:cstheme="minorHAnsi"/>
          <w:b/>
          <w:color w:val="002060"/>
          <w:sz w:val="18"/>
          <w:szCs w:val="18"/>
          <w:lang w:val="sr-Cyrl-CS" w:eastAsia="ja-JP"/>
        </w:rPr>
        <w:t>Динамика судских спорова у ДП Републике Србије</w:t>
      </w:r>
    </w:p>
    <w:p w14:paraId="7698ED4F" w14:textId="0EEAE262" w:rsidR="00FD7592" w:rsidRPr="001B41AD" w:rsidRDefault="00FD7592" w:rsidP="00FD7592">
      <w:pPr>
        <w:rPr>
          <w:rFonts w:eastAsia="MS PGothic" w:cstheme="minorHAnsi"/>
          <w:color w:val="1F4E79" w:themeColor="accent5" w:themeShade="80"/>
          <w:szCs w:val="20"/>
          <w:lang w:val="sr-Cyrl-CS" w:eastAsia="ja-JP"/>
        </w:rPr>
        <w:sectPr w:rsidR="00FD7592" w:rsidRPr="001B41AD" w:rsidSect="00405489">
          <w:type w:val="continuous"/>
          <w:pgSz w:w="12240" w:h="15840"/>
          <w:pgMar w:top="1440" w:right="1440" w:bottom="1350" w:left="1440" w:header="720" w:footer="720" w:gutter="0"/>
          <w:cols w:num="2" w:space="720"/>
          <w:docGrid w:linePitch="360"/>
        </w:sectPr>
      </w:pPr>
      <w:r w:rsidRPr="001B41AD">
        <w:rPr>
          <w:rFonts w:eastAsia="MS PGothic" w:cstheme="minorHAnsi"/>
          <w:szCs w:val="20"/>
          <w:lang w:val="sr-Cyrl-CS" w:eastAsia="ja-JP"/>
        </w:rPr>
        <w:t xml:space="preserve">У 2025. години и даље се ради на унапређењу система за праћење фискалних ризика по основу судских поступака са циљем идентификације и оцене ризика. Посебна пажња се придаје расположивим базама података и унапређивању квалитета и доступности података који се у њима налазе, а све у циљу спровођења анализе фискалних ризика и квантификације </w:t>
      </w:r>
      <w:r w:rsidR="00BB0049" w:rsidRPr="001B41AD">
        <w:rPr>
          <w:rFonts w:eastAsia="MS PGothic" w:cstheme="minorHAnsi"/>
          <w:szCs w:val="20"/>
          <w:lang w:val="sr-Cyrl-CS" w:eastAsia="ja-JP"/>
        </w:rPr>
        <w:t>ових расхода у наредном периоду.</w:t>
      </w:r>
    </w:p>
    <w:p w14:paraId="63D4F239" w14:textId="6F91A0F1" w:rsidR="00BB0049" w:rsidRPr="001B41AD" w:rsidRDefault="00FE1F42" w:rsidP="00FD7592">
      <w:pPr>
        <w:jc w:val="left"/>
        <w:rPr>
          <w:rFonts w:cstheme="minorHAnsi"/>
          <w:b/>
          <w:color w:val="2F5496" w:themeColor="accent1" w:themeShade="BF"/>
          <w:sz w:val="22"/>
          <w:lang w:val="sr-Cyrl-CS"/>
        </w:rPr>
      </w:pPr>
      <w:r w:rsidRPr="001B41AD">
        <w:rPr>
          <w:rFonts w:ascii="Calibri" w:eastAsia="MS PGothic" w:hAnsi="Calibri" w:cs="Calibri"/>
          <w:sz w:val="16"/>
          <w:szCs w:val="18"/>
          <w:lang w:val="sr-Cyrl-CS" w:eastAsia="ja-JP"/>
        </w:rPr>
        <w:t xml:space="preserve"> Извор: Државно правобранилаштво Републике Србије</w:t>
      </w:r>
    </w:p>
    <w:p w14:paraId="7B5D5EBA" w14:textId="77777777" w:rsidR="00FD7592" w:rsidRPr="001B41AD" w:rsidRDefault="00FD7592" w:rsidP="00FD7592">
      <w:pPr>
        <w:jc w:val="left"/>
        <w:rPr>
          <w:rFonts w:cstheme="minorHAnsi"/>
          <w:b/>
          <w:color w:val="2F5496" w:themeColor="accent1" w:themeShade="BF"/>
          <w:sz w:val="22"/>
          <w:lang w:val="sr-Cyrl-CS"/>
        </w:rPr>
      </w:pPr>
      <w:r w:rsidRPr="001B41AD">
        <w:rPr>
          <w:rFonts w:cstheme="minorHAnsi"/>
          <w:b/>
          <w:color w:val="2F5496" w:themeColor="accent1" w:themeShade="BF"/>
          <w:sz w:val="22"/>
          <w:lang w:val="sr-Cyrl-CS"/>
        </w:rPr>
        <w:t>Елементарне непогоде</w:t>
      </w:r>
    </w:p>
    <w:p w14:paraId="48080699" w14:textId="77777777" w:rsidR="00FD7592" w:rsidRPr="001B41AD" w:rsidRDefault="00FD7592" w:rsidP="00FD7592">
      <w:pPr>
        <w:rPr>
          <w:rFonts w:eastAsia="MS PGothic" w:cstheme="minorHAnsi"/>
          <w:szCs w:val="20"/>
          <w:lang w:val="sr-Cyrl-CS" w:eastAsia="ja-JP"/>
        </w:rPr>
        <w:sectPr w:rsidR="00FD7592" w:rsidRPr="001B41AD" w:rsidSect="00405489">
          <w:type w:val="continuous"/>
          <w:pgSz w:w="12240" w:h="15840"/>
          <w:pgMar w:top="1440" w:right="1440" w:bottom="1350" w:left="1440" w:header="720" w:footer="720" w:gutter="0"/>
          <w:cols w:space="720"/>
          <w:docGrid w:linePitch="360"/>
        </w:sectPr>
      </w:pPr>
    </w:p>
    <w:p w14:paraId="76F1ED53"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Стално присутан ризик од елементарних непогода и природних катастрофа налаже улагања у програме превенције, како би се умањили потенцијални фискални трошкови за отклањање штета насталих по том основу. Превенција обухвата укључивање ширег спектра финансијских инструмената, као што су резервни фондови, потенцијалне кредитне линије и осигурање имовине. Република Србија се у 2014. години суочила са катастрофалним последицама поплава, чија је укупна штета (са губицима) процењена на више од 1,7 млрд евра. Влада је у децембру 2014. године усвојила Национални програм за управљање ризицима од елементарних непогода, који се спроводи у сарадњи са Светском банком, Уједињеним нацијама и Европском унијом. У складу са наведеним програмом, новембра 2018. године донет је Закон о смањењу ризика од катастрофа и управљању ванредним ситуацијама („Службени гласник РС”, број 87/18). У току 2022. године посебна радна група отпочела је процес ревидирања Стратегије смањења ризика од катастрофа и управљања ванредним ситуацијама у Републици Србији (2023-2030), са циљем израде новог Акционог плана за период 2023–2030. године</w:t>
      </w:r>
    </w:p>
    <w:p w14:paraId="3A2A8FE0" w14:textId="77777777" w:rsidR="00FD7592" w:rsidRPr="001B41AD" w:rsidRDefault="00FD7592" w:rsidP="00FD7592">
      <w:pPr>
        <w:rPr>
          <w:lang w:val="sr-Cyrl-CS" w:eastAsia="ja-JP"/>
        </w:rPr>
      </w:pPr>
      <w:r w:rsidRPr="001B41AD">
        <w:rPr>
          <w:lang w:val="sr-Cyrl-CS" w:eastAsia="ja-JP"/>
        </w:rPr>
        <w:t xml:space="preserve">Република Србија је у 2019. години платила 4,2 млрд динара на име накнаде штете за повреде или штете настале услед елементарних непогода и </w:t>
      </w:r>
      <w:r w:rsidRPr="001B41AD">
        <w:rPr>
          <w:lang w:val="sr-Cyrl-CS" w:eastAsia="ja-JP"/>
        </w:rPr>
        <w:t>других природних узрока. У току 2020. године за ову намену, по економској класификацији 484 (без интервенцијских средстава за ублажавање последица болести COVID-19) издвојено је 2,9 млрд динара, док је за 2021. годину износ потрошен на ове намене смањен и износио је 520,3 милиона динара. Издвојена средства за ову намену током 2022. године износила су 263,9 милиона динара. У току 2023. године дошло је до повећања расхода републичког буџета по овом основу на 824,8 милиона динара, због појаве екстремних временских прилика и поплава у мају и јуну месецу 2023. године, као и олујног ветра, града и кише који је проузроковао неочекиване штете у јулу 2023. године. За 2024. годину су првобитно планирана средства у буџету од 117,3 милиона динара увећана кроз апропријацију на 923,4 милиона динара, а до 31. децембра 2024. године извршење буџета износило је 708,9 милиона динара. За 2025. годину, иницијално планирана средства, за ову намену, износе свега 428,8 милиона динара, која су увећана кроз апропријацију на 778,8 милиона динара, док закључно са трећим кварталом 2025. године, извршење буџета износи свега 188,6 милионa динара.</w:t>
      </w:r>
    </w:p>
    <w:p w14:paraId="6F51BBE4" w14:textId="77777777" w:rsidR="00FA09BD" w:rsidRPr="001B41AD" w:rsidRDefault="00FA09BD" w:rsidP="00FD7592">
      <w:pPr>
        <w:rPr>
          <w:rFonts w:eastAsia="MS PGothic" w:cstheme="minorHAnsi"/>
          <w:b/>
          <w:color w:val="002060"/>
          <w:szCs w:val="20"/>
          <w:lang w:val="sr-Cyrl-CS" w:eastAsia="ja-JP"/>
        </w:rPr>
      </w:pPr>
    </w:p>
    <w:p w14:paraId="0DDE4EA2" w14:textId="39438BAA" w:rsidR="00FD7592" w:rsidRPr="001B41AD" w:rsidRDefault="00FD7592" w:rsidP="00FD7592">
      <w:pPr>
        <w:rPr>
          <w:rFonts w:eastAsia="MS PGothic" w:cstheme="minorHAnsi"/>
          <w:b/>
          <w:color w:val="002060"/>
          <w:szCs w:val="20"/>
          <w:lang w:val="sr-Cyrl-CS" w:eastAsia="ja-JP"/>
        </w:rPr>
      </w:pPr>
      <w:r w:rsidRPr="001B41AD">
        <w:rPr>
          <w:rFonts w:eastAsia="MS PGothic" w:cstheme="minorHAnsi"/>
          <w:b/>
          <w:color w:val="002060"/>
          <w:szCs w:val="20"/>
          <w:lang w:val="sr-Cyrl-CS" w:eastAsia="ja-JP"/>
        </w:rPr>
        <w:lastRenderedPageBreak/>
        <w:t>Расходи буџета Републике Србије по основу елементарних непогода и других природних узрока</w:t>
      </w:r>
    </w:p>
    <w:p w14:paraId="247B508E" w14:textId="77777777" w:rsidR="00FD7592" w:rsidRPr="001B41AD" w:rsidRDefault="00FD7592" w:rsidP="00FD7592">
      <w:pPr>
        <w:spacing w:after="0" w:line="240" w:lineRule="auto"/>
        <w:rPr>
          <w:lang w:val="sr-Cyrl-CS" w:eastAsia="ja-JP"/>
        </w:rPr>
      </w:pPr>
      <w:r w:rsidRPr="001B41AD">
        <w:rPr>
          <w:noProof/>
        </w:rPr>
        <w:drawing>
          <wp:inline distT="0" distB="0" distL="0" distR="0" wp14:anchorId="2BA370CB" wp14:editId="382AE1F4">
            <wp:extent cx="2790825" cy="2162175"/>
            <wp:effectExtent l="0" t="0" r="0" b="0"/>
            <wp:docPr id="78" name="Chart 78">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29CE17CD" w14:textId="77777777" w:rsidR="00FD7592" w:rsidRPr="001B41AD" w:rsidRDefault="00FD7592" w:rsidP="00FD7592">
      <w:pPr>
        <w:spacing w:after="40"/>
        <w:rPr>
          <w:rFonts w:eastAsia="MS PGothic" w:cstheme="minorHAnsi"/>
          <w:sz w:val="16"/>
          <w:szCs w:val="18"/>
          <w:lang w:val="sr-Cyrl-CS" w:eastAsia="ja-JP"/>
        </w:rPr>
      </w:pPr>
      <w:r w:rsidRPr="001B41AD">
        <w:rPr>
          <w:rFonts w:eastAsia="MS PGothic" w:cstheme="minorHAnsi"/>
          <w:sz w:val="16"/>
          <w:szCs w:val="18"/>
          <w:lang w:val="sr-Cyrl-CS" w:eastAsia="ja-JP"/>
        </w:rPr>
        <w:t>Извор: Министарство финансија, Управа за трезор, Сектор буџета</w:t>
      </w:r>
    </w:p>
    <w:p w14:paraId="6273E07F"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Све већа учесталост и интензитет елементарних и других непогода као и повећање расхода за санирање последица истих, наглашава потребу за константним опрезом када је ова врста фискалних ризика у питању.</w:t>
      </w:r>
    </w:p>
    <w:p w14:paraId="12785DDA"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2021. године усвојена је Јединствена методологија за праћење фискалних ризика у Републици Србији која, између осталог, обухвата и Методологију за праћење фискалних ризика који се јављају као последица елементарних непогода.</w:t>
      </w:r>
    </w:p>
    <w:p w14:paraId="2EB53562"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Модел за праћење фискалних ризика од елементарних непогода даје квантификовану процену негативног ефекта елементарне непогоде на бруто домаћи производ земље, фискални дефицит и последично јавни дуг. </w:t>
      </w:r>
    </w:p>
    <w:p w14:paraId="78CDCB7D"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Елементарне непогоде проузрокују штету на продуктивном капиталу и критичној инфраструктури што последично доводи до контракције друштвеног бруто производа и мањег раста БДП у односу на раст који би иначе био остварен. Овај ефекат је карактеристичан за годину у којој се елементарна непогода </w:t>
      </w:r>
      <w:r w:rsidR="007545C1" w:rsidRPr="001B41AD">
        <w:rPr>
          <w:rFonts w:eastAsia="MS PGothic" w:cstheme="minorHAnsi"/>
          <w:szCs w:val="20"/>
          <w:lang w:val="sr-Cyrl-CS" w:eastAsia="ja-JP"/>
        </w:rPr>
        <w:t>догодила</w:t>
      </w:r>
      <w:r w:rsidRPr="001B41AD">
        <w:rPr>
          <w:rFonts w:eastAsia="MS PGothic" w:cstheme="minorHAnsi"/>
          <w:szCs w:val="20"/>
          <w:lang w:val="sr-Cyrl-CS" w:eastAsia="ja-JP"/>
        </w:rPr>
        <w:t>. Додатно, због умањених јавних прихода и повећаних јавних расхода, шок проузрокован елементарном непогодом утиче и на повећање фискалног дефицита, што у крајњој линији доводи до потребе за додатним финансирањем, односно за последицу има повећање јавног дуга.</w:t>
      </w:r>
    </w:p>
    <w:p w14:paraId="0A0460EA"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 xml:space="preserve">На крају 2022. године је, у сарадњи са Светском банком, развијен модел за процену фискалних ризика од елементарних непогода. У току 2023. године спроведене су обуке и неопходна ажурирања модела чиме су се стекли услови да се почне са пуном применом наведеног модела. </w:t>
      </w:r>
    </w:p>
    <w:p w14:paraId="6506B710"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Оригинални подаци компаније за моделирање ризика „Applied Research Institute Worldwide Corporation“ - из тзв. „АIR“ модела за Републику Србију су добијени емпиријским путем у току 2019. године, што је веома значајно с обзиром на раширену праксу многих земаља које углавном, по аналогији са другим, сличним земљама за које су ови подаци доступни, користе туђе податке. Индексацијом ових вредности за годишњу инфлацију и раст приватних и јавних фиксних</w:t>
      </w:r>
      <w:r w:rsidRPr="001B41AD">
        <w:rPr>
          <w:lang w:val="sr-Cyrl-CS"/>
        </w:rPr>
        <w:t xml:space="preserve"> </w:t>
      </w:r>
      <w:r w:rsidRPr="001B41AD">
        <w:rPr>
          <w:rFonts w:eastAsia="MS PGothic" w:cstheme="minorHAnsi"/>
          <w:szCs w:val="20"/>
          <w:lang w:val="sr-Cyrl-CS" w:eastAsia="ja-JP"/>
        </w:rPr>
        <w:t>фондова у периоду од 2019. до 2024. године добијене су нове ажуриране вредности које се користе за процену потенцијалне штете проузроковане поплавама и земљотресима различитог интензитета.</w:t>
      </w:r>
    </w:p>
    <w:p w14:paraId="4DA9DAA5" w14:textId="77777777" w:rsidR="00FD7592" w:rsidRPr="001B41AD" w:rsidRDefault="00FD7592" w:rsidP="00FD7592">
      <w:pPr>
        <w:rPr>
          <w:rFonts w:eastAsia="MS PGothic" w:cstheme="minorHAnsi"/>
          <w:szCs w:val="20"/>
          <w:lang w:val="sr-Cyrl-CS" w:eastAsia="ja-JP"/>
        </w:rPr>
      </w:pPr>
      <w:r w:rsidRPr="001B41AD">
        <w:rPr>
          <w:rFonts w:eastAsia="MS PGothic" w:cstheme="minorHAnsi"/>
          <w:szCs w:val="20"/>
          <w:lang w:val="sr-Cyrl-CS" w:eastAsia="ja-JP"/>
        </w:rPr>
        <w:t>У складу са наведеним, процене изведене на основу података компаније за моделирање ризика „Applied Research Institute Worldwide Corporation“ - из тзв. „АIR“ модела, показују да потенцијалне штете у Републици Србији у 2025. години повезане са поплавама, зависно од интензитета и вероватноће дешавања, могу да се крећу од 150</w:t>
      </w:r>
      <w:r w:rsidR="00D3077B" w:rsidRPr="001B41AD">
        <w:rPr>
          <w:rFonts w:eastAsia="MS PGothic" w:cstheme="minorHAnsi"/>
          <w:szCs w:val="20"/>
          <w:lang w:val="sr-Cyrl-CS" w:eastAsia="ja-JP"/>
        </w:rPr>
        <w:t xml:space="preserve"> милиона долара до 6,4 милијарде</w:t>
      </w:r>
      <w:r w:rsidRPr="001B41AD">
        <w:rPr>
          <w:rFonts w:eastAsia="MS PGothic" w:cstheme="minorHAnsi"/>
          <w:szCs w:val="20"/>
          <w:lang w:val="sr-Cyrl-CS" w:eastAsia="ja-JP"/>
        </w:rPr>
        <w:t xml:space="preserve"> долара. Иако се ризици од земљотреса сматрају умереним, према истим проценама, штете повезане са земљотресима могу се кретати од 160 милиона долара до чак 8,5 милијарди долара.</w:t>
      </w:r>
    </w:p>
    <w:p w14:paraId="0835D31F" w14:textId="77777777" w:rsidR="00FD7592" w:rsidRPr="001B41AD" w:rsidRDefault="00FD7592" w:rsidP="00FD7592">
      <w:pPr>
        <w:spacing w:after="0" w:line="240" w:lineRule="auto"/>
        <w:rPr>
          <w:rFonts w:ascii="Calibri" w:eastAsia="MS PGothic" w:hAnsi="Calibri" w:cs="Calibri"/>
          <w:b/>
          <w:bCs/>
          <w:sz w:val="18"/>
          <w:szCs w:val="18"/>
          <w:lang w:val="sr-Cyrl-CS" w:eastAsia="ja-JP"/>
        </w:rPr>
      </w:pPr>
      <w:r w:rsidRPr="001B41AD">
        <w:rPr>
          <w:rFonts w:ascii="Calibri" w:eastAsia="MS PGothic" w:hAnsi="Calibri" w:cs="Calibri"/>
          <w:b/>
          <w:bCs/>
          <w:sz w:val="18"/>
          <w:szCs w:val="18"/>
          <w:lang w:val="sr-Cyrl-CS" w:eastAsia="ja-JP"/>
        </w:rPr>
        <w:t>Графички приказ процене потенцијалних штета од поплава и земљотреса у Републици Србији</w:t>
      </w:r>
    </w:p>
    <w:p w14:paraId="13F10450" w14:textId="77777777" w:rsidR="00FD7592" w:rsidRPr="001B41AD" w:rsidRDefault="00FD7592" w:rsidP="00FD7592">
      <w:pPr>
        <w:spacing w:line="256" w:lineRule="auto"/>
        <w:jc w:val="center"/>
        <w:rPr>
          <w:rFonts w:ascii="Calibri" w:eastAsia="MS PGothic" w:hAnsi="Calibri" w:cs="Calibri"/>
          <w:b/>
          <w:bCs/>
          <w:szCs w:val="20"/>
          <w:lang w:val="sr-Cyrl-CS" w:eastAsia="ja-JP"/>
        </w:rPr>
      </w:pPr>
      <w:r w:rsidRPr="001B41AD">
        <w:rPr>
          <w:rFonts w:ascii="Calibri" w:eastAsia="MS PGothic" w:hAnsi="Calibri" w:cs="Calibri"/>
          <w:b/>
          <w:bCs/>
          <w:sz w:val="18"/>
          <w:szCs w:val="18"/>
          <w:lang w:val="sr-Cyrl-CS" w:eastAsia="ja-JP"/>
        </w:rPr>
        <w:t>(у милионима долара)</w:t>
      </w:r>
      <w:r w:rsidRPr="001B41AD">
        <w:rPr>
          <w:noProof/>
          <w:lang w:val="sr-Cyrl-CS"/>
        </w:rPr>
        <w:t xml:space="preserve"> </w:t>
      </w:r>
      <w:r w:rsidRPr="001B41AD">
        <w:rPr>
          <w:noProof/>
        </w:rPr>
        <w:drawing>
          <wp:inline distT="0" distB="0" distL="0" distR="0" wp14:anchorId="602B2F0C" wp14:editId="63CF6908">
            <wp:extent cx="2755265" cy="1715548"/>
            <wp:effectExtent l="0" t="0" r="6985" b="18415"/>
            <wp:docPr id="1736868298" name="Chart 17368682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30A61C9A" w14:textId="77777777" w:rsidR="00FD7592" w:rsidRPr="001B41AD" w:rsidRDefault="00FD7592" w:rsidP="00FD7592">
      <w:pPr>
        <w:spacing w:line="256" w:lineRule="auto"/>
        <w:rPr>
          <w:rFonts w:eastAsia="MS PGothic" w:cstheme="minorHAnsi"/>
          <w:szCs w:val="20"/>
          <w:lang w:val="sr-Cyrl-CS" w:eastAsia="ja-JP"/>
        </w:rPr>
      </w:pPr>
      <w:r w:rsidRPr="001B41AD">
        <w:rPr>
          <w:rFonts w:eastAsia="MS PGothic" w:cstheme="minorHAnsi"/>
          <w:szCs w:val="20"/>
          <w:lang w:val="sr-Cyrl-CS" w:eastAsia="ja-JP"/>
        </w:rPr>
        <w:lastRenderedPageBreak/>
        <w:t>Зависно од врсте и интензитета елементарне непогоде, разликује се и очекивана контракција БДП, односно остваривање мањег раста БДП у години манифестовања елементарне непогоде, у односу на раст БДП који би се остварио да се елементарна непогода није догодила.</w:t>
      </w:r>
    </w:p>
    <w:p w14:paraId="6FA3FEA8" w14:textId="77777777" w:rsidR="00FD7592" w:rsidRPr="001B41AD" w:rsidRDefault="00FD7592" w:rsidP="00FD7592">
      <w:pPr>
        <w:spacing w:line="256" w:lineRule="auto"/>
        <w:rPr>
          <w:rFonts w:eastAsia="MS PGothic" w:cstheme="minorHAnsi"/>
          <w:szCs w:val="20"/>
          <w:lang w:val="sr-Cyrl-CS" w:eastAsia="ja-JP"/>
        </w:rPr>
      </w:pPr>
      <w:r w:rsidRPr="001B41AD">
        <w:rPr>
          <w:rFonts w:eastAsia="MS PGothic" w:cstheme="minorHAnsi"/>
          <w:szCs w:val="20"/>
          <w:lang w:val="sr-Cyrl-CS" w:eastAsia="ja-JP"/>
        </w:rPr>
        <w:t xml:space="preserve">Када су будући очекивани трошкови у питању, фискални ефекти елементарних непогода, у смислу утицаја на фискални дефицит и последично, на јавни дуг су још израженији и рефлектују размере очекиваног негативног ефекта оваквих шокова на макроекономску стабилност државе, уколико би се ове елементарне непогоде манифестовале. </w:t>
      </w:r>
    </w:p>
    <w:p w14:paraId="016D7483" w14:textId="035541DB" w:rsidR="00FD7592" w:rsidRPr="001B41AD" w:rsidRDefault="00FD7592" w:rsidP="00FD7592">
      <w:pPr>
        <w:spacing w:line="256" w:lineRule="auto"/>
        <w:rPr>
          <w:rFonts w:eastAsia="MS PGothic" w:cstheme="minorHAnsi"/>
          <w:szCs w:val="20"/>
          <w:lang w:val="sr-Cyrl-CS" w:eastAsia="ja-JP"/>
        </w:rPr>
        <w:sectPr w:rsidR="00FD7592" w:rsidRPr="001B41AD" w:rsidSect="00405489">
          <w:type w:val="continuous"/>
          <w:pgSz w:w="12240" w:h="15840"/>
          <w:pgMar w:top="1440" w:right="1440" w:bottom="1440" w:left="1440" w:header="720" w:footer="720" w:gutter="0"/>
          <w:cols w:num="2" w:space="720"/>
        </w:sectPr>
      </w:pPr>
      <w:r w:rsidRPr="001B41AD">
        <w:rPr>
          <w:rFonts w:eastAsia="MS PGothic" w:cstheme="minorHAnsi"/>
          <w:szCs w:val="20"/>
          <w:lang w:val="sr-Cyrl-CS" w:eastAsia="ja-JP"/>
        </w:rPr>
        <w:t>На бази модела за процену фискалних ризика од елементарних непогода за Републику Србију, може се закључити да се, у случају земљотреса који би се догодио у 2025. години, фискални дефицит може повећати</w:t>
      </w:r>
      <w:r w:rsidRPr="001B41AD">
        <w:rPr>
          <w:rFonts w:eastAsia="MS PGothic" w:cstheme="minorHAnsi"/>
          <w:bCs/>
          <w:color w:val="1F4E79" w:themeColor="accent5" w:themeShade="80"/>
          <w:szCs w:val="20"/>
          <w:lang w:val="sr-Cyrl-CS" w:eastAsia="ja-JP"/>
        </w:rPr>
        <w:t xml:space="preserve"> </w:t>
      </w:r>
      <w:r w:rsidRPr="001B41AD">
        <w:rPr>
          <w:rFonts w:eastAsia="MS PGothic" w:cstheme="minorHAnsi"/>
          <w:szCs w:val="20"/>
          <w:lang w:val="sr-Cyrl-CS" w:eastAsia="ja-JP"/>
        </w:rPr>
        <w:t xml:space="preserve">до 2,4% БДП годишње, што даље може утицати на раст јавног дуга до чак 8,6% БДП из 2025. године у годинама након шока, проузрокованог земљотресом већег интензитета. У случају поплава које би се догодиле 2025. године, имамо сличну ситуацију, односно фискални дефицит се може повећати и до 1,8% БДП годишње, што би утицало на раст јавног дуга и до 6,5% БДП из 2025. године, у годинама након шока, </w:t>
      </w:r>
      <w:r w:rsidR="00E32355" w:rsidRPr="001B41AD">
        <w:rPr>
          <w:rFonts w:eastAsia="MS PGothic" w:cstheme="minorHAnsi"/>
          <w:szCs w:val="20"/>
          <w:lang w:val="sr-Cyrl-CS" w:eastAsia="ja-JP"/>
        </w:rPr>
        <w:t>у случају поплава већ</w:t>
      </w:r>
      <w:r w:rsidR="00FA09BD" w:rsidRPr="001B41AD">
        <w:rPr>
          <w:rFonts w:eastAsia="MS PGothic" w:cstheme="minorHAnsi"/>
          <w:szCs w:val="20"/>
          <w:lang w:val="sr-Cyrl-CS" w:eastAsia="ja-JP"/>
        </w:rPr>
        <w:t>их размера.</w:t>
      </w:r>
    </w:p>
    <w:tbl>
      <w:tblPr>
        <w:tblW w:w="9257" w:type="dxa"/>
        <w:tblLook w:val="04A0" w:firstRow="1" w:lastRow="0" w:firstColumn="1" w:lastColumn="0" w:noHBand="0" w:noVBand="1"/>
      </w:tblPr>
      <w:tblGrid>
        <w:gridCol w:w="837"/>
        <w:gridCol w:w="1515"/>
        <w:gridCol w:w="1439"/>
        <w:gridCol w:w="911"/>
        <w:gridCol w:w="911"/>
        <w:gridCol w:w="911"/>
        <w:gridCol w:w="911"/>
        <w:gridCol w:w="911"/>
        <w:gridCol w:w="911"/>
      </w:tblGrid>
      <w:tr w:rsidR="00FD7592" w:rsidRPr="001B41AD" w14:paraId="104CBAC2" w14:textId="77777777" w:rsidTr="001D0A9A">
        <w:trPr>
          <w:trHeight w:val="207"/>
        </w:trPr>
        <w:tc>
          <w:tcPr>
            <w:tcW w:w="9257" w:type="dxa"/>
            <w:gridSpan w:val="9"/>
            <w:tcBorders>
              <w:top w:val="nil"/>
              <w:left w:val="nil"/>
              <w:bottom w:val="single" w:sz="4" w:space="0" w:color="auto"/>
              <w:right w:val="nil"/>
            </w:tcBorders>
            <w:noWrap/>
            <w:vAlign w:val="bottom"/>
            <w:hideMark/>
          </w:tcPr>
          <w:p w14:paraId="55F76E3B" w14:textId="24E4AB67" w:rsidR="00FD7592" w:rsidRPr="001B41AD" w:rsidRDefault="00FD7592" w:rsidP="001D0A9A">
            <w:pPr>
              <w:spacing w:after="0" w:line="240" w:lineRule="auto"/>
              <w:rPr>
                <w:rFonts w:ascii="Calibri" w:eastAsia="Times New Roman" w:hAnsi="Calibri" w:cs="Calibri"/>
                <w:color w:val="000000"/>
                <w:szCs w:val="20"/>
                <w:lang w:val="sr-Cyrl-CS"/>
              </w:rPr>
            </w:pPr>
            <w:r w:rsidRPr="001B41AD">
              <w:rPr>
                <w:rFonts w:eastAsia="MS PGothic" w:cstheme="minorHAnsi"/>
                <w:b/>
                <w:color w:val="002060"/>
                <w:szCs w:val="20"/>
                <w:lang w:val="sr-Cyrl-CS" w:eastAsia="ja-JP"/>
              </w:rPr>
              <w:t>Табеларни приказ промене фискалних варијабли изражених у % БДП за 2025. годину, за период од 2025. до 2030. године, зависно од врсте елементарних непогода</w:t>
            </w:r>
          </w:p>
        </w:tc>
      </w:tr>
      <w:tr w:rsidR="00FD7592" w:rsidRPr="001B41AD" w14:paraId="4C9B3D89" w14:textId="77777777" w:rsidTr="007545C1">
        <w:trPr>
          <w:trHeight w:val="20"/>
        </w:trPr>
        <w:tc>
          <w:tcPr>
            <w:tcW w:w="2352" w:type="dxa"/>
            <w:gridSpan w:val="2"/>
            <w:tcBorders>
              <w:top w:val="single" w:sz="4" w:space="0" w:color="auto"/>
              <w:left w:val="single" w:sz="4" w:space="0" w:color="auto"/>
              <w:bottom w:val="single" w:sz="4" w:space="0" w:color="auto"/>
              <w:right w:val="single" w:sz="4" w:space="0" w:color="000000"/>
            </w:tcBorders>
            <w:shd w:val="clear" w:color="000000" w:fill="DEEAF6"/>
            <w:vAlign w:val="center"/>
            <w:hideMark/>
          </w:tcPr>
          <w:p w14:paraId="6AA55879" w14:textId="77777777" w:rsidR="00FD7592" w:rsidRPr="001B41AD" w:rsidRDefault="00FD7592" w:rsidP="00405489">
            <w:pPr>
              <w:spacing w:after="0" w:line="240" w:lineRule="auto"/>
              <w:jc w:val="center"/>
              <w:rPr>
                <w:rFonts w:ascii="Calibri" w:eastAsia="Times New Roman" w:hAnsi="Calibri" w:cs="Calibri"/>
                <w:b/>
                <w:bCs/>
                <w:szCs w:val="20"/>
                <w:lang w:val="sr-Cyrl-CS"/>
              </w:rPr>
            </w:pPr>
            <w:r w:rsidRPr="001B41AD">
              <w:rPr>
                <w:rFonts w:ascii="Calibri" w:eastAsia="Times New Roman" w:hAnsi="Calibri" w:cs="Calibri"/>
                <w:b/>
                <w:bCs/>
                <w:szCs w:val="20"/>
                <w:lang w:val="sr-Cyrl-CS"/>
              </w:rPr>
              <w:t>Изражено у % процењеног БДП за 2025. годину</w:t>
            </w:r>
          </w:p>
        </w:tc>
        <w:tc>
          <w:tcPr>
            <w:tcW w:w="1439" w:type="dxa"/>
            <w:tcBorders>
              <w:top w:val="nil"/>
              <w:left w:val="nil"/>
              <w:bottom w:val="single" w:sz="4" w:space="0" w:color="auto"/>
              <w:right w:val="single" w:sz="4" w:space="0" w:color="auto"/>
            </w:tcBorders>
            <w:shd w:val="clear" w:color="000000" w:fill="DEEAF6"/>
            <w:vAlign w:val="center"/>
            <w:hideMark/>
          </w:tcPr>
          <w:p w14:paraId="64401C68" w14:textId="77777777" w:rsidR="00FD7592" w:rsidRPr="001B41AD" w:rsidRDefault="00FD7592" w:rsidP="00405489">
            <w:pPr>
              <w:spacing w:after="0" w:line="240" w:lineRule="auto"/>
              <w:jc w:val="center"/>
              <w:rPr>
                <w:rFonts w:ascii="Calibri" w:eastAsia="Times New Roman" w:hAnsi="Calibri" w:cs="Calibri"/>
                <w:szCs w:val="20"/>
                <w:lang w:val="sr-Cyrl-CS"/>
              </w:rPr>
            </w:pPr>
            <w:r w:rsidRPr="001B41AD">
              <w:rPr>
                <w:rFonts w:ascii="Calibri" w:eastAsia="Times New Roman" w:hAnsi="Calibri" w:cs="Calibri"/>
                <w:szCs w:val="20"/>
                <w:lang w:val="sr-Cyrl-CS"/>
              </w:rPr>
              <w:t>Вероватноћа догађаја</w:t>
            </w:r>
          </w:p>
        </w:tc>
        <w:tc>
          <w:tcPr>
            <w:tcW w:w="911" w:type="dxa"/>
            <w:tcBorders>
              <w:top w:val="nil"/>
              <w:left w:val="nil"/>
              <w:bottom w:val="single" w:sz="4" w:space="0" w:color="auto"/>
              <w:right w:val="single" w:sz="4" w:space="0" w:color="auto"/>
            </w:tcBorders>
            <w:shd w:val="clear" w:color="000000" w:fill="DEEAF6"/>
            <w:vAlign w:val="center"/>
            <w:hideMark/>
          </w:tcPr>
          <w:p w14:paraId="0A8EA4B1" w14:textId="77777777" w:rsidR="00FD7592" w:rsidRPr="001B41AD" w:rsidRDefault="00FD7592" w:rsidP="00405489">
            <w:pPr>
              <w:spacing w:after="0" w:line="240" w:lineRule="auto"/>
              <w:jc w:val="center"/>
              <w:rPr>
                <w:rFonts w:ascii="Calibri" w:eastAsia="Times New Roman" w:hAnsi="Calibri" w:cs="Calibri"/>
                <w:szCs w:val="20"/>
                <w:lang w:val="sr-Cyrl-CS"/>
              </w:rPr>
            </w:pPr>
            <w:r w:rsidRPr="001B41AD">
              <w:rPr>
                <w:rFonts w:ascii="Calibri" w:eastAsia="Times New Roman" w:hAnsi="Calibri" w:cs="Calibri"/>
                <w:szCs w:val="20"/>
                <w:lang w:val="sr-Cyrl-CS"/>
              </w:rPr>
              <w:t xml:space="preserve">t </w:t>
            </w:r>
            <w:r w:rsidRPr="001B41AD">
              <w:rPr>
                <w:rFonts w:ascii="Calibri" w:eastAsia="Times New Roman" w:hAnsi="Calibri" w:cs="Calibri"/>
                <w:szCs w:val="20"/>
                <w:lang w:val="sr-Cyrl-CS"/>
              </w:rPr>
              <w:br/>
              <w:t>(2025)</w:t>
            </w:r>
          </w:p>
        </w:tc>
        <w:tc>
          <w:tcPr>
            <w:tcW w:w="911" w:type="dxa"/>
            <w:tcBorders>
              <w:top w:val="nil"/>
              <w:left w:val="nil"/>
              <w:bottom w:val="single" w:sz="4" w:space="0" w:color="auto"/>
              <w:right w:val="single" w:sz="4" w:space="0" w:color="auto"/>
            </w:tcBorders>
            <w:shd w:val="clear" w:color="000000" w:fill="DEEAF6"/>
            <w:vAlign w:val="center"/>
            <w:hideMark/>
          </w:tcPr>
          <w:p w14:paraId="1D50C4CA" w14:textId="77777777" w:rsidR="00FD7592" w:rsidRPr="001B41AD" w:rsidRDefault="00FD7592" w:rsidP="00405489">
            <w:pPr>
              <w:spacing w:after="0" w:line="240" w:lineRule="auto"/>
              <w:jc w:val="center"/>
              <w:rPr>
                <w:rFonts w:ascii="Calibri" w:eastAsia="Times New Roman" w:hAnsi="Calibri" w:cs="Calibri"/>
                <w:szCs w:val="20"/>
                <w:lang w:val="sr-Cyrl-CS"/>
              </w:rPr>
            </w:pPr>
            <w:r w:rsidRPr="001B41AD">
              <w:rPr>
                <w:rFonts w:ascii="Calibri" w:eastAsia="Times New Roman" w:hAnsi="Calibri" w:cs="Calibri"/>
                <w:szCs w:val="20"/>
                <w:lang w:val="sr-Cyrl-CS"/>
              </w:rPr>
              <w:t>t+1</w:t>
            </w:r>
            <w:r w:rsidRPr="001B41AD">
              <w:rPr>
                <w:rFonts w:ascii="Calibri" w:eastAsia="Times New Roman" w:hAnsi="Calibri" w:cs="Calibri"/>
                <w:szCs w:val="20"/>
                <w:lang w:val="sr-Cyrl-CS"/>
              </w:rPr>
              <w:br/>
              <w:t>(2026)</w:t>
            </w:r>
          </w:p>
        </w:tc>
        <w:tc>
          <w:tcPr>
            <w:tcW w:w="911" w:type="dxa"/>
            <w:tcBorders>
              <w:top w:val="nil"/>
              <w:left w:val="nil"/>
              <w:bottom w:val="single" w:sz="4" w:space="0" w:color="auto"/>
              <w:right w:val="single" w:sz="4" w:space="0" w:color="auto"/>
            </w:tcBorders>
            <w:shd w:val="clear" w:color="000000" w:fill="DEEAF6"/>
            <w:vAlign w:val="center"/>
            <w:hideMark/>
          </w:tcPr>
          <w:p w14:paraId="3E9A2C7C" w14:textId="77777777" w:rsidR="00FD7592" w:rsidRPr="001B41AD" w:rsidRDefault="00FD7592" w:rsidP="00405489">
            <w:pPr>
              <w:spacing w:after="0" w:line="240" w:lineRule="auto"/>
              <w:jc w:val="center"/>
              <w:rPr>
                <w:rFonts w:ascii="Calibri" w:eastAsia="Times New Roman" w:hAnsi="Calibri" w:cs="Calibri"/>
                <w:szCs w:val="20"/>
                <w:lang w:val="sr-Cyrl-CS"/>
              </w:rPr>
            </w:pPr>
            <w:r w:rsidRPr="001B41AD">
              <w:rPr>
                <w:rFonts w:ascii="Calibri" w:eastAsia="Times New Roman" w:hAnsi="Calibri" w:cs="Calibri"/>
                <w:szCs w:val="20"/>
                <w:lang w:val="sr-Cyrl-CS"/>
              </w:rPr>
              <w:t>t+2</w:t>
            </w:r>
            <w:r w:rsidRPr="001B41AD">
              <w:rPr>
                <w:rFonts w:ascii="Calibri" w:eastAsia="Times New Roman" w:hAnsi="Calibri" w:cs="Calibri"/>
                <w:szCs w:val="20"/>
                <w:lang w:val="sr-Cyrl-CS"/>
              </w:rPr>
              <w:br/>
              <w:t>(2027)</w:t>
            </w:r>
          </w:p>
        </w:tc>
        <w:tc>
          <w:tcPr>
            <w:tcW w:w="911" w:type="dxa"/>
            <w:tcBorders>
              <w:top w:val="nil"/>
              <w:left w:val="nil"/>
              <w:bottom w:val="single" w:sz="4" w:space="0" w:color="auto"/>
              <w:right w:val="single" w:sz="4" w:space="0" w:color="auto"/>
            </w:tcBorders>
            <w:shd w:val="clear" w:color="000000" w:fill="DEEAF6"/>
            <w:vAlign w:val="center"/>
            <w:hideMark/>
          </w:tcPr>
          <w:p w14:paraId="3BA9663E" w14:textId="77777777" w:rsidR="00FD7592" w:rsidRPr="001B41AD" w:rsidRDefault="00FD7592" w:rsidP="00405489">
            <w:pPr>
              <w:spacing w:after="0" w:line="240" w:lineRule="auto"/>
              <w:jc w:val="center"/>
              <w:rPr>
                <w:rFonts w:ascii="Calibri" w:eastAsia="Times New Roman" w:hAnsi="Calibri" w:cs="Calibri"/>
                <w:szCs w:val="20"/>
                <w:lang w:val="sr-Cyrl-CS"/>
              </w:rPr>
            </w:pPr>
            <w:r w:rsidRPr="001B41AD">
              <w:rPr>
                <w:rFonts w:ascii="Calibri" w:eastAsia="Times New Roman" w:hAnsi="Calibri" w:cs="Calibri"/>
                <w:szCs w:val="20"/>
                <w:lang w:val="sr-Cyrl-CS"/>
              </w:rPr>
              <w:t>t+3</w:t>
            </w:r>
            <w:r w:rsidRPr="001B41AD">
              <w:rPr>
                <w:rFonts w:ascii="Calibri" w:eastAsia="Times New Roman" w:hAnsi="Calibri" w:cs="Calibri"/>
                <w:szCs w:val="20"/>
                <w:lang w:val="sr-Cyrl-CS"/>
              </w:rPr>
              <w:br/>
              <w:t>(2028)</w:t>
            </w:r>
          </w:p>
        </w:tc>
        <w:tc>
          <w:tcPr>
            <w:tcW w:w="911" w:type="dxa"/>
            <w:tcBorders>
              <w:top w:val="nil"/>
              <w:left w:val="nil"/>
              <w:bottom w:val="single" w:sz="4" w:space="0" w:color="auto"/>
              <w:right w:val="single" w:sz="4" w:space="0" w:color="auto"/>
            </w:tcBorders>
            <w:shd w:val="clear" w:color="000000" w:fill="DEEAF6"/>
            <w:vAlign w:val="center"/>
            <w:hideMark/>
          </w:tcPr>
          <w:p w14:paraId="6CC42027" w14:textId="77777777" w:rsidR="00FD7592" w:rsidRPr="001B41AD" w:rsidRDefault="00FD7592" w:rsidP="00405489">
            <w:pPr>
              <w:spacing w:after="0" w:line="240" w:lineRule="auto"/>
              <w:jc w:val="center"/>
              <w:rPr>
                <w:rFonts w:ascii="Calibri" w:eastAsia="Times New Roman" w:hAnsi="Calibri" w:cs="Calibri"/>
                <w:szCs w:val="20"/>
                <w:lang w:val="sr-Cyrl-CS"/>
              </w:rPr>
            </w:pPr>
            <w:r w:rsidRPr="001B41AD">
              <w:rPr>
                <w:rFonts w:ascii="Calibri" w:eastAsia="Times New Roman" w:hAnsi="Calibri" w:cs="Calibri"/>
                <w:szCs w:val="20"/>
                <w:lang w:val="sr-Cyrl-CS"/>
              </w:rPr>
              <w:t>t+4</w:t>
            </w:r>
            <w:r w:rsidRPr="001B41AD">
              <w:rPr>
                <w:rFonts w:ascii="Calibri" w:eastAsia="Times New Roman" w:hAnsi="Calibri" w:cs="Calibri"/>
                <w:szCs w:val="20"/>
                <w:lang w:val="sr-Cyrl-CS"/>
              </w:rPr>
              <w:br/>
              <w:t>(2029)</w:t>
            </w:r>
          </w:p>
        </w:tc>
        <w:tc>
          <w:tcPr>
            <w:tcW w:w="911" w:type="dxa"/>
            <w:tcBorders>
              <w:top w:val="nil"/>
              <w:left w:val="nil"/>
              <w:bottom w:val="single" w:sz="4" w:space="0" w:color="auto"/>
              <w:right w:val="single" w:sz="4" w:space="0" w:color="auto"/>
            </w:tcBorders>
            <w:shd w:val="clear" w:color="000000" w:fill="DEEAF6"/>
            <w:vAlign w:val="center"/>
            <w:hideMark/>
          </w:tcPr>
          <w:p w14:paraId="3B126AE2" w14:textId="77777777" w:rsidR="00FD7592" w:rsidRPr="001B41AD" w:rsidRDefault="00FD7592" w:rsidP="00405489">
            <w:pPr>
              <w:spacing w:after="0" w:line="240" w:lineRule="auto"/>
              <w:jc w:val="center"/>
              <w:rPr>
                <w:rFonts w:ascii="Calibri" w:eastAsia="Times New Roman" w:hAnsi="Calibri" w:cs="Calibri"/>
                <w:szCs w:val="20"/>
                <w:lang w:val="sr-Cyrl-CS"/>
              </w:rPr>
            </w:pPr>
            <w:r w:rsidRPr="001B41AD">
              <w:rPr>
                <w:rFonts w:ascii="Calibri" w:eastAsia="Times New Roman" w:hAnsi="Calibri" w:cs="Calibri"/>
                <w:szCs w:val="20"/>
                <w:lang w:val="sr-Cyrl-CS"/>
              </w:rPr>
              <w:t>t+5</w:t>
            </w:r>
            <w:r w:rsidRPr="001B41AD">
              <w:rPr>
                <w:rFonts w:ascii="Calibri" w:eastAsia="Times New Roman" w:hAnsi="Calibri" w:cs="Calibri"/>
                <w:szCs w:val="20"/>
                <w:lang w:val="sr-Cyrl-CS"/>
              </w:rPr>
              <w:br/>
              <w:t>(2030)</w:t>
            </w:r>
          </w:p>
        </w:tc>
      </w:tr>
      <w:tr w:rsidR="00FD7592" w:rsidRPr="001B41AD" w14:paraId="73162EE6" w14:textId="77777777" w:rsidTr="007545C1">
        <w:trPr>
          <w:trHeight w:val="20"/>
        </w:trPr>
        <w:tc>
          <w:tcPr>
            <w:tcW w:w="837" w:type="dxa"/>
            <w:vMerge w:val="restart"/>
            <w:tcBorders>
              <w:top w:val="nil"/>
              <w:left w:val="single" w:sz="4" w:space="0" w:color="auto"/>
              <w:bottom w:val="single" w:sz="4" w:space="0" w:color="auto"/>
              <w:right w:val="single" w:sz="4" w:space="0" w:color="auto"/>
            </w:tcBorders>
            <w:shd w:val="clear" w:color="000000" w:fill="DEEAF6"/>
            <w:textDirection w:val="btLr"/>
            <w:vAlign w:val="center"/>
            <w:hideMark/>
          </w:tcPr>
          <w:p w14:paraId="7A949E03" w14:textId="77777777" w:rsidR="00FD7592" w:rsidRPr="001B41AD" w:rsidRDefault="00FD7592" w:rsidP="00405489">
            <w:pPr>
              <w:spacing w:after="0" w:line="240" w:lineRule="auto"/>
              <w:jc w:val="center"/>
              <w:rPr>
                <w:rFonts w:ascii="Calibri" w:eastAsia="Times New Roman" w:hAnsi="Calibri" w:cs="Calibri"/>
                <w:sz w:val="32"/>
                <w:szCs w:val="32"/>
                <w:lang w:val="sr-Cyrl-CS"/>
              </w:rPr>
            </w:pPr>
            <w:r w:rsidRPr="001B41AD">
              <w:rPr>
                <w:rFonts w:ascii="Calibri" w:eastAsia="Times New Roman" w:hAnsi="Calibri" w:cs="Calibri"/>
                <w:sz w:val="32"/>
                <w:szCs w:val="32"/>
                <w:lang w:val="sr-Cyrl-CS"/>
              </w:rPr>
              <w:t>ЗЕМЉОТРЕСИ</w:t>
            </w:r>
          </w:p>
        </w:tc>
        <w:tc>
          <w:tcPr>
            <w:tcW w:w="1515" w:type="dxa"/>
            <w:vMerge w:val="restart"/>
            <w:tcBorders>
              <w:top w:val="nil"/>
              <w:left w:val="single" w:sz="4" w:space="0" w:color="auto"/>
              <w:bottom w:val="single" w:sz="4" w:space="0" w:color="auto"/>
              <w:right w:val="single" w:sz="4" w:space="0" w:color="auto"/>
            </w:tcBorders>
            <w:shd w:val="clear" w:color="000000" w:fill="DEEAF6"/>
            <w:vAlign w:val="center"/>
            <w:hideMark/>
          </w:tcPr>
          <w:p w14:paraId="327ED2D9" w14:textId="77777777" w:rsidR="00FD7592" w:rsidRPr="001B41AD" w:rsidRDefault="00FD7592" w:rsidP="00405489">
            <w:pPr>
              <w:spacing w:after="0" w:line="240" w:lineRule="auto"/>
              <w:jc w:val="center"/>
              <w:rPr>
                <w:rFonts w:ascii="Calibri" w:eastAsia="Times New Roman" w:hAnsi="Calibri" w:cs="Calibri"/>
                <w:sz w:val="24"/>
                <w:szCs w:val="24"/>
                <w:lang w:val="sr-Cyrl-CS"/>
              </w:rPr>
            </w:pPr>
            <w:r w:rsidRPr="001B41AD">
              <w:rPr>
                <w:rFonts w:ascii="Calibri" w:eastAsia="Times New Roman" w:hAnsi="Calibri" w:cs="Calibri"/>
                <w:sz w:val="24"/>
                <w:szCs w:val="24"/>
                <w:lang w:val="sr-Cyrl-CS"/>
              </w:rPr>
              <w:t>Фискални биланс</w:t>
            </w:r>
          </w:p>
        </w:tc>
        <w:tc>
          <w:tcPr>
            <w:tcW w:w="1439" w:type="dxa"/>
            <w:tcBorders>
              <w:top w:val="nil"/>
              <w:left w:val="nil"/>
              <w:bottom w:val="single" w:sz="4" w:space="0" w:color="auto"/>
              <w:right w:val="single" w:sz="4" w:space="0" w:color="auto"/>
            </w:tcBorders>
            <w:shd w:val="clear" w:color="000000" w:fill="E5ECF7"/>
            <w:vAlign w:val="center"/>
            <w:hideMark/>
          </w:tcPr>
          <w:p w14:paraId="466BAF1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годишње</w:t>
            </w:r>
          </w:p>
        </w:tc>
        <w:tc>
          <w:tcPr>
            <w:tcW w:w="911" w:type="dxa"/>
            <w:tcBorders>
              <w:top w:val="nil"/>
              <w:left w:val="nil"/>
              <w:bottom w:val="single" w:sz="4" w:space="0" w:color="auto"/>
              <w:right w:val="single" w:sz="4" w:space="0" w:color="auto"/>
            </w:tcBorders>
            <w:vAlign w:val="center"/>
            <w:hideMark/>
          </w:tcPr>
          <w:p w14:paraId="2C29D50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5BDE8A8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0374D86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349E90D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4227E631"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0FB6CE5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r>
      <w:tr w:rsidR="00FD7592" w:rsidRPr="001B41AD" w14:paraId="332E79E8"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35122B36"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151081A0"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354983C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50%</w:t>
            </w:r>
          </w:p>
        </w:tc>
        <w:tc>
          <w:tcPr>
            <w:tcW w:w="911" w:type="dxa"/>
            <w:tcBorders>
              <w:top w:val="nil"/>
              <w:left w:val="nil"/>
              <w:bottom w:val="single" w:sz="4" w:space="0" w:color="auto"/>
              <w:right w:val="single" w:sz="4" w:space="0" w:color="auto"/>
            </w:tcBorders>
            <w:vAlign w:val="center"/>
            <w:hideMark/>
          </w:tcPr>
          <w:p w14:paraId="6051736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2FC46DB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1DB2BE2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6D35DDD8"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468C951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1A40634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r>
      <w:tr w:rsidR="00FD7592" w:rsidRPr="001B41AD" w14:paraId="1363C984"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19079991"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539B12D0"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7F2D85C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w:t>
            </w:r>
          </w:p>
        </w:tc>
        <w:tc>
          <w:tcPr>
            <w:tcW w:w="911" w:type="dxa"/>
            <w:tcBorders>
              <w:top w:val="nil"/>
              <w:left w:val="nil"/>
              <w:bottom w:val="single" w:sz="4" w:space="0" w:color="auto"/>
              <w:right w:val="single" w:sz="4" w:space="0" w:color="auto"/>
            </w:tcBorders>
            <w:vAlign w:val="center"/>
            <w:hideMark/>
          </w:tcPr>
          <w:p w14:paraId="107344A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311D3DE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49DC266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1DB9F75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025287B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332E544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r>
      <w:tr w:rsidR="00FD7592" w:rsidRPr="001B41AD" w14:paraId="25700CED"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76368D63"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25DB1743"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6118286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2,00%</w:t>
            </w:r>
          </w:p>
        </w:tc>
        <w:tc>
          <w:tcPr>
            <w:tcW w:w="911" w:type="dxa"/>
            <w:tcBorders>
              <w:top w:val="nil"/>
              <w:left w:val="nil"/>
              <w:bottom w:val="single" w:sz="4" w:space="0" w:color="auto"/>
              <w:right w:val="single" w:sz="4" w:space="0" w:color="auto"/>
            </w:tcBorders>
            <w:vAlign w:val="center"/>
            <w:hideMark/>
          </w:tcPr>
          <w:p w14:paraId="76D2C0B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-0,3%</w:t>
            </w:r>
          </w:p>
        </w:tc>
        <w:tc>
          <w:tcPr>
            <w:tcW w:w="911" w:type="dxa"/>
            <w:tcBorders>
              <w:top w:val="nil"/>
              <w:left w:val="nil"/>
              <w:bottom w:val="single" w:sz="4" w:space="0" w:color="auto"/>
              <w:right w:val="single" w:sz="4" w:space="0" w:color="auto"/>
            </w:tcBorders>
            <w:vAlign w:val="center"/>
            <w:hideMark/>
          </w:tcPr>
          <w:p w14:paraId="0E375F3C"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-0,4%</w:t>
            </w:r>
          </w:p>
        </w:tc>
        <w:tc>
          <w:tcPr>
            <w:tcW w:w="911" w:type="dxa"/>
            <w:tcBorders>
              <w:top w:val="nil"/>
              <w:left w:val="nil"/>
              <w:bottom w:val="single" w:sz="4" w:space="0" w:color="auto"/>
              <w:right w:val="single" w:sz="4" w:space="0" w:color="auto"/>
            </w:tcBorders>
            <w:vAlign w:val="center"/>
            <w:hideMark/>
          </w:tcPr>
          <w:p w14:paraId="7D4D29E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144E84F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234F30E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3014B4F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r>
      <w:tr w:rsidR="00FD7592" w:rsidRPr="001B41AD" w14:paraId="121D342C"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56ACB0B8"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3A046DC4"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56F3D9C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1,00%</w:t>
            </w:r>
          </w:p>
        </w:tc>
        <w:tc>
          <w:tcPr>
            <w:tcW w:w="911" w:type="dxa"/>
            <w:tcBorders>
              <w:top w:val="nil"/>
              <w:left w:val="nil"/>
              <w:bottom w:val="single" w:sz="4" w:space="0" w:color="auto"/>
              <w:right w:val="single" w:sz="4" w:space="0" w:color="auto"/>
            </w:tcBorders>
            <w:vAlign w:val="center"/>
            <w:hideMark/>
          </w:tcPr>
          <w:p w14:paraId="63F5D458"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c>
          <w:tcPr>
            <w:tcW w:w="911" w:type="dxa"/>
            <w:tcBorders>
              <w:top w:val="nil"/>
              <w:left w:val="nil"/>
              <w:bottom w:val="single" w:sz="4" w:space="0" w:color="auto"/>
              <w:right w:val="single" w:sz="4" w:space="0" w:color="auto"/>
            </w:tcBorders>
            <w:vAlign w:val="center"/>
            <w:hideMark/>
          </w:tcPr>
          <w:p w14:paraId="68E0313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c>
          <w:tcPr>
            <w:tcW w:w="911" w:type="dxa"/>
            <w:tcBorders>
              <w:top w:val="nil"/>
              <w:left w:val="nil"/>
              <w:bottom w:val="single" w:sz="4" w:space="0" w:color="auto"/>
              <w:right w:val="single" w:sz="4" w:space="0" w:color="auto"/>
            </w:tcBorders>
            <w:vAlign w:val="center"/>
            <w:hideMark/>
          </w:tcPr>
          <w:p w14:paraId="7BCE32B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-0,5%</w:t>
            </w:r>
          </w:p>
        </w:tc>
        <w:tc>
          <w:tcPr>
            <w:tcW w:w="911" w:type="dxa"/>
            <w:tcBorders>
              <w:top w:val="nil"/>
              <w:left w:val="nil"/>
              <w:bottom w:val="single" w:sz="4" w:space="0" w:color="auto"/>
              <w:right w:val="single" w:sz="4" w:space="0" w:color="auto"/>
            </w:tcBorders>
            <w:vAlign w:val="center"/>
            <w:hideMark/>
          </w:tcPr>
          <w:p w14:paraId="307BDDB0"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-0,3%</w:t>
            </w:r>
          </w:p>
        </w:tc>
        <w:tc>
          <w:tcPr>
            <w:tcW w:w="911" w:type="dxa"/>
            <w:tcBorders>
              <w:top w:val="nil"/>
              <w:left w:val="nil"/>
              <w:bottom w:val="single" w:sz="4" w:space="0" w:color="auto"/>
              <w:right w:val="single" w:sz="4" w:space="0" w:color="auto"/>
            </w:tcBorders>
            <w:vAlign w:val="center"/>
            <w:hideMark/>
          </w:tcPr>
          <w:p w14:paraId="1AF468B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2D618AF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r>
      <w:tr w:rsidR="00FD7592" w:rsidRPr="001B41AD" w14:paraId="6C9DC607"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05673AEE"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644C5FC0"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610237C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0,40%</w:t>
            </w:r>
          </w:p>
        </w:tc>
        <w:tc>
          <w:tcPr>
            <w:tcW w:w="911" w:type="dxa"/>
            <w:tcBorders>
              <w:top w:val="nil"/>
              <w:left w:val="nil"/>
              <w:bottom w:val="single" w:sz="4" w:space="0" w:color="auto"/>
              <w:right w:val="single" w:sz="4" w:space="0" w:color="auto"/>
            </w:tcBorders>
            <w:vAlign w:val="center"/>
            <w:hideMark/>
          </w:tcPr>
          <w:p w14:paraId="2D2347E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-2,1%</w:t>
            </w:r>
          </w:p>
        </w:tc>
        <w:tc>
          <w:tcPr>
            <w:tcW w:w="911" w:type="dxa"/>
            <w:tcBorders>
              <w:top w:val="nil"/>
              <w:left w:val="nil"/>
              <w:bottom w:val="single" w:sz="4" w:space="0" w:color="auto"/>
              <w:right w:val="single" w:sz="4" w:space="0" w:color="auto"/>
            </w:tcBorders>
            <w:vAlign w:val="center"/>
            <w:hideMark/>
          </w:tcPr>
          <w:p w14:paraId="3D8B3F7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-2,4%</w:t>
            </w:r>
          </w:p>
        </w:tc>
        <w:tc>
          <w:tcPr>
            <w:tcW w:w="911" w:type="dxa"/>
            <w:tcBorders>
              <w:top w:val="nil"/>
              <w:left w:val="nil"/>
              <w:bottom w:val="single" w:sz="4" w:space="0" w:color="auto"/>
              <w:right w:val="single" w:sz="4" w:space="0" w:color="auto"/>
            </w:tcBorders>
            <w:vAlign w:val="center"/>
            <w:hideMark/>
          </w:tcPr>
          <w:p w14:paraId="220F89E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-1,5%</w:t>
            </w:r>
          </w:p>
        </w:tc>
        <w:tc>
          <w:tcPr>
            <w:tcW w:w="911" w:type="dxa"/>
            <w:tcBorders>
              <w:top w:val="nil"/>
              <w:left w:val="nil"/>
              <w:bottom w:val="single" w:sz="4" w:space="0" w:color="auto"/>
              <w:right w:val="single" w:sz="4" w:space="0" w:color="auto"/>
            </w:tcBorders>
            <w:vAlign w:val="center"/>
            <w:hideMark/>
          </w:tcPr>
          <w:p w14:paraId="492B626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-1,1%</w:t>
            </w:r>
          </w:p>
        </w:tc>
        <w:tc>
          <w:tcPr>
            <w:tcW w:w="911" w:type="dxa"/>
            <w:tcBorders>
              <w:top w:val="nil"/>
              <w:left w:val="nil"/>
              <w:bottom w:val="single" w:sz="4" w:space="0" w:color="auto"/>
              <w:right w:val="single" w:sz="4" w:space="0" w:color="auto"/>
            </w:tcBorders>
            <w:vAlign w:val="center"/>
            <w:hideMark/>
          </w:tcPr>
          <w:p w14:paraId="206AD553"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c>
          <w:tcPr>
            <w:tcW w:w="911" w:type="dxa"/>
            <w:tcBorders>
              <w:top w:val="nil"/>
              <w:left w:val="nil"/>
              <w:bottom w:val="single" w:sz="4" w:space="0" w:color="auto"/>
              <w:right w:val="single" w:sz="4" w:space="0" w:color="auto"/>
            </w:tcBorders>
            <w:vAlign w:val="center"/>
            <w:hideMark/>
          </w:tcPr>
          <w:p w14:paraId="3D8684B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r>
      <w:tr w:rsidR="00FD7592" w:rsidRPr="001B41AD" w14:paraId="3B972B20"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7BC2F62C"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val="restart"/>
            <w:tcBorders>
              <w:top w:val="nil"/>
              <w:left w:val="single" w:sz="4" w:space="0" w:color="auto"/>
              <w:bottom w:val="single" w:sz="4" w:space="0" w:color="auto"/>
              <w:right w:val="single" w:sz="4" w:space="0" w:color="auto"/>
            </w:tcBorders>
            <w:shd w:val="clear" w:color="000000" w:fill="DEEAF6"/>
            <w:vAlign w:val="center"/>
            <w:hideMark/>
          </w:tcPr>
          <w:p w14:paraId="016AEB1A" w14:textId="77777777" w:rsidR="00FD7592" w:rsidRPr="001B41AD" w:rsidRDefault="00FD7592" w:rsidP="00405489">
            <w:pPr>
              <w:spacing w:after="0" w:line="240" w:lineRule="auto"/>
              <w:jc w:val="center"/>
              <w:rPr>
                <w:rFonts w:ascii="Calibri" w:eastAsia="Times New Roman" w:hAnsi="Calibri" w:cs="Calibri"/>
                <w:sz w:val="24"/>
                <w:szCs w:val="24"/>
                <w:lang w:val="sr-Cyrl-CS"/>
              </w:rPr>
            </w:pPr>
            <w:r w:rsidRPr="001B41AD">
              <w:rPr>
                <w:rFonts w:ascii="Calibri" w:eastAsia="Times New Roman" w:hAnsi="Calibri" w:cs="Calibri"/>
                <w:sz w:val="24"/>
                <w:szCs w:val="24"/>
                <w:lang w:val="sr-Cyrl-CS"/>
              </w:rPr>
              <w:t>Јавни дуг</w:t>
            </w:r>
          </w:p>
        </w:tc>
        <w:tc>
          <w:tcPr>
            <w:tcW w:w="1439" w:type="dxa"/>
            <w:tcBorders>
              <w:top w:val="nil"/>
              <w:left w:val="nil"/>
              <w:bottom w:val="single" w:sz="4" w:space="0" w:color="auto"/>
              <w:right w:val="single" w:sz="4" w:space="0" w:color="auto"/>
            </w:tcBorders>
            <w:shd w:val="clear" w:color="000000" w:fill="E5ECF7"/>
            <w:vAlign w:val="center"/>
            <w:hideMark/>
          </w:tcPr>
          <w:p w14:paraId="7DC9F45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годишње</w:t>
            </w:r>
          </w:p>
        </w:tc>
        <w:tc>
          <w:tcPr>
            <w:tcW w:w="911" w:type="dxa"/>
            <w:tcBorders>
              <w:top w:val="nil"/>
              <w:left w:val="nil"/>
              <w:bottom w:val="single" w:sz="4" w:space="0" w:color="auto"/>
              <w:right w:val="single" w:sz="4" w:space="0" w:color="auto"/>
            </w:tcBorders>
            <w:vAlign w:val="center"/>
            <w:hideMark/>
          </w:tcPr>
          <w:p w14:paraId="47AEF09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1D51A1F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5FBF158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40AAFBD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7A8B7E3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547585B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r>
      <w:tr w:rsidR="00FD7592" w:rsidRPr="001B41AD" w14:paraId="0B84048D"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315E3135"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05929C25"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647CDB68"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50%</w:t>
            </w:r>
          </w:p>
        </w:tc>
        <w:tc>
          <w:tcPr>
            <w:tcW w:w="911" w:type="dxa"/>
            <w:tcBorders>
              <w:top w:val="nil"/>
              <w:left w:val="nil"/>
              <w:bottom w:val="single" w:sz="4" w:space="0" w:color="auto"/>
              <w:right w:val="single" w:sz="4" w:space="0" w:color="auto"/>
            </w:tcBorders>
            <w:vAlign w:val="center"/>
            <w:hideMark/>
          </w:tcPr>
          <w:p w14:paraId="24FA05D1"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26BDDF05"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5D21903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6BA6802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6D8FEAE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4534894C"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r>
      <w:tr w:rsidR="00FD7592" w:rsidRPr="001B41AD" w14:paraId="0DADDDFB"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62AF43D4"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78C9F51A"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76CCE585"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w:t>
            </w:r>
          </w:p>
        </w:tc>
        <w:tc>
          <w:tcPr>
            <w:tcW w:w="911" w:type="dxa"/>
            <w:tcBorders>
              <w:top w:val="nil"/>
              <w:left w:val="nil"/>
              <w:bottom w:val="single" w:sz="4" w:space="0" w:color="auto"/>
              <w:right w:val="single" w:sz="4" w:space="0" w:color="auto"/>
            </w:tcBorders>
            <w:vAlign w:val="center"/>
            <w:hideMark/>
          </w:tcPr>
          <w:p w14:paraId="2D8E21E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40B7FEE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6DBB99A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5103319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0291C95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2DE6E361"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r>
      <w:tr w:rsidR="00FD7592" w:rsidRPr="001B41AD" w14:paraId="38EBC39D"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62299337"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70018530"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055F64F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2,00%</w:t>
            </w:r>
          </w:p>
        </w:tc>
        <w:tc>
          <w:tcPr>
            <w:tcW w:w="911" w:type="dxa"/>
            <w:tcBorders>
              <w:top w:val="nil"/>
              <w:left w:val="nil"/>
              <w:bottom w:val="single" w:sz="4" w:space="0" w:color="auto"/>
              <w:right w:val="single" w:sz="4" w:space="0" w:color="auto"/>
            </w:tcBorders>
            <w:vAlign w:val="center"/>
            <w:hideMark/>
          </w:tcPr>
          <w:p w14:paraId="37B1528A"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-0,3%</w:t>
            </w:r>
          </w:p>
        </w:tc>
        <w:tc>
          <w:tcPr>
            <w:tcW w:w="911" w:type="dxa"/>
            <w:tcBorders>
              <w:top w:val="nil"/>
              <w:left w:val="nil"/>
              <w:bottom w:val="single" w:sz="4" w:space="0" w:color="auto"/>
              <w:right w:val="single" w:sz="4" w:space="0" w:color="auto"/>
            </w:tcBorders>
            <w:vAlign w:val="center"/>
            <w:hideMark/>
          </w:tcPr>
          <w:p w14:paraId="28B846C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c>
          <w:tcPr>
            <w:tcW w:w="911" w:type="dxa"/>
            <w:tcBorders>
              <w:top w:val="nil"/>
              <w:left w:val="nil"/>
              <w:bottom w:val="single" w:sz="4" w:space="0" w:color="auto"/>
              <w:right w:val="single" w:sz="4" w:space="0" w:color="auto"/>
            </w:tcBorders>
            <w:vAlign w:val="center"/>
            <w:hideMark/>
          </w:tcPr>
          <w:p w14:paraId="4081426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w:t>
            </w:r>
          </w:p>
        </w:tc>
        <w:tc>
          <w:tcPr>
            <w:tcW w:w="911" w:type="dxa"/>
            <w:tcBorders>
              <w:top w:val="nil"/>
              <w:left w:val="nil"/>
              <w:bottom w:val="single" w:sz="4" w:space="0" w:color="auto"/>
              <w:right w:val="single" w:sz="4" w:space="0" w:color="auto"/>
            </w:tcBorders>
            <w:vAlign w:val="center"/>
            <w:hideMark/>
          </w:tcPr>
          <w:p w14:paraId="39DD1CA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-1,1%</w:t>
            </w:r>
          </w:p>
        </w:tc>
        <w:tc>
          <w:tcPr>
            <w:tcW w:w="911" w:type="dxa"/>
            <w:tcBorders>
              <w:top w:val="nil"/>
              <w:left w:val="nil"/>
              <w:bottom w:val="single" w:sz="4" w:space="0" w:color="auto"/>
              <w:right w:val="single" w:sz="4" w:space="0" w:color="auto"/>
            </w:tcBorders>
            <w:vAlign w:val="center"/>
            <w:hideMark/>
          </w:tcPr>
          <w:p w14:paraId="72A1AF40"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-1,3%</w:t>
            </w:r>
          </w:p>
        </w:tc>
        <w:tc>
          <w:tcPr>
            <w:tcW w:w="911" w:type="dxa"/>
            <w:tcBorders>
              <w:top w:val="nil"/>
              <w:left w:val="nil"/>
              <w:bottom w:val="single" w:sz="4" w:space="0" w:color="auto"/>
              <w:right w:val="single" w:sz="4" w:space="0" w:color="auto"/>
            </w:tcBorders>
            <w:vAlign w:val="center"/>
            <w:hideMark/>
          </w:tcPr>
          <w:p w14:paraId="3FCD1001"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-1,4%</w:t>
            </w:r>
          </w:p>
        </w:tc>
      </w:tr>
      <w:tr w:rsidR="00FD7592" w:rsidRPr="001B41AD" w14:paraId="2076F356"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47BC424A"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1C47EC13"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0E384A8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1,00%</w:t>
            </w:r>
          </w:p>
        </w:tc>
        <w:tc>
          <w:tcPr>
            <w:tcW w:w="911" w:type="dxa"/>
            <w:tcBorders>
              <w:top w:val="nil"/>
              <w:left w:val="nil"/>
              <w:bottom w:val="single" w:sz="4" w:space="0" w:color="auto"/>
              <w:right w:val="single" w:sz="4" w:space="0" w:color="auto"/>
            </w:tcBorders>
            <w:vAlign w:val="center"/>
            <w:hideMark/>
          </w:tcPr>
          <w:p w14:paraId="2090DF2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c>
          <w:tcPr>
            <w:tcW w:w="911" w:type="dxa"/>
            <w:tcBorders>
              <w:top w:val="nil"/>
              <w:left w:val="nil"/>
              <w:bottom w:val="single" w:sz="4" w:space="0" w:color="auto"/>
              <w:right w:val="single" w:sz="4" w:space="0" w:color="auto"/>
            </w:tcBorders>
            <w:vAlign w:val="center"/>
            <w:hideMark/>
          </w:tcPr>
          <w:p w14:paraId="70CDFCDC"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-1,4%</w:t>
            </w:r>
          </w:p>
        </w:tc>
        <w:tc>
          <w:tcPr>
            <w:tcW w:w="911" w:type="dxa"/>
            <w:tcBorders>
              <w:top w:val="nil"/>
              <w:left w:val="nil"/>
              <w:bottom w:val="single" w:sz="4" w:space="0" w:color="auto"/>
              <w:right w:val="single" w:sz="4" w:space="0" w:color="auto"/>
            </w:tcBorders>
            <w:vAlign w:val="center"/>
            <w:hideMark/>
          </w:tcPr>
          <w:p w14:paraId="296A8360"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-1,9%</w:t>
            </w:r>
          </w:p>
        </w:tc>
        <w:tc>
          <w:tcPr>
            <w:tcW w:w="911" w:type="dxa"/>
            <w:tcBorders>
              <w:top w:val="nil"/>
              <w:left w:val="nil"/>
              <w:bottom w:val="single" w:sz="4" w:space="0" w:color="auto"/>
              <w:right w:val="single" w:sz="4" w:space="0" w:color="auto"/>
            </w:tcBorders>
            <w:vAlign w:val="center"/>
            <w:hideMark/>
          </w:tcPr>
          <w:p w14:paraId="763ED2A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-2,2%</w:t>
            </w:r>
          </w:p>
        </w:tc>
        <w:tc>
          <w:tcPr>
            <w:tcW w:w="911" w:type="dxa"/>
            <w:tcBorders>
              <w:top w:val="nil"/>
              <w:left w:val="nil"/>
              <w:bottom w:val="single" w:sz="4" w:space="0" w:color="auto"/>
              <w:right w:val="single" w:sz="4" w:space="0" w:color="auto"/>
            </w:tcBorders>
            <w:vAlign w:val="center"/>
            <w:hideMark/>
          </w:tcPr>
          <w:p w14:paraId="6324A6F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-2,5%</w:t>
            </w:r>
          </w:p>
        </w:tc>
        <w:tc>
          <w:tcPr>
            <w:tcW w:w="911" w:type="dxa"/>
            <w:tcBorders>
              <w:top w:val="nil"/>
              <w:left w:val="nil"/>
              <w:bottom w:val="single" w:sz="4" w:space="0" w:color="auto"/>
              <w:right w:val="single" w:sz="4" w:space="0" w:color="auto"/>
            </w:tcBorders>
            <w:vAlign w:val="center"/>
            <w:hideMark/>
          </w:tcPr>
          <w:p w14:paraId="1026181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-2,7%</w:t>
            </w:r>
          </w:p>
        </w:tc>
      </w:tr>
      <w:tr w:rsidR="00FD7592" w:rsidRPr="001B41AD" w14:paraId="463F43DE"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0E6200F0"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60CAB0BB"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5AEAE2F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0,40%</w:t>
            </w:r>
          </w:p>
        </w:tc>
        <w:tc>
          <w:tcPr>
            <w:tcW w:w="911" w:type="dxa"/>
            <w:tcBorders>
              <w:top w:val="nil"/>
              <w:left w:val="nil"/>
              <w:bottom w:val="single" w:sz="4" w:space="0" w:color="auto"/>
              <w:right w:val="single" w:sz="4" w:space="0" w:color="auto"/>
            </w:tcBorders>
            <w:vAlign w:val="center"/>
            <w:hideMark/>
          </w:tcPr>
          <w:p w14:paraId="00118F80"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-2,1%</w:t>
            </w:r>
          </w:p>
        </w:tc>
        <w:tc>
          <w:tcPr>
            <w:tcW w:w="911" w:type="dxa"/>
            <w:tcBorders>
              <w:top w:val="nil"/>
              <w:left w:val="nil"/>
              <w:bottom w:val="single" w:sz="4" w:space="0" w:color="auto"/>
              <w:right w:val="single" w:sz="4" w:space="0" w:color="auto"/>
            </w:tcBorders>
            <w:vAlign w:val="center"/>
            <w:hideMark/>
          </w:tcPr>
          <w:p w14:paraId="3CBAC158"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-4,6%</w:t>
            </w:r>
          </w:p>
        </w:tc>
        <w:tc>
          <w:tcPr>
            <w:tcW w:w="911" w:type="dxa"/>
            <w:tcBorders>
              <w:top w:val="nil"/>
              <w:left w:val="nil"/>
              <w:bottom w:val="single" w:sz="4" w:space="0" w:color="auto"/>
              <w:right w:val="single" w:sz="4" w:space="0" w:color="auto"/>
            </w:tcBorders>
            <w:vAlign w:val="center"/>
            <w:hideMark/>
          </w:tcPr>
          <w:p w14:paraId="63982E60"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-6,1%</w:t>
            </w:r>
          </w:p>
        </w:tc>
        <w:tc>
          <w:tcPr>
            <w:tcW w:w="911" w:type="dxa"/>
            <w:tcBorders>
              <w:top w:val="nil"/>
              <w:left w:val="nil"/>
              <w:bottom w:val="single" w:sz="4" w:space="0" w:color="auto"/>
              <w:right w:val="single" w:sz="4" w:space="0" w:color="auto"/>
            </w:tcBorders>
            <w:vAlign w:val="center"/>
            <w:hideMark/>
          </w:tcPr>
          <w:p w14:paraId="6038057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-7,2%</w:t>
            </w:r>
          </w:p>
        </w:tc>
        <w:tc>
          <w:tcPr>
            <w:tcW w:w="911" w:type="dxa"/>
            <w:tcBorders>
              <w:top w:val="nil"/>
              <w:left w:val="nil"/>
              <w:bottom w:val="single" w:sz="4" w:space="0" w:color="auto"/>
              <w:right w:val="single" w:sz="4" w:space="0" w:color="auto"/>
            </w:tcBorders>
            <w:vAlign w:val="center"/>
            <w:hideMark/>
          </w:tcPr>
          <w:p w14:paraId="6035C7D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-7,9%</w:t>
            </w:r>
          </w:p>
        </w:tc>
        <w:tc>
          <w:tcPr>
            <w:tcW w:w="911" w:type="dxa"/>
            <w:tcBorders>
              <w:top w:val="nil"/>
              <w:left w:val="nil"/>
              <w:bottom w:val="single" w:sz="4" w:space="0" w:color="auto"/>
              <w:right w:val="single" w:sz="4" w:space="0" w:color="auto"/>
            </w:tcBorders>
            <w:vAlign w:val="center"/>
            <w:hideMark/>
          </w:tcPr>
          <w:p w14:paraId="0A3FA23A"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-8,6%</w:t>
            </w:r>
          </w:p>
        </w:tc>
      </w:tr>
      <w:tr w:rsidR="00FD7592" w:rsidRPr="001B41AD" w14:paraId="553DAD44" w14:textId="77777777" w:rsidTr="007545C1">
        <w:trPr>
          <w:trHeight w:val="20"/>
        </w:trPr>
        <w:tc>
          <w:tcPr>
            <w:tcW w:w="837" w:type="dxa"/>
            <w:tcBorders>
              <w:top w:val="nil"/>
              <w:left w:val="single" w:sz="4" w:space="0" w:color="auto"/>
              <w:bottom w:val="single" w:sz="4" w:space="0" w:color="auto"/>
              <w:right w:val="single" w:sz="4" w:space="0" w:color="auto"/>
            </w:tcBorders>
            <w:shd w:val="clear" w:color="000000" w:fill="DEEAF6"/>
            <w:textDirection w:val="btLr"/>
            <w:vAlign w:val="center"/>
            <w:hideMark/>
          </w:tcPr>
          <w:p w14:paraId="041B695A" w14:textId="77777777" w:rsidR="00FD7592" w:rsidRPr="001B41AD" w:rsidRDefault="00FD7592" w:rsidP="00405489">
            <w:pPr>
              <w:spacing w:after="0" w:line="240" w:lineRule="auto"/>
              <w:jc w:val="left"/>
              <w:rPr>
                <w:rFonts w:ascii="Calibri" w:eastAsia="Times New Roman" w:hAnsi="Calibri" w:cs="Calibri"/>
                <w:szCs w:val="20"/>
                <w:lang w:val="sr-Cyrl-CS"/>
              </w:rPr>
            </w:pPr>
            <w:r w:rsidRPr="001B41AD">
              <w:rPr>
                <w:rFonts w:ascii="Calibri" w:eastAsia="Times New Roman" w:hAnsi="Calibri" w:cs="Calibri"/>
                <w:szCs w:val="20"/>
                <w:lang w:val="sr-Cyrl-CS"/>
              </w:rPr>
              <w:t> </w:t>
            </w:r>
          </w:p>
        </w:tc>
        <w:tc>
          <w:tcPr>
            <w:tcW w:w="1515" w:type="dxa"/>
            <w:tcBorders>
              <w:top w:val="nil"/>
              <w:left w:val="nil"/>
              <w:bottom w:val="single" w:sz="4" w:space="0" w:color="auto"/>
              <w:right w:val="single" w:sz="4" w:space="0" w:color="auto"/>
            </w:tcBorders>
            <w:shd w:val="clear" w:color="000000" w:fill="DEEAF6"/>
            <w:textDirection w:val="btLr"/>
            <w:vAlign w:val="center"/>
            <w:hideMark/>
          </w:tcPr>
          <w:p w14:paraId="2AA56309" w14:textId="77777777" w:rsidR="00FD7592" w:rsidRPr="001B41AD" w:rsidRDefault="00FD7592" w:rsidP="00405489">
            <w:pPr>
              <w:spacing w:after="0" w:line="240" w:lineRule="auto"/>
              <w:jc w:val="left"/>
              <w:rPr>
                <w:rFonts w:ascii="Calibri" w:eastAsia="Times New Roman" w:hAnsi="Calibri" w:cs="Calibri"/>
                <w:sz w:val="24"/>
                <w:szCs w:val="24"/>
                <w:lang w:val="sr-Cyrl-CS"/>
              </w:rPr>
            </w:pPr>
            <w:r w:rsidRPr="001B41AD">
              <w:rPr>
                <w:rFonts w:ascii="Calibri" w:eastAsia="Times New Roman" w:hAnsi="Calibri" w:cs="Calibri"/>
                <w:sz w:val="24"/>
                <w:szCs w:val="24"/>
                <w:lang w:val="sr-Cyrl-CS"/>
              </w:rPr>
              <w:t> </w:t>
            </w:r>
          </w:p>
        </w:tc>
        <w:tc>
          <w:tcPr>
            <w:tcW w:w="1439" w:type="dxa"/>
            <w:tcBorders>
              <w:top w:val="nil"/>
              <w:left w:val="nil"/>
              <w:bottom w:val="single" w:sz="4" w:space="0" w:color="auto"/>
              <w:right w:val="single" w:sz="4" w:space="0" w:color="auto"/>
            </w:tcBorders>
            <w:shd w:val="clear" w:color="000000" w:fill="DEEAF6"/>
            <w:textDirection w:val="btLr"/>
            <w:vAlign w:val="center"/>
            <w:hideMark/>
          </w:tcPr>
          <w:p w14:paraId="25D512BC" w14:textId="77777777" w:rsidR="00FD7592" w:rsidRPr="001B41AD" w:rsidRDefault="00FD7592" w:rsidP="00405489">
            <w:pPr>
              <w:spacing w:after="0" w:line="240" w:lineRule="auto"/>
              <w:jc w:val="left"/>
              <w:rPr>
                <w:rFonts w:ascii="Calibri" w:eastAsia="Times New Roman" w:hAnsi="Calibri" w:cs="Calibri"/>
                <w:sz w:val="18"/>
                <w:szCs w:val="18"/>
                <w:lang w:val="sr-Cyrl-CS"/>
              </w:rPr>
            </w:pPr>
            <w:r w:rsidRPr="001B41AD">
              <w:rPr>
                <w:rFonts w:ascii="Calibri" w:eastAsia="Times New Roman" w:hAnsi="Calibri" w:cs="Calibri"/>
                <w:sz w:val="18"/>
                <w:szCs w:val="18"/>
                <w:lang w:val="sr-Cyrl-CS"/>
              </w:rPr>
              <w:t> </w:t>
            </w:r>
          </w:p>
        </w:tc>
        <w:tc>
          <w:tcPr>
            <w:tcW w:w="911" w:type="dxa"/>
            <w:tcBorders>
              <w:top w:val="nil"/>
              <w:left w:val="nil"/>
              <w:bottom w:val="single" w:sz="4" w:space="0" w:color="auto"/>
              <w:right w:val="single" w:sz="4" w:space="0" w:color="auto"/>
            </w:tcBorders>
            <w:shd w:val="clear" w:color="000000" w:fill="DEEAF6"/>
            <w:textDirection w:val="btLr"/>
            <w:vAlign w:val="center"/>
            <w:hideMark/>
          </w:tcPr>
          <w:p w14:paraId="7A3C6E31" w14:textId="77777777" w:rsidR="00FD7592" w:rsidRPr="001B41AD" w:rsidRDefault="00FD7592" w:rsidP="00405489">
            <w:pPr>
              <w:spacing w:after="0" w:line="240" w:lineRule="auto"/>
              <w:jc w:val="left"/>
              <w:rPr>
                <w:rFonts w:ascii="Calibri" w:eastAsia="Times New Roman" w:hAnsi="Calibri" w:cs="Calibri"/>
                <w:sz w:val="18"/>
                <w:szCs w:val="18"/>
                <w:lang w:val="sr-Cyrl-CS"/>
              </w:rPr>
            </w:pPr>
            <w:r w:rsidRPr="001B41AD">
              <w:rPr>
                <w:rFonts w:ascii="Calibri" w:eastAsia="Times New Roman" w:hAnsi="Calibri" w:cs="Calibri"/>
                <w:sz w:val="18"/>
                <w:szCs w:val="18"/>
                <w:lang w:val="sr-Cyrl-CS"/>
              </w:rPr>
              <w:t> </w:t>
            </w:r>
          </w:p>
        </w:tc>
        <w:tc>
          <w:tcPr>
            <w:tcW w:w="911" w:type="dxa"/>
            <w:tcBorders>
              <w:top w:val="nil"/>
              <w:left w:val="nil"/>
              <w:bottom w:val="single" w:sz="4" w:space="0" w:color="auto"/>
              <w:right w:val="single" w:sz="4" w:space="0" w:color="auto"/>
            </w:tcBorders>
            <w:shd w:val="clear" w:color="000000" w:fill="DEEAF6"/>
            <w:textDirection w:val="btLr"/>
            <w:vAlign w:val="center"/>
            <w:hideMark/>
          </w:tcPr>
          <w:p w14:paraId="7B5C3AF8" w14:textId="77777777" w:rsidR="00FD7592" w:rsidRPr="001B41AD" w:rsidRDefault="00FD7592" w:rsidP="00405489">
            <w:pPr>
              <w:spacing w:after="0" w:line="240" w:lineRule="auto"/>
              <w:jc w:val="left"/>
              <w:rPr>
                <w:rFonts w:ascii="Calibri" w:eastAsia="Times New Roman" w:hAnsi="Calibri" w:cs="Calibri"/>
                <w:sz w:val="18"/>
                <w:szCs w:val="18"/>
                <w:lang w:val="sr-Cyrl-CS"/>
              </w:rPr>
            </w:pPr>
            <w:r w:rsidRPr="001B41AD">
              <w:rPr>
                <w:rFonts w:ascii="Calibri" w:eastAsia="Times New Roman" w:hAnsi="Calibri" w:cs="Calibri"/>
                <w:sz w:val="18"/>
                <w:szCs w:val="18"/>
                <w:lang w:val="sr-Cyrl-CS"/>
              </w:rPr>
              <w:t> </w:t>
            </w:r>
          </w:p>
        </w:tc>
        <w:tc>
          <w:tcPr>
            <w:tcW w:w="911" w:type="dxa"/>
            <w:tcBorders>
              <w:top w:val="nil"/>
              <w:left w:val="nil"/>
              <w:bottom w:val="single" w:sz="4" w:space="0" w:color="auto"/>
              <w:right w:val="single" w:sz="4" w:space="0" w:color="auto"/>
            </w:tcBorders>
            <w:shd w:val="clear" w:color="000000" w:fill="DEEAF6"/>
            <w:textDirection w:val="btLr"/>
            <w:vAlign w:val="center"/>
            <w:hideMark/>
          </w:tcPr>
          <w:p w14:paraId="1C4F2EF6" w14:textId="77777777" w:rsidR="00FD7592" w:rsidRPr="001B41AD" w:rsidRDefault="00FD7592" w:rsidP="00405489">
            <w:pPr>
              <w:spacing w:after="0" w:line="240" w:lineRule="auto"/>
              <w:jc w:val="left"/>
              <w:rPr>
                <w:rFonts w:ascii="Calibri" w:eastAsia="Times New Roman" w:hAnsi="Calibri" w:cs="Calibri"/>
                <w:sz w:val="18"/>
                <w:szCs w:val="18"/>
                <w:lang w:val="sr-Cyrl-CS"/>
              </w:rPr>
            </w:pPr>
            <w:r w:rsidRPr="001B41AD">
              <w:rPr>
                <w:rFonts w:ascii="Calibri" w:eastAsia="Times New Roman" w:hAnsi="Calibri" w:cs="Calibri"/>
                <w:sz w:val="18"/>
                <w:szCs w:val="18"/>
                <w:lang w:val="sr-Cyrl-CS"/>
              </w:rPr>
              <w:t> </w:t>
            </w:r>
          </w:p>
        </w:tc>
        <w:tc>
          <w:tcPr>
            <w:tcW w:w="911" w:type="dxa"/>
            <w:tcBorders>
              <w:top w:val="nil"/>
              <w:left w:val="nil"/>
              <w:bottom w:val="single" w:sz="4" w:space="0" w:color="auto"/>
              <w:right w:val="single" w:sz="4" w:space="0" w:color="auto"/>
            </w:tcBorders>
            <w:shd w:val="clear" w:color="000000" w:fill="DEEAF6"/>
            <w:textDirection w:val="btLr"/>
            <w:vAlign w:val="center"/>
            <w:hideMark/>
          </w:tcPr>
          <w:p w14:paraId="24C95861" w14:textId="77777777" w:rsidR="00FD7592" w:rsidRPr="001B41AD" w:rsidRDefault="00FD7592" w:rsidP="00405489">
            <w:pPr>
              <w:spacing w:after="0" w:line="240" w:lineRule="auto"/>
              <w:jc w:val="left"/>
              <w:rPr>
                <w:rFonts w:ascii="Calibri" w:eastAsia="Times New Roman" w:hAnsi="Calibri" w:cs="Calibri"/>
                <w:sz w:val="18"/>
                <w:szCs w:val="18"/>
                <w:lang w:val="sr-Cyrl-CS"/>
              </w:rPr>
            </w:pPr>
            <w:r w:rsidRPr="001B41AD">
              <w:rPr>
                <w:rFonts w:ascii="Calibri" w:eastAsia="Times New Roman" w:hAnsi="Calibri" w:cs="Calibri"/>
                <w:sz w:val="18"/>
                <w:szCs w:val="18"/>
                <w:lang w:val="sr-Cyrl-CS"/>
              </w:rPr>
              <w:t> </w:t>
            </w:r>
          </w:p>
        </w:tc>
        <w:tc>
          <w:tcPr>
            <w:tcW w:w="911" w:type="dxa"/>
            <w:tcBorders>
              <w:top w:val="nil"/>
              <w:left w:val="nil"/>
              <w:bottom w:val="single" w:sz="4" w:space="0" w:color="auto"/>
              <w:right w:val="single" w:sz="4" w:space="0" w:color="auto"/>
            </w:tcBorders>
            <w:shd w:val="clear" w:color="000000" w:fill="DEEAF6"/>
            <w:textDirection w:val="btLr"/>
            <w:vAlign w:val="center"/>
            <w:hideMark/>
          </w:tcPr>
          <w:p w14:paraId="5B503FE1" w14:textId="77777777" w:rsidR="00FD7592" w:rsidRPr="001B41AD" w:rsidRDefault="00FD7592" w:rsidP="00405489">
            <w:pPr>
              <w:spacing w:after="0" w:line="240" w:lineRule="auto"/>
              <w:jc w:val="left"/>
              <w:rPr>
                <w:rFonts w:ascii="Calibri" w:eastAsia="Times New Roman" w:hAnsi="Calibri" w:cs="Calibri"/>
                <w:sz w:val="18"/>
                <w:szCs w:val="18"/>
                <w:lang w:val="sr-Cyrl-CS"/>
              </w:rPr>
            </w:pPr>
            <w:r w:rsidRPr="001B41AD">
              <w:rPr>
                <w:rFonts w:ascii="Calibri" w:eastAsia="Times New Roman" w:hAnsi="Calibri" w:cs="Calibri"/>
                <w:sz w:val="18"/>
                <w:szCs w:val="18"/>
                <w:lang w:val="sr-Cyrl-CS"/>
              </w:rPr>
              <w:t> </w:t>
            </w:r>
          </w:p>
        </w:tc>
        <w:tc>
          <w:tcPr>
            <w:tcW w:w="911" w:type="dxa"/>
            <w:tcBorders>
              <w:top w:val="nil"/>
              <w:left w:val="nil"/>
              <w:bottom w:val="single" w:sz="4" w:space="0" w:color="auto"/>
              <w:right w:val="single" w:sz="4" w:space="0" w:color="auto"/>
            </w:tcBorders>
            <w:shd w:val="clear" w:color="000000" w:fill="DEEAF6"/>
            <w:textDirection w:val="btLr"/>
            <w:vAlign w:val="center"/>
            <w:hideMark/>
          </w:tcPr>
          <w:p w14:paraId="30AF6EE2" w14:textId="77777777" w:rsidR="00FD7592" w:rsidRPr="001B41AD" w:rsidRDefault="00FD7592" w:rsidP="00405489">
            <w:pPr>
              <w:spacing w:after="0" w:line="240" w:lineRule="auto"/>
              <w:jc w:val="left"/>
              <w:rPr>
                <w:rFonts w:ascii="Calibri" w:eastAsia="Times New Roman" w:hAnsi="Calibri" w:cs="Calibri"/>
                <w:sz w:val="18"/>
                <w:szCs w:val="18"/>
                <w:lang w:val="sr-Cyrl-CS"/>
              </w:rPr>
            </w:pPr>
            <w:r w:rsidRPr="001B41AD">
              <w:rPr>
                <w:rFonts w:ascii="Calibri" w:eastAsia="Times New Roman" w:hAnsi="Calibri" w:cs="Calibri"/>
                <w:sz w:val="18"/>
                <w:szCs w:val="18"/>
                <w:lang w:val="sr-Cyrl-CS"/>
              </w:rPr>
              <w:t> </w:t>
            </w:r>
          </w:p>
        </w:tc>
      </w:tr>
      <w:tr w:rsidR="00FD7592" w:rsidRPr="001B41AD" w14:paraId="0C5544A2" w14:textId="77777777" w:rsidTr="007545C1">
        <w:trPr>
          <w:trHeight w:val="20"/>
        </w:trPr>
        <w:tc>
          <w:tcPr>
            <w:tcW w:w="837" w:type="dxa"/>
            <w:vMerge w:val="restart"/>
            <w:tcBorders>
              <w:top w:val="nil"/>
              <w:left w:val="single" w:sz="4" w:space="0" w:color="auto"/>
              <w:bottom w:val="single" w:sz="4" w:space="0" w:color="auto"/>
              <w:right w:val="single" w:sz="4" w:space="0" w:color="auto"/>
            </w:tcBorders>
            <w:shd w:val="clear" w:color="000000" w:fill="DEEAF6"/>
            <w:textDirection w:val="btLr"/>
            <w:vAlign w:val="center"/>
            <w:hideMark/>
          </w:tcPr>
          <w:p w14:paraId="3A2CE963" w14:textId="77777777" w:rsidR="00FD7592" w:rsidRPr="001B41AD" w:rsidRDefault="00FD7592" w:rsidP="00405489">
            <w:pPr>
              <w:spacing w:after="0" w:line="240" w:lineRule="auto"/>
              <w:jc w:val="center"/>
              <w:rPr>
                <w:rFonts w:ascii="Calibri" w:eastAsia="Times New Roman" w:hAnsi="Calibri" w:cs="Calibri"/>
                <w:sz w:val="32"/>
                <w:szCs w:val="32"/>
                <w:lang w:val="sr-Cyrl-CS"/>
              </w:rPr>
            </w:pPr>
            <w:r w:rsidRPr="001B41AD">
              <w:rPr>
                <w:rFonts w:ascii="Calibri" w:eastAsia="Times New Roman" w:hAnsi="Calibri" w:cs="Calibri"/>
                <w:sz w:val="32"/>
                <w:szCs w:val="32"/>
                <w:lang w:val="sr-Cyrl-CS"/>
              </w:rPr>
              <w:t>ПОПЛАВЕ</w:t>
            </w:r>
          </w:p>
        </w:tc>
        <w:tc>
          <w:tcPr>
            <w:tcW w:w="1515" w:type="dxa"/>
            <w:vMerge w:val="restart"/>
            <w:tcBorders>
              <w:top w:val="nil"/>
              <w:left w:val="single" w:sz="4" w:space="0" w:color="auto"/>
              <w:bottom w:val="single" w:sz="4" w:space="0" w:color="auto"/>
              <w:right w:val="single" w:sz="4" w:space="0" w:color="auto"/>
            </w:tcBorders>
            <w:shd w:val="clear" w:color="000000" w:fill="DEEAF6"/>
            <w:vAlign w:val="center"/>
            <w:hideMark/>
          </w:tcPr>
          <w:p w14:paraId="68025314" w14:textId="77777777" w:rsidR="00FD7592" w:rsidRPr="001B41AD" w:rsidRDefault="00FD7592" w:rsidP="00405489">
            <w:pPr>
              <w:spacing w:after="0" w:line="240" w:lineRule="auto"/>
              <w:jc w:val="center"/>
              <w:rPr>
                <w:rFonts w:ascii="Calibri" w:eastAsia="Times New Roman" w:hAnsi="Calibri" w:cs="Calibri"/>
                <w:sz w:val="24"/>
                <w:szCs w:val="24"/>
                <w:lang w:val="sr-Cyrl-CS"/>
              </w:rPr>
            </w:pPr>
            <w:r w:rsidRPr="001B41AD">
              <w:rPr>
                <w:rFonts w:ascii="Calibri" w:eastAsia="Times New Roman" w:hAnsi="Calibri" w:cs="Calibri"/>
                <w:sz w:val="24"/>
                <w:szCs w:val="24"/>
                <w:lang w:val="sr-Cyrl-CS"/>
              </w:rPr>
              <w:t>Фискални биланс</w:t>
            </w:r>
          </w:p>
        </w:tc>
        <w:tc>
          <w:tcPr>
            <w:tcW w:w="1439" w:type="dxa"/>
            <w:tcBorders>
              <w:top w:val="nil"/>
              <w:left w:val="nil"/>
              <w:bottom w:val="single" w:sz="4" w:space="0" w:color="auto"/>
              <w:right w:val="single" w:sz="4" w:space="0" w:color="auto"/>
            </w:tcBorders>
            <w:shd w:val="clear" w:color="000000" w:fill="E5ECF7"/>
            <w:vAlign w:val="center"/>
            <w:hideMark/>
          </w:tcPr>
          <w:p w14:paraId="3C3A177C"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годишње</w:t>
            </w:r>
          </w:p>
        </w:tc>
        <w:tc>
          <w:tcPr>
            <w:tcW w:w="911" w:type="dxa"/>
            <w:tcBorders>
              <w:top w:val="nil"/>
              <w:left w:val="nil"/>
              <w:bottom w:val="single" w:sz="4" w:space="0" w:color="auto"/>
              <w:right w:val="single" w:sz="4" w:space="0" w:color="auto"/>
            </w:tcBorders>
            <w:vAlign w:val="center"/>
            <w:hideMark/>
          </w:tcPr>
          <w:p w14:paraId="1BA3B52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72689EF5"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32A7136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4E9FBCD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611D6CC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40E42B13"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r>
      <w:tr w:rsidR="00FD7592" w:rsidRPr="001B41AD" w14:paraId="6535BD95"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3E36AE54"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52CA9E30"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422370D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50%</w:t>
            </w:r>
          </w:p>
        </w:tc>
        <w:tc>
          <w:tcPr>
            <w:tcW w:w="911" w:type="dxa"/>
            <w:tcBorders>
              <w:top w:val="nil"/>
              <w:left w:val="nil"/>
              <w:bottom w:val="single" w:sz="4" w:space="0" w:color="auto"/>
              <w:right w:val="single" w:sz="4" w:space="0" w:color="auto"/>
            </w:tcBorders>
            <w:vAlign w:val="center"/>
            <w:hideMark/>
          </w:tcPr>
          <w:p w14:paraId="64AC433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3F9C6D4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6F1908C5"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2E724E73"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7238665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78BC271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r>
      <w:tr w:rsidR="00FD7592" w:rsidRPr="001B41AD" w14:paraId="598EEF92"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59B6D791"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5678B8BB"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7053BCB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w:t>
            </w:r>
          </w:p>
        </w:tc>
        <w:tc>
          <w:tcPr>
            <w:tcW w:w="911" w:type="dxa"/>
            <w:tcBorders>
              <w:top w:val="nil"/>
              <w:left w:val="nil"/>
              <w:bottom w:val="single" w:sz="4" w:space="0" w:color="auto"/>
              <w:right w:val="single" w:sz="4" w:space="0" w:color="auto"/>
            </w:tcBorders>
            <w:vAlign w:val="center"/>
            <w:hideMark/>
          </w:tcPr>
          <w:p w14:paraId="577BB011"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3F1E521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09412FD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24D587B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2EC3BF23"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268864C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r>
      <w:tr w:rsidR="00FD7592" w:rsidRPr="001B41AD" w14:paraId="6046C86C"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5B89A69A"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4AC957BB"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29378F7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2,00%</w:t>
            </w:r>
          </w:p>
        </w:tc>
        <w:tc>
          <w:tcPr>
            <w:tcW w:w="911" w:type="dxa"/>
            <w:tcBorders>
              <w:top w:val="nil"/>
              <w:left w:val="nil"/>
              <w:bottom w:val="single" w:sz="4" w:space="0" w:color="auto"/>
              <w:right w:val="single" w:sz="4" w:space="0" w:color="auto"/>
            </w:tcBorders>
            <w:vAlign w:val="center"/>
            <w:hideMark/>
          </w:tcPr>
          <w:p w14:paraId="53872BE8"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-0,6%</w:t>
            </w:r>
          </w:p>
        </w:tc>
        <w:tc>
          <w:tcPr>
            <w:tcW w:w="911" w:type="dxa"/>
            <w:tcBorders>
              <w:top w:val="nil"/>
              <w:left w:val="nil"/>
              <w:bottom w:val="single" w:sz="4" w:space="0" w:color="auto"/>
              <w:right w:val="single" w:sz="4" w:space="0" w:color="auto"/>
            </w:tcBorders>
            <w:vAlign w:val="center"/>
            <w:hideMark/>
          </w:tcPr>
          <w:p w14:paraId="03AC4A2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c>
          <w:tcPr>
            <w:tcW w:w="911" w:type="dxa"/>
            <w:tcBorders>
              <w:top w:val="nil"/>
              <w:left w:val="nil"/>
              <w:bottom w:val="single" w:sz="4" w:space="0" w:color="auto"/>
              <w:right w:val="single" w:sz="4" w:space="0" w:color="auto"/>
            </w:tcBorders>
            <w:vAlign w:val="center"/>
            <w:hideMark/>
          </w:tcPr>
          <w:p w14:paraId="03A5C96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-0,4%</w:t>
            </w:r>
          </w:p>
        </w:tc>
        <w:tc>
          <w:tcPr>
            <w:tcW w:w="911" w:type="dxa"/>
            <w:tcBorders>
              <w:top w:val="nil"/>
              <w:left w:val="nil"/>
              <w:bottom w:val="single" w:sz="4" w:space="0" w:color="auto"/>
              <w:right w:val="single" w:sz="4" w:space="0" w:color="auto"/>
            </w:tcBorders>
            <w:vAlign w:val="center"/>
            <w:hideMark/>
          </w:tcPr>
          <w:p w14:paraId="0A2D6631"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-0,3%</w:t>
            </w:r>
          </w:p>
        </w:tc>
        <w:tc>
          <w:tcPr>
            <w:tcW w:w="911" w:type="dxa"/>
            <w:tcBorders>
              <w:top w:val="nil"/>
              <w:left w:val="nil"/>
              <w:bottom w:val="single" w:sz="4" w:space="0" w:color="auto"/>
              <w:right w:val="single" w:sz="4" w:space="0" w:color="auto"/>
            </w:tcBorders>
            <w:vAlign w:val="center"/>
            <w:hideMark/>
          </w:tcPr>
          <w:p w14:paraId="0AB6287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093C103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r>
      <w:tr w:rsidR="00FD7592" w:rsidRPr="001B41AD" w14:paraId="4B572FF8"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1683CB27"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59154A91"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20DA8DB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1,00%</w:t>
            </w:r>
          </w:p>
        </w:tc>
        <w:tc>
          <w:tcPr>
            <w:tcW w:w="911" w:type="dxa"/>
            <w:tcBorders>
              <w:top w:val="nil"/>
              <w:left w:val="nil"/>
              <w:bottom w:val="single" w:sz="4" w:space="0" w:color="auto"/>
              <w:right w:val="single" w:sz="4" w:space="0" w:color="auto"/>
            </w:tcBorders>
            <w:vAlign w:val="center"/>
            <w:hideMark/>
          </w:tcPr>
          <w:p w14:paraId="7B7C8F88"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w:t>
            </w:r>
          </w:p>
        </w:tc>
        <w:tc>
          <w:tcPr>
            <w:tcW w:w="911" w:type="dxa"/>
            <w:tcBorders>
              <w:top w:val="nil"/>
              <w:left w:val="nil"/>
              <w:bottom w:val="single" w:sz="4" w:space="0" w:color="auto"/>
              <w:right w:val="single" w:sz="4" w:space="0" w:color="auto"/>
            </w:tcBorders>
            <w:vAlign w:val="center"/>
            <w:hideMark/>
          </w:tcPr>
          <w:p w14:paraId="749B489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-1,1%</w:t>
            </w:r>
          </w:p>
        </w:tc>
        <w:tc>
          <w:tcPr>
            <w:tcW w:w="911" w:type="dxa"/>
            <w:tcBorders>
              <w:top w:val="nil"/>
              <w:left w:val="nil"/>
              <w:bottom w:val="single" w:sz="4" w:space="0" w:color="auto"/>
              <w:right w:val="single" w:sz="4" w:space="0" w:color="auto"/>
            </w:tcBorders>
            <w:vAlign w:val="center"/>
            <w:hideMark/>
          </w:tcPr>
          <w:p w14:paraId="043DCB1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c>
          <w:tcPr>
            <w:tcW w:w="911" w:type="dxa"/>
            <w:tcBorders>
              <w:top w:val="nil"/>
              <w:left w:val="nil"/>
              <w:bottom w:val="single" w:sz="4" w:space="0" w:color="auto"/>
              <w:right w:val="single" w:sz="4" w:space="0" w:color="auto"/>
            </w:tcBorders>
            <w:vAlign w:val="center"/>
            <w:hideMark/>
          </w:tcPr>
          <w:p w14:paraId="51A5D8CC"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-0,5%</w:t>
            </w:r>
          </w:p>
        </w:tc>
        <w:tc>
          <w:tcPr>
            <w:tcW w:w="911" w:type="dxa"/>
            <w:tcBorders>
              <w:top w:val="nil"/>
              <w:left w:val="nil"/>
              <w:bottom w:val="single" w:sz="4" w:space="0" w:color="auto"/>
              <w:right w:val="single" w:sz="4" w:space="0" w:color="auto"/>
            </w:tcBorders>
            <w:vAlign w:val="center"/>
            <w:hideMark/>
          </w:tcPr>
          <w:p w14:paraId="627AEBF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-0,3%</w:t>
            </w:r>
          </w:p>
        </w:tc>
        <w:tc>
          <w:tcPr>
            <w:tcW w:w="911" w:type="dxa"/>
            <w:tcBorders>
              <w:top w:val="nil"/>
              <w:left w:val="nil"/>
              <w:bottom w:val="single" w:sz="4" w:space="0" w:color="auto"/>
              <w:right w:val="single" w:sz="4" w:space="0" w:color="auto"/>
            </w:tcBorders>
            <w:vAlign w:val="center"/>
            <w:hideMark/>
          </w:tcPr>
          <w:p w14:paraId="20BB451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-0,3%</w:t>
            </w:r>
          </w:p>
        </w:tc>
      </w:tr>
      <w:tr w:rsidR="00FD7592" w:rsidRPr="001B41AD" w14:paraId="24EF6AE7"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6AD80D0A"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7D793190"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2D6F681C"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0,40%</w:t>
            </w:r>
          </w:p>
        </w:tc>
        <w:tc>
          <w:tcPr>
            <w:tcW w:w="911" w:type="dxa"/>
            <w:tcBorders>
              <w:top w:val="nil"/>
              <w:left w:val="nil"/>
              <w:bottom w:val="single" w:sz="4" w:space="0" w:color="auto"/>
              <w:right w:val="single" w:sz="4" w:space="0" w:color="auto"/>
            </w:tcBorders>
            <w:vAlign w:val="center"/>
            <w:hideMark/>
          </w:tcPr>
          <w:p w14:paraId="25F9CB5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-1,6%</w:t>
            </w:r>
          </w:p>
        </w:tc>
        <w:tc>
          <w:tcPr>
            <w:tcW w:w="911" w:type="dxa"/>
            <w:tcBorders>
              <w:top w:val="nil"/>
              <w:left w:val="nil"/>
              <w:bottom w:val="single" w:sz="4" w:space="0" w:color="auto"/>
              <w:right w:val="single" w:sz="4" w:space="0" w:color="auto"/>
            </w:tcBorders>
            <w:vAlign w:val="center"/>
            <w:hideMark/>
          </w:tcPr>
          <w:p w14:paraId="7AF9D7C3"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-1,8%</w:t>
            </w:r>
          </w:p>
        </w:tc>
        <w:tc>
          <w:tcPr>
            <w:tcW w:w="911" w:type="dxa"/>
            <w:tcBorders>
              <w:top w:val="nil"/>
              <w:left w:val="nil"/>
              <w:bottom w:val="single" w:sz="4" w:space="0" w:color="auto"/>
              <w:right w:val="single" w:sz="4" w:space="0" w:color="auto"/>
            </w:tcBorders>
            <w:vAlign w:val="center"/>
            <w:hideMark/>
          </w:tcPr>
          <w:p w14:paraId="5DD73EE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-1,2%</w:t>
            </w:r>
          </w:p>
        </w:tc>
        <w:tc>
          <w:tcPr>
            <w:tcW w:w="911" w:type="dxa"/>
            <w:tcBorders>
              <w:top w:val="nil"/>
              <w:left w:val="nil"/>
              <w:bottom w:val="single" w:sz="4" w:space="0" w:color="auto"/>
              <w:right w:val="single" w:sz="4" w:space="0" w:color="auto"/>
            </w:tcBorders>
            <w:vAlign w:val="center"/>
            <w:hideMark/>
          </w:tcPr>
          <w:p w14:paraId="2595603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-0,8%</w:t>
            </w:r>
          </w:p>
        </w:tc>
        <w:tc>
          <w:tcPr>
            <w:tcW w:w="911" w:type="dxa"/>
            <w:tcBorders>
              <w:top w:val="nil"/>
              <w:left w:val="nil"/>
              <w:bottom w:val="single" w:sz="4" w:space="0" w:color="auto"/>
              <w:right w:val="single" w:sz="4" w:space="0" w:color="auto"/>
            </w:tcBorders>
            <w:vAlign w:val="center"/>
            <w:hideMark/>
          </w:tcPr>
          <w:p w14:paraId="6E98E33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-0,5%</w:t>
            </w:r>
          </w:p>
        </w:tc>
        <w:tc>
          <w:tcPr>
            <w:tcW w:w="911" w:type="dxa"/>
            <w:tcBorders>
              <w:top w:val="nil"/>
              <w:left w:val="nil"/>
              <w:bottom w:val="single" w:sz="4" w:space="0" w:color="auto"/>
              <w:right w:val="single" w:sz="4" w:space="0" w:color="auto"/>
            </w:tcBorders>
            <w:vAlign w:val="center"/>
            <w:hideMark/>
          </w:tcPr>
          <w:p w14:paraId="7A51888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-0,5%</w:t>
            </w:r>
          </w:p>
        </w:tc>
      </w:tr>
      <w:tr w:rsidR="00FD7592" w:rsidRPr="001B41AD" w14:paraId="6E50649B"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0FE4DAE4"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val="restart"/>
            <w:tcBorders>
              <w:top w:val="nil"/>
              <w:left w:val="single" w:sz="4" w:space="0" w:color="auto"/>
              <w:bottom w:val="single" w:sz="4" w:space="0" w:color="auto"/>
              <w:right w:val="single" w:sz="4" w:space="0" w:color="auto"/>
            </w:tcBorders>
            <w:shd w:val="clear" w:color="000000" w:fill="DEEAF6"/>
            <w:vAlign w:val="center"/>
            <w:hideMark/>
          </w:tcPr>
          <w:p w14:paraId="59AE0E6E" w14:textId="77777777" w:rsidR="00FD7592" w:rsidRPr="001B41AD" w:rsidRDefault="00FD7592" w:rsidP="00405489">
            <w:pPr>
              <w:spacing w:after="0" w:line="240" w:lineRule="auto"/>
              <w:jc w:val="center"/>
              <w:rPr>
                <w:rFonts w:ascii="Calibri" w:eastAsia="Times New Roman" w:hAnsi="Calibri" w:cs="Calibri"/>
                <w:sz w:val="24"/>
                <w:szCs w:val="24"/>
                <w:lang w:val="sr-Cyrl-CS"/>
              </w:rPr>
            </w:pPr>
            <w:r w:rsidRPr="001B41AD">
              <w:rPr>
                <w:rFonts w:ascii="Calibri" w:eastAsia="Times New Roman" w:hAnsi="Calibri" w:cs="Calibri"/>
                <w:sz w:val="24"/>
                <w:szCs w:val="24"/>
                <w:lang w:val="sr-Cyrl-CS"/>
              </w:rPr>
              <w:t>Јавни дуг</w:t>
            </w:r>
          </w:p>
        </w:tc>
        <w:tc>
          <w:tcPr>
            <w:tcW w:w="1439" w:type="dxa"/>
            <w:tcBorders>
              <w:top w:val="nil"/>
              <w:left w:val="nil"/>
              <w:bottom w:val="single" w:sz="4" w:space="0" w:color="auto"/>
              <w:right w:val="single" w:sz="4" w:space="0" w:color="auto"/>
            </w:tcBorders>
            <w:shd w:val="clear" w:color="000000" w:fill="E5ECF7"/>
            <w:vAlign w:val="center"/>
            <w:hideMark/>
          </w:tcPr>
          <w:p w14:paraId="056C753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годишње</w:t>
            </w:r>
          </w:p>
        </w:tc>
        <w:tc>
          <w:tcPr>
            <w:tcW w:w="911" w:type="dxa"/>
            <w:tcBorders>
              <w:top w:val="nil"/>
              <w:left w:val="nil"/>
              <w:bottom w:val="single" w:sz="4" w:space="0" w:color="auto"/>
              <w:right w:val="single" w:sz="4" w:space="0" w:color="auto"/>
            </w:tcBorders>
            <w:vAlign w:val="center"/>
            <w:hideMark/>
          </w:tcPr>
          <w:p w14:paraId="2CDA98DA"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5926A80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-0,3%</w:t>
            </w:r>
          </w:p>
        </w:tc>
        <w:tc>
          <w:tcPr>
            <w:tcW w:w="911" w:type="dxa"/>
            <w:tcBorders>
              <w:top w:val="nil"/>
              <w:left w:val="nil"/>
              <w:bottom w:val="single" w:sz="4" w:space="0" w:color="auto"/>
              <w:right w:val="single" w:sz="4" w:space="0" w:color="auto"/>
            </w:tcBorders>
            <w:vAlign w:val="center"/>
            <w:hideMark/>
          </w:tcPr>
          <w:p w14:paraId="3B09F82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-0,5%</w:t>
            </w:r>
          </w:p>
        </w:tc>
        <w:tc>
          <w:tcPr>
            <w:tcW w:w="911" w:type="dxa"/>
            <w:tcBorders>
              <w:top w:val="nil"/>
              <w:left w:val="nil"/>
              <w:bottom w:val="single" w:sz="4" w:space="0" w:color="auto"/>
              <w:right w:val="single" w:sz="4" w:space="0" w:color="auto"/>
            </w:tcBorders>
            <w:vAlign w:val="center"/>
            <w:hideMark/>
          </w:tcPr>
          <w:p w14:paraId="0881CC8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-0,5%</w:t>
            </w:r>
          </w:p>
        </w:tc>
        <w:tc>
          <w:tcPr>
            <w:tcW w:w="911" w:type="dxa"/>
            <w:tcBorders>
              <w:top w:val="nil"/>
              <w:left w:val="nil"/>
              <w:bottom w:val="single" w:sz="4" w:space="0" w:color="auto"/>
              <w:right w:val="single" w:sz="4" w:space="0" w:color="auto"/>
            </w:tcBorders>
            <w:vAlign w:val="center"/>
            <w:hideMark/>
          </w:tcPr>
          <w:p w14:paraId="76913C00"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-0,6%</w:t>
            </w:r>
          </w:p>
        </w:tc>
        <w:tc>
          <w:tcPr>
            <w:tcW w:w="911" w:type="dxa"/>
            <w:tcBorders>
              <w:top w:val="nil"/>
              <w:left w:val="nil"/>
              <w:bottom w:val="single" w:sz="4" w:space="0" w:color="auto"/>
              <w:right w:val="single" w:sz="4" w:space="0" w:color="auto"/>
            </w:tcBorders>
            <w:vAlign w:val="center"/>
            <w:hideMark/>
          </w:tcPr>
          <w:p w14:paraId="3CB7B2BA"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-0,6%</w:t>
            </w:r>
          </w:p>
        </w:tc>
      </w:tr>
      <w:tr w:rsidR="00FD7592" w:rsidRPr="001B41AD" w14:paraId="2342F778"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1D3082C0"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6914BDB7"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5BBEF7A3"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50%</w:t>
            </w:r>
          </w:p>
        </w:tc>
        <w:tc>
          <w:tcPr>
            <w:tcW w:w="911" w:type="dxa"/>
            <w:tcBorders>
              <w:top w:val="nil"/>
              <w:left w:val="nil"/>
              <w:bottom w:val="single" w:sz="4" w:space="0" w:color="auto"/>
              <w:right w:val="single" w:sz="4" w:space="0" w:color="auto"/>
            </w:tcBorders>
            <w:vAlign w:val="center"/>
            <w:hideMark/>
          </w:tcPr>
          <w:p w14:paraId="482F001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0,0%</w:t>
            </w:r>
          </w:p>
        </w:tc>
        <w:tc>
          <w:tcPr>
            <w:tcW w:w="911" w:type="dxa"/>
            <w:tcBorders>
              <w:top w:val="nil"/>
              <w:left w:val="nil"/>
              <w:bottom w:val="single" w:sz="4" w:space="0" w:color="auto"/>
              <w:right w:val="single" w:sz="4" w:space="0" w:color="auto"/>
            </w:tcBorders>
            <w:vAlign w:val="center"/>
            <w:hideMark/>
          </w:tcPr>
          <w:p w14:paraId="4E23E81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528CBEB5"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7C7D109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64F2BE88"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-0,1%</w:t>
            </w:r>
          </w:p>
        </w:tc>
        <w:tc>
          <w:tcPr>
            <w:tcW w:w="911" w:type="dxa"/>
            <w:tcBorders>
              <w:top w:val="nil"/>
              <w:left w:val="nil"/>
              <w:bottom w:val="single" w:sz="4" w:space="0" w:color="auto"/>
              <w:right w:val="single" w:sz="4" w:space="0" w:color="auto"/>
            </w:tcBorders>
            <w:vAlign w:val="center"/>
            <w:hideMark/>
          </w:tcPr>
          <w:p w14:paraId="4F84587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r>
      <w:tr w:rsidR="00FD7592" w:rsidRPr="001B41AD" w14:paraId="39F2F9DF"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5B1C8471"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7011D8B0"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77B2B88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w:t>
            </w:r>
          </w:p>
        </w:tc>
        <w:tc>
          <w:tcPr>
            <w:tcW w:w="911" w:type="dxa"/>
            <w:tcBorders>
              <w:top w:val="nil"/>
              <w:left w:val="nil"/>
              <w:bottom w:val="single" w:sz="4" w:space="0" w:color="auto"/>
              <w:right w:val="single" w:sz="4" w:space="0" w:color="auto"/>
            </w:tcBorders>
            <w:vAlign w:val="center"/>
            <w:hideMark/>
          </w:tcPr>
          <w:p w14:paraId="1E5DA56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-0,2%</w:t>
            </w:r>
          </w:p>
        </w:tc>
        <w:tc>
          <w:tcPr>
            <w:tcW w:w="911" w:type="dxa"/>
            <w:tcBorders>
              <w:top w:val="nil"/>
              <w:left w:val="nil"/>
              <w:bottom w:val="single" w:sz="4" w:space="0" w:color="auto"/>
              <w:right w:val="single" w:sz="4" w:space="0" w:color="auto"/>
            </w:tcBorders>
            <w:vAlign w:val="center"/>
            <w:hideMark/>
          </w:tcPr>
          <w:p w14:paraId="099F273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-0,4%</w:t>
            </w:r>
          </w:p>
        </w:tc>
        <w:tc>
          <w:tcPr>
            <w:tcW w:w="911" w:type="dxa"/>
            <w:tcBorders>
              <w:top w:val="nil"/>
              <w:left w:val="nil"/>
              <w:bottom w:val="single" w:sz="4" w:space="0" w:color="auto"/>
              <w:right w:val="single" w:sz="4" w:space="0" w:color="auto"/>
            </w:tcBorders>
            <w:vAlign w:val="center"/>
            <w:hideMark/>
          </w:tcPr>
          <w:p w14:paraId="39B0A87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-0,5%</w:t>
            </w:r>
          </w:p>
        </w:tc>
        <w:tc>
          <w:tcPr>
            <w:tcW w:w="911" w:type="dxa"/>
            <w:tcBorders>
              <w:top w:val="nil"/>
              <w:left w:val="nil"/>
              <w:bottom w:val="single" w:sz="4" w:space="0" w:color="auto"/>
              <w:right w:val="single" w:sz="4" w:space="0" w:color="auto"/>
            </w:tcBorders>
            <w:vAlign w:val="center"/>
            <w:hideMark/>
          </w:tcPr>
          <w:p w14:paraId="493CF477"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-0,6%</w:t>
            </w:r>
          </w:p>
        </w:tc>
        <w:tc>
          <w:tcPr>
            <w:tcW w:w="911" w:type="dxa"/>
            <w:tcBorders>
              <w:top w:val="nil"/>
              <w:left w:val="nil"/>
              <w:bottom w:val="single" w:sz="4" w:space="0" w:color="auto"/>
              <w:right w:val="single" w:sz="4" w:space="0" w:color="auto"/>
            </w:tcBorders>
            <w:vAlign w:val="center"/>
            <w:hideMark/>
          </w:tcPr>
          <w:p w14:paraId="427B5B63"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c>
          <w:tcPr>
            <w:tcW w:w="911" w:type="dxa"/>
            <w:tcBorders>
              <w:top w:val="nil"/>
              <w:left w:val="nil"/>
              <w:bottom w:val="single" w:sz="4" w:space="0" w:color="auto"/>
              <w:right w:val="single" w:sz="4" w:space="0" w:color="auto"/>
            </w:tcBorders>
            <w:vAlign w:val="center"/>
            <w:hideMark/>
          </w:tcPr>
          <w:p w14:paraId="116DBCDC"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-0,7%</w:t>
            </w:r>
          </w:p>
        </w:tc>
      </w:tr>
      <w:tr w:rsidR="00FD7592" w:rsidRPr="001B41AD" w14:paraId="3FF9DF58"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3968B176"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006CC05B"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671C1748"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2,00%</w:t>
            </w:r>
          </w:p>
        </w:tc>
        <w:tc>
          <w:tcPr>
            <w:tcW w:w="911" w:type="dxa"/>
            <w:tcBorders>
              <w:top w:val="nil"/>
              <w:left w:val="nil"/>
              <w:bottom w:val="single" w:sz="4" w:space="0" w:color="auto"/>
              <w:right w:val="single" w:sz="4" w:space="0" w:color="auto"/>
            </w:tcBorders>
            <w:vAlign w:val="center"/>
            <w:hideMark/>
          </w:tcPr>
          <w:p w14:paraId="3BB6162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-0,6%</w:t>
            </w:r>
          </w:p>
        </w:tc>
        <w:tc>
          <w:tcPr>
            <w:tcW w:w="911" w:type="dxa"/>
            <w:tcBorders>
              <w:top w:val="nil"/>
              <w:left w:val="nil"/>
              <w:bottom w:val="single" w:sz="4" w:space="0" w:color="auto"/>
              <w:right w:val="single" w:sz="4" w:space="0" w:color="auto"/>
            </w:tcBorders>
            <w:vAlign w:val="center"/>
            <w:hideMark/>
          </w:tcPr>
          <w:p w14:paraId="537C91C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-1,3%</w:t>
            </w:r>
          </w:p>
        </w:tc>
        <w:tc>
          <w:tcPr>
            <w:tcW w:w="911" w:type="dxa"/>
            <w:tcBorders>
              <w:top w:val="nil"/>
              <w:left w:val="nil"/>
              <w:bottom w:val="single" w:sz="4" w:space="0" w:color="auto"/>
              <w:right w:val="single" w:sz="4" w:space="0" w:color="auto"/>
            </w:tcBorders>
            <w:vAlign w:val="center"/>
            <w:hideMark/>
          </w:tcPr>
          <w:p w14:paraId="6CF2A284"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-1,8%</w:t>
            </w:r>
          </w:p>
        </w:tc>
        <w:tc>
          <w:tcPr>
            <w:tcW w:w="911" w:type="dxa"/>
            <w:tcBorders>
              <w:top w:val="nil"/>
              <w:left w:val="nil"/>
              <w:bottom w:val="single" w:sz="4" w:space="0" w:color="auto"/>
              <w:right w:val="single" w:sz="4" w:space="0" w:color="auto"/>
            </w:tcBorders>
            <w:vAlign w:val="center"/>
            <w:hideMark/>
          </w:tcPr>
          <w:p w14:paraId="3351868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-2,1%</w:t>
            </w:r>
          </w:p>
        </w:tc>
        <w:tc>
          <w:tcPr>
            <w:tcW w:w="911" w:type="dxa"/>
            <w:tcBorders>
              <w:top w:val="nil"/>
              <w:left w:val="nil"/>
              <w:bottom w:val="single" w:sz="4" w:space="0" w:color="auto"/>
              <w:right w:val="single" w:sz="4" w:space="0" w:color="auto"/>
            </w:tcBorders>
            <w:vAlign w:val="center"/>
            <w:hideMark/>
          </w:tcPr>
          <w:p w14:paraId="59A1FA13"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-2,3%</w:t>
            </w:r>
          </w:p>
        </w:tc>
        <w:tc>
          <w:tcPr>
            <w:tcW w:w="911" w:type="dxa"/>
            <w:tcBorders>
              <w:top w:val="nil"/>
              <w:left w:val="nil"/>
              <w:bottom w:val="single" w:sz="4" w:space="0" w:color="auto"/>
              <w:right w:val="single" w:sz="4" w:space="0" w:color="auto"/>
            </w:tcBorders>
            <w:vAlign w:val="center"/>
            <w:hideMark/>
          </w:tcPr>
          <w:p w14:paraId="3603845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-2,5%</w:t>
            </w:r>
          </w:p>
        </w:tc>
      </w:tr>
      <w:tr w:rsidR="00FD7592" w:rsidRPr="001B41AD" w14:paraId="44C85F38"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6FF9FA99"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640FB24C"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4937EB0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1,00%</w:t>
            </w:r>
          </w:p>
        </w:tc>
        <w:tc>
          <w:tcPr>
            <w:tcW w:w="911" w:type="dxa"/>
            <w:tcBorders>
              <w:top w:val="nil"/>
              <w:left w:val="nil"/>
              <w:bottom w:val="single" w:sz="4" w:space="0" w:color="auto"/>
              <w:right w:val="single" w:sz="4" w:space="0" w:color="auto"/>
            </w:tcBorders>
            <w:vAlign w:val="center"/>
            <w:hideMark/>
          </w:tcPr>
          <w:p w14:paraId="0140F23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-1,0%</w:t>
            </w:r>
          </w:p>
        </w:tc>
        <w:tc>
          <w:tcPr>
            <w:tcW w:w="911" w:type="dxa"/>
            <w:tcBorders>
              <w:top w:val="nil"/>
              <w:left w:val="nil"/>
              <w:bottom w:val="single" w:sz="4" w:space="0" w:color="auto"/>
              <w:right w:val="single" w:sz="4" w:space="0" w:color="auto"/>
            </w:tcBorders>
            <w:vAlign w:val="center"/>
            <w:hideMark/>
          </w:tcPr>
          <w:p w14:paraId="339A07E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-2,2%</w:t>
            </w:r>
          </w:p>
        </w:tc>
        <w:tc>
          <w:tcPr>
            <w:tcW w:w="911" w:type="dxa"/>
            <w:tcBorders>
              <w:top w:val="nil"/>
              <w:left w:val="nil"/>
              <w:bottom w:val="single" w:sz="4" w:space="0" w:color="auto"/>
              <w:right w:val="single" w:sz="4" w:space="0" w:color="auto"/>
            </w:tcBorders>
            <w:vAlign w:val="center"/>
            <w:hideMark/>
          </w:tcPr>
          <w:p w14:paraId="372EA295"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-2,9%</w:t>
            </w:r>
          </w:p>
        </w:tc>
        <w:tc>
          <w:tcPr>
            <w:tcW w:w="911" w:type="dxa"/>
            <w:tcBorders>
              <w:top w:val="nil"/>
              <w:left w:val="nil"/>
              <w:bottom w:val="single" w:sz="4" w:space="0" w:color="auto"/>
              <w:right w:val="single" w:sz="4" w:space="0" w:color="auto"/>
            </w:tcBorders>
            <w:vAlign w:val="center"/>
            <w:hideMark/>
          </w:tcPr>
          <w:p w14:paraId="131FF5CD"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-3,4%</w:t>
            </w:r>
          </w:p>
        </w:tc>
        <w:tc>
          <w:tcPr>
            <w:tcW w:w="911" w:type="dxa"/>
            <w:tcBorders>
              <w:top w:val="nil"/>
              <w:left w:val="nil"/>
              <w:bottom w:val="single" w:sz="4" w:space="0" w:color="auto"/>
              <w:right w:val="single" w:sz="4" w:space="0" w:color="auto"/>
            </w:tcBorders>
            <w:vAlign w:val="center"/>
            <w:hideMark/>
          </w:tcPr>
          <w:p w14:paraId="4C25762A"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-3,8%</w:t>
            </w:r>
          </w:p>
        </w:tc>
        <w:tc>
          <w:tcPr>
            <w:tcW w:w="911" w:type="dxa"/>
            <w:tcBorders>
              <w:top w:val="nil"/>
              <w:left w:val="nil"/>
              <w:bottom w:val="single" w:sz="4" w:space="0" w:color="auto"/>
              <w:right w:val="single" w:sz="4" w:space="0" w:color="auto"/>
            </w:tcBorders>
            <w:vAlign w:val="center"/>
            <w:hideMark/>
          </w:tcPr>
          <w:p w14:paraId="5433080B"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-4,1%</w:t>
            </w:r>
          </w:p>
        </w:tc>
      </w:tr>
      <w:tr w:rsidR="00FD7592" w:rsidRPr="001B41AD" w14:paraId="526507E7" w14:textId="77777777" w:rsidTr="007545C1">
        <w:trPr>
          <w:trHeight w:val="20"/>
        </w:trPr>
        <w:tc>
          <w:tcPr>
            <w:tcW w:w="837" w:type="dxa"/>
            <w:vMerge/>
            <w:tcBorders>
              <w:top w:val="nil"/>
              <w:left w:val="single" w:sz="4" w:space="0" w:color="auto"/>
              <w:bottom w:val="single" w:sz="4" w:space="0" w:color="auto"/>
              <w:right w:val="single" w:sz="4" w:space="0" w:color="auto"/>
            </w:tcBorders>
            <w:vAlign w:val="center"/>
            <w:hideMark/>
          </w:tcPr>
          <w:p w14:paraId="55F9BD49" w14:textId="77777777" w:rsidR="00FD7592" w:rsidRPr="001B41AD" w:rsidRDefault="00FD7592" w:rsidP="00405489">
            <w:pPr>
              <w:spacing w:after="0" w:line="240" w:lineRule="auto"/>
              <w:jc w:val="left"/>
              <w:rPr>
                <w:rFonts w:ascii="Calibri" w:eastAsia="Times New Roman" w:hAnsi="Calibri" w:cs="Calibri"/>
                <w:sz w:val="32"/>
                <w:szCs w:val="32"/>
                <w:lang w:val="sr-Cyrl-CS"/>
              </w:rPr>
            </w:pPr>
          </w:p>
        </w:tc>
        <w:tc>
          <w:tcPr>
            <w:tcW w:w="1515" w:type="dxa"/>
            <w:vMerge/>
            <w:tcBorders>
              <w:top w:val="nil"/>
              <w:left w:val="single" w:sz="4" w:space="0" w:color="auto"/>
              <w:bottom w:val="single" w:sz="4" w:space="0" w:color="auto"/>
              <w:right w:val="single" w:sz="4" w:space="0" w:color="auto"/>
            </w:tcBorders>
            <w:vAlign w:val="center"/>
            <w:hideMark/>
          </w:tcPr>
          <w:p w14:paraId="68DF8078" w14:textId="77777777" w:rsidR="00FD7592" w:rsidRPr="001B41AD" w:rsidRDefault="00FD7592" w:rsidP="00405489">
            <w:pPr>
              <w:spacing w:after="0" w:line="240" w:lineRule="auto"/>
              <w:jc w:val="left"/>
              <w:rPr>
                <w:rFonts w:ascii="Calibri" w:eastAsia="Times New Roman" w:hAnsi="Calibri" w:cs="Calibri"/>
                <w:sz w:val="24"/>
                <w:szCs w:val="24"/>
                <w:lang w:val="sr-Cyrl-CS"/>
              </w:rPr>
            </w:pPr>
          </w:p>
        </w:tc>
        <w:tc>
          <w:tcPr>
            <w:tcW w:w="1439" w:type="dxa"/>
            <w:tcBorders>
              <w:top w:val="nil"/>
              <w:left w:val="nil"/>
              <w:bottom w:val="single" w:sz="4" w:space="0" w:color="auto"/>
              <w:right w:val="single" w:sz="4" w:space="0" w:color="auto"/>
            </w:tcBorders>
            <w:shd w:val="clear" w:color="000000" w:fill="E5ECF7"/>
            <w:vAlign w:val="center"/>
            <w:hideMark/>
          </w:tcPr>
          <w:p w14:paraId="61506B76"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0,40%</w:t>
            </w:r>
          </w:p>
        </w:tc>
        <w:tc>
          <w:tcPr>
            <w:tcW w:w="911" w:type="dxa"/>
            <w:tcBorders>
              <w:top w:val="nil"/>
              <w:left w:val="nil"/>
              <w:bottom w:val="single" w:sz="4" w:space="0" w:color="auto"/>
              <w:right w:val="single" w:sz="4" w:space="0" w:color="auto"/>
            </w:tcBorders>
            <w:vAlign w:val="center"/>
            <w:hideMark/>
          </w:tcPr>
          <w:p w14:paraId="65376EF9"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-1,6%</w:t>
            </w:r>
          </w:p>
        </w:tc>
        <w:tc>
          <w:tcPr>
            <w:tcW w:w="911" w:type="dxa"/>
            <w:tcBorders>
              <w:top w:val="nil"/>
              <w:left w:val="nil"/>
              <w:bottom w:val="single" w:sz="4" w:space="0" w:color="auto"/>
              <w:right w:val="single" w:sz="4" w:space="0" w:color="auto"/>
            </w:tcBorders>
            <w:vAlign w:val="center"/>
            <w:hideMark/>
          </w:tcPr>
          <w:p w14:paraId="1AA92FE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-3,4%</w:t>
            </w:r>
          </w:p>
        </w:tc>
        <w:tc>
          <w:tcPr>
            <w:tcW w:w="911" w:type="dxa"/>
            <w:tcBorders>
              <w:top w:val="nil"/>
              <w:left w:val="nil"/>
              <w:bottom w:val="single" w:sz="4" w:space="0" w:color="auto"/>
              <w:right w:val="single" w:sz="4" w:space="0" w:color="auto"/>
            </w:tcBorders>
            <w:vAlign w:val="center"/>
            <w:hideMark/>
          </w:tcPr>
          <w:p w14:paraId="679EBA61"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-4,6%</w:t>
            </w:r>
          </w:p>
        </w:tc>
        <w:tc>
          <w:tcPr>
            <w:tcW w:w="911" w:type="dxa"/>
            <w:tcBorders>
              <w:top w:val="nil"/>
              <w:left w:val="nil"/>
              <w:bottom w:val="single" w:sz="4" w:space="0" w:color="auto"/>
              <w:right w:val="single" w:sz="4" w:space="0" w:color="auto"/>
            </w:tcBorders>
            <w:vAlign w:val="center"/>
            <w:hideMark/>
          </w:tcPr>
          <w:p w14:paraId="4F610DCE"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-5,4%</w:t>
            </w:r>
          </w:p>
        </w:tc>
        <w:tc>
          <w:tcPr>
            <w:tcW w:w="911" w:type="dxa"/>
            <w:tcBorders>
              <w:top w:val="nil"/>
              <w:left w:val="nil"/>
              <w:bottom w:val="single" w:sz="4" w:space="0" w:color="auto"/>
              <w:right w:val="single" w:sz="4" w:space="0" w:color="auto"/>
            </w:tcBorders>
            <w:vAlign w:val="center"/>
            <w:hideMark/>
          </w:tcPr>
          <w:p w14:paraId="595B6742"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-6,0%</w:t>
            </w:r>
          </w:p>
        </w:tc>
        <w:tc>
          <w:tcPr>
            <w:tcW w:w="911" w:type="dxa"/>
            <w:tcBorders>
              <w:top w:val="nil"/>
              <w:left w:val="nil"/>
              <w:bottom w:val="single" w:sz="4" w:space="0" w:color="auto"/>
              <w:right w:val="single" w:sz="4" w:space="0" w:color="auto"/>
            </w:tcBorders>
            <w:vAlign w:val="center"/>
            <w:hideMark/>
          </w:tcPr>
          <w:p w14:paraId="22953D7F" w14:textId="77777777" w:rsidR="00FD7592" w:rsidRPr="001B41AD" w:rsidRDefault="00FD7592" w:rsidP="00405489">
            <w:pPr>
              <w:spacing w:after="0" w:line="24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-6,5%</w:t>
            </w:r>
          </w:p>
        </w:tc>
      </w:tr>
    </w:tbl>
    <w:p w14:paraId="08ED0FCC" w14:textId="77777777" w:rsidR="00FD7592" w:rsidRPr="001B41AD" w:rsidRDefault="00FD7592" w:rsidP="00FD7592">
      <w:pPr>
        <w:spacing w:after="240" w:line="240" w:lineRule="auto"/>
        <w:rPr>
          <w:rFonts w:ascii="Times New Roman" w:eastAsia="Times New Roman" w:hAnsi="Times New Roman" w:cs="Times New Roman"/>
          <w:sz w:val="16"/>
          <w:szCs w:val="16"/>
          <w:lang w:val="sr-Cyrl-CS"/>
        </w:rPr>
      </w:pPr>
      <w:r w:rsidRPr="001B41AD">
        <w:rPr>
          <w:rFonts w:ascii="Calibri" w:eastAsiaTheme="minorEastAsia" w:hAnsi="Calibri" w:cs="Calibri"/>
          <w:iCs/>
          <w:kern w:val="24"/>
          <w:sz w:val="16"/>
          <w:szCs w:val="16"/>
          <w:lang w:val="sr-Cyrl-CS"/>
        </w:rPr>
        <w:t>Извор: Модел за процену фискалних ризика од елементарних непогода за Републику Србију</w:t>
      </w:r>
    </w:p>
    <w:p w14:paraId="0983C7A6" w14:textId="77777777" w:rsidR="00FD7592" w:rsidRPr="001B41AD" w:rsidRDefault="00FD7592" w:rsidP="00FD7592">
      <w:pPr>
        <w:spacing w:after="240"/>
        <w:rPr>
          <w:rFonts w:eastAsia="MS PGothic" w:cstheme="minorHAnsi"/>
          <w:bCs/>
          <w:szCs w:val="20"/>
          <w:lang w:val="sr-Cyrl-CS" w:eastAsia="ja-JP"/>
        </w:rPr>
        <w:sectPr w:rsidR="00FD7592" w:rsidRPr="001B41AD" w:rsidSect="00405489">
          <w:type w:val="continuous"/>
          <w:pgSz w:w="12240" w:h="15840"/>
          <w:pgMar w:top="1440" w:right="1440" w:bottom="1440" w:left="1440" w:header="720" w:footer="720" w:gutter="0"/>
          <w:cols w:space="720"/>
        </w:sectPr>
      </w:pPr>
    </w:p>
    <w:p w14:paraId="1F8EEA2C"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t xml:space="preserve">Буџетски систем Републике Србије обезбеђује два инструмента финансирања ризика од катастрофа: сталну буџетску резерву - резерва за непредвиђене случајеве (СБР) и накнаду штете за повреде или штету насталу услед елементарних непогода или других природних узрока (рачун </w:t>
      </w:r>
      <w:r w:rsidRPr="001B41AD">
        <w:rPr>
          <w:rFonts w:eastAsia="MS PGothic" w:cstheme="minorHAnsi"/>
          <w:bCs/>
          <w:szCs w:val="20"/>
          <w:lang w:val="sr-Cyrl-CS" w:eastAsia="ja-JP"/>
        </w:rPr>
        <w:t>484). Приметно је да се</w:t>
      </w:r>
      <w:r w:rsidR="00001545" w:rsidRPr="001B41AD">
        <w:rPr>
          <w:rFonts w:eastAsia="MS PGothic" w:cstheme="minorHAnsi"/>
          <w:bCs/>
          <w:szCs w:val="20"/>
          <w:lang w:val="sr-Cyrl-CS" w:eastAsia="ja-JP"/>
        </w:rPr>
        <w:t>,</w:t>
      </w:r>
      <w:r w:rsidRPr="001B41AD">
        <w:rPr>
          <w:rFonts w:eastAsia="MS PGothic" w:cstheme="minorHAnsi"/>
          <w:bCs/>
          <w:szCs w:val="20"/>
          <w:lang w:val="sr-Cyrl-CS" w:eastAsia="ja-JP"/>
        </w:rPr>
        <w:t xml:space="preserve"> после великих поплава које су задесиле Републику Србију 2014. године и периода успешно изведене обнове, оба ова инструмента не планирају у довољним износима</w:t>
      </w:r>
      <w:r w:rsidR="00001545" w:rsidRPr="001B41AD">
        <w:rPr>
          <w:rFonts w:eastAsia="MS PGothic" w:cstheme="minorHAnsi"/>
          <w:bCs/>
          <w:szCs w:val="20"/>
          <w:lang w:val="sr-Cyrl-CS" w:eastAsia="ja-JP"/>
        </w:rPr>
        <w:t>,</w:t>
      </w:r>
      <w:r w:rsidRPr="001B41AD">
        <w:rPr>
          <w:rFonts w:eastAsia="MS PGothic" w:cstheme="minorHAnsi"/>
          <w:bCs/>
          <w:szCs w:val="20"/>
          <w:lang w:val="sr-Cyrl-CS" w:eastAsia="ja-JP"/>
        </w:rPr>
        <w:t xml:space="preserve"> како би минимизирале појаву фискалног ризика, </w:t>
      </w:r>
      <w:r w:rsidRPr="001B41AD">
        <w:rPr>
          <w:rFonts w:eastAsia="MS PGothic" w:cstheme="minorHAnsi"/>
          <w:bCs/>
          <w:szCs w:val="20"/>
          <w:lang w:val="sr-Cyrl-CS" w:eastAsia="ja-JP"/>
        </w:rPr>
        <w:lastRenderedPageBreak/>
        <w:t>поготово у случају појаве елементарне непогоде значајнијег интензитета.</w:t>
      </w:r>
    </w:p>
    <w:p w14:paraId="48BA5CAC"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t xml:space="preserve">Стална буџетска резерва се из године у годину планира у скромним износима, иако је законом дефинисани максимални дозвољени износ значајних 0,5% буџетских прихода. </w:t>
      </w:r>
    </w:p>
    <w:p w14:paraId="04B6D821" w14:textId="09F72417" w:rsidR="007545C1" w:rsidRPr="001B41AD" w:rsidRDefault="00FD7592" w:rsidP="00E32355">
      <w:pPr>
        <w:rPr>
          <w:rFonts w:eastAsia="MS PGothic" w:cstheme="minorHAnsi"/>
          <w:bCs/>
          <w:szCs w:val="20"/>
          <w:lang w:val="sr-Cyrl-CS" w:eastAsia="ja-JP"/>
        </w:rPr>
      </w:pPr>
      <w:r w:rsidRPr="001B41AD">
        <w:rPr>
          <w:rFonts w:eastAsia="MS PGothic" w:cstheme="minorHAnsi"/>
          <w:bCs/>
          <w:szCs w:val="20"/>
          <w:lang w:val="sr-Cyrl-CS" w:eastAsia="ja-JP"/>
        </w:rPr>
        <w:t xml:space="preserve">Накнада штете за повреде или штету насталу услед елементарних непогода или других природних узрока (економски класификатор 484) се такође може користити за пружање почетне финансијске подршке за помоћ након катастрофе и ту не постоји минимални или максимални законски лимит за планирање годишњег износа ове накнаде. Међутим, с обзиром на извршење буџета у последњих неколико година које се мери са неколико стотина милиона динара годишње, услед чињенице да земљу није задесила нека озбиљнија елементарна непогода, ни ова позиција у буџету се не планира на нивоу довољном да обезбеди несметану реакцију државе у случају појаве елементарне непогоде значајнијег </w:t>
      </w:r>
      <w:r w:rsidR="007545C1" w:rsidRPr="001B41AD">
        <w:rPr>
          <w:rFonts w:eastAsia="MS PGothic" w:cstheme="minorHAnsi"/>
          <w:bCs/>
          <w:szCs w:val="20"/>
          <w:lang w:val="sr-Cyrl-CS" w:eastAsia="ja-JP"/>
        </w:rPr>
        <w:t>интензитета</w:t>
      </w:r>
      <w:r w:rsidRPr="001B41AD">
        <w:rPr>
          <w:rFonts w:eastAsia="MS PGothic" w:cstheme="minorHAnsi"/>
          <w:bCs/>
          <w:szCs w:val="20"/>
          <w:lang w:val="sr-Cyrl-CS" w:eastAsia="ja-JP"/>
        </w:rPr>
        <w:t>.</w:t>
      </w:r>
    </w:p>
    <w:p w14:paraId="758E1179" w14:textId="77777777" w:rsidR="00FD7592" w:rsidRPr="001B41AD" w:rsidRDefault="00FD7592" w:rsidP="00FD7592">
      <w:pPr>
        <w:jc w:val="left"/>
        <w:rPr>
          <w:rFonts w:cstheme="minorHAnsi"/>
          <w:b/>
          <w:color w:val="0070C0"/>
          <w:sz w:val="22"/>
          <w:lang w:val="sr-Cyrl-CS"/>
        </w:rPr>
      </w:pPr>
      <w:r w:rsidRPr="001B41AD">
        <w:rPr>
          <w:rFonts w:cstheme="minorHAnsi"/>
          <w:b/>
          <w:color w:val="002060"/>
          <w:sz w:val="22"/>
          <w:lang w:val="sr-Cyrl-CS"/>
        </w:rPr>
        <w:t>Функционисање локалних самоуправа</w:t>
      </w:r>
    </w:p>
    <w:p w14:paraId="66414498"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t>Када су у питању локалне власти на територији Републике Србије Устав Републике Србије у члану 146. прописује да грађани имају право на покрајинску аутономију и локалну самоуправу, које остварују непосредно или преко својих слободно изабраних представника, као и да Аутономне покрајине и јединице локалне самоуправе имају статус правних лица.</w:t>
      </w:r>
    </w:p>
    <w:p w14:paraId="70F15BF3"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t>С тим у вези, јединице локалне самоуправе су надлежне за питања која се, на сврсисходан начин, могу остваривати унутар њихове територије, а истима могу бити поверена и поједина питања из надлежности Републике Србије уколико се оцени да је то целисходно.</w:t>
      </w:r>
    </w:p>
    <w:p w14:paraId="76616638"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t>Послове за која је утврђена њихова надлежност или које су им поверене, јединице локалне самоуправе фи</w:t>
      </w:r>
      <w:r w:rsidR="007545C1" w:rsidRPr="001B41AD">
        <w:rPr>
          <w:rFonts w:eastAsia="MS PGothic" w:cstheme="minorHAnsi"/>
          <w:bCs/>
          <w:szCs w:val="20"/>
          <w:lang w:val="sr-Cyrl-CS" w:eastAsia="ja-JP"/>
        </w:rPr>
        <w:t>нансирају средствима из свог буџ</w:t>
      </w:r>
      <w:r w:rsidRPr="001B41AD">
        <w:rPr>
          <w:rFonts w:eastAsia="MS PGothic" w:cstheme="minorHAnsi"/>
          <w:bCs/>
          <w:szCs w:val="20"/>
          <w:lang w:val="sr-Cyrl-CS" w:eastAsia="ja-JP"/>
        </w:rPr>
        <w:t xml:space="preserve">ета која су према члану 5. Закона о финансирању локалне самоуправе подељена на: </w:t>
      </w:r>
    </w:p>
    <w:p w14:paraId="119B76BF" w14:textId="77777777" w:rsidR="00FD7592" w:rsidRPr="001B41AD" w:rsidRDefault="00FD7592" w:rsidP="00204810">
      <w:pPr>
        <w:pStyle w:val="ListParagraph"/>
        <w:numPr>
          <w:ilvl w:val="0"/>
          <w:numId w:val="16"/>
        </w:numPr>
        <w:rPr>
          <w:rFonts w:eastAsia="MS PGothic" w:cstheme="minorHAnsi"/>
          <w:bCs/>
          <w:szCs w:val="20"/>
          <w:lang w:val="sr-Cyrl-CS" w:eastAsia="ja-JP"/>
        </w:rPr>
      </w:pPr>
      <w:r w:rsidRPr="001B41AD">
        <w:rPr>
          <w:rFonts w:eastAsia="MS PGothic" w:cstheme="minorHAnsi"/>
          <w:b/>
          <w:bCs/>
          <w:szCs w:val="20"/>
          <w:lang w:val="sr-Cyrl-CS" w:eastAsia="ja-JP"/>
        </w:rPr>
        <w:t xml:space="preserve">изворне приходе </w:t>
      </w:r>
      <w:r w:rsidRPr="001B41AD">
        <w:rPr>
          <w:rFonts w:eastAsia="MS PGothic" w:cstheme="minorHAnsi"/>
          <w:bCs/>
          <w:szCs w:val="20"/>
          <w:lang w:val="sr-Cyrl-CS" w:eastAsia="ja-JP"/>
        </w:rPr>
        <w:t xml:space="preserve">- приходе чију стопу, односно начин и мерила за утврђивање </w:t>
      </w:r>
      <w:r w:rsidRPr="001B41AD">
        <w:rPr>
          <w:rFonts w:eastAsia="MS PGothic" w:cstheme="minorHAnsi"/>
          <w:bCs/>
          <w:szCs w:val="20"/>
          <w:lang w:val="sr-Cyrl-CS" w:eastAsia="ja-JP"/>
        </w:rPr>
        <w:t>висине износа, утврђује јединица локалне самоуправе;</w:t>
      </w:r>
    </w:p>
    <w:p w14:paraId="14272F5E" w14:textId="77777777" w:rsidR="00FD7592" w:rsidRPr="001B41AD" w:rsidRDefault="00FD7592" w:rsidP="00204810">
      <w:pPr>
        <w:pStyle w:val="ListParagraph"/>
        <w:numPr>
          <w:ilvl w:val="0"/>
          <w:numId w:val="16"/>
        </w:numPr>
        <w:rPr>
          <w:rFonts w:eastAsia="MS PGothic" w:cstheme="minorHAnsi"/>
          <w:bCs/>
          <w:szCs w:val="20"/>
          <w:lang w:val="sr-Cyrl-CS" w:eastAsia="ja-JP"/>
        </w:rPr>
      </w:pPr>
      <w:r w:rsidRPr="001B41AD">
        <w:rPr>
          <w:rFonts w:eastAsia="MS PGothic" w:cstheme="minorHAnsi"/>
          <w:b/>
          <w:bCs/>
          <w:szCs w:val="20"/>
          <w:lang w:val="sr-Cyrl-CS" w:eastAsia="ja-JP"/>
        </w:rPr>
        <w:t>уступљене приходе</w:t>
      </w:r>
      <w:r w:rsidRPr="001B41AD">
        <w:rPr>
          <w:rFonts w:eastAsia="MS PGothic" w:cstheme="minorHAnsi"/>
          <w:bCs/>
          <w:szCs w:val="20"/>
          <w:lang w:val="sr-Cyrl-CS" w:eastAsia="ja-JP"/>
        </w:rPr>
        <w:t xml:space="preserve"> - приходе чија се основица и стопа, односно начин и мерила за утврђивање висине износа утврђују законом, а приход остварен на територији јединице локалне самоуправе уступа у целини или делимично тој јединици локалне самоуправе;</w:t>
      </w:r>
    </w:p>
    <w:p w14:paraId="3E50E28B" w14:textId="77777777" w:rsidR="00FD7592" w:rsidRPr="001B41AD" w:rsidRDefault="00FD7592" w:rsidP="00204810">
      <w:pPr>
        <w:pStyle w:val="ListParagraph"/>
        <w:numPr>
          <w:ilvl w:val="0"/>
          <w:numId w:val="16"/>
        </w:numPr>
        <w:rPr>
          <w:rFonts w:eastAsia="MS PGothic" w:cstheme="minorHAnsi"/>
          <w:bCs/>
          <w:szCs w:val="20"/>
          <w:lang w:val="sr-Cyrl-CS" w:eastAsia="ja-JP"/>
        </w:rPr>
      </w:pPr>
      <w:r w:rsidRPr="001B41AD">
        <w:rPr>
          <w:rFonts w:eastAsia="MS PGothic" w:cstheme="minorHAnsi"/>
          <w:b/>
          <w:bCs/>
          <w:szCs w:val="20"/>
          <w:lang w:val="sr-Cyrl-CS" w:eastAsia="ja-JP"/>
        </w:rPr>
        <w:t>трансфере</w:t>
      </w:r>
      <w:r w:rsidRPr="001B41AD">
        <w:rPr>
          <w:rFonts w:eastAsia="MS PGothic" w:cstheme="minorHAnsi"/>
          <w:bCs/>
          <w:szCs w:val="20"/>
          <w:lang w:val="sr-Cyrl-CS" w:eastAsia="ja-JP"/>
        </w:rPr>
        <w:t>, тј. ненаменска или наменска средства која се на основу претходно утврђених критеријума расподељују од стране Републике Србије или Аутономне покрајине, јединицама локалне самоуправе</w:t>
      </w:r>
    </w:p>
    <w:p w14:paraId="400FCD95" w14:textId="77777777" w:rsidR="00FD7592" w:rsidRPr="001B41AD" w:rsidRDefault="00FD7592" w:rsidP="00204810">
      <w:pPr>
        <w:pStyle w:val="ListParagraph"/>
        <w:numPr>
          <w:ilvl w:val="0"/>
          <w:numId w:val="16"/>
        </w:numPr>
        <w:rPr>
          <w:rFonts w:eastAsia="MS PGothic" w:cstheme="minorHAnsi"/>
          <w:bCs/>
          <w:szCs w:val="20"/>
          <w:lang w:val="sr-Cyrl-CS" w:eastAsia="ja-JP"/>
        </w:rPr>
      </w:pPr>
      <w:r w:rsidRPr="001B41AD">
        <w:rPr>
          <w:rFonts w:eastAsia="MS PGothic" w:cstheme="minorHAnsi"/>
          <w:b/>
          <w:bCs/>
          <w:szCs w:val="20"/>
          <w:lang w:val="sr-Cyrl-CS" w:eastAsia="ja-JP"/>
        </w:rPr>
        <w:t>примања по основу задуживања;</w:t>
      </w:r>
    </w:p>
    <w:p w14:paraId="394E93DD" w14:textId="77777777" w:rsidR="00FD7592" w:rsidRPr="001B41AD" w:rsidRDefault="00FD7592" w:rsidP="00204810">
      <w:pPr>
        <w:pStyle w:val="ListParagraph"/>
        <w:numPr>
          <w:ilvl w:val="0"/>
          <w:numId w:val="16"/>
        </w:numPr>
        <w:rPr>
          <w:rFonts w:eastAsia="MS PGothic" w:cstheme="minorHAnsi"/>
          <w:bCs/>
          <w:szCs w:val="20"/>
          <w:lang w:val="sr-Cyrl-CS" w:eastAsia="ja-JP"/>
        </w:rPr>
      </w:pPr>
      <w:r w:rsidRPr="001B41AD">
        <w:rPr>
          <w:rFonts w:eastAsia="MS PGothic" w:cstheme="minorHAnsi"/>
          <w:b/>
          <w:bCs/>
          <w:szCs w:val="20"/>
          <w:lang w:val="sr-Cyrl-CS" w:eastAsia="ja-JP"/>
        </w:rPr>
        <w:t>друге приходе и примања</w:t>
      </w:r>
      <w:r w:rsidRPr="001B41AD">
        <w:rPr>
          <w:rFonts w:eastAsia="MS PGothic" w:cstheme="minorHAnsi"/>
          <w:bCs/>
          <w:szCs w:val="20"/>
          <w:lang w:val="sr-Cyrl-CS" w:eastAsia="ja-JP"/>
        </w:rPr>
        <w:t xml:space="preserve"> утврђене законом.</w:t>
      </w:r>
    </w:p>
    <w:p w14:paraId="168B4ABF"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t>Имајући у виду сложеност послова која обављају јединице локалне самоуправе, као и систем њиховог финансирања, у оквиру истог је неопходно извршити идентификацију фискалних ризика чије остварење може имати негативне ефекте како по буџете самих јединица локалних самоуправа, тако и по буџет Републике Србије.</w:t>
      </w:r>
    </w:p>
    <w:p w14:paraId="78BF4378"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t>С обзиром да Министарство финансија – Сектор буџета, у оквиру своје надлежности, између осталог, врши и: сачињавање Упутства за припрему одлука о буџету локалних власти које се локалним властима доставља у текућој за наредну буџетску годину, проверу усаглашености одлука о буџету локалних власти са наведеним упутством, као и давање претходне сагласности локалним властима за кредитно задужење, донета је одлука да се од новембра 2024. године у оквиру овог Сектора врши и праћење фискалних ризика за јединице локалне самоуправе.</w:t>
      </w:r>
    </w:p>
    <w:p w14:paraId="5C8C5ABD"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t>На основу наведеног, Сектор буџета је у сарадњи са Светском банком, извршио ревизију модела за анализу, оцену и праћење фискалних ризика за јединице локалне самоуправе из Методологије за праћење фискалних ризика по буџет Републике Србије, те су у априлу 2025. године добијени први резултати везани за праћење фискалних ризика јединица локалне самоуправе.</w:t>
      </w:r>
    </w:p>
    <w:p w14:paraId="0F81E027"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lastRenderedPageBreak/>
        <w:t>У раду су коришћени подаци из електронских система (ИСИБ ЈЛС АП, СПИРИ, ИСКРА и СИЈД), а који се односе на планиране и остварене приходе и примања, односно расходе и издатке јединица локалне самоуправе, њихова кредитна задужења и неизмирене обавезе, број запослених у ЈЛС, стање на консолидованом рачуну трезора и пласмани код пословних банака.</w:t>
      </w:r>
    </w:p>
    <w:p w14:paraId="0480E355" w14:textId="77777777" w:rsidR="00FD7592" w:rsidRPr="001B41AD" w:rsidRDefault="00FD7592" w:rsidP="00FD7592">
      <w:pPr>
        <w:rPr>
          <w:rFonts w:cstheme="minorHAnsi"/>
          <w:szCs w:val="20"/>
          <w:lang w:val="sr-Cyrl-CS"/>
        </w:rPr>
      </w:pPr>
      <w:r w:rsidRPr="001B41AD">
        <w:rPr>
          <w:rFonts w:eastAsia="MS PGothic" w:cstheme="minorHAnsi"/>
          <w:bCs/>
          <w:szCs w:val="20"/>
          <w:lang w:val="sr-Cyrl-CS" w:eastAsia="ja-JP"/>
        </w:rPr>
        <w:t>Ради сагледавања целокупног стања у јединицама локалне самоуправе коришћени су горе наведени подаци за 2022, 2023. и 2024. годину, као</w:t>
      </w:r>
      <w:r w:rsidRPr="001B41AD">
        <w:rPr>
          <w:rFonts w:cstheme="minorHAnsi"/>
          <w:szCs w:val="20"/>
          <w:lang w:val="sr-Cyrl-CS"/>
        </w:rPr>
        <w:t xml:space="preserve"> и за период јануар – </w:t>
      </w:r>
      <w:r w:rsidR="00FD7449" w:rsidRPr="001B41AD">
        <w:rPr>
          <w:rFonts w:cstheme="minorHAnsi"/>
          <w:szCs w:val="20"/>
          <w:lang w:val="sr-Cyrl-CS"/>
        </w:rPr>
        <w:t>септембар</w:t>
      </w:r>
      <w:r w:rsidRPr="001B41AD">
        <w:rPr>
          <w:rFonts w:cstheme="minorHAnsi"/>
          <w:szCs w:val="20"/>
          <w:lang w:val="sr-Cyrl-CS"/>
        </w:rPr>
        <w:t xml:space="preserve"> 2025. године.</w:t>
      </w:r>
    </w:p>
    <w:p w14:paraId="5F9DD8F8" w14:textId="77777777" w:rsidR="00FD7592" w:rsidRPr="001B41AD" w:rsidRDefault="00FD7592" w:rsidP="00FD7592">
      <w:pPr>
        <w:rPr>
          <w:rFonts w:eastAsia="MS PGothic" w:cstheme="minorHAnsi"/>
          <w:bCs/>
          <w:szCs w:val="20"/>
          <w:lang w:val="sr-Cyrl-CS" w:eastAsia="ja-JP"/>
        </w:rPr>
      </w:pPr>
      <w:r w:rsidRPr="001B41AD">
        <w:rPr>
          <w:rFonts w:eastAsia="MS PGothic" w:cstheme="minorHAnsi"/>
          <w:bCs/>
          <w:szCs w:val="20"/>
          <w:lang w:val="sr-Cyrl-CS" w:eastAsia="ja-JP"/>
        </w:rPr>
        <w:t>Процена ризика је заснована на два индекса: 1) индекс за процену способности самофинансирања јединица локалних самоуправа и 2) индекс оптерећења плаћањима.</w:t>
      </w:r>
    </w:p>
    <w:p w14:paraId="45997890" w14:textId="77777777" w:rsidR="00FD7592" w:rsidRPr="001B41AD" w:rsidRDefault="00FD7592" w:rsidP="00FD7592">
      <w:pPr>
        <w:rPr>
          <w:rFonts w:ascii="Calibri" w:eastAsia="Calibri" w:hAnsi="Calibri" w:cs="Calibri"/>
          <w:b/>
          <w:bCs/>
          <w:szCs w:val="20"/>
          <w:lang w:val="sr-Cyrl-CS"/>
        </w:rPr>
      </w:pPr>
      <w:r w:rsidRPr="001B41AD">
        <w:rPr>
          <w:rFonts w:ascii="Calibri" w:eastAsia="Calibri" w:hAnsi="Calibri" w:cs="Calibri"/>
          <w:b/>
          <w:bCs/>
          <w:szCs w:val="20"/>
          <w:lang w:val="sr-Cyrl-CS"/>
        </w:rPr>
        <w:t>Индекс процене способности самофинансирања</w:t>
      </w:r>
    </w:p>
    <w:p w14:paraId="0BC6B173" w14:textId="5F93BE57" w:rsidR="00FD7449" w:rsidRPr="001B41AD" w:rsidRDefault="00FD7592" w:rsidP="003B045A">
      <w:pPr>
        <w:rPr>
          <w:rFonts w:eastAsia="MS PGothic" w:cstheme="minorHAnsi"/>
          <w:bCs/>
          <w:szCs w:val="20"/>
          <w:lang w:val="sr-Cyrl-CS" w:eastAsia="ja-JP"/>
        </w:rPr>
      </w:pPr>
      <w:r w:rsidRPr="001B41AD">
        <w:rPr>
          <w:rFonts w:eastAsia="MS PGothic" w:cstheme="minorHAnsi"/>
          <w:bCs/>
          <w:szCs w:val="20"/>
          <w:lang w:val="sr-Cyrl-CS" w:eastAsia="ja-JP"/>
        </w:rPr>
        <w:t>Индекс процене способности самофинансирања има за циљ да покаже да ли јединице локалне самоуправе на основу прихода које остварују могу да испуњавају обавезе тј. рас</w:t>
      </w:r>
      <w:r w:rsidR="003B045A" w:rsidRPr="001B41AD">
        <w:rPr>
          <w:rFonts w:eastAsia="MS PGothic" w:cstheme="minorHAnsi"/>
          <w:bCs/>
          <w:szCs w:val="20"/>
          <w:lang w:val="sr-Cyrl-CS" w:eastAsia="ja-JP"/>
        </w:rPr>
        <w:t>ходе и издатке које преузимају.</w:t>
      </w:r>
    </w:p>
    <w:p w14:paraId="60924624" w14:textId="77777777" w:rsidR="00FD7592" w:rsidRPr="001B41AD" w:rsidRDefault="00FD7592" w:rsidP="00FD7592">
      <w:pPr>
        <w:jc w:val="center"/>
        <w:rPr>
          <w:rFonts w:ascii="Calibri" w:eastAsia="Calibri" w:hAnsi="Calibri" w:cs="Calibri"/>
          <w:b/>
          <w:bCs/>
          <w:color w:val="002060"/>
          <w:szCs w:val="20"/>
          <w:lang w:val="sr-Cyrl-CS"/>
        </w:rPr>
      </w:pPr>
      <w:r w:rsidRPr="001B41AD">
        <w:rPr>
          <w:rFonts w:ascii="Calibri" w:eastAsia="Calibri" w:hAnsi="Calibri" w:cs="Calibri"/>
          <w:b/>
          <w:bCs/>
          <w:color w:val="002060"/>
          <w:szCs w:val="20"/>
          <w:lang w:val="sr-Cyrl-CS"/>
        </w:rPr>
        <w:t>Табеларни приказ способности самофинансирања ЈЛС</w:t>
      </w:r>
    </w:p>
    <w:tbl>
      <w:tblPr>
        <w:tblW w:w="4761" w:type="dxa"/>
        <w:tblInd w:w="-180" w:type="dxa"/>
        <w:tblLook w:val="04A0" w:firstRow="1" w:lastRow="0" w:firstColumn="1" w:lastColumn="0" w:noHBand="0" w:noVBand="1"/>
      </w:tblPr>
      <w:tblGrid>
        <w:gridCol w:w="1414"/>
        <w:gridCol w:w="622"/>
        <w:gridCol w:w="709"/>
        <w:gridCol w:w="850"/>
        <w:gridCol w:w="1166"/>
      </w:tblGrid>
      <w:tr w:rsidR="00FD7592" w:rsidRPr="001B41AD" w14:paraId="7B87CF21" w14:textId="77777777" w:rsidTr="007545C1">
        <w:trPr>
          <w:trHeight w:val="20"/>
        </w:trPr>
        <w:tc>
          <w:tcPr>
            <w:tcW w:w="1414" w:type="dxa"/>
            <w:tcBorders>
              <w:top w:val="nil"/>
              <w:left w:val="nil"/>
              <w:bottom w:val="nil"/>
              <w:right w:val="nil"/>
            </w:tcBorders>
            <w:noWrap/>
            <w:vAlign w:val="center"/>
          </w:tcPr>
          <w:p w14:paraId="6699CA36" w14:textId="77777777" w:rsidR="00FD7592" w:rsidRPr="001B41AD" w:rsidRDefault="00FD7592" w:rsidP="007545C1">
            <w:pPr>
              <w:spacing w:after="0" w:line="360" w:lineRule="auto"/>
              <w:ind w:hanging="108"/>
              <w:jc w:val="center"/>
              <w:rPr>
                <w:rFonts w:ascii="Calibri" w:eastAsia="Times New Roman" w:hAnsi="Calibri" w:cs="Calibri"/>
                <w:sz w:val="18"/>
                <w:szCs w:val="18"/>
                <w:lang w:val="sr-Cyrl-CS"/>
              </w:rPr>
            </w:pPr>
            <w:r w:rsidRPr="001B41AD">
              <w:rPr>
                <w:rFonts w:cstheme="minorHAnsi"/>
                <w:b/>
                <w:sz w:val="18"/>
                <w:szCs w:val="18"/>
                <w:lang w:val="sr-Cyrl-CS"/>
              </w:rPr>
              <w:t>Степен ризика</w:t>
            </w:r>
          </w:p>
        </w:tc>
        <w:tc>
          <w:tcPr>
            <w:tcW w:w="622" w:type="dxa"/>
            <w:tcBorders>
              <w:top w:val="nil"/>
              <w:left w:val="nil"/>
              <w:bottom w:val="nil"/>
              <w:right w:val="nil"/>
            </w:tcBorders>
            <w:noWrap/>
            <w:vAlign w:val="center"/>
          </w:tcPr>
          <w:p w14:paraId="34EF727A"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cstheme="minorHAnsi"/>
                <w:b/>
                <w:sz w:val="18"/>
                <w:szCs w:val="18"/>
                <w:lang w:val="sr-Cyrl-CS"/>
              </w:rPr>
              <w:t>2022</w:t>
            </w:r>
          </w:p>
        </w:tc>
        <w:tc>
          <w:tcPr>
            <w:tcW w:w="709" w:type="dxa"/>
            <w:tcBorders>
              <w:top w:val="nil"/>
              <w:left w:val="nil"/>
              <w:bottom w:val="nil"/>
              <w:right w:val="nil"/>
            </w:tcBorders>
            <w:noWrap/>
            <w:vAlign w:val="center"/>
          </w:tcPr>
          <w:p w14:paraId="61078BA2"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cstheme="minorHAnsi"/>
                <w:b/>
                <w:sz w:val="18"/>
                <w:szCs w:val="18"/>
                <w:lang w:val="sr-Cyrl-CS"/>
              </w:rPr>
              <w:t xml:space="preserve"> 2023</w:t>
            </w:r>
          </w:p>
        </w:tc>
        <w:tc>
          <w:tcPr>
            <w:tcW w:w="850" w:type="dxa"/>
            <w:tcBorders>
              <w:top w:val="nil"/>
              <w:left w:val="nil"/>
              <w:bottom w:val="nil"/>
              <w:right w:val="nil"/>
            </w:tcBorders>
            <w:noWrap/>
            <w:vAlign w:val="center"/>
          </w:tcPr>
          <w:p w14:paraId="7984B378" w14:textId="77777777" w:rsidR="00FD7592" w:rsidRPr="001B41AD" w:rsidRDefault="006A141F" w:rsidP="007545C1">
            <w:pPr>
              <w:spacing w:after="0" w:line="360" w:lineRule="auto"/>
              <w:jc w:val="center"/>
              <w:rPr>
                <w:rFonts w:ascii="Calibri" w:eastAsia="Times New Roman" w:hAnsi="Calibri" w:cs="Calibri"/>
                <w:b/>
                <w:bCs/>
                <w:sz w:val="18"/>
                <w:szCs w:val="18"/>
                <w:lang w:val="sr-Cyrl-CS"/>
              </w:rPr>
            </w:pPr>
            <w:r w:rsidRPr="001B41AD">
              <w:rPr>
                <w:rFonts w:cstheme="minorHAnsi"/>
                <w:b/>
                <w:sz w:val="18"/>
                <w:szCs w:val="18"/>
                <w:lang w:val="sr-Cyrl-CS"/>
              </w:rPr>
              <w:t xml:space="preserve"> </w:t>
            </w:r>
            <w:r w:rsidR="00FD7592" w:rsidRPr="001B41AD">
              <w:rPr>
                <w:rFonts w:cstheme="minorHAnsi"/>
                <w:b/>
                <w:sz w:val="18"/>
                <w:szCs w:val="18"/>
                <w:lang w:val="sr-Cyrl-CS"/>
              </w:rPr>
              <w:t>2024</w:t>
            </w:r>
          </w:p>
        </w:tc>
        <w:tc>
          <w:tcPr>
            <w:tcW w:w="1166" w:type="dxa"/>
            <w:tcBorders>
              <w:top w:val="nil"/>
              <w:left w:val="nil"/>
              <w:bottom w:val="nil"/>
              <w:right w:val="nil"/>
            </w:tcBorders>
            <w:noWrap/>
            <w:vAlign w:val="center"/>
          </w:tcPr>
          <w:p w14:paraId="72E5F8D4" w14:textId="77777777" w:rsidR="00FD7592" w:rsidRPr="001B41AD" w:rsidRDefault="006A141F" w:rsidP="007545C1">
            <w:pPr>
              <w:spacing w:after="0" w:line="360" w:lineRule="auto"/>
              <w:jc w:val="center"/>
              <w:rPr>
                <w:rFonts w:ascii="Calibri" w:eastAsia="Times New Roman" w:hAnsi="Calibri" w:cs="Calibri"/>
                <w:b/>
                <w:bCs/>
                <w:sz w:val="18"/>
                <w:szCs w:val="18"/>
                <w:lang w:val="sr-Cyrl-CS"/>
              </w:rPr>
            </w:pPr>
            <w:r w:rsidRPr="001B41AD">
              <w:rPr>
                <w:rFonts w:cstheme="minorHAnsi"/>
                <w:b/>
                <w:sz w:val="18"/>
                <w:szCs w:val="18"/>
                <w:lang w:val="sr-Cyrl-CS"/>
              </w:rPr>
              <w:t xml:space="preserve"> јaн-сеп </w:t>
            </w:r>
            <w:r w:rsidR="00FD7592" w:rsidRPr="001B41AD">
              <w:rPr>
                <w:rFonts w:cstheme="minorHAnsi"/>
                <w:b/>
                <w:sz w:val="18"/>
                <w:szCs w:val="18"/>
                <w:lang w:val="sr-Cyrl-CS"/>
              </w:rPr>
              <w:t>2025</w:t>
            </w:r>
          </w:p>
        </w:tc>
      </w:tr>
      <w:tr w:rsidR="00FD7592" w:rsidRPr="001B41AD" w14:paraId="19B71FF4" w14:textId="77777777" w:rsidTr="007545C1">
        <w:trPr>
          <w:trHeight w:val="20"/>
        </w:trPr>
        <w:tc>
          <w:tcPr>
            <w:tcW w:w="1414" w:type="dxa"/>
            <w:tcBorders>
              <w:top w:val="nil"/>
              <w:left w:val="nil"/>
              <w:bottom w:val="nil"/>
              <w:right w:val="nil"/>
            </w:tcBorders>
            <w:noWrap/>
            <w:vAlign w:val="center"/>
          </w:tcPr>
          <w:p w14:paraId="24221768" w14:textId="77777777" w:rsidR="00FD7592" w:rsidRPr="001B41AD" w:rsidRDefault="00FD7592" w:rsidP="007545C1">
            <w:pPr>
              <w:spacing w:after="0" w:line="360" w:lineRule="auto"/>
              <w:ind w:hanging="108"/>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Нормалан ризик</w:t>
            </w:r>
          </w:p>
        </w:tc>
        <w:tc>
          <w:tcPr>
            <w:tcW w:w="622" w:type="dxa"/>
            <w:tcBorders>
              <w:top w:val="nil"/>
              <w:left w:val="nil"/>
              <w:bottom w:val="nil"/>
              <w:right w:val="nil"/>
            </w:tcBorders>
            <w:noWrap/>
            <w:vAlign w:val="center"/>
          </w:tcPr>
          <w:p w14:paraId="4AE8B258"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82</w:t>
            </w:r>
          </w:p>
        </w:tc>
        <w:tc>
          <w:tcPr>
            <w:tcW w:w="709" w:type="dxa"/>
            <w:tcBorders>
              <w:top w:val="nil"/>
              <w:left w:val="nil"/>
              <w:bottom w:val="nil"/>
              <w:right w:val="nil"/>
            </w:tcBorders>
            <w:noWrap/>
            <w:vAlign w:val="center"/>
          </w:tcPr>
          <w:p w14:paraId="5C0EB155"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83</w:t>
            </w:r>
          </w:p>
        </w:tc>
        <w:tc>
          <w:tcPr>
            <w:tcW w:w="850" w:type="dxa"/>
            <w:tcBorders>
              <w:top w:val="nil"/>
              <w:left w:val="nil"/>
              <w:bottom w:val="nil"/>
              <w:right w:val="nil"/>
            </w:tcBorders>
            <w:noWrap/>
            <w:vAlign w:val="center"/>
          </w:tcPr>
          <w:p w14:paraId="3AB60224"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76</w:t>
            </w:r>
          </w:p>
        </w:tc>
        <w:tc>
          <w:tcPr>
            <w:tcW w:w="1166" w:type="dxa"/>
            <w:tcBorders>
              <w:top w:val="nil"/>
              <w:left w:val="nil"/>
              <w:bottom w:val="nil"/>
              <w:right w:val="nil"/>
            </w:tcBorders>
            <w:noWrap/>
            <w:vAlign w:val="center"/>
          </w:tcPr>
          <w:p w14:paraId="737CE702"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54</w:t>
            </w:r>
          </w:p>
        </w:tc>
      </w:tr>
      <w:tr w:rsidR="00FD7592" w:rsidRPr="001B41AD" w14:paraId="3144EFF8" w14:textId="77777777" w:rsidTr="007545C1">
        <w:trPr>
          <w:trHeight w:val="20"/>
        </w:trPr>
        <w:tc>
          <w:tcPr>
            <w:tcW w:w="1414" w:type="dxa"/>
            <w:tcBorders>
              <w:top w:val="nil"/>
              <w:left w:val="nil"/>
              <w:bottom w:val="nil"/>
              <w:right w:val="nil"/>
            </w:tcBorders>
            <w:noWrap/>
            <w:vAlign w:val="center"/>
            <w:hideMark/>
          </w:tcPr>
          <w:p w14:paraId="2151A098" w14:textId="77777777" w:rsidR="00FD7592" w:rsidRPr="001B41AD" w:rsidRDefault="00FD7592" w:rsidP="007545C1">
            <w:pPr>
              <w:spacing w:after="0" w:line="36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Под надзором</w:t>
            </w:r>
          </w:p>
        </w:tc>
        <w:tc>
          <w:tcPr>
            <w:tcW w:w="622" w:type="dxa"/>
            <w:tcBorders>
              <w:top w:val="nil"/>
              <w:left w:val="nil"/>
              <w:bottom w:val="nil"/>
              <w:right w:val="nil"/>
            </w:tcBorders>
            <w:noWrap/>
            <w:vAlign w:val="center"/>
            <w:hideMark/>
          </w:tcPr>
          <w:p w14:paraId="538AAF99"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49</w:t>
            </w:r>
          </w:p>
        </w:tc>
        <w:tc>
          <w:tcPr>
            <w:tcW w:w="709" w:type="dxa"/>
            <w:tcBorders>
              <w:top w:val="nil"/>
              <w:left w:val="nil"/>
              <w:bottom w:val="nil"/>
              <w:right w:val="nil"/>
            </w:tcBorders>
            <w:noWrap/>
            <w:vAlign w:val="center"/>
            <w:hideMark/>
          </w:tcPr>
          <w:p w14:paraId="0A7F6C42"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47</w:t>
            </w:r>
          </w:p>
        </w:tc>
        <w:tc>
          <w:tcPr>
            <w:tcW w:w="850" w:type="dxa"/>
            <w:tcBorders>
              <w:top w:val="nil"/>
              <w:left w:val="nil"/>
              <w:bottom w:val="nil"/>
              <w:right w:val="nil"/>
            </w:tcBorders>
            <w:noWrap/>
            <w:vAlign w:val="center"/>
            <w:hideMark/>
          </w:tcPr>
          <w:p w14:paraId="5568D420"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56</w:t>
            </w:r>
          </w:p>
        </w:tc>
        <w:tc>
          <w:tcPr>
            <w:tcW w:w="1166" w:type="dxa"/>
            <w:tcBorders>
              <w:top w:val="nil"/>
              <w:left w:val="nil"/>
              <w:bottom w:val="nil"/>
              <w:right w:val="nil"/>
            </w:tcBorders>
            <w:noWrap/>
            <w:vAlign w:val="center"/>
            <w:hideMark/>
          </w:tcPr>
          <w:p w14:paraId="319EB9A6"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80</w:t>
            </w:r>
          </w:p>
        </w:tc>
      </w:tr>
      <w:tr w:rsidR="00FD7592" w:rsidRPr="001B41AD" w14:paraId="01F9B490" w14:textId="77777777" w:rsidTr="007545C1">
        <w:trPr>
          <w:trHeight w:val="20"/>
        </w:trPr>
        <w:tc>
          <w:tcPr>
            <w:tcW w:w="1414" w:type="dxa"/>
            <w:tcBorders>
              <w:top w:val="nil"/>
              <w:left w:val="nil"/>
              <w:bottom w:val="single" w:sz="8" w:space="0" w:color="auto"/>
              <w:right w:val="nil"/>
            </w:tcBorders>
            <w:noWrap/>
            <w:vAlign w:val="center"/>
            <w:hideMark/>
          </w:tcPr>
          <w:p w14:paraId="3CB6CEB1" w14:textId="77777777" w:rsidR="00FD7592" w:rsidRPr="001B41AD" w:rsidRDefault="00FD7592" w:rsidP="007545C1">
            <w:pPr>
              <w:spacing w:after="0" w:line="360" w:lineRule="auto"/>
              <w:jc w:val="center"/>
              <w:rPr>
                <w:rFonts w:ascii="Calibri" w:eastAsia="Times New Roman" w:hAnsi="Calibri" w:cs="Calibri"/>
                <w:sz w:val="18"/>
                <w:szCs w:val="18"/>
                <w:lang w:val="sr-Cyrl-CS"/>
              </w:rPr>
            </w:pPr>
            <w:r w:rsidRPr="001B41AD">
              <w:rPr>
                <w:rFonts w:ascii="Calibri" w:eastAsia="Times New Roman" w:hAnsi="Calibri" w:cs="Calibri"/>
                <w:sz w:val="18"/>
                <w:szCs w:val="18"/>
                <w:lang w:val="sr-Cyrl-CS"/>
              </w:rPr>
              <w:t>У ризику</w:t>
            </w:r>
          </w:p>
        </w:tc>
        <w:tc>
          <w:tcPr>
            <w:tcW w:w="622" w:type="dxa"/>
            <w:tcBorders>
              <w:top w:val="nil"/>
              <w:left w:val="nil"/>
              <w:bottom w:val="single" w:sz="8" w:space="0" w:color="auto"/>
              <w:right w:val="nil"/>
            </w:tcBorders>
            <w:noWrap/>
            <w:vAlign w:val="center"/>
            <w:hideMark/>
          </w:tcPr>
          <w:p w14:paraId="4C242EB9"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14</w:t>
            </w:r>
          </w:p>
        </w:tc>
        <w:tc>
          <w:tcPr>
            <w:tcW w:w="709" w:type="dxa"/>
            <w:tcBorders>
              <w:top w:val="nil"/>
              <w:left w:val="nil"/>
              <w:bottom w:val="single" w:sz="8" w:space="0" w:color="auto"/>
              <w:right w:val="nil"/>
            </w:tcBorders>
            <w:noWrap/>
            <w:vAlign w:val="center"/>
            <w:hideMark/>
          </w:tcPr>
          <w:p w14:paraId="2321418E"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15</w:t>
            </w:r>
          </w:p>
        </w:tc>
        <w:tc>
          <w:tcPr>
            <w:tcW w:w="850" w:type="dxa"/>
            <w:tcBorders>
              <w:top w:val="nil"/>
              <w:left w:val="nil"/>
              <w:bottom w:val="single" w:sz="8" w:space="0" w:color="auto"/>
              <w:right w:val="nil"/>
            </w:tcBorders>
            <w:noWrap/>
            <w:vAlign w:val="center"/>
            <w:hideMark/>
          </w:tcPr>
          <w:p w14:paraId="4DDCAFF7"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13</w:t>
            </w:r>
          </w:p>
        </w:tc>
        <w:tc>
          <w:tcPr>
            <w:tcW w:w="1166" w:type="dxa"/>
            <w:tcBorders>
              <w:top w:val="nil"/>
              <w:left w:val="nil"/>
              <w:bottom w:val="single" w:sz="8" w:space="0" w:color="auto"/>
              <w:right w:val="nil"/>
            </w:tcBorders>
            <w:noWrap/>
            <w:vAlign w:val="center"/>
            <w:hideMark/>
          </w:tcPr>
          <w:p w14:paraId="2657663B" w14:textId="77777777" w:rsidR="00FD7592" w:rsidRPr="001B41AD" w:rsidRDefault="00FD7592" w:rsidP="007545C1">
            <w:pPr>
              <w:spacing w:after="0" w:line="360" w:lineRule="auto"/>
              <w:jc w:val="center"/>
              <w:rPr>
                <w:rFonts w:ascii="Calibri" w:eastAsia="Times New Roman" w:hAnsi="Calibri" w:cs="Calibri"/>
                <w:b/>
                <w:bCs/>
                <w:sz w:val="18"/>
                <w:szCs w:val="18"/>
                <w:lang w:val="sr-Cyrl-CS"/>
              </w:rPr>
            </w:pPr>
            <w:r w:rsidRPr="001B41AD">
              <w:rPr>
                <w:rFonts w:ascii="Calibri" w:eastAsia="Times New Roman" w:hAnsi="Calibri" w:cs="Calibri"/>
                <w:b/>
                <w:bCs/>
                <w:sz w:val="18"/>
                <w:szCs w:val="18"/>
                <w:lang w:val="sr-Cyrl-CS"/>
              </w:rPr>
              <w:t>11</w:t>
            </w:r>
          </w:p>
        </w:tc>
      </w:tr>
    </w:tbl>
    <w:p w14:paraId="6390A498"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Према добијеним подацима, у односу на укупан број јединица локалне самоуправе (145), у просеку до 10% јединица локалне самоуправе се налази у ризику немогућности испуњавања обавеза из прихода које остварују. У питању су углавном јединице локалне самоуправе са мањим бројем становника које су најчешће недовољно привредно развијене.</w:t>
      </w:r>
    </w:p>
    <w:p w14:paraId="3F074279"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 xml:space="preserve">Такође, у 2024. години уочено је да расте број јединица локалних самоуправа чије поступање захтева надзор Министарства финансија. С тим у вези, Министарство финансија је у циљу ефикаснијег праћења и благовременог поступања, у четвртом кварталу 2024. године укључило све </w:t>
      </w:r>
      <w:r w:rsidRPr="001B41AD">
        <w:rPr>
          <w:rFonts w:ascii="Calibri" w:eastAsia="Calibri" w:hAnsi="Calibri" w:cs="Calibri"/>
          <w:bCs/>
          <w:szCs w:val="20"/>
          <w:lang w:val="sr-Cyrl-CS"/>
        </w:rPr>
        <w:t xml:space="preserve">јединице локалне самоуправе и њихове буџетске кориснике у Систем за централизовани обрачун зарада – ИСКРА, док су у јануару 2025. године јединице локалне самоуправе укључене у Систем за планирање, извршење, рачуноводство и извештавање – СПИРИ. </w:t>
      </w:r>
    </w:p>
    <w:p w14:paraId="148DF1FA"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Поред наведеног у Упутству за припрему одлука о буџету локалних власти за 2025. годину, прецизиране су смернице за планирање текућих прихода у циљу спречавања да се исти нереално планирају и самим тим преузимају обавезе за чије испуњење не постоје довољна средства.</w:t>
      </w:r>
    </w:p>
    <w:p w14:paraId="2488CB61"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Последњим изменама Закона о буџетском систему предвиђена је и прекршајна одговорност у случају непоштовања смерница из Упутства за припрему одлука о буџету локалних власти од стране одговорних лица.</w:t>
      </w:r>
    </w:p>
    <w:p w14:paraId="2EEF0DA0"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Када су у питању подаци везани за период јануар-септембар 2025. године уочене су промене у способности самофинансирања јединица локалне самоуправе. У односу на 2024. годину број јединица са нормалним ризиком смањен је на 54, док је број оних под надзором порастао на 80, што може бити последица привремених кретања у наплати прихода и извршењу расхода током године. Истовремено, број јединица у ризику благо је смањен. Имајући у виду да подаци обухватају само прва три квартала 2025. године, потребно их је тумачити уз резерву и сагледати у контексту целе године ради поузданије оцене укупних фискалних кретања.</w:t>
      </w:r>
    </w:p>
    <w:p w14:paraId="23EA6E3F"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У вези даљег поступања Министарство финансија планира да у Упутству за припрему одлука о буџету локалних власти за 2026. годину додатно прецизира смернице за планирање износа у одлукама о буџету локалних власти, нарочито текућих прихода и расхода за планирање зарада запослених.</w:t>
      </w:r>
    </w:p>
    <w:p w14:paraId="7394266C" w14:textId="77777777" w:rsidR="00FD7592" w:rsidRPr="001B41AD" w:rsidRDefault="00FD7592" w:rsidP="00FD7592">
      <w:pPr>
        <w:jc w:val="center"/>
        <w:rPr>
          <w:rFonts w:ascii="Calibri" w:eastAsia="Calibri" w:hAnsi="Calibri" w:cs="Calibri"/>
          <w:b/>
          <w:bCs/>
          <w:color w:val="002060"/>
          <w:szCs w:val="20"/>
          <w:lang w:val="sr-Cyrl-CS"/>
        </w:rPr>
      </w:pPr>
      <w:r w:rsidRPr="001B41AD">
        <w:rPr>
          <w:rFonts w:ascii="Calibri" w:eastAsia="Calibri" w:hAnsi="Calibri" w:cs="Calibri"/>
          <w:b/>
          <w:bCs/>
          <w:color w:val="002060"/>
          <w:szCs w:val="20"/>
          <w:lang w:val="sr-Cyrl-CS"/>
        </w:rPr>
        <w:t>Индекс оптерећења плаћањима</w:t>
      </w:r>
    </w:p>
    <w:p w14:paraId="1592FEA3"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Индекс оптерећења плаћањима има за циљ да покаже у којој мери су буџети јединица локалних самоуправа способни да у кратком року измирују обавезе плаћања, у којој мери преузете обавезе утичу на њихову финансијску одрживост, као и у којој мери су јединице локалне са</w:t>
      </w:r>
      <w:r w:rsidR="007545C1" w:rsidRPr="001B41AD">
        <w:rPr>
          <w:rFonts w:ascii="Calibri" w:eastAsia="Calibri" w:hAnsi="Calibri" w:cs="Calibri"/>
          <w:bCs/>
          <w:szCs w:val="20"/>
          <w:lang w:val="sr-Cyrl-CS"/>
        </w:rPr>
        <w:t>м</w:t>
      </w:r>
      <w:r w:rsidRPr="001B41AD">
        <w:rPr>
          <w:rFonts w:ascii="Calibri" w:eastAsia="Calibri" w:hAnsi="Calibri" w:cs="Calibri"/>
          <w:bCs/>
          <w:szCs w:val="20"/>
          <w:lang w:val="sr-Cyrl-CS"/>
        </w:rPr>
        <w:t xml:space="preserve">оуправе </w:t>
      </w:r>
      <w:r w:rsidRPr="001B41AD">
        <w:rPr>
          <w:rFonts w:ascii="Calibri" w:eastAsia="Calibri" w:hAnsi="Calibri" w:cs="Calibri"/>
          <w:bCs/>
          <w:szCs w:val="20"/>
          <w:lang w:val="sr-Cyrl-CS"/>
        </w:rPr>
        <w:lastRenderedPageBreak/>
        <w:t>способне да из текућих прихода сервисирају кредитни дуг и висину каматног оптерећења.</w:t>
      </w:r>
    </w:p>
    <w:p w14:paraId="433F815D" w14:textId="77777777" w:rsidR="00FD7592" w:rsidRPr="001B41AD" w:rsidRDefault="00FD7592" w:rsidP="00FD7592">
      <w:pPr>
        <w:jc w:val="center"/>
        <w:rPr>
          <w:rFonts w:cstheme="minorHAnsi"/>
          <w:b/>
          <w:szCs w:val="20"/>
          <w:lang w:val="sr-Cyrl-CS"/>
        </w:rPr>
      </w:pPr>
      <w:r w:rsidRPr="001B41AD">
        <w:rPr>
          <w:rFonts w:ascii="Calibri" w:eastAsia="Calibri" w:hAnsi="Calibri" w:cs="Calibri"/>
          <w:bCs/>
          <w:szCs w:val="20"/>
          <w:lang w:val="sr-Cyrl-CS"/>
        </w:rPr>
        <w:t xml:space="preserve"> </w:t>
      </w:r>
      <w:r w:rsidRPr="001B41AD">
        <w:rPr>
          <w:rFonts w:ascii="Calibri" w:eastAsia="Calibri" w:hAnsi="Calibri" w:cs="Calibri"/>
          <w:b/>
          <w:bCs/>
          <w:color w:val="002060"/>
          <w:szCs w:val="20"/>
          <w:lang w:val="sr-Cyrl-CS"/>
        </w:rPr>
        <w:t>Табеларни приказ оптерећења плаћањима ЈЛС</w:t>
      </w:r>
    </w:p>
    <w:tbl>
      <w:tblPr>
        <w:tblW w:w="4402" w:type="dxa"/>
        <w:tblLook w:val="04A0" w:firstRow="1" w:lastRow="0" w:firstColumn="1" w:lastColumn="0" w:noHBand="0" w:noVBand="1"/>
      </w:tblPr>
      <w:tblGrid>
        <w:gridCol w:w="1392"/>
        <w:gridCol w:w="764"/>
        <w:gridCol w:w="691"/>
        <w:gridCol w:w="691"/>
        <w:gridCol w:w="864"/>
      </w:tblGrid>
      <w:tr w:rsidR="00FD7592" w:rsidRPr="001B41AD" w14:paraId="529066B8" w14:textId="77777777" w:rsidTr="00415EC0">
        <w:trPr>
          <w:trHeight w:val="515"/>
        </w:trPr>
        <w:tc>
          <w:tcPr>
            <w:tcW w:w="1392" w:type="dxa"/>
            <w:tcBorders>
              <w:top w:val="single" w:sz="4" w:space="0" w:color="auto"/>
              <w:left w:val="nil"/>
              <w:bottom w:val="single" w:sz="4" w:space="0" w:color="auto"/>
              <w:right w:val="nil"/>
            </w:tcBorders>
            <w:noWrap/>
            <w:vAlign w:val="center"/>
            <w:hideMark/>
          </w:tcPr>
          <w:p w14:paraId="7652B7EE" w14:textId="77777777" w:rsidR="00FD7592" w:rsidRPr="001B41AD" w:rsidRDefault="00FD7592" w:rsidP="00415EC0">
            <w:pPr>
              <w:spacing w:after="0"/>
              <w:jc w:val="center"/>
              <w:rPr>
                <w:rFonts w:cstheme="minorHAnsi"/>
                <w:b/>
                <w:sz w:val="18"/>
                <w:szCs w:val="18"/>
                <w:lang w:val="sr-Cyrl-CS"/>
              </w:rPr>
            </w:pPr>
            <w:r w:rsidRPr="001B41AD">
              <w:rPr>
                <w:rFonts w:cstheme="minorHAnsi"/>
                <w:b/>
                <w:sz w:val="18"/>
                <w:szCs w:val="18"/>
                <w:lang w:val="sr-Cyrl-CS"/>
              </w:rPr>
              <w:t>Степен ризика</w:t>
            </w:r>
          </w:p>
        </w:tc>
        <w:tc>
          <w:tcPr>
            <w:tcW w:w="764" w:type="dxa"/>
            <w:tcBorders>
              <w:top w:val="single" w:sz="4" w:space="0" w:color="auto"/>
              <w:left w:val="nil"/>
              <w:bottom w:val="single" w:sz="4" w:space="0" w:color="auto"/>
              <w:right w:val="nil"/>
            </w:tcBorders>
            <w:noWrap/>
            <w:vAlign w:val="center"/>
            <w:hideMark/>
          </w:tcPr>
          <w:p w14:paraId="5E671BEC" w14:textId="77777777" w:rsidR="00FD7592" w:rsidRPr="001B41AD" w:rsidRDefault="00FD7592" w:rsidP="00415EC0">
            <w:pPr>
              <w:spacing w:after="0"/>
              <w:jc w:val="center"/>
              <w:rPr>
                <w:rFonts w:cstheme="minorHAnsi"/>
                <w:b/>
                <w:sz w:val="18"/>
                <w:szCs w:val="18"/>
                <w:lang w:val="sr-Cyrl-CS"/>
              </w:rPr>
            </w:pPr>
            <w:r w:rsidRPr="001B41AD">
              <w:rPr>
                <w:rFonts w:cstheme="minorHAnsi"/>
                <w:b/>
                <w:sz w:val="18"/>
                <w:szCs w:val="18"/>
                <w:lang w:val="sr-Cyrl-CS"/>
              </w:rPr>
              <w:t>2022</w:t>
            </w:r>
          </w:p>
        </w:tc>
        <w:tc>
          <w:tcPr>
            <w:tcW w:w="691" w:type="dxa"/>
            <w:tcBorders>
              <w:top w:val="single" w:sz="4" w:space="0" w:color="auto"/>
              <w:left w:val="nil"/>
              <w:bottom w:val="single" w:sz="4" w:space="0" w:color="auto"/>
              <w:right w:val="nil"/>
            </w:tcBorders>
            <w:noWrap/>
            <w:vAlign w:val="center"/>
            <w:hideMark/>
          </w:tcPr>
          <w:p w14:paraId="34A70D51" w14:textId="77777777" w:rsidR="00FD7592" w:rsidRPr="001B41AD" w:rsidRDefault="00FD7592" w:rsidP="00415EC0">
            <w:pPr>
              <w:spacing w:after="0"/>
              <w:jc w:val="center"/>
              <w:rPr>
                <w:rFonts w:cstheme="minorHAnsi"/>
                <w:b/>
                <w:sz w:val="18"/>
                <w:szCs w:val="18"/>
                <w:lang w:val="sr-Cyrl-CS"/>
              </w:rPr>
            </w:pPr>
            <w:r w:rsidRPr="001B41AD">
              <w:rPr>
                <w:rFonts w:cstheme="minorHAnsi"/>
                <w:b/>
                <w:sz w:val="18"/>
                <w:szCs w:val="18"/>
                <w:lang w:val="sr-Cyrl-CS"/>
              </w:rPr>
              <w:t>2023</w:t>
            </w:r>
          </w:p>
        </w:tc>
        <w:tc>
          <w:tcPr>
            <w:tcW w:w="691" w:type="dxa"/>
            <w:tcBorders>
              <w:top w:val="single" w:sz="4" w:space="0" w:color="auto"/>
              <w:left w:val="nil"/>
              <w:bottom w:val="single" w:sz="4" w:space="0" w:color="auto"/>
              <w:right w:val="nil"/>
            </w:tcBorders>
            <w:noWrap/>
            <w:vAlign w:val="center"/>
            <w:hideMark/>
          </w:tcPr>
          <w:p w14:paraId="07B6BB70" w14:textId="77777777" w:rsidR="00FD7592" w:rsidRPr="001B41AD" w:rsidRDefault="00FD7592" w:rsidP="00415EC0">
            <w:pPr>
              <w:spacing w:after="0"/>
              <w:jc w:val="center"/>
              <w:rPr>
                <w:rFonts w:cstheme="minorHAnsi"/>
                <w:b/>
                <w:sz w:val="18"/>
                <w:szCs w:val="18"/>
                <w:lang w:val="sr-Cyrl-CS"/>
              </w:rPr>
            </w:pPr>
            <w:r w:rsidRPr="001B41AD">
              <w:rPr>
                <w:rFonts w:cstheme="minorHAnsi"/>
                <w:b/>
                <w:sz w:val="18"/>
                <w:szCs w:val="18"/>
                <w:lang w:val="sr-Cyrl-CS"/>
              </w:rPr>
              <w:t>2024</w:t>
            </w:r>
          </w:p>
        </w:tc>
        <w:tc>
          <w:tcPr>
            <w:tcW w:w="864" w:type="dxa"/>
            <w:tcBorders>
              <w:top w:val="single" w:sz="4" w:space="0" w:color="auto"/>
              <w:left w:val="nil"/>
              <w:bottom w:val="single" w:sz="4" w:space="0" w:color="auto"/>
              <w:right w:val="nil"/>
            </w:tcBorders>
            <w:noWrap/>
            <w:vAlign w:val="center"/>
            <w:hideMark/>
          </w:tcPr>
          <w:p w14:paraId="08417775" w14:textId="77777777" w:rsidR="00FD7592" w:rsidRPr="001B41AD" w:rsidRDefault="00FD7592" w:rsidP="00415EC0">
            <w:pPr>
              <w:spacing w:after="0"/>
              <w:jc w:val="center"/>
              <w:rPr>
                <w:rFonts w:cstheme="minorHAnsi"/>
                <w:b/>
                <w:sz w:val="18"/>
                <w:szCs w:val="18"/>
                <w:lang w:val="sr-Cyrl-CS"/>
              </w:rPr>
            </w:pPr>
            <w:r w:rsidRPr="001B41AD">
              <w:rPr>
                <w:rFonts w:cstheme="minorHAnsi"/>
                <w:b/>
                <w:sz w:val="18"/>
                <w:szCs w:val="18"/>
                <w:lang w:val="sr-Cyrl-CS"/>
              </w:rPr>
              <w:t>јaн-сеп 2025</w:t>
            </w:r>
          </w:p>
        </w:tc>
      </w:tr>
      <w:tr w:rsidR="00415EC0" w:rsidRPr="001B41AD" w14:paraId="1C6AB551" w14:textId="77777777" w:rsidTr="00415EC0">
        <w:trPr>
          <w:trHeight w:val="262"/>
        </w:trPr>
        <w:tc>
          <w:tcPr>
            <w:tcW w:w="1392" w:type="dxa"/>
            <w:tcBorders>
              <w:top w:val="nil"/>
              <w:left w:val="nil"/>
              <w:bottom w:val="nil"/>
              <w:right w:val="nil"/>
            </w:tcBorders>
            <w:noWrap/>
            <w:vAlign w:val="center"/>
            <w:hideMark/>
          </w:tcPr>
          <w:p w14:paraId="08C188EC" w14:textId="77777777" w:rsidR="00415EC0" w:rsidRPr="001B41AD" w:rsidRDefault="00415EC0" w:rsidP="00415EC0">
            <w:pPr>
              <w:spacing w:after="0"/>
              <w:jc w:val="center"/>
              <w:rPr>
                <w:rFonts w:cstheme="minorHAnsi"/>
                <w:sz w:val="18"/>
                <w:szCs w:val="18"/>
                <w:lang w:val="sr-Cyrl-CS"/>
              </w:rPr>
            </w:pPr>
            <w:r w:rsidRPr="001B41AD">
              <w:rPr>
                <w:rFonts w:cstheme="minorHAnsi"/>
                <w:sz w:val="18"/>
                <w:szCs w:val="18"/>
                <w:lang w:val="sr-Cyrl-CS"/>
              </w:rPr>
              <w:t>Нормалан ризик</w:t>
            </w:r>
          </w:p>
        </w:tc>
        <w:tc>
          <w:tcPr>
            <w:tcW w:w="764" w:type="dxa"/>
            <w:tcBorders>
              <w:top w:val="nil"/>
              <w:left w:val="nil"/>
              <w:bottom w:val="nil"/>
              <w:right w:val="nil"/>
            </w:tcBorders>
            <w:noWrap/>
            <w:vAlign w:val="center"/>
            <w:hideMark/>
          </w:tcPr>
          <w:p w14:paraId="03AE84AE"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78</w:t>
            </w:r>
          </w:p>
        </w:tc>
        <w:tc>
          <w:tcPr>
            <w:tcW w:w="691" w:type="dxa"/>
            <w:tcBorders>
              <w:top w:val="nil"/>
              <w:left w:val="nil"/>
              <w:bottom w:val="nil"/>
              <w:right w:val="nil"/>
            </w:tcBorders>
            <w:noWrap/>
            <w:vAlign w:val="center"/>
            <w:hideMark/>
          </w:tcPr>
          <w:p w14:paraId="5924AA80"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78</w:t>
            </w:r>
          </w:p>
        </w:tc>
        <w:tc>
          <w:tcPr>
            <w:tcW w:w="691" w:type="dxa"/>
            <w:tcBorders>
              <w:top w:val="nil"/>
              <w:left w:val="nil"/>
              <w:bottom w:val="nil"/>
              <w:right w:val="nil"/>
            </w:tcBorders>
            <w:noWrap/>
            <w:vAlign w:val="center"/>
            <w:hideMark/>
          </w:tcPr>
          <w:p w14:paraId="6EADDF8B"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88</w:t>
            </w:r>
          </w:p>
        </w:tc>
        <w:tc>
          <w:tcPr>
            <w:tcW w:w="864" w:type="dxa"/>
            <w:tcBorders>
              <w:top w:val="nil"/>
              <w:left w:val="nil"/>
              <w:bottom w:val="nil"/>
              <w:right w:val="nil"/>
            </w:tcBorders>
            <w:noWrap/>
            <w:vAlign w:val="center"/>
            <w:hideMark/>
          </w:tcPr>
          <w:p w14:paraId="1F65B8AE"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89</w:t>
            </w:r>
          </w:p>
        </w:tc>
      </w:tr>
      <w:tr w:rsidR="00415EC0" w:rsidRPr="001B41AD" w14:paraId="77163613" w14:textId="77777777" w:rsidTr="00415EC0">
        <w:trPr>
          <w:trHeight w:val="262"/>
        </w:trPr>
        <w:tc>
          <w:tcPr>
            <w:tcW w:w="1392" w:type="dxa"/>
            <w:tcBorders>
              <w:top w:val="nil"/>
              <w:left w:val="nil"/>
              <w:bottom w:val="nil"/>
              <w:right w:val="nil"/>
            </w:tcBorders>
            <w:noWrap/>
            <w:vAlign w:val="center"/>
            <w:hideMark/>
          </w:tcPr>
          <w:p w14:paraId="44BAB08E" w14:textId="77777777" w:rsidR="00415EC0" w:rsidRPr="001B41AD" w:rsidRDefault="00415EC0" w:rsidP="00415EC0">
            <w:pPr>
              <w:spacing w:after="0"/>
              <w:jc w:val="center"/>
              <w:rPr>
                <w:rFonts w:cstheme="minorHAnsi"/>
                <w:sz w:val="18"/>
                <w:szCs w:val="18"/>
                <w:lang w:val="sr-Cyrl-CS"/>
              </w:rPr>
            </w:pPr>
            <w:r w:rsidRPr="001B41AD">
              <w:rPr>
                <w:rFonts w:cstheme="minorHAnsi"/>
                <w:sz w:val="18"/>
                <w:szCs w:val="18"/>
                <w:lang w:val="sr-Cyrl-CS"/>
              </w:rPr>
              <w:t>Под надзором</w:t>
            </w:r>
          </w:p>
        </w:tc>
        <w:tc>
          <w:tcPr>
            <w:tcW w:w="764" w:type="dxa"/>
            <w:tcBorders>
              <w:top w:val="nil"/>
              <w:left w:val="nil"/>
              <w:bottom w:val="nil"/>
              <w:right w:val="nil"/>
            </w:tcBorders>
            <w:noWrap/>
            <w:vAlign w:val="center"/>
            <w:hideMark/>
          </w:tcPr>
          <w:p w14:paraId="4914000B"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44</w:t>
            </w:r>
          </w:p>
        </w:tc>
        <w:tc>
          <w:tcPr>
            <w:tcW w:w="691" w:type="dxa"/>
            <w:tcBorders>
              <w:top w:val="nil"/>
              <w:left w:val="nil"/>
              <w:bottom w:val="nil"/>
              <w:right w:val="nil"/>
            </w:tcBorders>
            <w:noWrap/>
            <w:vAlign w:val="center"/>
            <w:hideMark/>
          </w:tcPr>
          <w:p w14:paraId="1F527247"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43</w:t>
            </w:r>
          </w:p>
        </w:tc>
        <w:tc>
          <w:tcPr>
            <w:tcW w:w="691" w:type="dxa"/>
            <w:tcBorders>
              <w:top w:val="nil"/>
              <w:left w:val="nil"/>
              <w:bottom w:val="nil"/>
              <w:right w:val="nil"/>
            </w:tcBorders>
            <w:noWrap/>
            <w:vAlign w:val="center"/>
            <w:hideMark/>
          </w:tcPr>
          <w:p w14:paraId="38F6BDD3"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34</w:t>
            </w:r>
          </w:p>
        </w:tc>
        <w:tc>
          <w:tcPr>
            <w:tcW w:w="864" w:type="dxa"/>
            <w:tcBorders>
              <w:top w:val="nil"/>
              <w:left w:val="nil"/>
              <w:bottom w:val="nil"/>
              <w:right w:val="nil"/>
            </w:tcBorders>
            <w:noWrap/>
            <w:vAlign w:val="center"/>
            <w:hideMark/>
          </w:tcPr>
          <w:p w14:paraId="6CDD0BAF"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24</w:t>
            </w:r>
          </w:p>
        </w:tc>
      </w:tr>
      <w:tr w:rsidR="00415EC0" w:rsidRPr="001B41AD" w14:paraId="4B2C2C53" w14:textId="77777777" w:rsidTr="00415EC0">
        <w:trPr>
          <w:trHeight w:val="272"/>
        </w:trPr>
        <w:tc>
          <w:tcPr>
            <w:tcW w:w="1392" w:type="dxa"/>
            <w:tcBorders>
              <w:top w:val="nil"/>
              <w:left w:val="nil"/>
              <w:bottom w:val="single" w:sz="8" w:space="0" w:color="auto"/>
              <w:right w:val="nil"/>
            </w:tcBorders>
            <w:noWrap/>
            <w:vAlign w:val="center"/>
            <w:hideMark/>
          </w:tcPr>
          <w:p w14:paraId="2A2580B2" w14:textId="77777777" w:rsidR="00415EC0" w:rsidRPr="001B41AD" w:rsidRDefault="00415EC0" w:rsidP="00415EC0">
            <w:pPr>
              <w:spacing w:after="0"/>
              <w:jc w:val="center"/>
              <w:rPr>
                <w:rFonts w:cstheme="minorHAnsi"/>
                <w:sz w:val="18"/>
                <w:szCs w:val="18"/>
                <w:lang w:val="sr-Cyrl-CS"/>
              </w:rPr>
            </w:pPr>
            <w:r w:rsidRPr="001B41AD">
              <w:rPr>
                <w:rFonts w:cstheme="minorHAnsi"/>
                <w:sz w:val="18"/>
                <w:szCs w:val="18"/>
                <w:lang w:val="sr-Cyrl-CS"/>
              </w:rPr>
              <w:t>У ризику</w:t>
            </w:r>
          </w:p>
        </w:tc>
        <w:tc>
          <w:tcPr>
            <w:tcW w:w="764" w:type="dxa"/>
            <w:tcBorders>
              <w:top w:val="nil"/>
              <w:left w:val="nil"/>
              <w:bottom w:val="single" w:sz="8" w:space="0" w:color="auto"/>
              <w:right w:val="nil"/>
            </w:tcBorders>
            <w:noWrap/>
            <w:vAlign w:val="center"/>
            <w:hideMark/>
          </w:tcPr>
          <w:p w14:paraId="7BC70800"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23</w:t>
            </w:r>
          </w:p>
        </w:tc>
        <w:tc>
          <w:tcPr>
            <w:tcW w:w="691" w:type="dxa"/>
            <w:tcBorders>
              <w:top w:val="nil"/>
              <w:left w:val="nil"/>
              <w:bottom w:val="single" w:sz="8" w:space="0" w:color="auto"/>
              <w:right w:val="nil"/>
            </w:tcBorders>
            <w:noWrap/>
            <w:vAlign w:val="center"/>
            <w:hideMark/>
          </w:tcPr>
          <w:p w14:paraId="1D8AD1F3"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24</w:t>
            </w:r>
          </w:p>
        </w:tc>
        <w:tc>
          <w:tcPr>
            <w:tcW w:w="691" w:type="dxa"/>
            <w:tcBorders>
              <w:top w:val="nil"/>
              <w:left w:val="nil"/>
              <w:bottom w:val="single" w:sz="8" w:space="0" w:color="auto"/>
              <w:right w:val="nil"/>
            </w:tcBorders>
            <w:noWrap/>
            <w:vAlign w:val="center"/>
            <w:hideMark/>
          </w:tcPr>
          <w:p w14:paraId="71A52B1F"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23</w:t>
            </w:r>
          </w:p>
        </w:tc>
        <w:tc>
          <w:tcPr>
            <w:tcW w:w="864" w:type="dxa"/>
            <w:tcBorders>
              <w:top w:val="nil"/>
              <w:left w:val="nil"/>
              <w:bottom w:val="single" w:sz="8" w:space="0" w:color="auto"/>
              <w:right w:val="nil"/>
            </w:tcBorders>
            <w:noWrap/>
            <w:vAlign w:val="center"/>
            <w:hideMark/>
          </w:tcPr>
          <w:p w14:paraId="687427EA" w14:textId="77777777" w:rsidR="00415EC0" w:rsidRPr="001B41AD" w:rsidRDefault="00415EC0" w:rsidP="00415EC0">
            <w:pPr>
              <w:spacing w:after="0"/>
              <w:jc w:val="center"/>
              <w:rPr>
                <w:rFonts w:cstheme="minorHAnsi"/>
                <w:b/>
                <w:sz w:val="18"/>
                <w:szCs w:val="18"/>
                <w:lang w:val="sr-Cyrl-CS"/>
              </w:rPr>
            </w:pPr>
            <w:r w:rsidRPr="001B41AD">
              <w:rPr>
                <w:rFonts w:cstheme="minorHAnsi"/>
                <w:b/>
                <w:sz w:val="18"/>
                <w:szCs w:val="18"/>
                <w:lang w:val="sr-Cyrl-CS"/>
              </w:rPr>
              <w:t>32</w:t>
            </w:r>
          </w:p>
        </w:tc>
      </w:tr>
    </w:tbl>
    <w:p w14:paraId="78AD50B4"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Према добијеним подацима везаним за стање оптерећења плаћањима јединица локалних самоуправа у периоду 2022-2024. године. утврђено је да већина јединица локалних самоуправа функционише под нормалним ризиком (56%), да око 27% јединица локалних самоуправа захтева надзор, док око 15% јединица локалних самоуправа је у ризику.</w:t>
      </w:r>
    </w:p>
    <w:p w14:paraId="2BFE0074"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Јединице локалне самоуправе које су у ризику су најчешће оне јединице локалне самоуправе које поред кредитног задужења за потребе реализације капиталних пројеката, имају и друге преузете обавезе на расходној страни које значајно оптерећују њихов буџет.</w:t>
      </w:r>
    </w:p>
    <w:p w14:paraId="4A642DBE"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Када су у питању подаци везани за период јануар-септембар 2025. године уочавају се промене у оптерећењу плаћањима јединица локалне самоуправе у односу на претходни период. Број јединица са нормалним ризиком износи 89 (88 у 2024. години), што указује на стабилност већег дела локалних самоуправа у погледу редовног измиривања обавеза. Истовремено, број јединица под надзором смањен је са 34 на 24, што може указивати на побољшање ликвидности и ефикасније управљање обавезама. Међутим, број јединица у ризику повећан је са 23 на 32, што упућује на пораст броја локалних самоуправа које имају израженије потешкоће у сервисирању обавеза. Како подаци обухватају само прва три квартала 2025. године, потребно их је тумачити са резервом и сагледати на годишњем нивоу ради поузданије процене трендова у области оптерећења плаћањима јединица локалне самоуправе.</w:t>
      </w:r>
    </w:p>
    <w:p w14:paraId="003BB66E" w14:textId="77777777" w:rsidR="00FD7592" w:rsidRPr="001B41AD" w:rsidRDefault="00FD7592" w:rsidP="00FD7592">
      <w:pPr>
        <w:rPr>
          <w:rFonts w:ascii="Calibri" w:eastAsia="Calibri" w:hAnsi="Calibri" w:cs="Calibri"/>
          <w:bCs/>
          <w:szCs w:val="20"/>
          <w:lang w:val="sr-Cyrl-CS"/>
        </w:rPr>
      </w:pPr>
      <w:r w:rsidRPr="001B41AD">
        <w:rPr>
          <w:rFonts w:ascii="Calibri" w:eastAsia="Calibri" w:hAnsi="Calibri" w:cs="Calibri"/>
          <w:bCs/>
          <w:szCs w:val="20"/>
          <w:lang w:val="sr-Cyrl-CS"/>
        </w:rPr>
        <w:t>У циљу контроле задуживања јединица локалних самоуправа</w:t>
      </w:r>
      <w:r w:rsidR="00001545" w:rsidRPr="001B41AD">
        <w:rPr>
          <w:rFonts w:ascii="Calibri" w:eastAsia="Calibri" w:hAnsi="Calibri" w:cs="Calibri"/>
          <w:bCs/>
          <w:szCs w:val="20"/>
          <w:lang w:val="sr-Cyrl-CS"/>
        </w:rPr>
        <w:t>,</w:t>
      </w:r>
      <w:r w:rsidRPr="001B41AD">
        <w:rPr>
          <w:rFonts w:ascii="Calibri" w:eastAsia="Calibri" w:hAnsi="Calibri" w:cs="Calibri"/>
          <w:bCs/>
          <w:szCs w:val="20"/>
          <w:lang w:val="sr-Cyrl-CS"/>
        </w:rPr>
        <w:t xml:space="preserve"> Министарство финансија је у складу са чл. 33-37. Закона о јавном дугу у претходним </w:t>
      </w:r>
      <w:r w:rsidRPr="001B41AD">
        <w:rPr>
          <w:rFonts w:ascii="Calibri" w:eastAsia="Calibri" w:hAnsi="Calibri" w:cs="Calibri"/>
          <w:bCs/>
          <w:szCs w:val="20"/>
          <w:lang w:val="sr-Cyrl-CS"/>
        </w:rPr>
        <w:t>годинама преузело значајне кораке. Јединице локалне самоуправе</w:t>
      </w:r>
      <w:r w:rsidR="00001545" w:rsidRPr="001B41AD">
        <w:rPr>
          <w:rFonts w:ascii="Calibri" w:eastAsia="Calibri" w:hAnsi="Calibri" w:cs="Calibri"/>
          <w:bCs/>
          <w:szCs w:val="20"/>
          <w:lang w:val="sr-Cyrl-CS"/>
        </w:rPr>
        <w:t>,</w:t>
      </w:r>
      <w:r w:rsidRPr="001B41AD">
        <w:rPr>
          <w:rFonts w:ascii="Calibri" w:eastAsia="Calibri" w:hAnsi="Calibri" w:cs="Calibri"/>
          <w:bCs/>
          <w:szCs w:val="20"/>
          <w:lang w:val="sr-Cyrl-CS"/>
        </w:rPr>
        <w:t xml:space="preserve"> које желе да се кредитно задуже ради финансирања капиталних пројеката или текуће ликвидности</w:t>
      </w:r>
      <w:r w:rsidR="00001545" w:rsidRPr="001B41AD">
        <w:rPr>
          <w:rFonts w:ascii="Calibri" w:eastAsia="Calibri" w:hAnsi="Calibri" w:cs="Calibri"/>
          <w:bCs/>
          <w:szCs w:val="20"/>
          <w:lang w:val="sr-Cyrl-CS"/>
        </w:rPr>
        <w:t>,</w:t>
      </w:r>
      <w:r w:rsidRPr="001B41AD">
        <w:rPr>
          <w:rFonts w:ascii="Calibri" w:eastAsia="Calibri" w:hAnsi="Calibri" w:cs="Calibri"/>
          <w:bCs/>
          <w:szCs w:val="20"/>
          <w:lang w:val="sr-Cyrl-CS"/>
        </w:rPr>
        <w:t xml:space="preserve"> морају пре доношења скупштинскe одлуке о задуживању да претходно прибаве сагласност Министарства финансија. Министарство финансија приликом разматрања захтева за кредитно задуживање првенствено посматра да ли су јединице локалне самоуправе поштовале смернице из Упутства за припрему одлука о буџету локалних власти за текућу годину, те уколико нису то чиниле не могу добити сагласност за кредитно задуживање. Поред наведеног, Законом о јавном дугу су постављени и лимити до којих се локалне власти могу кредитно задужити и исти су везани са ниво остварених текућих прихода у претходној буџетској години. Јединице локалне самоуправе се могу кредитно задужити ради финансирања текуће ликв</w:t>
      </w:r>
      <w:r w:rsidR="007545C1" w:rsidRPr="001B41AD">
        <w:rPr>
          <w:rFonts w:ascii="Calibri" w:eastAsia="Calibri" w:hAnsi="Calibri" w:cs="Calibri"/>
          <w:bCs/>
          <w:szCs w:val="20"/>
          <w:lang w:val="sr-Cyrl-CS"/>
        </w:rPr>
        <w:t>ид</w:t>
      </w:r>
      <w:r w:rsidR="00001545" w:rsidRPr="001B41AD">
        <w:rPr>
          <w:rFonts w:ascii="Calibri" w:eastAsia="Calibri" w:hAnsi="Calibri" w:cs="Calibri"/>
          <w:bCs/>
          <w:szCs w:val="20"/>
          <w:lang w:val="sr-Cyrl-CS"/>
        </w:rPr>
        <w:t xml:space="preserve">ности до висине 5% </w:t>
      </w:r>
      <w:r w:rsidRPr="001B41AD">
        <w:rPr>
          <w:rFonts w:ascii="Calibri" w:eastAsia="Calibri" w:hAnsi="Calibri" w:cs="Calibri"/>
          <w:bCs/>
          <w:szCs w:val="20"/>
          <w:lang w:val="sr-Cyrl-CS"/>
        </w:rPr>
        <w:t xml:space="preserve">износа остварених текућих прихода у претходној буџетској години, с тим што тај износ кредита мора бити враћен то краја текуће буџетске године и исти се не може рефинансирати нити преносити у наредну буџетску годину. Кредитно задуживање јединица локалне самоуправе ради финансирања капиталних пројеката је ограничено до 50% од вредности остварених текућих прихода у претходној буџетској години, с тим да износ главнице и камате који доспева у свакој години на сва неизмирена дугорочна задуживања за финансирање капиталних инвестиционих расхода, не може бити већи од 15% укупно остварених текућих прихода буџета локалне власти у претходној години. Уз примену ових законских одредби, као и редовну контролу која се врши од стране Министарства финансија спречено је да јединице локалне самоуправе могу доћи у стање презадужености, те омогућавања да уз постојеће стање дуга могу нормално да функционишу и обављају послове из своје надлежности. Поред наведеног, у новембру 2023. године локалне власти су укључене у Систем за извештавање о стању јавног дуга аутономних покрајина и јединица локалне самоуправе (СИЈД) који омогућава праћење података о задужењима и отплати кредита, пласману новчаних средстава и емисији и отплати хартија од вредности, као и креирање захтева за добијање сагласности о </w:t>
      </w:r>
      <w:r w:rsidRPr="001B41AD">
        <w:rPr>
          <w:rFonts w:ascii="Calibri" w:eastAsia="Calibri" w:hAnsi="Calibri" w:cs="Calibri"/>
          <w:bCs/>
          <w:szCs w:val="20"/>
          <w:lang w:val="sr-Cyrl-CS"/>
        </w:rPr>
        <w:lastRenderedPageBreak/>
        <w:t xml:space="preserve">задуживању. Министарство финансија у наредном периоду планира да настави рад са свим јединицама локалне самоуправе, а нарочито са </w:t>
      </w:r>
      <w:r w:rsidRPr="001B41AD">
        <w:rPr>
          <w:rFonts w:ascii="Calibri" w:eastAsia="Calibri" w:hAnsi="Calibri" w:cs="Calibri"/>
          <w:bCs/>
          <w:szCs w:val="20"/>
          <w:lang w:val="sr-Cyrl-CS"/>
        </w:rPr>
        <w:t>оним чије је функционисање пр</w:t>
      </w:r>
      <w:r w:rsidR="00130E66" w:rsidRPr="001B41AD">
        <w:rPr>
          <w:rFonts w:ascii="Calibri" w:eastAsia="Calibri" w:hAnsi="Calibri" w:cs="Calibri"/>
          <w:bCs/>
          <w:szCs w:val="20"/>
          <w:lang w:val="sr-Cyrl-CS"/>
        </w:rPr>
        <w:t xml:space="preserve">ема горе наведеним параметрима </w:t>
      </w:r>
      <w:r w:rsidRPr="001B41AD">
        <w:rPr>
          <w:rFonts w:ascii="Calibri" w:eastAsia="Calibri" w:hAnsi="Calibri" w:cs="Calibri"/>
          <w:bCs/>
          <w:szCs w:val="20"/>
          <w:lang w:val="sr-Cyrl-CS"/>
        </w:rPr>
        <w:t>означено као ризично.</w:t>
      </w:r>
    </w:p>
    <w:p w14:paraId="0DD25CBA" w14:textId="77777777" w:rsidR="009059A0" w:rsidRPr="001B41AD" w:rsidRDefault="009059A0" w:rsidP="00B63247">
      <w:pPr>
        <w:rPr>
          <w:lang w:val="sr-Cyrl-CS"/>
        </w:rPr>
        <w:sectPr w:rsidR="009059A0" w:rsidRPr="001B41AD" w:rsidSect="009059A0">
          <w:headerReference w:type="even" r:id="rId161"/>
          <w:footerReference w:type="even" r:id="rId162"/>
          <w:footerReference w:type="default" r:id="rId163"/>
          <w:headerReference w:type="first" r:id="rId164"/>
          <w:type w:val="continuous"/>
          <w:pgSz w:w="12240" w:h="15840" w:code="1"/>
          <w:pgMar w:top="1440" w:right="1440" w:bottom="1440" w:left="1440" w:header="720" w:footer="720" w:gutter="0"/>
          <w:cols w:num="2" w:space="720"/>
          <w:docGrid w:linePitch="360"/>
        </w:sectPr>
      </w:pPr>
    </w:p>
    <w:p w14:paraId="5183E3F5" w14:textId="598606D6" w:rsidR="004E78E7" w:rsidRPr="001B41AD" w:rsidRDefault="004E78E7" w:rsidP="00B63247">
      <w:pPr>
        <w:rPr>
          <w:lang w:val="sr-Cyrl-CS"/>
        </w:rPr>
      </w:pPr>
    </w:p>
    <w:p w14:paraId="4BCD1CBF" w14:textId="77777777" w:rsidR="008F269F" w:rsidRPr="001B41AD" w:rsidRDefault="008F269F" w:rsidP="00204810">
      <w:pPr>
        <w:pStyle w:val="Heading2"/>
        <w:numPr>
          <w:ilvl w:val="0"/>
          <w:numId w:val="18"/>
        </w:numPr>
        <w:rPr>
          <w:rFonts w:asciiTheme="minorHAnsi" w:hAnsiTheme="minorHAnsi" w:cstheme="minorHAnsi"/>
          <w:lang w:val="sr-Cyrl-CS"/>
        </w:rPr>
      </w:pPr>
      <w:bookmarkStart w:id="55" w:name="_Toc212642473"/>
      <w:r w:rsidRPr="001B41AD">
        <w:rPr>
          <w:rFonts w:asciiTheme="minorHAnsi" w:hAnsiTheme="minorHAnsi" w:cstheme="minorHAnsi"/>
          <w:lang w:val="sr-Cyrl-CS"/>
        </w:rPr>
        <w:t>Циклично прилагођени и структурни фискални биланс</w:t>
      </w:r>
      <w:bookmarkEnd w:id="55"/>
    </w:p>
    <w:p w14:paraId="16D4B710" w14:textId="77777777" w:rsidR="008F269F" w:rsidRPr="001B41AD" w:rsidRDefault="008F269F" w:rsidP="008F269F">
      <w:pPr>
        <w:pStyle w:val="ListParagraph"/>
        <w:rPr>
          <w:lang w:val="sr-Cyrl-CS"/>
        </w:rPr>
      </w:pPr>
    </w:p>
    <w:p w14:paraId="797F94F6" w14:textId="77777777" w:rsidR="008F269F" w:rsidRPr="001B41AD" w:rsidRDefault="008F269F" w:rsidP="008F269F">
      <w:pPr>
        <w:rPr>
          <w:lang w:val="sr-Cyrl-CS"/>
        </w:rPr>
        <w:sectPr w:rsidR="008F269F" w:rsidRPr="001B41AD" w:rsidSect="008D31CC">
          <w:type w:val="continuous"/>
          <w:pgSz w:w="12240" w:h="15840" w:code="1"/>
          <w:pgMar w:top="1440" w:right="1440" w:bottom="1440" w:left="1440" w:header="720" w:footer="720" w:gutter="0"/>
          <w:cols w:space="720"/>
          <w:docGrid w:linePitch="360"/>
        </w:sectPr>
      </w:pPr>
    </w:p>
    <w:p w14:paraId="2E828B64" w14:textId="77777777" w:rsidR="008F269F" w:rsidRPr="001B41AD" w:rsidRDefault="008F269F" w:rsidP="008F269F">
      <w:pPr>
        <w:spacing w:after="120"/>
        <w:rPr>
          <w:rFonts w:ascii="Calibri" w:eastAsia="MS PGothic" w:hAnsi="Calibri" w:cs="Calibri"/>
          <w:szCs w:val="20"/>
          <w:lang w:val="sr-Cyrl-CS" w:eastAsia="ja-JP"/>
        </w:rPr>
      </w:pPr>
      <w:bookmarkStart w:id="56" w:name="_Toc499650054"/>
      <w:bookmarkStart w:id="57" w:name="_Toc530635110"/>
      <w:bookmarkStart w:id="58" w:name="_Toc11155996"/>
      <w:r w:rsidRPr="001B41AD">
        <w:rPr>
          <w:rFonts w:eastAsia="MS PGothic" w:cstheme="minorHAnsi"/>
          <w:szCs w:val="20"/>
          <w:lang w:val="sr-Cyrl-CS" w:eastAsia="ja-JP"/>
        </w:rPr>
        <w:t>Циклично прилагођени фискални биланс је фискални биланс из кога је искључен изоловани утицај привредног циклуса, а</w:t>
      </w:r>
      <w:r w:rsidRPr="001B41AD">
        <w:rPr>
          <w:rFonts w:ascii="Calibri" w:eastAsia="MS PGothic" w:hAnsi="Calibri" w:cs="Calibri"/>
          <w:szCs w:val="20"/>
          <w:lang w:val="sr-Cyrl-CS" w:eastAsia="ja-JP"/>
        </w:rPr>
        <w:t xml:space="preserve"> идентитет од кога се полази је следећи:</w:t>
      </w:r>
    </w:p>
    <w:p w14:paraId="612A5611" w14:textId="77777777" w:rsidR="008F269F" w:rsidRPr="001B41AD" w:rsidRDefault="008F269F" w:rsidP="008F269F">
      <w:pPr>
        <w:spacing w:after="120"/>
        <w:jc w:val="center"/>
        <w:rPr>
          <w:rFonts w:ascii="Calibri" w:eastAsia="MS PGothic" w:hAnsi="Calibri" w:cs="Calibri"/>
          <w:szCs w:val="20"/>
          <w:lang w:val="sr-Cyrl-CS" w:eastAsia="ja-JP"/>
        </w:rPr>
      </w:pPr>
      <w:r w:rsidRPr="001B41AD">
        <w:rPr>
          <w:rFonts w:ascii="Calibri" w:eastAsia="MS PGothic" w:hAnsi="Calibri" w:cs="Calibri"/>
          <w:sz w:val="18"/>
          <w:szCs w:val="20"/>
          <w:vertAlign w:val="superscript"/>
          <w:lang w:val="sr-Cyrl-CS" w:eastAsia="ja-JP"/>
        </w:rPr>
        <w:footnoteReference w:id="5"/>
      </w:r>
      <w:r w:rsidRPr="001B41AD">
        <w:rPr>
          <w:rFonts w:ascii="Calibri" w:eastAsia="MS PGothic" w:hAnsi="Calibri" w:cs="Calibri"/>
          <w:szCs w:val="20"/>
          <w:lang w:val="sr-Cyrl-CS" w:eastAsia="ja-JP"/>
        </w:rPr>
        <w:t>FB = CB + CAB</w:t>
      </w:r>
    </w:p>
    <w:p w14:paraId="3034A2BE" w14:textId="77777777" w:rsidR="008F269F" w:rsidRPr="001B41AD" w:rsidRDefault="008F269F" w:rsidP="008F269F">
      <w:pPr>
        <w:spacing w:after="120"/>
        <w:rPr>
          <w:rFonts w:eastAsia="MS PGothic" w:cstheme="minorHAnsi"/>
          <w:szCs w:val="20"/>
          <w:lang w:val="sr-Cyrl-CS" w:eastAsia="ja-JP"/>
        </w:rPr>
      </w:pPr>
      <w:r w:rsidRPr="001B41AD">
        <w:rPr>
          <w:rFonts w:ascii="Calibri" w:eastAsia="MS PGothic" w:hAnsi="Calibri" w:cs="Calibri"/>
          <w:szCs w:val="20"/>
          <w:lang w:val="sr-Cyrl-CS" w:eastAsia="ja-JP"/>
        </w:rPr>
        <w:t>Део фискалног биланса (FB)</w:t>
      </w:r>
      <w:r w:rsidRPr="001B41AD">
        <w:rPr>
          <w:rFonts w:ascii="Calibri" w:eastAsia="MS PGothic" w:hAnsi="Calibri" w:cs="Calibri"/>
          <w:i/>
          <w:szCs w:val="20"/>
          <w:lang w:val="sr-Cyrl-CS" w:eastAsia="ja-JP"/>
        </w:rPr>
        <w:t xml:space="preserve"> </w:t>
      </w:r>
      <w:r w:rsidRPr="001B41AD">
        <w:rPr>
          <w:rFonts w:ascii="Calibri" w:eastAsia="MS PGothic" w:hAnsi="Calibri" w:cs="Calibri"/>
          <w:szCs w:val="20"/>
          <w:lang w:val="sr-Cyrl-CS" w:eastAsia="ja-JP"/>
        </w:rPr>
        <w:t>који није под утицајем цикличних флуктуација назива се циклично прилагођени фискални биланс (CAB),</w:t>
      </w:r>
      <w:r w:rsidRPr="001B41AD">
        <w:rPr>
          <w:rFonts w:ascii="Calibri" w:eastAsia="MS PGothic" w:hAnsi="Calibri" w:cs="Calibri"/>
          <w:i/>
          <w:szCs w:val="20"/>
          <w:lang w:val="sr-Cyrl-CS" w:eastAsia="ja-JP"/>
        </w:rPr>
        <w:t xml:space="preserve"> </w:t>
      </w:r>
      <w:r w:rsidRPr="001B41AD">
        <w:rPr>
          <w:rFonts w:ascii="Calibri" w:eastAsia="MS PGothic" w:hAnsi="Calibri" w:cs="Calibri"/>
          <w:szCs w:val="20"/>
          <w:lang w:val="sr-Cyrl-CS" w:eastAsia="ja-JP"/>
        </w:rPr>
        <w:t xml:space="preserve">а циљ ове процедуре је изоловање цикличне компоненте </w:t>
      </w:r>
      <w:r w:rsidRPr="001B41AD">
        <w:rPr>
          <w:rFonts w:eastAsia="MS PGothic" w:cstheme="minorHAnsi"/>
          <w:szCs w:val="20"/>
          <w:lang w:val="sr-Cyrl-CS" w:eastAsia="ja-JP"/>
        </w:rPr>
        <w:t>фискалног биланса (CB) која је резултат дејства производног јаза. Стварни фискални биланс биће једнак циклично прилагођеном у случају да је производни јаз једнак нули, тј. ако је стопа раста реалног БДП једнака потенцијалној. Структурни фискални биланс се даље рачунски добија елиминацијом једнократних ефеката на приходној и расходној страни, и тако показује структурну (трајну) фискалну позицију.</w:t>
      </w:r>
    </w:p>
    <w:p w14:paraId="6E542152" w14:textId="77777777" w:rsidR="008F269F" w:rsidRPr="001B41AD" w:rsidRDefault="008F269F" w:rsidP="008F269F">
      <w:pPr>
        <w:spacing w:after="120"/>
        <w:rPr>
          <w:rFonts w:eastAsia="MS PGothic" w:cstheme="minorHAnsi"/>
          <w:szCs w:val="20"/>
          <w:lang w:val="sr-Cyrl-CS" w:eastAsia="ja-JP"/>
        </w:rPr>
      </w:pPr>
      <w:r w:rsidRPr="001B41AD">
        <w:rPr>
          <w:rFonts w:ascii="Calibri" w:eastAsia="MS PGothic" w:hAnsi="Calibri" w:cs="Calibri"/>
          <w:szCs w:val="20"/>
          <w:lang w:val="sr-Cyrl-CS" w:eastAsia="ja-JP"/>
        </w:rPr>
        <w:t>Ф</w:t>
      </w:r>
      <w:r w:rsidRPr="001B41AD">
        <w:rPr>
          <w:rFonts w:eastAsia="MS PGothic" w:cstheme="minorHAnsi"/>
          <w:szCs w:val="20"/>
          <w:lang w:val="sr-Cyrl-CS" w:eastAsia="ja-JP"/>
        </w:rPr>
        <w:t>искални простор креиран у претходном периоду и значајно структурно унапређена фискална позиција земље, омогућили су простор за релаксацију фискалне политике у кризним временима.</w:t>
      </w:r>
    </w:p>
    <w:p w14:paraId="2C8F3FE0" w14:textId="77777777" w:rsidR="008F269F" w:rsidRPr="001B41AD" w:rsidRDefault="008F269F" w:rsidP="008F269F">
      <w:pPr>
        <w:spacing w:after="120"/>
        <w:rPr>
          <w:rFonts w:ascii="Calibri" w:eastAsia="MS PGothic" w:hAnsi="Calibri" w:cs="Calibri"/>
          <w:spacing w:val="-2"/>
          <w:szCs w:val="20"/>
          <w:lang w:val="sr-Cyrl-CS" w:eastAsia="ja-JP"/>
        </w:rPr>
      </w:pPr>
    </w:p>
    <w:p w14:paraId="0E923C3C" w14:textId="77777777" w:rsidR="008F269F" w:rsidRPr="001B41AD" w:rsidRDefault="008F269F" w:rsidP="008F269F">
      <w:pPr>
        <w:spacing w:after="120"/>
        <w:rPr>
          <w:rFonts w:ascii="Calibri" w:eastAsia="MS PGothic" w:hAnsi="Calibri" w:cs="Calibri"/>
          <w:spacing w:val="-2"/>
          <w:szCs w:val="20"/>
          <w:lang w:val="sr-Cyrl-CS" w:eastAsia="ja-JP"/>
        </w:rPr>
      </w:pPr>
    </w:p>
    <w:p w14:paraId="1B1D84B1" w14:textId="77777777" w:rsidR="008F269F" w:rsidRPr="001B41AD" w:rsidRDefault="008F269F" w:rsidP="008F269F">
      <w:pPr>
        <w:spacing w:after="120"/>
        <w:rPr>
          <w:rFonts w:ascii="Calibri" w:eastAsia="MS PGothic" w:hAnsi="Calibri" w:cs="Calibri"/>
          <w:spacing w:val="-2"/>
          <w:szCs w:val="20"/>
          <w:lang w:val="sr-Cyrl-CS" w:eastAsia="ja-JP"/>
        </w:rPr>
      </w:pPr>
    </w:p>
    <w:p w14:paraId="56784B4C" w14:textId="77777777" w:rsidR="008F269F" w:rsidRPr="001B41AD" w:rsidRDefault="008F269F" w:rsidP="008F269F">
      <w:pPr>
        <w:spacing w:after="120"/>
        <w:rPr>
          <w:rFonts w:ascii="Calibri" w:eastAsia="MS PGothic" w:hAnsi="Calibri" w:cs="Calibri"/>
          <w:spacing w:val="-2"/>
          <w:szCs w:val="20"/>
          <w:lang w:val="sr-Cyrl-CS" w:eastAsia="ja-JP"/>
        </w:rPr>
      </w:pPr>
    </w:p>
    <w:p w14:paraId="5FED8A02" w14:textId="77777777" w:rsidR="008F269F" w:rsidRPr="001B41AD" w:rsidRDefault="008F269F" w:rsidP="008F269F">
      <w:pPr>
        <w:spacing w:after="120"/>
        <w:rPr>
          <w:rFonts w:ascii="Calibri" w:eastAsia="MS PGothic" w:hAnsi="Calibri" w:cs="Calibri"/>
          <w:spacing w:val="-2"/>
          <w:szCs w:val="20"/>
          <w:lang w:val="sr-Cyrl-CS" w:eastAsia="ja-JP"/>
        </w:rPr>
      </w:pPr>
    </w:p>
    <w:p w14:paraId="36D4620B" w14:textId="77777777" w:rsidR="008F269F" w:rsidRPr="001B41AD" w:rsidRDefault="008F269F" w:rsidP="008F269F">
      <w:pPr>
        <w:spacing w:after="120"/>
        <w:rPr>
          <w:rFonts w:ascii="Calibri" w:eastAsia="MS PGothic" w:hAnsi="Calibri" w:cs="Calibri"/>
          <w:spacing w:val="-2"/>
          <w:szCs w:val="20"/>
          <w:lang w:val="sr-Cyrl-CS" w:eastAsia="ja-JP"/>
        </w:rPr>
      </w:pPr>
    </w:p>
    <w:p w14:paraId="0CC20861" w14:textId="77777777" w:rsidR="008F269F" w:rsidRPr="001B41AD" w:rsidRDefault="008F269F" w:rsidP="008F269F">
      <w:pPr>
        <w:spacing w:after="120"/>
        <w:rPr>
          <w:rFonts w:ascii="Calibri" w:eastAsia="MS PGothic" w:hAnsi="Calibri" w:cs="Calibri"/>
          <w:spacing w:val="-2"/>
          <w:szCs w:val="20"/>
          <w:lang w:val="sr-Cyrl-CS" w:eastAsia="ja-JP"/>
        </w:rPr>
      </w:pPr>
    </w:p>
    <w:p w14:paraId="0AC8368D" w14:textId="77777777" w:rsidR="008F269F" w:rsidRPr="001B41AD" w:rsidRDefault="008F269F" w:rsidP="008F269F">
      <w:pPr>
        <w:spacing w:after="120"/>
        <w:rPr>
          <w:rFonts w:ascii="Calibri" w:eastAsia="MS PGothic" w:hAnsi="Calibri" w:cs="Calibri"/>
          <w:spacing w:val="-2"/>
          <w:szCs w:val="20"/>
          <w:lang w:val="sr-Cyrl-CS" w:eastAsia="ja-JP"/>
        </w:rPr>
      </w:pPr>
    </w:p>
    <w:p w14:paraId="3DE17360" w14:textId="77777777" w:rsidR="008F269F" w:rsidRPr="001B41AD" w:rsidRDefault="008F269F" w:rsidP="008F269F">
      <w:pPr>
        <w:spacing w:after="120"/>
        <w:rPr>
          <w:rFonts w:ascii="Calibri" w:eastAsia="MS PGothic" w:hAnsi="Calibri" w:cs="Calibri"/>
          <w:spacing w:val="-2"/>
          <w:szCs w:val="20"/>
          <w:lang w:val="sr-Cyrl-CS" w:eastAsia="ja-JP"/>
        </w:rPr>
      </w:pPr>
    </w:p>
    <w:p w14:paraId="0D13ED8A" w14:textId="77777777" w:rsidR="008F269F" w:rsidRPr="001B41AD" w:rsidRDefault="008F269F" w:rsidP="008F269F">
      <w:pPr>
        <w:spacing w:after="120"/>
        <w:rPr>
          <w:rFonts w:eastAsia="MS PGothic" w:cstheme="minorHAnsi"/>
          <w:szCs w:val="20"/>
          <w:lang w:val="sr-Cyrl-CS" w:eastAsia="ja-JP"/>
        </w:rPr>
      </w:pPr>
      <w:r w:rsidRPr="001B41AD">
        <w:rPr>
          <w:rFonts w:ascii="Calibri" w:eastAsia="MS PGothic" w:hAnsi="Calibri" w:cs="Calibri"/>
          <w:spacing w:val="-2"/>
          <w:szCs w:val="20"/>
          <w:lang w:val="sr-Cyrl-CS" w:eastAsia="ja-JP"/>
        </w:rPr>
        <w:t xml:space="preserve">Избијањем пандемије COVID-19 почетком 2020. године и увођењем мера за здравствену заштиту становништва, глобална економија је ушла у кризу без преседана. </w:t>
      </w:r>
      <w:r w:rsidRPr="001B41AD">
        <w:rPr>
          <w:rFonts w:ascii="Calibri" w:eastAsia="Calibri" w:hAnsi="Calibri" w:cs="Calibri"/>
          <w:szCs w:val="20"/>
          <w:lang w:val="sr-Cyrl-CS"/>
        </w:rPr>
        <w:t>Утицај на фискалну позицију је био видљив кроз смањене прихода буџета, који су последица успоравања економске активности услед пандемије, и драматично већих расхода условљених већим трошковима здравствене заштите и доношењем обимног пакета помоћи привреди и грађанима. У таквој ситуацији, уобичајена анализа привредног циклуса, квантификација фискалних мултипликатора и оцена еластичности фискалног баланса у односу на производни јаз не даје сасвим коректне оцене фискалне позиције земље.</w:t>
      </w:r>
      <w:r w:rsidRPr="001B41AD">
        <w:rPr>
          <w:rFonts w:ascii="Calibri" w:eastAsia="Calibri" w:hAnsi="Calibri" w:cs="Calibri"/>
          <w:spacing w:val="-2"/>
          <w:szCs w:val="20"/>
          <w:lang w:val="sr-Cyrl-CS"/>
        </w:rPr>
        <w:t xml:space="preserve"> </w:t>
      </w:r>
      <w:r w:rsidRPr="001B41AD">
        <w:rPr>
          <w:rFonts w:ascii="Calibri" w:eastAsia="Calibri" w:hAnsi="Calibri" w:cs="Calibri"/>
          <w:szCs w:val="20"/>
          <w:lang w:val="sr-Cyrl-CS"/>
        </w:rPr>
        <w:t>Одговор фискалне политике на сложену економску ситуацију узроковану пандемијом коронавируса у 2020. и 2021. години, представљен је опсежним пакетом мера помоћи привреди. У случају одсуства мера подршке привреди и становништву благ пад БДП у 2020. години и снажан опоравак током 2021. године би изостао, а већа контракција привреде би утицала на знатно спорији опоравак у наредном средњорочном периоду.</w:t>
      </w:r>
    </w:p>
    <w:p w14:paraId="508C7B6F" w14:textId="77777777" w:rsidR="008F269F" w:rsidRPr="001B41AD" w:rsidRDefault="008F269F" w:rsidP="008F269F">
      <w:pPr>
        <w:spacing w:after="120"/>
        <w:rPr>
          <w:rFonts w:ascii="Calibri" w:eastAsia="Calibri" w:hAnsi="Calibri" w:cs="Calibri"/>
          <w:szCs w:val="20"/>
          <w:lang w:val="sr-Cyrl-CS"/>
        </w:rPr>
      </w:pPr>
    </w:p>
    <w:p w14:paraId="386822EC" w14:textId="77777777" w:rsidR="008F269F" w:rsidRPr="001B41AD" w:rsidRDefault="008F269F" w:rsidP="008F269F">
      <w:pPr>
        <w:spacing w:after="120"/>
        <w:rPr>
          <w:rFonts w:ascii="Calibri" w:eastAsia="Calibri" w:hAnsi="Calibri" w:cs="Calibri"/>
          <w:szCs w:val="20"/>
          <w:lang w:val="sr-Cyrl-CS"/>
        </w:rPr>
      </w:pPr>
    </w:p>
    <w:p w14:paraId="0E108A29" w14:textId="77777777" w:rsidR="008F269F" w:rsidRPr="001B41AD" w:rsidRDefault="008F269F" w:rsidP="008F269F">
      <w:pPr>
        <w:spacing w:after="120"/>
        <w:rPr>
          <w:rFonts w:ascii="Calibri" w:eastAsia="Calibri" w:hAnsi="Calibri" w:cs="Calibri"/>
          <w:szCs w:val="20"/>
          <w:lang w:val="sr-Cyrl-CS"/>
        </w:rPr>
      </w:pPr>
    </w:p>
    <w:p w14:paraId="2B90F2E1" w14:textId="77777777" w:rsidR="008F269F" w:rsidRPr="001B41AD" w:rsidRDefault="008F269F" w:rsidP="008F269F">
      <w:pPr>
        <w:spacing w:after="120"/>
        <w:rPr>
          <w:rFonts w:ascii="Calibri" w:eastAsia="Calibri" w:hAnsi="Calibri" w:cs="Calibri"/>
          <w:szCs w:val="20"/>
          <w:lang w:val="sr-Cyrl-CS"/>
        </w:rPr>
      </w:pPr>
    </w:p>
    <w:p w14:paraId="72C26D1D" w14:textId="77777777" w:rsidR="008F269F" w:rsidRPr="001B41AD" w:rsidRDefault="008F269F" w:rsidP="008F269F">
      <w:pPr>
        <w:spacing w:after="120"/>
        <w:rPr>
          <w:rFonts w:ascii="Calibri" w:eastAsia="Calibri" w:hAnsi="Calibri" w:cs="Calibri"/>
          <w:szCs w:val="20"/>
          <w:lang w:val="sr-Cyrl-CS"/>
        </w:rPr>
      </w:pPr>
    </w:p>
    <w:p w14:paraId="27E0E766" w14:textId="77777777" w:rsidR="008F269F" w:rsidRPr="001B41AD" w:rsidRDefault="008F269F" w:rsidP="008F269F">
      <w:pPr>
        <w:spacing w:after="120"/>
        <w:rPr>
          <w:rFonts w:ascii="Calibri" w:eastAsia="Calibri" w:hAnsi="Calibri" w:cs="Calibri"/>
          <w:szCs w:val="20"/>
          <w:lang w:val="sr-Cyrl-CS"/>
        </w:rPr>
      </w:pPr>
    </w:p>
    <w:p w14:paraId="7A1A0340" w14:textId="77777777" w:rsidR="008F269F" w:rsidRPr="001B41AD" w:rsidRDefault="008F269F" w:rsidP="008F269F">
      <w:pPr>
        <w:spacing w:after="120"/>
        <w:rPr>
          <w:rFonts w:ascii="Calibri" w:eastAsia="Calibri" w:hAnsi="Calibri" w:cs="Calibri"/>
          <w:szCs w:val="20"/>
          <w:lang w:val="sr-Cyrl-CS"/>
        </w:rPr>
      </w:pPr>
    </w:p>
    <w:p w14:paraId="52FBAE3A" w14:textId="77777777" w:rsidR="008F269F" w:rsidRPr="001B41AD" w:rsidRDefault="008F269F" w:rsidP="008F269F">
      <w:pPr>
        <w:spacing w:after="120"/>
        <w:rPr>
          <w:rFonts w:ascii="Calibri" w:eastAsia="Calibri" w:hAnsi="Calibri" w:cs="Calibri"/>
          <w:szCs w:val="20"/>
          <w:lang w:val="sr-Cyrl-CS"/>
        </w:rPr>
      </w:pPr>
    </w:p>
    <w:p w14:paraId="1C57CA34" w14:textId="77777777" w:rsidR="008F269F" w:rsidRPr="001B41AD" w:rsidRDefault="008F269F" w:rsidP="008F269F">
      <w:pPr>
        <w:spacing w:after="120"/>
        <w:rPr>
          <w:rFonts w:ascii="Calibri" w:eastAsia="Calibri" w:hAnsi="Calibri" w:cs="Calibri"/>
          <w:szCs w:val="20"/>
          <w:lang w:val="sr-Cyrl-CS"/>
        </w:rPr>
      </w:pPr>
    </w:p>
    <w:p w14:paraId="6EF4EC47" w14:textId="77777777" w:rsidR="008F269F" w:rsidRPr="001B41AD" w:rsidRDefault="008F269F" w:rsidP="008F269F">
      <w:pPr>
        <w:spacing w:after="120"/>
        <w:rPr>
          <w:rFonts w:ascii="Calibri" w:eastAsia="Calibri" w:hAnsi="Calibri" w:cs="Calibri"/>
          <w:szCs w:val="20"/>
          <w:lang w:val="sr-Cyrl-CS"/>
        </w:rPr>
        <w:sectPr w:rsidR="008F269F" w:rsidRPr="001B41AD" w:rsidSect="00683785">
          <w:type w:val="continuous"/>
          <w:pgSz w:w="12240" w:h="15840" w:code="1"/>
          <w:pgMar w:top="1417" w:right="1417" w:bottom="1417" w:left="1417" w:header="720" w:footer="720" w:gutter="0"/>
          <w:cols w:num="2" w:space="720"/>
        </w:sectPr>
      </w:pPr>
    </w:p>
    <w:tbl>
      <w:tblPr>
        <w:tblStyle w:val="PlainTable2"/>
        <w:tblpPr w:leftFromText="180" w:rightFromText="180" w:vertAnchor="text" w:horzAnchor="margin" w:tblpY="543"/>
        <w:tblW w:w="0" w:type="auto"/>
        <w:tblLook w:val="04A0" w:firstRow="1" w:lastRow="0" w:firstColumn="1" w:lastColumn="0" w:noHBand="0" w:noVBand="1"/>
      </w:tblPr>
      <w:tblGrid>
        <w:gridCol w:w="541"/>
        <w:gridCol w:w="1100"/>
        <w:gridCol w:w="907"/>
        <w:gridCol w:w="1058"/>
        <w:gridCol w:w="1241"/>
        <w:gridCol w:w="1304"/>
        <w:gridCol w:w="1118"/>
        <w:gridCol w:w="1181"/>
        <w:gridCol w:w="956"/>
      </w:tblGrid>
      <w:tr w:rsidR="008F269F" w:rsidRPr="001B41AD" w14:paraId="2B1DB92B" w14:textId="77777777" w:rsidTr="0040548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noWrap/>
            <w:hideMark/>
          </w:tcPr>
          <w:p w14:paraId="45195342" w14:textId="77777777" w:rsidR="008F269F" w:rsidRPr="001B41AD" w:rsidRDefault="008F269F" w:rsidP="00405489">
            <w:pPr>
              <w:jc w:val="left"/>
              <w:rPr>
                <w:rFonts w:eastAsia="Times New Roman" w:cstheme="minorHAnsi"/>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lastRenderedPageBreak/>
              <w:t> </w:t>
            </w:r>
          </w:p>
        </w:tc>
        <w:tc>
          <w:tcPr>
            <w:tcW w:w="0" w:type="auto"/>
            <w:tcBorders>
              <w:bottom w:val="none" w:sz="0" w:space="0" w:color="auto"/>
            </w:tcBorders>
            <w:hideMark/>
          </w:tcPr>
          <w:p w14:paraId="779BE15E" w14:textId="77777777" w:rsidR="008F269F" w:rsidRPr="001B41AD" w:rsidRDefault="008F269F" w:rsidP="0040548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 xml:space="preserve">Производни јаз </w:t>
            </w:r>
          </w:p>
        </w:tc>
        <w:tc>
          <w:tcPr>
            <w:tcW w:w="0" w:type="auto"/>
            <w:tcBorders>
              <w:bottom w:val="none" w:sz="0" w:space="0" w:color="auto"/>
            </w:tcBorders>
            <w:hideMark/>
          </w:tcPr>
          <w:p w14:paraId="3221BD8C" w14:textId="77777777" w:rsidR="008F269F" w:rsidRPr="001B41AD" w:rsidRDefault="008F269F" w:rsidP="0040548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 xml:space="preserve">Фискални </w:t>
            </w:r>
            <w:r w:rsidRPr="001B41AD">
              <w:rPr>
                <w:rFonts w:eastAsia="Times New Roman" w:cstheme="minorHAnsi"/>
                <w:color w:val="1F4E79" w:themeColor="accent5" w:themeShade="80"/>
                <w:sz w:val="16"/>
                <w:szCs w:val="16"/>
                <w:lang w:val="sr-Cyrl-CS"/>
              </w:rPr>
              <w:br/>
              <w:t>биланс</w:t>
            </w:r>
          </w:p>
        </w:tc>
        <w:tc>
          <w:tcPr>
            <w:tcW w:w="0" w:type="auto"/>
            <w:tcBorders>
              <w:bottom w:val="none" w:sz="0" w:space="0" w:color="auto"/>
            </w:tcBorders>
            <w:hideMark/>
          </w:tcPr>
          <w:p w14:paraId="53717B00" w14:textId="77777777" w:rsidR="008F269F" w:rsidRPr="001B41AD" w:rsidRDefault="008F269F" w:rsidP="0040548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Примарни фискални биланс</w:t>
            </w:r>
          </w:p>
        </w:tc>
        <w:tc>
          <w:tcPr>
            <w:tcW w:w="0" w:type="auto"/>
            <w:tcBorders>
              <w:bottom w:val="none" w:sz="0" w:space="0" w:color="auto"/>
            </w:tcBorders>
            <w:hideMark/>
          </w:tcPr>
          <w:p w14:paraId="4388925B" w14:textId="77777777" w:rsidR="008F269F" w:rsidRPr="001B41AD" w:rsidRDefault="008F269F" w:rsidP="0040548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 xml:space="preserve">Циклично </w:t>
            </w:r>
            <w:r w:rsidRPr="001B41AD">
              <w:rPr>
                <w:rFonts w:eastAsia="Times New Roman" w:cstheme="minorHAnsi"/>
                <w:color w:val="1F4E79" w:themeColor="accent5" w:themeShade="80"/>
                <w:sz w:val="16"/>
                <w:szCs w:val="16"/>
                <w:lang w:val="sr-Cyrl-CS"/>
              </w:rPr>
              <w:br/>
              <w:t>прилагођени  фискални биланс</w:t>
            </w:r>
          </w:p>
        </w:tc>
        <w:tc>
          <w:tcPr>
            <w:tcW w:w="0" w:type="auto"/>
            <w:tcBorders>
              <w:bottom w:val="none" w:sz="0" w:space="0" w:color="auto"/>
            </w:tcBorders>
            <w:hideMark/>
          </w:tcPr>
          <w:p w14:paraId="6963815A" w14:textId="77777777" w:rsidR="008F269F" w:rsidRPr="001B41AD" w:rsidRDefault="008F269F" w:rsidP="0040548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 xml:space="preserve">Циклично </w:t>
            </w:r>
            <w:r w:rsidRPr="001B41AD">
              <w:rPr>
                <w:rFonts w:eastAsia="Times New Roman" w:cstheme="minorHAnsi"/>
                <w:color w:val="1F4E79" w:themeColor="accent5" w:themeShade="80"/>
                <w:sz w:val="16"/>
                <w:szCs w:val="16"/>
                <w:lang w:val="sr-Cyrl-CS"/>
              </w:rPr>
              <w:br/>
              <w:t>прилагођени примарни фискални биланс</w:t>
            </w:r>
          </w:p>
        </w:tc>
        <w:tc>
          <w:tcPr>
            <w:tcW w:w="0" w:type="auto"/>
            <w:tcBorders>
              <w:bottom w:val="none" w:sz="0" w:space="0" w:color="auto"/>
            </w:tcBorders>
            <w:hideMark/>
          </w:tcPr>
          <w:p w14:paraId="296640CC" w14:textId="77777777" w:rsidR="008F269F" w:rsidRPr="001B41AD" w:rsidRDefault="008F269F" w:rsidP="0040548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Структурни  фискални биланс</w:t>
            </w:r>
          </w:p>
        </w:tc>
        <w:tc>
          <w:tcPr>
            <w:tcW w:w="0" w:type="auto"/>
            <w:tcBorders>
              <w:bottom w:val="none" w:sz="0" w:space="0" w:color="auto"/>
            </w:tcBorders>
            <w:hideMark/>
          </w:tcPr>
          <w:p w14:paraId="52D0A98D" w14:textId="77777777" w:rsidR="008F269F" w:rsidRPr="001B41AD" w:rsidRDefault="008F269F" w:rsidP="0040548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Структурни примарни фискални биланс</w:t>
            </w:r>
          </w:p>
        </w:tc>
        <w:tc>
          <w:tcPr>
            <w:tcW w:w="0" w:type="auto"/>
            <w:tcBorders>
              <w:bottom w:val="none" w:sz="0" w:space="0" w:color="auto"/>
            </w:tcBorders>
            <w:hideMark/>
          </w:tcPr>
          <w:p w14:paraId="2A055F17" w14:textId="77777777" w:rsidR="008F269F" w:rsidRPr="001B41AD" w:rsidRDefault="008F269F" w:rsidP="0040548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Фискални импулс</w:t>
            </w:r>
          </w:p>
        </w:tc>
      </w:tr>
      <w:tr w:rsidR="008F269F" w:rsidRPr="001B41AD" w14:paraId="1644646A"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2E5568DC"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2005</w:t>
            </w:r>
          </w:p>
        </w:tc>
        <w:tc>
          <w:tcPr>
            <w:tcW w:w="0" w:type="auto"/>
            <w:tcBorders>
              <w:top w:val="none" w:sz="0" w:space="0" w:color="auto"/>
              <w:bottom w:val="none" w:sz="0" w:space="0" w:color="auto"/>
            </w:tcBorders>
            <w:hideMark/>
          </w:tcPr>
          <w:p w14:paraId="1DA48947"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0,0</w:t>
            </w:r>
          </w:p>
        </w:tc>
        <w:tc>
          <w:tcPr>
            <w:tcW w:w="0" w:type="auto"/>
            <w:tcBorders>
              <w:top w:val="none" w:sz="0" w:space="0" w:color="auto"/>
              <w:bottom w:val="none" w:sz="0" w:space="0" w:color="auto"/>
            </w:tcBorders>
            <w:hideMark/>
          </w:tcPr>
          <w:p w14:paraId="4C333BF7"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c>
          <w:tcPr>
            <w:tcW w:w="0" w:type="auto"/>
            <w:tcBorders>
              <w:top w:val="none" w:sz="0" w:space="0" w:color="auto"/>
              <w:bottom w:val="none" w:sz="0" w:space="0" w:color="auto"/>
            </w:tcBorders>
            <w:hideMark/>
          </w:tcPr>
          <w:p w14:paraId="64903E08"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2,0</w:t>
            </w:r>
          </w:p>
        </w:tc>
        <w:tc>
          <w:tcPr>
            <w:tcW w:w="0" w:type="auto"/>
            <w:tcBorders>
              <w:top w:val="none" w:sz="0" w:space="0" w:color="auto"/>
              <w:bottom w:val="none" w:sz="0" w:space="0" w:color="auto"/>
            </w:tcBorders>
            <w:noWrap/>
            <w:hideMark/>
          </w:tcPr>
          <w:p w14:paraId="0CA8A7C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c>
          <w:tcPr>
            <w:tcW w:w="0" w:type="auto"/>
            <w:tcBorders>
              <w:top w:val="none" w:sz="0" w:space="0" w:color="auto"/>
              <w:bottom w:val="none" w:sz="0" w:space="0" w:color="auto"/>
            </w:tcBorders>
            <w:hideMark/>
          </w:tcPr>
          <w:p w14:paraId="3D3A36B8"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2,0</w:t>
            </w:r>
          </w:p>
        </w:tc>
        <w:tc>
          <w:tcPr>
            <w:tcW w:w="0" w:type="auto"/>
            <w:tcBorders>
              <w:top w:val="none" w:sz="0" w:space="0" w:color="auto"/>
              <w:bottom w:val="none" w:sz="0" w:space="0" w:color="auto"/>
            </w:tcBorders>
            <w:noWrap/>
            <w:hideMark/>
          </w:tcPr>
          <w:p w14:paraId="7D52031D"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1,3</w:t>
            </w:r>
          </w:p>
        </w:tc>
        <w:tc>
          <w:tcPr>
            <w:tcW w:w="0" w:type="auto"/>
            <w:tcBorders>
              <w:top w:val="none" w:sz="0" w:space="0" w:color="auto"/>
              <w:bottom w:val="none" w:sz="0" w:space="0" w:color="auto"/>
            </w:tcBorders>
            <w:noWrap/>
            <w:hideMark/>
          </w:tcPr>
          <w:p w14:paraId="4E4E5A4F"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2,2</w:t>
            </w:r>
          </w:p>
        </w:tc>
        <w:tc>
          <w:tcPr>
            <w:tcW w:w="0" w:type="auto"/>
            <w:tcBorders>
              <w:top w:val="none" w:sz="0" w:space="0" w:color="auto"/>
              <w:bottom w:val="none" w:sz="0" w:space="0" w:color="auto"/>
            </w:tcBorders>
            <w:noWrap/>
            <w:hideMark/>
          </w:tcPr>
          <w:p w14:paraId="2EEB5C65"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p>
        </w:tc>
      </w:tr>
      <w:tr w:rsidR="008F269F" w:rsidRPr="001B41AD" w14:paraId="5143FAA6"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58CCE231"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2006</w:t>
            </w:r>
          </w:p>
        </w:tc>
        <w:tc>
          <w:tcPr>
            <w:tcW w:w="0" w:type="auto"/>
            <w:hideMark/>
          </w:tcPr>
          <w:p w14:paraId="470E47AB"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-3,5</w:t>
            </w:r>
          </w:p>
        </w:tc>
        <w:tc>
          <w:tcPr>
            <w:tcW w:w="0" w:type="auto"/>
            <w:hideMark/>
          </w:tcPr>
          <w:p w14:paraId="09E04B1C"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-1,4</w:t>
            </w:r>
          </w:p>
        </w:tc>
        <w:tc>
          <w:tcPr>
            <w:tcW w:w="0" w:type="auto"/>
            <w:hideMark/>
          </w:tcPr>
          <w:p w14:paraId="7CAE186E"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-0,1</w:t>
            </w:r>
          </w:p>
        </w:tc>
        <w:tc>
          <w:tcPr>
            <w:tcW w:w="0" w:type="auto"/>
            <w:noWrap/>
            <w:hideMark/>
          </w:tcPr>
          <w:p w14:paraId="3DEC3B0F"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-0,1</w:t>
            </w:r>
          </w:p>
        </w:tc>
        <w:tc>
          <w:tcPr>
            <w:tcW w:w="0" w:type="auto"/>
            <w:hideMark/>
          </w:tcPr>
          <w:p w14:paraId="2AA2751C"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c>
          <w:tcPr>
            <w:tcW w:w="0" w:type="auto"/>
            <w:hideMark/>
          </w:tcPr>
          <w:p w14:paraId="357371AA"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0,5</w:t>
            </w:r>
          </w:p>
        </w:tc>
        <w:tc>
          <w:tcPr>
            <w:tcW w:w="0" w:type="auto"/>
            <w:noWrap/>
            <w:hideMark/>
          </w:tcPr>
          <w:p w14:paraId="28DC4CF8"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1,8</w:t>
            </w:r>
          </w:p>
        </w:tc>
        <w:tc>
          <w:tcPr>
            <w:tcW w:w="0" w:type="auto"/>
            <w:noWrap/>
            <w:hideMark/>
          </w:tcPr>
          <w:p w14:paraId="26818124"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0,9</w:t>
            </w:r>
          </w:p>
        </w:tc>
      </w:tr>
      <w:tr w:rsidR="008F269F" w:rsidRPr="001B41AD" w14:paraId="33F2B37B"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37F39177"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2007</w:t>
            </w:r>
          </w:p>
        </w:tc>
        <w:tc>
          <w:tcPr>
            <w:tcW w:w="0" w:type="auto"/>
            <w:tcBorders>
              <w:top w:val="none" w:sz="0" w:space="0" w:color="auto"/>
              <w:bottom w:val="none" w:sz="0" w:space="0" w:color="auto"/>
            </w:tcBorders>
            <w:hideMark/>
          </w:tcPr>
          <w:p w14:paraId="16204FEF"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1,2</w:t>
            </w:r>
          </w:p>
        </w:tc>
        <w:tc>
          <w:tcPr>
            <w:tcW w:w="0" w:type="auto"/>
            <w:tcBorders>
              <w:top w:val="none" w:sz="0" w:space="0" w:color="auto"/>
              <w:bottom w:val="none" w:sz="0" w:space="0" w:color="auto"/>
            </w:tcBorders>
            <w:hideMark/>
          </w:tcPr>
          <w:p w14:paraId="70A74529"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-1,7</w:t>
            </w:r>
          </w:p>
        </w:tc>
        <w:tc>
          <w:tcPr>
            <w:tcW w:w="0" w:type="auto"/>
            <w:tcBorders>
              <w:top w:val="none" w:sz="0" w:space="0" w:color="auto"/>
              <w:bottom w:val="none" w:sz="0" w:space="0" w:color="auto"/>
            </w:tcBorders>
            <w:hideMark/>
          </w:tcPr>
          <w:p w14:paraId="5C151EB8"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-1,2</w:t>
            </w:r>
          </w:p>
        </w:tc>
        <w:tc>
          <w:tcPr>
            <w:tcW w:w="0" w:type="auto"/>
            <w:tcBorders>
              <w:top w:val="none" w:sz="0" w:space="0" w:color="auto"/>
              <w:bottom w:val="none" w:sz="0" w:space="0" w:color="auto"/>
            </w:tcBorders>
            <w:noWrap/>
            <w:hideMark/>
          </w:tcPr>
          <w:p w14:paraId="3148572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-2,1</w:t>
            </w:r>
          </w:p>
        </w:tc>
        <w:tc>
          <w:tcPr>
            <w:tcW w:w="0" w:type="auto"/>
            <w:tcBorders>
              <w:top w:val="none" w:sz="0" w:space="0" w:color="auto"/>
              <w:bottom w:val="none" w:sz="0" w:space="0" w:color="auto"/>
            </w:tcBorders>
            <w:hideMark/>
          </w:tcPr>
          <w:p w14:paraId="3F454D7D"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-1,6</w:t>
            </w:r>
          </w:p>
        </w:tc>
        <w:tc>
          <w:tcPr>
            <w:tcW w:w="0" w:type="auto"/>
            <w:tcBorders>
              <w:top w:val="none" w:sz="0" w:space="0" w:color="auto"/>
              <w:bottom w:val="none" w:sz="0" w:space="0" w:color="auto"/>
            </w:tcBorders>
            <w:hideMark/>
          </w:tcPr>
          <w:p w14:paraId="60BA7CB7"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-1,8</w:t>
            </w:r>
          </w:p>
        </w:tc>
        <w:tc>
          <w:tcPr>
            <w:tcW w:w="0" w:type="auto"/>
            <w:tcBorders>
              <w:top w:val="none" w:sz="0" w:space="0" w:color="auto"/>
              <w:bottom w:val="none" w:sz="0" w:space="0" w:color="auto"/>
            </w:tcBorders>
            <w:noWrap/>
            <w:hideMark/>
          </w:tcPr>
          <w:p w14:paraId="6D4F5D2F"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-1,3</w:t>
            </w:r>
          </w:p>
        </w:tc>
        <w:tc>
          <w:tcPr>
            <w:tcW w:w="0" w:type="auto"/>
            <w:tcBorders>
              <w:top w:val="none" w:sz="0" w:space="0" w:color="auto"/>
              <w:bottom w:val="none" w:sz="0" w:space="0" w:color="auto"/>
            </w:tcBorders>
            <w:noWrap/>
            <w:hideMark/>
          </w:tcPr>
          <w:p w14:paraId="18B6B2B6"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2,7</w:t>
            </w:r>
          </w:p>
        </w:tc>
      </w:tr>
      <w:tr w:rsidR="008F269F" w:rsidRPr="001B41AD" w14:paraId="4BCEC14B"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00DC347A"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2008</w:t>
            </w:r>
          </w:p>
        </w:tc>
        <w:tc>
          <w:tcPr>
            <w:tcW w:w="0" w:type="auto"/>
            <w:hideMark/>
          </w:tcPr>
          <w:p w14:paraId="1AD5E80A"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4,1</w:t>
            </w:r>
          </w:p>
        </w:tc>
        <w:tc>
          <w:tcPr>
            <w:tcW w:w="0" w:type="auto"/>
            <w:hideMark/>
          </w:tcPr>
          <w:p w14:paraId="1B33988F"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-2,4</w:t>
            </w:r>
          </w:p>
        </w:tc>
        <w:tc>
          <w:tcPr>
            <w:tcW w:w="0" w:type="auto"/>
            <w:hideMark/>
          </w:tcPr>
          <w:p w14:paraId="25706B86"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-1,9</w:t>
            </w:r>
          </w:p>
        </w:tc>
        <w:tc>
          <w:tcPr>
            <w:tcW w:w="0" w:type="auto"/>
            <w:noWrap/>
            <w:hideMark/>
          </w:tcPr>
          <w:p w14:paraId="64D9AD09"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-3,8</w:t>
            </w:r>
          </w:p>
        </w:tc>
        <w:tc>
          <w:tcPr>
            <w:tcW w:w="0" w:type="auto"/>
            <w:hideMark/>
          </w:tcPr>
          <w:p w14:paraId="0DD0210E"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-3,3</w:t>
            </w:r>
          </w:p>
        </w:tc>
        <w:tc>
          <w:tcPr>
            <w:tcW w:w="0" w:type="auto"/>
            <w:hideMark/>
          </w:tcPr>
          <w:p w14:paraId="0490CBB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-3,9</w:t>
            </w:r>
          </w:p>
        </w:tc>
        <w:tc>
          <w:tcPr>
            <w:tcW w:w="0" w:type="auto"/>
            <w:noWrap/>
            <w:hideMark/>
          </w:tcPr>
          <w:p w14:paraId="41E4C73C"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-3,4</w:t>
            </w:r>
          </w:p>
        </w:tc>
        <w:tc>
          <w:tcPr>
            <w:tcW w:w="0" w:type="auto"/>
            <w:noWrap/>
            <w:hideMark/>
          </w:tcPr>
          <w:p w14:paraId="00BC1DC5"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1,7</w:t>
            </w:r>
          </w:p>
        </w:tc>
      </w:tr>
      <w:tr w:rsidR="008F269F" w:rsidRPr="001B41AD" w14:paraId="51B2EF2C"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55DA32F6"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2009</w:t>
            </w:r>
          </w:p>
        </w:tc>
        <w:tc>
          <w:tcPr>
            <w:tcW w:w="0" w:type="auto"/>
            <w:tcBorders>
              <w:top w:val="none" w:sz="0" w:space="0" w:color="auto"/>
              <w:bottom w:val="none" w:sz="0" w:space="0" w:color="auto"/>
            </w:tcBorders>
            <w:hideMark/>
          </w:tcPr>
          <w:p w14:paraId="2EE1EF12"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-0,5</w:t>
            </w:r>
          </w:p>
        </w:tc>
        <w:tc>
          <w:tcPr>
            <w:tcW w:w="0" w:type="auto"/>
            <w:tcBorders>
              <w:top w:val="none" w:sz="0" w:space="0" w:color="auto"/>
              <w:bottom w:val="none" w:sz="0" w:space="0" w:color="auto"/>
            </w:tcBorders>
            <w:hideMark/>
          </w:tcPr>
          <w:p w14:paraId="2C9D4801"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-4,0</w:t>
            </w:r>
          </w:p>
        </w:tc>
        <w:tc>
          <w:tcPr>
            <w:tcW w:w="0" w:type="auto"/>
            <w:tcBorders>
              <w:top w:val="none" w:sz="0" w:space="0" w:color="auto"/>
              <w:bottom w:val="none" w:sz="0" w:space="0" w:color="auto"/>
            </w:tcBorders>
            <w:hideMark/>
          </w:tcPr>
          <w:p w14:paraId="28E00643"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-3,4</w:t>
            </w:r>
          </w:p>
        </w:tc>
        <w:tc>
          <w:tcPr>
            <w:tcW w:w="0" w:type="auto"/>
            <w:tcBorders>
              <w:top w:val="none" w:sz="0" w:space="0" w:color="auto"/>
              <w:bottom w:val="none" w:sz="0" w:space="0" w:color="auto"/>
            </w:tcBorders>
            <w:noWrap/>
            <w:hideMark/>
          </w:tcPr>
          <w:p w14:paraId="355CFF26"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-3,8</w:t>
            </w:r>
          </w:p>
        </w:tc>
        <w:tc>
          <w:tcPr>
            <w:tcW w:w="0" w:type="auto"/>
            <w:tcBorders>
              <w:top w:val="none" w:sz="0" w:space="0" w:color="auto"/>
              <w:bottom w:val="none" w:sz="0" w:space="0" w:color="auto"/>
            </w:tcBorders>
            <w:hideMark/>
          </w:tcPr>
          <w:p w14:paraId="4BB5213B"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-3,2</w:t>
            </w:r>
          </w:p>
        </w:tc>
        <w:tc>
          <w:tcPr>
            <w:tcW w:w="0" w:type="auto"/>
            <w:tcBorders>
              <w:top w:val="none" w:sz="0" w:space="0" w:color="auto"/>
              <w:bottom w:val="none" w:sz="0" w:space="0" w:color="auto"/>
            </w:tcBorders>
            <w:hideMark/>
          </w:tcPr>
          <w:p w14:paraId="7EC8B8C2"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-3,9</w:t>
            </w:r>
          </w:p>
        </w:tc>
        <w:tc>
          <w:tcPr>
            <w:tcW w:w="0" w:type="auto"/>
            <w:tcBorders>
              <w:top w:val="none" w:sz="0" w:space="0" w:color="auto"/>
              <w:bottom w:val="none" w:sz="0" w:space="0" w:color="auto"/>
            </w:tcBorders>
            <w:noWrap/>
            <w:hideMark/>
          </w:tcPr>
          <w:p w14:paraId="7564F2F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-3,3</w:t>
            </w:r>
          </w:p>
        </w:tc>
        <w:tc>
          <w:tcPr>
            <w:tcW w:w="0" w:type="auto"/>
            <w:tcBorders>
              <w:top w:val="none" w:sz="0" w:space="0" w:color="auto"/>
              <w:bottom w:val="none" w:sz="0" w:space="0" w:color="auto"/>
            </w:tcBorders>
            <w:noWrap/>
            <w:hideMark/>
          </w:tcPr>
          <w:p w14:paraId="3CCAF8A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-0,1</w:t>
            </w:r>
          </w:p>
        </w:tc>
      </w:tr>
      <w:tr w:rsidR="008F269F" w:rsidRPr="001B41AD" w14:paraId="61022E60"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588E3B28"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2010</w:t>
            </w:r>
          </w:p>
        </w:tc>
        <w:tc>
          <w:tcPr>
            <w:tcW w:w="0" w:type="auto"/>
            <w:hideMark/>
          </w:tcPr>
          <w:p w14:paraId="63805501"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0,4</w:t>
            </w:r>
          </w:p>
        </w:tc>
        <w:tc>
          <w:tcPr>
            <w:tcW w:w="0" w:type="auto"/>
            <w:hideMark/>
          </w:tcPr>
          <w:p w14:paraId="4D4A01A5"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-4,2</w:t>
            </w:r>
          </w:p>
        </w:tc>
        <w:tc>
          <w:tcPr>
            <w:tcW w:w="0" w:type="auto"/>
            <w:hideMark/>
          </w:tcPr>
          <w:p w14:paraId="2B2E0191"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-3,2</w:t>
            </w:r>
          </w:p>
        </w:tc>
        <w:tc>
          <w:tcPr>
            <w:tcW w:w="0" w:type="auto"/>
            <w:noWrap/>
            <w:hideMark/>
          </w:tcPr>
          <w:p w14:paraId="1EFEDD5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-4,3</w:t>
            </w:r>
          </w:p>
        </w:tc>
        <w:tc>
          <w:tcPr>
            <w:tcW w:w="0" w:type="auto"/>
            <w:hideMark/>
          </w:tcPr>
          <w:p w14:paraId="327EE96A"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-3,4</w:t>
            </w:r>
          </w:p>
        </w:tc>
        <w:tc>
          <w:tcPr>
            <w:tcW w:w="0" w:type="auto"/>
            <w:hideMark/>
          </w:tcPr>
          <w:p w14:paraId="49CD5CE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-4,4</w:t>
            </w:r>
          </w:p>
        </w:tc>
        <w:tc>
          <w:tcPr>
            <w:tcW w:w="0" w:type="auto"/>
            <w:noWrap/>
            <w:hideMark/>
          </w:tcPr>
          <w:p w14:paraId="6672CCA2"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-3,5</w:t>
            </w:r>
          </w:p>
        </w:tc>
        <w:tc>
          <w:tcPr>
            <w:tcW w:w="0" w:type="auto"/>
            <w:noWrap/>
            <w:hideMark/>
          </w:tcPr>
          <w:p w14:paraId="5D214934"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0,2</w:t>
            </w:r>
          </w:p>
        </w:tc>
      </w:tr>
      <w:tr w:rsidR="008F269F" w:rsidRPr="001B41AD" w14:paraId="269D57CA"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2BB9F497"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2011</w:t>
            </w:r>
          </w:p>
        </w:tc>
        <w:tc>
          <w:tcPr>
            <w:tcW w:w="0" w:type="auto"/>
            <w:tcBorders>
              <w:top w:val="none" w:sz="0" w:space="0" w:color="auto"/>
              <w:bottom w:val="none" w:sz="0" w:space="0" w:color="auto"/>
            </w:tcBorders>
            <w:hideMark/>
          </w:tcPr>
          <w:p w14:paraId="17E904EC"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0,3</w:t>
            </w:r>
          </w:p>
        </w:tc>
        <w:tc>
          <w:tcPr>
            <w:tcW w:w="0" w:type="auto"/>
            <w:tcBorders>
              <w:top w:val="none" w:sz="0" w:space="0" w:color="auto"/>
              <w:bottom w:val="none" w:sz="0" w:space="0" w:color="auto"/>
            </w:tcBorders>
            <w:hideMark/>
          </w:tcPr>
          <w:p w14:paraId="616E90D3"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-4,3</w:t>
            </w:r>
          </w:p>
        </w:tc>
        <w:tc>
          <w:tcPr>
            <w:tcW w:w="0" w:type="auto"/>
            <w:tcBorders>
              <w:top w:val="none" w:sz="0" w:space="0" w:color="auto"/>
              <w:bottom w:val="none" w:sz="0" w:space="0" w:color="auto"/>
            </w:tcBorders>
            <w:hideMark/>
          </w:tcPr>
          <w:p w14:paraId="69B6C63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-3,2</w:t>
            </w:r>
          </w:p>
        </w:tc>
        <w:tc>
          <w:tcPr>
            <w:tcW w:w="0" w:type="auto"/>
            <w:tcBorders>
              <w:top w:val="none" w:sz="0" w:space="0" w:color="auto"/>
              <w:bottom w:val="none" w:sz="0" w:space="0" w:color="auto"/>
            </w:tcBorders>
            <w:noWrap/>
            <w:hideMark/>
          </w:tcPr>
          <w:p w14:paraId="23E01F54"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-4,5</w:t>
            </w:r>
          </w:p>
        </w:tc>
        <w:tc>
          <w:tcPr>
            <w:tcW w:w="0" w:type="auto"/>
            <w:tcBorders>
              <w:top w:val="none" w:sz="0" w:space="0" w:color="auto"/>
              <w:bottom w:val="none" w:sz="0" w:space="0" w:color="auto"/>
            </w:tcBorders>
            <w:hideMark/>
          </w:tcPr>
          <w:p w14:paraId="681E9515"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-3,3</w:t>
            </w:r>
          </w:p>
        </w:tc>
        <w:tc>
          <w:tcPr>
            <w:tcW w:w="0" w:type="auto"/>
            <w:tcBorders>
              <w:top w:val="none" w:sz="0" w:space="0" w:color="auto"/>
              <w:bottom w:val="none" w:sz="0" w:space="0" w:color="auto"/>
            </w:tcBorders>
            <w:hideMark/>
          </w:tcPr>
          <w:p w14:paraId="784A2FFA"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-4,7</w:t>
            </w:r>
          </w:p>
        </w:tc>
        <w:tc>
          <w:tcPr>
            <w:tcW w:w="0" w:type="auto"/>
            <w:tcBorders>
              <w:top w:val="none" w:sz="0" w:space="0" w:color="auto"/>
              <w:bottom w:val="none" w:sz="0" w:space="0" w:color="auto"/>
            </w:tcBorders>
            <w:noWrap/>
            <w:hideMark/>
          </w:tcPr>
          <w:p w14:paraId="511F727F"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-3,5</w:t>
            </w:r>
          </w:p>
        </w:tc>
        <w:tc>
          <w:tcPr>
            <w:tcW w:w="0" w:type="auto"/>
            <w:tcBorders>
              <w:top w:val="none" w:sz="0" w:space="0" w:color="auto"/>
              <w:bottom w:val="none" w:sz="0" w:space="0" w:color="auto"/>
            </w:tcBorders>
            <w:noWrap/>
            <w:hideMark/>
          </w:tcPr>
          <w:p w14:paraId="3E784289"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0,0</w:t>
            </w:r>
          </w:p>
        </w:tc>
      </w:tr>
      <w:tr w:rsidR="008F269F" w:rsidRPr="001B41AD" w14:paraId="40AD502C"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7D3DA7F0"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2012</w:t>
            </w:r>
          </w:p>
        </w:tc>
        <w:tc>
          <w:tcPr>
            <w:tcW w:w="0" w:type="auto"/>
            <w:hideMark/>
          </w:tcPr>
          <w:p w14:paraId="41608DEF"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-0,1</w:t>
            </w:r>
          </w:p>
        </w:tc>
        <w:tc>
          <w:tcPr>
            <w:tcW w:w="0" w:type="auto"/>
            <w:hideMark/>
          </w:tcPr>
          <w:p w14:paraId="3031EB75"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-6,2</w:t>
            </w:r>
          </w:p>
        </w:tc>
        <w:tc>
          <w:tcPr>
            <w:tcW w:w="0" w:type="auto"/>
            <w:hideMark/>
          </w:tcPr>
          <w:p w14:paraId="0622B4FC"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-4,5</w:t>
            </w:r>
          </w:p>
        </w:tc>
        <w:tc>
          <w:tcPr>
            <w:tcW w:w="0" w:type="auto"/>
            <w:noWrap/>
            <w:hideMark/>
          </w:tcPr>
          <w:p w14:paraId="7C85D3FA"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-6,2</w:t>
            </w:r>
          </w:p>
        </w:tc>
        <w:tc>
          <w:tcPr>
            <w:tcW w:w="0" w:type="auto"/>
            <w:hideMark/>
          </w:tcPr>
          <w:p w14:paraId="35221302"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-4,5</w:t>
            </w:r>
          </w:p>
        </w:tc>
        <w:tc>
          <w:tcPr>
            <w:tcW w:w="0" w:type="auto"/>
            <w:hideMark/>
          </w:tcPr>
          <w:p w14:paraId="774010DC"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-6,1</w:t>
            </w:r>
          </w:p>
        </w:tc>
        <w:tc>
          <w:tcPr>
            <w:tcW w:w="0" w:type="auto"/>
            <w:noWrap/>
            <w:hideMark/>
          </w:tcPr>
          <w:p w14:paraId="6FD3BFA8"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-4,5</w:t>
            </w:r>
          </w:p>
        </w:tc>
        <w:tc>
          <w:tcPr>
            <w:tcW w:w="0" w:type="auto"/>
            <w:noWrap/>
            <w:hideMark/>
          </w:tcPr>
          <w:p w14:paraId="296C7410"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1,2</w:t>
            </w:r>
          </w:p>
        </w:tc>
      </w:tr>
      <w:tr w:rsidR="008F269F" w:rsidRPr="001B41AD" w14:paraId="355A553D"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53E970F7"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2013</w:t>
            </w:r>
          </w:p>
        </w:tc>
        <w:tc>
          <w:tcPr>
            <w:tcW w:w="0" w:type="auto"/>
            <w:tcBorders>
              <w:top w:val="none" w:sz="0" w:space="0" w:color="auto"/>
              <w:bottom w:val="none" w:sz="0" w:space="0" w:color="auto"/>
            </w:tcBorders>
            <w:hideMark/>
          </w:tcPr>
          <w:p w14:paraId="3D9F8A6C"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0,4</w:t>
            </w:r>
          </w:p>
        </w:tc>
        <w:tc>
          <w:tcPr>
            <w:tcW w:w="0" w:type="auto"/>
            <w:tcBorders>
              <w:top w:val="none" w:sz="0" w:space="0" w:color="auto"/>
              <w:bottom w:val="none" w:sz="0" w:space="0" w:color="auto"/>
            </w:tcBorders>
            <w:hideMark/>
          </w:tcPr>
          <w:p w14:paraId="2C8E3125"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-4,9</w:t>
            </w:r>
          </w:p>
        </w:tc>
        <w:tc>
          <w:tcPr>
            <w:tcW w:w="0" w:type="auto"/>
            <w:tcBorders>
              <w:top w:val="none" w:sz="0" w:space="0" w:color="auto"/>
              <w:bottom w:val="none" w:sz="0" w:space="0" w:color="auto"/>
            </w:tcBorders>
            <w:hideMark/>
          </w:tcPr>
          <w:p w14:paraId="66001F19"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-2,8</w:t>
            </w:r>
          </w:p>
        </w:tc>
        <w:tc>
          <w:tcPr>
            <w:tcW w:w="0" w:type="auto"/>
            <w:tcBorders>
              <w:top w:val="none" w:sz="0" w:space="0" w:color="auto"/>
              <w:bottom w:val="none" w:sz="0" w:space="0" w:color="auto"/>
            </w:tcBorders>
            <w:noWrap/>
            <w:hideMark/>
          </w:tcPr>
          <w:p w14:paraId="2DB5E6F0"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-5,1</w:t>
            </w:r>
          </w:p>
        </w:tc>
        <w:tc>
          <w:tcPr>
            <w:tcW w:w="0" w:type="auto"/>
            <w:tcBorders>
              <w:top w:val="none" w:sz="0" w:space="0" w:color="auto"/>
              <w:bottom w:val="none" w:sz="0" w:space="0" w:color="auto"/>
            </w:tcBorders>
            <w:hideMark/>
          </w:tcPr>
          <w:p w14:paraId="36694B65"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-3,0</w:t>
            </w:r>
          </w:p>
        </w:tc>
        <w:tc>
          <w:tcPr>
            <w:tcW w:w="0" w:type="auto"/>
            <w:tcBorders>
              <w:top w:val="none" w:sz="0" w:space="0" w:color="auto"/>
              <w:bottom w:val="none" w:sz="0" w:space="0" w:color="auto"/>
            </w:tcBorders>
            <w:hideMark/>
          </w:tcPr>
          <w:p w14:paraId="007E431A"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-4,8</w:t>
            </w:r>
          </w:p>
        </w:tc>
        <w:tc>
          <w:tcPr>
            <w:tcW w:w="0" w:type="auto"/>
            <w:tcBorders>
              <w:top w:val="none" w:sz="0" w:space="0" w:color="auto"/>
              <w:bottom w:val="none" w:sz="0" w:space="0" w:color="auto"/>
            </w:tcBorders>
            <w:noWrap/>
            <w:hideMark/>
          </w:tcPr>
          <w:p w14:paraId="06E0F505"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-2,7</w:t>
            </w:r>
          </w:p>
        </w:tc>
        <w:tc>
          <w:tcPr>
            <w:tcW w:w="0" w:type="auto"/>
            <w:tcBorders>
              <w:top w:val="none" w:sz="0" w:space="0" w:color="auto"/>
              <w:bottom w:val="none" w:sz="0" w:space="0" w:color="auto"/>
            </w:tcBorders>
            <w:noWrap/>
            <w:hideMark/>
          </w:tcPr>
          <w:p w14:paraId="7F24799C"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-1,5</w:t>
            </w:r>
          </w:p>
        </w:tc>
      </w:tr>
      <w:tr w:rsidR="008F269F" w:rsidRPr="001B41AD" w14:paraId="43C961DF"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6584D542"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2014</w:t>
            </w:r>
          </w:p>
        </w:tc>
        <w:tc>
          <w:tcPr>
            <w:tcW w:w="0" w:type="auto"/>
            <w:hideMark/>
          </w:tcPr>
          <w:p w14:paraId="33F6257C"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-1,7</w:t>
            </w:r>
          </w:p>
        </w:tc>
        <w:tc>
          <w:tcPr>
            <w:tcW w:w="0" w:type="auto"/>
            <w:hideMark/>
          </w:tcPr>
          <w:p w14:paraId="0508DE17"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-5,9</w:t>
            </w:r>
          </w:p>
        </w:tc>
        <w:tc>
          <w:tcPr>
            <w:tcW w:w="0" w:type="auto"/>
            <w:hideMark/>
          </w:tcPr>
          <w:p w14:paraId="403CDC3E"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-3,4</w:t>
            </w:r>
          </w:p>
        </w:tc>
        <w:tc>
          <w:tcPr>
            <w:tcW w:w="0" w:type="auto"/>
            <w:noWrap/>
            <w:hideMark/>
          </w:tcPr>
          <w:p w14:paraId="79D9FFBA"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-5,3</w:t>
            </w:r>
          </w:p>
        </w:tc>
        <w:tc>
          <w:tcPr>
            <w:tcW w:w="0" w:type="auto"/>
            <w:hideMark/>
          </w:tcPr>
          <w:p w14:paraId="3B346E2B"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-2,8</w:t>
            </w:r>
          </w:p>
        </w:tc>
        <w:tc>
          <w:tcPr>
            <w:tcW w:w="0" w:type="auto"/>
            <w:hideMark/>
          </w:tcPr>
          <w:p w14:paraId="65733B2A"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-4,5</w:t>
            </w:r>
          </w:p>
        </w:tc>
        <w:tc>
          <w:tcPr>
            <w:tcW w:w="0" w:type="auto"/>
            <w:noWrap/>
            <w:hideMark/>
          </w:tcPr>
          <w:p w14:paraId="10B1A868"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-1,9</w:t>
            </w:r>
          </w:p>
        </w:tc>
        <w:tc>
          <w:tcPr>
            <w:tcW w:w="0" w:type="auto"/>
            <w:noWrap/>
            <w:hideMark/>
          </w:tcPr>
          <w:p w14:paraId="0A9651B6"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-0,2</w:t>
            </w:r>
          </w:p>
        </w:tc>
      </w:tr>
      <w:tr w:rsidR="008F269F" w:rsidRPr="001B41AD" w14:paraId="433DBFCB"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1FBC8F0A"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2015</w:t>
            </w:r>
          </w:p>
        </w:tc>
        <w:tc>
          <w:tcPr>
            <w:tcW w:w="0" w:type="auto"/>
            <w:tcBorders>
              <w:top w:val="none" w:sz="0" w:space="0" w:color="auto"/>
              <w:bottom w:val="none" w:sz="0" w:space="0" w:color="auto"/>
            </w:tcBorders>
            <w:hideMark/>
          </w:tcPr>
          <w:p w14:paraId="1FC8431C"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-1,5</w:t>
            </w:r>
          </w:p>
        </w:tc>
        <w:tc>
          <w:tcPr>
            <w:tcW w:w="0" w:type="auto"/>
            <w:tcBorders>
              <w:top w:val="none" w:sz="0" w:space="0" w:color="auto"/>
              <w:bottom w:val="none" w:sz="0" w:space="0" w:color="auto"/>
            </w:tcBorders>
            <w:hideMark/>
          </w:tcPr>
          <w:p w14:paraId="60C33FCB"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-3,3</w:t>
            </w:r>
          </w:p>
        </w:tc>
        <w:tc>
          <w:tcPr>
            <w:tcW w:w="0" w:type="auto"/>
            <w:tcBorders>
              <w:top w:val="none" w:sz="0" w:space="0" w:color="auto"/>
              <w:bottom w:val="none" w:sz="0" w:space="0" w:color="auto"/>
            </w:tcBorders>
            <w:hideMark/>
          </w:tcPr>
          <w:p w14:paraId="3D73388C"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-0,5</w:t>
            </w:r>
          </w:p>
        </w:tc>
        <w:tc>
          <w:tcPr>
            <w:tcW w:w="0" w:type="auto"/>
            <w:tcBorders>
              <w:top w:val="none" w:sz="0" w:space="0" w:color="auto"/>
              <w:bottom w:val="none" w:sz="0" w:space="0" w:color="auto"/>
            </w:tcBorders>
            <w:noWrap/>
            <w:hideMark/>
          </w:tcPr>
          <w:p w14:paraId="084D189F"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-2,8</w:t>
            </w:r>
          </w:p>
        </w:tc>
        <w:tc>
          <w:tcPr>
            <w:tcW w:w="0" w:type="auto"/>
            <w:tcBorders>
              <w:top w:val="none" w:sz="0" w:space="0" w:color="auto"/>
              <w:bottom w:val="none" w:sz="0" w:space="0" w:color="auto"/>
            </w:tcBorders>
            <w:hideMark/>
          </w:tcPr>
          <w:p w14:paraId="10B6435D"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0,1</w:t>
            </w:r>
          </w:p>
        </w:tc>
        <w:tc>
          <w:tcPr>
            <w:tcW w:w="0" w:type="auto"/>
            <w:tcBorders>
              <w:top w:val="none" w:sz="0" w:space="0" w:color="auto"/>
              <w:bottom w:val="none" w:sz="0" w:space="0" w:color="auto"/>
            </w:tcBorders>
            <w:hideMark/>
          </w:tcPr>
          <w:p w14:paraId="3B42F1B8"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-2,0</w:t>
            </w:r>
          </w:p>
        </w:tc>
        <w:tc>
          <w:tcPr>
            <w:tcW w:w="0" w:type="auto"/>
            <w:tcBorders>
              <w:top w:val="none" w:sz="0" w:space="0" w:color="auto"/>
              <w:bottom w:val="none" w:sz="0" w:space="0" w:color="auto"/>
            </w:tcBorders>
            <w:noWrap/>
            <w:hideMark/>
          </w:tcPr>
          <w:p w14:paraId="123FFCC2"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0,9</w:t>
            </w:r>
          </w:p>
        </w:tc>
        <w:tc>
          <w:tcPr>
            <w:tcW w:w="0" w:type="auto"/>
            <w:tcBorders>
              <w:top w:val="none" w:sz="0" w:space="0" w:color="auto"/>
              <w:bottom w:val="none" w:sz="0" w:space="0" w:color="auto"/>
            </w:tcBorders>
            <w:noWrap/>
            <w:hideMark/>
          </w:tcPr>
          <w:p w14:paraId="3BD05AF2"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-2,9</w:t>
            </w:r>
          </w:p>
        </w:tc>
      </w:tr>
      <w:tr w:rsidR="008F269F" w:rsidRPr="001B41AD" w14:paraId="6875CBE8"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32F3AC55"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2016</w:t>
            </w:r>
          </w:p>
        </w:tc>
        <w:tc>
          <w:tcPr>
            <w:tcW w:w="0" w:type="auto"/>
            <w:noWrap/>
            <w:hideMark/>
          </w:tcPr>
          <w:p w14:paraId="49270DB3"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-0,4</w:t>
            </w:r>
          </w:p>
        </w:tc>
        <w:tc>
          <w:tcPr>
            <w:tcW w:w="0" w:type="auto"/>
            <w:noWrap/>
            <w:hideMark/>
          </w:tcPr>
          <w:p w14:paraId="7A45572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c>
          <w:tcPr>
            <w:tcW w:w="0" w:type="auto"/>
            <w:noWrap/>
            <w:hideMark/>
          </w:tcPr>
          <w:p w14:paraId="512E60AB"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1,6</w:t>
            </w:r>
          </w:p>
        </w:tc>
        <w:tc>
          <w:tcPr>
            <w:tcW w:w="0" w:type="auto"/>
            <w:noWrap/>
            <w:hideMark/>
          </w:tcPr>
          <w:p w14:paraId="7B3F5BC1"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-1,0</w:t>
            </w:r>
          </w:p>
        </w:tc>
        <w:tc>
          <w:tcPr>
            <w:tcW w:w="0" w:type="auto"/>
            <w:hideMark/>
          </w:tcPr>
          <w:p w14:paraId="48B000EF"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1,8</w:t>
            </w:r>
          </w:p>
        </w:tc>
        <w:tc>
          <w:tcPr>
            <w:tcW w:w="0" w:type="auto"/>
            <w:hideMark/>
          </w:tcPr>
          <w:p w14:paraId="2320BA8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-0,9</w:t>
            </w:r>
          </w:p>
        </w:tc>
        <w:tc>
          <w:tcPr>
            <w:tcW w:w="0" w:type="auto"/>
            <w:noWrap/>
            <w:hideMark/>
          </w:tcPr>
          <w:p w14:paraId="39A17203"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1,9</w:t>
            </w:r>
          </w:p>
        </w:tc>
        <w:tc>
          <w:tcPr>
            <w:tcW w:w="0" w:type="auto"/>
            <w:noWrap/>
            <w:hideMark/>
          </w:tcPr>
          <w:p w14:paraId="019FBF2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-1,7</w:t>
            </w:r>
          </w:p>
        </w:tc>
      </w:tr>
      <w:tr w:rsidR="008F269F" w:rsidRPr="001B41AD" w14:paraId="76E2D88B"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0A1C63B8"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2017</w:t>
            </w:r>
          </w:p>
        </w:tc>
        <w:tc>
          <w:tcPr>
            <w:tcW w:w="0" w:type="auto"/>
            <w:tcBorders>
              <w:top w:val="none" w:sz="0" w:space="0" w:color="auto"/>
              <w:bottom w:val="none" w:sz="0" w:space="0" w:color="auto"/>
            </w:tcBorders>
            <w:hideMark/>
          </w:tcPr>
          <w:p w14:paraId="7E2A4003"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-0,7</w:t>
            </w:r>
          </w:p>
        </w:tc>
        <w:tc>
          <w:tcPr>
            <w:tcW w:w="0" w:type="auto"/>
            <w:tcBorders>
              <w:top w:val="none" w:sz="0" w:space="0" w:color="auto"/>
              <w:bottom w:val="none" w:sz="0" w:space="0" w:color="auto"/>
            </w:tcBorders>
            <w:hideMark/>
          </w:tcPr>
          <w:p w14:paraId="35E6BFC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c>
          <w:tcPr>
            <w:tcW w:w="0" w:type="auto"/>
            <w:tcBorders>
              <w:top w:val="none" w:sz="0" w:space="0" w:color="auto"/>
              <w:bottom w:val="none" w:sz="0" w:space="0" w:color="auto"/>
            </w:tcBorders>
            <w:hideMark/>
          </w:tcPr>
          <w:p w14:paraId="70592078"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3,5</w:t>
            </w:r>
          </w:p>
        </w:tc>
        <w:tc>
          <w:tcPr>
            <w:tcW w:w="0" w:type="auto"/>
            <w:tcBorders>
              <w:top w:val="none" w:sz="0" w:space="0" w:color="auto"/>
              <w:bottom w:val="none" w:sz="0" w:space="0" w:color="auto"/>
            </w:tcBorders>
            <w:noWrap/>
            <w:hideMark/>
          </w:tcPr>
          <w:p w14:paraId="263F853F"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1,3</w:t>
            </w:r>
          </w:p>
        </w:tc>
        <w:tc>
          <w:tcPr>
            <w:tcW w:w="0" w:type="auto"/>
            <w:tcBorders>
              <w:top w:val="none" w:sz="0" w:space="0" w:color="auto"/>
              <w:bottom w:val="none" w:sz="0" w:space="0" w:color="auto"/>
            </w:tcBorders>
            <w:hideMark/>
          </w:tcPr>
          <w:p w14:paraId="6DE779DB"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3,7</w:t>
            </w:r>
          </w:p>
        </w:tc>
        <w:tc>
          <w:tcPr>
            <w:tcW w:w="0" w:type="auto"/>
            <w:tcBorders>
              <w:top w:val="none" w:sz="0" w:space="0" w:color="auto"/>
              <w:bottom w:val="none" w:sz="0" w:space="0" w:color="auto"/>
            </w:tcBorders>
            <w:hideMark/>
          </w:tcPr>
          <w:p w14:paraId="643ABAB2"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c>
          <w:tcPr>
            <w:tcW w:w="0" w:type="auto"/>
            <w:tcBorders>
              <w:top w:val="none" w:sz="0" w:space="0" w:color="auto"/>
              <w:bottom w:val="none" w:sz="0" w:space="0" w:color="auto"/>
            </w:tcBorders>
            <w:noWrap/>
            <w:hideMark/>
          </w:tcPr>
          <w:p w14:paraId="3C192D7C"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3,6</w:t>
            </w:r>
          </w:p>
        </w:tc>
        <w:tc>
          <w:tcPr>
            <w:tcW w:w="0" w:type="auto"/>
            <w:tcBorders>
              <w:top w:val="none" w:sz="0" w:space="0" w:color="auto"/>
              <w:bottom w:val="none" w:sz="0" w:space="0" w:color="auto"/>
            </w:tcBorders>
            <w:noWrap/>
            <w:hideMark/>
          </w:tcPr>
          <w:p w14:paraId="2CF2BA53"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-1,9</w:t>
            </w:r>
          </w:p>
        </w:tc>
      </w:tr>
      <w:tr w:rsidR="008F269F" w:rsidRPr="001B41AD" w14:paraId="65885F03"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779A36E4"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2018</w:t>
            </w:r>
          </w:p>
        </w:tc>
        <w:tc>
          <w:tcPr>
            <w:tcW w:w="0" w:type="auto"/>
            <w:hideMark/>
          </w:tcPr>
          <w:p w14:paraId="7238C655"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0,8</w:t>
            </w:r>
          </w:p>
        </w:tc>
        <w:tc>
          <w:tcPr>
            <w:tcW w:w="0" w:type="auto"/>
            <w:hideMark/>
          </w:tcPr>
          <w:p w14:paraId="071D8E50"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0,6</w:t>
            </w:r>
          </w:p>
        </w:tc>
        <w:tc>
          <w:tcPr>
            <w:tcW w:w="0" w:type="auto"/>
            <w:hideMark/>
          </w:tcPr>
          <w:p w14:paraId="13E9480A"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2,6</w:t>
            </w:r>
          </w:p>
        </w:tc>
        <w:tc>
          <w:tcPr>
            <w:tcW w:w="0" w:type="auto"/>
            <w:noWrap/>
            <w:hideMark/>
          </w:tcPr>
          <w:p w14:paraId="777D6B37"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0,3</w:t>
            </w:r>
          </w:p>
        </w:tc>
        <w:tc>
          <w:tcPr>
            <w:tcW w:w="0" w:type="auto"/>
            <w:hideMark/>
          </w:tcPr>
          <w:p w14:paraId="2187170A"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2,4</w:t>
            </w:r>
          </w:p>
        </w:tc>
        <w:tc>
          <w:tcPr>
            <w:tcW w:w="0" w:type="auto"/>
            <w:hideMark/>
          </w:tcPr>
          <w:p w14:paraId="568BB06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0,2</w:t>
            </w:r>
          </w:p>
        </w:tc>
        <w:tc>
          <w:tcPr>
            <w:tcW w:w="0" w:type="auto"/>
            <w:noWrap/>
            <w:hideMark/>
          </w:tcPr>
          <w:p w14:paraId="47FC1E9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2,2</w:t>
            </w:r>
          </w:p>
        </w:tc>
        <w:tc>
          <w:tcPr>
            <w:tcW w:w="0" w:type="auto"/>
            <w:noWrap/>
            <w:hideMark/>
          </w:tcPr>
          <w:p w14:paraId="2E2F3EC9"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1,4</w:t>
            </w:r>
          </w:p>
        </w:tc>
      </w:tr>
      <w:tr w:rsidR="008F269F" w:rsidRPr="001B41AD" w14:paraId="146B6377"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3BB1E68F"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2019</w:t>
            </w:r>
          </w:p>
        </w:tc>
        <w:tc>
          <w:tcPr>
            <w:tcW w:w="0" w:type="auto"/>
            <w:tcBorders>
              <w:top w:val="none" w:sz="0" w:space="0" w:color="auto"/>
              <w:bottom w:val="none" w:sz="0" w:space="0" w:color="auto"/>
            </w:tcBorders>
            <w:hideMark/>
          </w:tcPr>
          <w:p w14:paraId="32E6C814"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2,0</w:t>
            </w:r>
          </w:p>
        </w:tc>
        <w:tc>
          <w:tcPr>
            <w:tcW w:w="0" w:type="auto"/>
            <w:tcBorders>
              <w:top w:val="none" w:sz="0" w:space="0" w:color="auto"/>
              <w:bottom w:val="none" w:sz="0" w:space="0" w:color="auto"/>
            </w:tcBorders>
            <w:hideMark/>
          </w:tcPr>
          <w:p w14:paraId="5A966FB8"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-0,2</w:t>
            </w:r>
          </w:p>
        </w:tc>
        <w:tc>
          <w:tcPr>
            <w:tcW w:w="0" w:type="auto"/>
            <w:tcBorders>
              <w:top w:val="none" w:sz="0" w:space="0" w:color="auto"/>
              <w:bottom w:val="none" w:sz="0" w:space="0" w:color="auto"/>
            </w:tcBorders>
            <w:hideMark/>
          </w:tcPr>
          <w:p w14:paraId="5848D87C"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1,7</w:t>
            </w:r>
          </w:p>
        </w:tc>
        <w:tc>
          <w:tcPr>
            <w:tcW w:w="0" w:type="auto"/>
            <w:tcBorders>
              <w:top w:val="none" w:sz="0" w:space="0" w:color="auto"/>
              <w:bottom w:val="none" w:sz="0" w:space="0" w:color="auto"/>
            </w:tcBorders>
            <w:noWrap/>
            <w:hideMark/>
          </w:tcPr>
          <w:p w14:paraId="7DA5E370"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-0,9</w:t>
            </w:r>
          </w:p>
        </w:tc>
        <w:tc>
          <w:tcPr>
            <w:tcW w:w="0" w:type="auto"/>
            <w:tcBorders>
              <w:top w:val="none" w:sz="0" w:space="0" w:color="auto"/>
              <w:bottom w:val="none" w:sz="0" w:space="0" w:color="auto"/>
            </w:tcBorders>
            <w:hideMark/>
          </w:tcPr>
          <w:p w14:paraId="60132A16"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1,0</w:t>
            </w:r>
          </w:p>
        </w:tc>
        <w:tc>
          <w:tcPr>
            <w:tcW w:w="0" w:type="auto"/>
            <w:tcBorders>
              <w:top w:val="none" w:sz="0" w:space="0" w:color="auto"/>
              <w:bottom w:val="none" w:sz="0" w:space="0" w:color="auto"/>
            </w:tcBorders>
            <w:hideMark/>
          </w:tcPr>
          <w:p w14:paraId="5A426522"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c>
          <w:tcPr>
            <w:tcW w:w="0" w:type="auto"/>
            <w:tcBorders>
              <w:top w:val="none" w:sz="0" w:space="0" w:color="auto"/>
              <w:bottom w:val="none" w:sz="0" w:space="0" w:color="auto"/>
            </w:tcBorders>
            <w:noWrap/>
            <w:hideMark/>
          </w:tcPr>
          <w:p w14:paraId="402EACB5"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0,8</w:t>
            </w:r>
          </w:p>
        </w:tc>
        <w:tc>
          <w:tcPr>
            <w:tcW w:w="0" w:type="auto"/>
            <w:tcBorders>
              <w:top w:val="none" w:sz="0" w:space="0" w:color="auto"/>
              <w:bottom w:val="none" w:sz="0" w:space="0" w:color="auto"/>
            </w:tcBorders>
            <w:noWrap/>
            <w:hideMark/>
          </w:tcPr>
          <w:p w14:paraId="59A4700C"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1,4</w:t>
            </w:r>
          </w:p>
        </w:tc>
      </w:tr>
      <w:tr w:rsidR="008F269F" w:rsidRPr="001B41AD" w14:paraId="61AA5C94"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76D37D4E"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2020</w:t>
            </w:r>
          </w:p>
        </w:tc>
        <w:tc>
          <w:tcPr>
            <w:tcW w:w="0" w:type="auto"/>
            <w:hideMark/>
          </w:tcPr>
          <w:p w14:paraId="2A7B1891"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-2,5</w:t>
            </w:r>
          </w:p>
        </w:tc>
        <w:tc>
          <w:tcPr>
            <w:tcW w:w="0" w:type="auto"/>
            <w:hideMark/>
          </w:tcPr>
          <w:p w14:paraId="4F6A36A3"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-7,7</w:t>
            </w:r>
          </w:p>
        </w:tc>
        <w:tc>
          <w:tcPr>
            <w:tcW w:w="0" w:type="auto"/>
            <w:hideMark/>
          </w:tcPr>
          <w:p w14:paraId="38BEDB64"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-5,8</w:t>
            </w:r>
          </w:p>
        </w:tc>
        <w:tc>
          <w:tcPr>
            <w:tcW w:w="0" w:type="auto"/>
            <w:noWrap/>
            <w:hideMark/>
          </w:tcPr>
          <w:p w14:paraId="0CF34C72"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-6,8</w:t>
            </w:r>
          </w:p>
        </w:tc>
        <w:tc>
          <w:tcPr>
            <w:tcW w:w="0" w:type="auto"/>
            <w:hideMark/>
          </w:tcPr>
          <w:p w14:paraId="6CC85EF8"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-4,9</w:t>
            </w:r>
          </w:p>
        </w:tc>
        <w:tc>
          <w:tcPr>
            <w:tcW w:w="0" w:type="auto"/>
            <w:hideMark/>
          </w:tcPr>
          <w:p w14:paraId="5DF03AB7"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-0,1</w:t>
            </w:r>
          </w:p>
        </w:tc>
        <w:tc>
          <w:tcPr>
            <w:tcW w:w="0" w:type="auto"/>
            <w:noWrap/>
            <w:hideMark/>
          </w:tcPr>
          <w:p w14:paraId="64096A9A"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1,8</w:t>
            </w:r>
          </w:p>
        </w:tc>
        <w:tc>
          <w:tcPr>
            <w:tcW w:w="0" w:type="auto"/>
            <w:noWrap/>
            <w:hideMark/>
          </w:tcPr>
          <w:p w14:paraId="584B73E7"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5,9</w:t>
            </w:r>
          </w:p>
        </w:tc>
      </w:tr>
      <w:tr w:rsidR="008F269F" w:rsidRPr="001B41AD" w14:paraId="680D8ED9"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5FAE76AD"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2021</w:t>
            </w:r>
          </w:p>
        </w:tc>
        <w:tc>
          <w:tcPr>
            <w:tcW w:w="0" w:type="auto"/>
            <w:tcBorders>
              <w:top w:val="none" w:sz="0" w:space="0" w:color="auto"/>
              <w:bottom w:val="none" w:sz="0" w:space="0" w:color="auto"/>
            </w:tcBorders>
            <w:hideMark/>
          </w:tcPr>
          <w:p w14:paraId="430BADA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1,4</w:t>
            </w:r>
          </w:p>
        </w:tc>
        <w:tc>
          <w:tcPr>
            <w:tcW w:w="0" w:type="auto"/>
            <w:tcBorders>
              <w:top w:val="none" w:sz="0" w:space="0" w:color="auto"/>
              <w:bottom w:val="none" w:sz="0" w:space="0" w:color="auto"/>
            </w:tcBorders>
            <w:hideMark/>
          </w:tcPr>
          <w:p w14:paraId="3212B617"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-3,9</w:t>
            </w:r>
          </w:p>
        </w:tc>
        <w:tc>
          <w:tcPr>
            <w:tcW w:w="0" w:type="auto"/>
            <w:tcBorders>
              <w:top w:val="none" w:sz="0" w:space="0" w:color="auto"/>
              <w:bottom w:val="none" w:sz="0" w:space="0" w:color="auto"/>
            </w:tcBorders>
            <w:hideMark/>
          </w:tcPr>
          <w:p w14:paraId="12E06DF2"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-2,3</w:t>
            </w:r>
          </w:p>
        </w:tc>
        <w:tc>
          <w:tcPr>
            <w:tcW w:w="0" w:type="auto"/>
            <w:tcBorders>
              <w:top w:val="none" w:sz="0" w:space="0" w:color="auto"/>
              <w:bottom w:val="none" w:sz="0" w:space="0" w:color="auto"/>
            </w:tcBorders>
            <w:noWrap/>
            <w:hideMark/>
          </w:tcPr>
          <w:p w14:paraId="46E68B5F"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-4,4</w:t>
            </w:r>
          </w:p>
        </w:tc>
        <w:tc>
          <w:tcPr>
            <w:tcW w:w="0" w:type="auto"/>
            <w:tcBorders>
              <w:top w:val="none" w:sz="0" w:space="0" w:color="auto"/>
              <w:bottom w:val="none" w:sz="0" w:space="0" w:color="auto"/>
            </w:tcBorders>
            <w:hideMark/>
          </w:tcPr>
          <w:p w14:paraId="157D86AB"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-2,8</w:t>
            </w:r>
          </w:p>
        </w:tc>
        <w:tc>
          <w:tcPr>
            <w:tcW w:w="0" w:type="auto"/>
            <w:tcBorders>
              <w:top w:val="none" w:sz="0" w:space="0" w:color="auto"/>
              <w:bottom w:val="none" w:sz="0" w:space="0" w:color="auto"/>
            </w:tcBorders>
            <w:hideMark/>
          </w:tcPr>
          <w:p w14:paraId="0BA408B8"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-0,6</w:t>
            </w:r>
          </w:p>
        </w:tc>
        <w:tc>
          <w:tcPr>
            <w:tcW w:w="0" w:type="auto"/>
            <w:tcBorders>
              <w:top w:val="none" w:sz="0" w:space="0" w:color="auto"/>
              <w:bottom w:val="none" w:sz="0" w:space="0" w:color="auto"/>
            </w:tcBorders>
            <w:noWrap/>
            <w:hideMark/>
          </w:tcPr>
          <w:p w14:paraId="2EEF2FF8"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c>
          <w:tcPr>
            <w:tcW w:w="0" w:type="auto"/>
            <w:tcBorders>
              <w:top w:val="none" w:sz="0" w:space="0" w:color="auto"/>
              <w:bottom w:val="none" w:sz="0" w:space="0" w:color="auto"/>
            </w:tcBorders>
            <w:noWrap/>
            <w:hideMark/>
          </w:tcPr>
          <w:p w14:paraId="29100E9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-2,1</w:t>
            </w:r>
          </w:p>
        </w:tc>
      </w:tr>
      <w:tr w:rsidR="008F269F" w:rsidRPr="001B41AD" w14:paraId="523E9BAD"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6B2E17A9"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2022</w:t>
            </w:r>
          </w:p>
        </w:tc>
        <w:tc>
          <w:tcPr>
            <w:tcW w:w="0" w:type="auto"/>
            <w:hideMark/>
          </w:tcPr>
          <w:p w14:paraId="624E9FC2"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0,3</w:t>
            </w:r>
          </w:p>
        </w:tc>
        <w:tc>
          <w:tcPr>
            <w:tcW w:w="0" w:type="auto"/>
            <w:hideMark/>
          </w:tcPr>
          <w:p w14:paraId="7D53CEEF"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-3,0</w:t>
            </w:r>
          </w:p>
        </w:tc>
        <w:tc>
          <w:tcPr>
            <w:tcW w:w="0" w:type="auto"/>
            <w:hideMark/>
          </w:tcPr>
          <w:p w14:paraId="13369186"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-1,6</w:t>
            </w:r>
          </w:p>
        </w:tc>
        <w:tc>
          <w:tcPr>
            <w:tcW w:w="0" w:type="auto"/>
            <w:noWrap/>
            <w:hideMark/>
          </w:tcPr>
          <w:p w14:paraId="2F798E55"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-3,1</w:t>
            </w:r>
          </w:p>
        </w:tc>
        <w:tc>
          <w:tcPr>
            <w:tcW w:w="0" w:type="auto"/>
            <w:hideMark/>
          </w:tcPr>
          <w:p w14:paraId="655625BF"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-1,7</w:t>
            </w:r>
          </w:p>
        </w:tc>
        <w:tc>
          <w:tcPr>
            <w:tcW w:w="0" w:type="auto"/>
            <w:hideMark/>
          </w:tcPr>
          <w:p w14:paraId="34F30C8B"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0,1</w:t>
            </w:r>
          </w:p>
        </w:tc>
        <w:tc>
          <w:tcPr>
            <w:tcW w:w="0" w:type="auto"/>
            <w:noWrap/>
            <w:hideMark/>
          </w:tcPr>
          <w:p w14:paraId="6B350982"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1,5</w:t>
            </w:r>
          </w:p>
        </w:tc>
        <w:tc>
          <w:tcPr>
            <w:tcW w:w="0" w:type="auto"/>
            <w:noWrap/>
            <w:hideMark/>
          </w:tcPr>
          <w:p w14:paraId="6CBAB856"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r>
      <w:tr w:rsidR="008F269F" w:rsidRPr="001B41AD" w14:paraId="24CBC48B"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46E70CFF"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2023</w:t>
            </w:r>
          </w:p>
        </w:tc>
        <w:tc>
          <w:tcPr>
            <w:tcW w:w="0" w:type="auto"/>
            <w:tcBorders>
              <w:top w:val="none" w:sz="0" w:space="0" w:color="auto"/>
              <w:bottom w:val="none" w:sz="0" w:space="0" w:color="auto"/>
            </w:tcBorders>
            <w:hideMark/>
          </w:tcPr>
          <w:p w14:paraId="28EA619D"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0,4</w:t>
            </w:r>
          </w:p>
        </w:tc>
        <w:tc>
          <w:tcPr>
            <w:tcW w:w="0" w:type="auto"/>
            <w:tcBorders>
              <w:top w:val="none" w:sz="0" w:space="0" w:color="auto"/>
              <w:bottom w:val="none" w:sz="0" w:space="0" w:color="auto"/>
            </w:tcBorders>
            <w:hideMark/>
          </w:tcPr>
          <w:p w14:paraId="42AF88BF"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-2,1</w:t>
            </w:r>
          </w:p>
        </w:tc>
        <w:tc>
          <w:tcPr>
            <w:tcW w:w="0" w:type="auto"/>
            <w:tcBorders>
              <w:top w:val="none" w:sz="0" w:space="0" w:color="auto"/>
              <w:bottom w:val="none" w:sz="0" w:space="0" w:color="auto"/>
            </w:tcBorders>
            <w:hideMark/>
          </w:tcPr>
          <w:p w14:paraId="631DD084"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-0,5</w:t>
            </w:r>
          </w:p>
        </w:tc>
        <w:tc>
          <w:tcPr>
            <w:tcW w:w="0" w:type="auto"/>
            <w:tcBorders>
              <w:top w:val="none" w:sz="0" w:space="0" w:color="auto"/>
              <w:bottom w:val="none" w:sz="0" w:space="0" w:color="auto"/>
            </w:tcBorders>
            <w:noWrap/>
            <w:hideMark/>
          </w:tcPr>
          <w:p w14:paraId="09D53C96"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-2,2</w:t>
            </w:r>
          </w:p>
        </w:tc>
        <w:tc>
          <w:tcPr>
            <w:tcW w:w="0" w:type="auto"/>
            <w:tcBorders>
              <w:top w:val="none" w:sz="0" w:space="0" w:color="auto"/>
              <w:bottom w:val="none" w:sz="0" w:space="0" w:color="auto"/>
            </w:tcBorders>
            <w:hideMark/>
          </w:tcPr>
          <w:p w14:paraId="5481F7CB"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-0,7</w:t>
            </w:r>
          </w:p>
        </w:tc>
        <w:tc>
          <w:tcPr>
            <w:tcW w:w="0" w:type="auto"/>
            <w:tcBorders>
              <w:top w:val="none" w:sz="0" w:space="0" w:color="auto"/>
              <w:bottom w:val="none" w:sz="0" w:space="0" w:color="auto"/>
            </w:tcBorders>
            <w:hideMark/>
          </w:tcPr>
          <w:p w14:paraId="190C1485"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-1,6</w:t>
            </w:r>
          </w:p>
        </w:tc>
        <w:tc>
          <w:tcPr>
            <w:tcW w:w="0" w:type="auto"/>
            <w:tcBorders>
              <w:top w:val="none" w:sz="0" w:space="0" w:color="auto"/>
              <w:bottom w:val="none" w:sz="0" w:space="0" w:color="auto"/>
            </w:tcBorders>
            <w:noWrap/>
            <w:hideMark/>
          </w:tcPr>
          <w:p w14:paraId="7F7BE9C3"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0,0</w:t>
            </w:r>
          </w:p>
        </w:tc>
        <w:tc>
          <w:tcPr>
            <w:tcW w:w="0" w:type="auto"/>
            <w:tcBorders>
              <w:top w:val="none" w:sz="0" w:space="0" w:color="auto"/>
              <w:bottom w:val="none" w:sz="0" w:space="0" w:color="auto"/>
            </w:tcBorders>
            <w:noWrap/>
            <w:hideMark/>
          </w:tcPr>
          <w:p w14:paraId="4FC3C790"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-1,0</w:t>
            </w:r>
          </w:p>
        </w:tc>
      </w:tr>
      <w:tr w:rsidR="008F269F" w:rsidRPr="001B41AD" w14:paraId="44DA2D6A"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383FCB2F"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2024</w:t>
            </w:r>
          </w:p>
        </w:tc>
        <w:tc>
          <w:tcPr>
            <w:tcW w:w="0" w:type="auto"/>
            <w:hideMark/>
          </w:tcPr>
          <w:p w14:paraId="026296E1"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0,7</w:t>
            </w:r>
          </w:p>
        </w:tc>
        <w:tc>
          <w:tcPr>
            <w:tcW w:w="0" w:type="auto"/>
            <w:hideMark/>
          </w:tcPr>
          <w:p w14:paraId="1B42F02F"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-2,0</w:t>
            </w:r>
          </w:p>
        </w:tc>
        <w:tc>
          <w:tcPr>
            <w:tcW w:w="0" w:type="auto"/>
            <w:hideMark/>
          </w:tcPr>
          <w:p w14:paraId="720508A0"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-0,3</w:t>
            </w:r>
          </w:p>
        </w:tc>
        <w:tc>
          <w:tcPr>
            <w:tcW w:w="0" w:type="auto"/>
            <w:noWrap/>
            <w:hideMark/>
          </w:tcPr>
          <w:p w14:paraId="4628D2E4"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-2,3</w:t>
            </w:r>
          </w:p>
        </w:tc>
        <w:tc>
          <w:tcPr>
            <w:tcW w:w="0" w:type="auto"/>
            <w:hideMark/>
          </w:tcPr>
          <w:p w14:paraId="272F5CE8"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-0,6</w:t>
            </w:r>
          </w:p>
        </w:tc>
        <w:tc>
          <w:tcPr>
            <w:tcW w:w="0" w:type="auto"/>
            <w:hideMark/>
          </w:tcPr>
          <w:p w14:paraId="5F0BEF38"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-2,0</w:t>
            </w:r>
          </w:p>
        </w:tc>
        <w:tc>
          <w:tcPr>
            <w:tcW w:w="0" w:type="auto"/>
            <w:noWrap/>
            <w:hideMark/>
          </w:tcPr>
          <w:p w14:paraId="67E5275C"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-0,3</w:t>
            </w:r>
          </w:p>
        </w:tc>
        <w:tc>
          <w:tcPr>
            <w:tcW w:w="0" w:type="auto"/>
            <w:noWrap/>
            <w:hideMark/>
          </w:tcPr>
          <w:p w14:paraId="5D23E377"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-0,1</w:t>
            </w:r>
          </w:p>
        </w:tc>
      </w:tr>
      <w:tr w:rsidR="008F269F" w:rsidRPr="001B41AD" w14:paraId="345FF8D0"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010D058B"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2025</w:t>
            </w:r>
          </w:p>
        </w:tc>
        <w:tc>
          <w:tcPr>
            <w:tcW w:w="0" w:type="auto"/>
            <w:tcBorders>
              <w:top w:val="none" w:sz="0" w:space="0" w:color="auto"/>
              <w:bottom w:val="none" w:sz="0" w:space="0" w:color="auto"/>
            </w:tcBorders>
            <w:hideMark/>
          </w:tcPr>
          <w:p w14:paraId="6B9A444A"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-0,4</w:t>
            </w:r>
          </w:p>
        </w:tc>
        <w:tc>
          <w:tcPr>
            <w:tcW w:w="0" w:type="auto"/>
            <w:tcBorders>
              <w:top w:val="none" w:sz="0" w:space="0" w:color="auto"/>
              <w:bottom w:val="none" w:sz="0" w:space="0" w:color="auto"/>
            </w:tcBorders>
            <w:hideMark/>
          </w:tcPr>
          <w:p w14:paraId="183ABDD4"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-3,0</w:t>
            </w:r>
          </w:p>
        </w:tc>
        <w:tc>
          <w:tcPr>
            <w:tcW w:w="0" w:type="auto"/>
            <w:tcBorders>
              <w:top w:val="none" w:sz="0" w:space="0" w:color="auto"/>
              <w:bottom w:val="none" w:sz="0" w:space="0" w:color="auto"/>
            </w:tcBorders>
            <w:hideMark/>
          </w:tcPr>
          <w:p w14:paraId="20911F19"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-1,2</w:t>
            </w:r>
          </w:p>
        </w:tc>
        <w:tc>
          <w:tcPr>
            <w:tcW w:w="0" w:type="auto"/>
            <w:tcBorders>
              <w:top w:val="none" w:sz="0" w:space="0" w:color="auto"/>
              <w:bottom w:val="none" w:sz="0" w:space="0" w:color="auto"/>
            </w:tcBorders>
            <w:noWrap/>
            <w:hideMark/>
          </w:tcPr>
          <w:p w14:paraId="7A62B495"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-2,9</w:t>
            </w:r>
          </w:p>
        </w:tc>
        <w:tc>
          <w:tcPr>
            <w:tcW w:w="0" w:type="auto"/>
            <w:tcBorders>
              <w:top w:val="none" w:sz="0" w:space="0" w:color="auto"/>
              <w:bottom w:val="none" w:sz="0" w:space="0" w:color="auto"/>
            </w:tcBorders>
            <w:hideMark/>
          </w:tcPr>
          <w:p w14:paraId="37B6A24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-1,1</w:t>
            </w:r>
          </w:p>
        </w:tc>
        <w:tc>
          <w:tcPr>
            <w:tcW w:w="0" w:type="auto"/>
            <w:tcBorders>
              <w:top w:val="none" w:sz="0" w:space="0" w:color="auto"/>
              <w:bottom w:val="none" w:sz="0" w:space="0" w:color="auto"/>
            </w:tcBorders>
            <w:hideMark/>
          </w:tcPr>
          <w:p w14:paraId="747D4CA5"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-2,3</w:t>
            </w:r>
          </w:p>
        </w:tc>
        <w:tc>
          <w:tcPr>
            <w:tcW w:w="0" w:type="auto"/>
            <w:tcBorders>
              <w:top w:val="none" w:sz="0" w:space="0" w:color="auto"/>
              <w:bottom w:val="none" w:sz="0" w:space="0" w:color="auto"/>
            </w:tcBorders>
            <w:noWrap/>
            <w:hideMark/>
          </w:tcPr>
          <w:p w14:paraId="05F24CA2"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-0,5</w:t>
            </w:r>
          </w:p>
        </w:tc>
        <w:tc>
          <w:tcPr>
            <w:tcW w:w="0" w:type="auto"/>
            <w:tcBorders>
              <w:top w:val="none" w:sz="0" w:space="0" w:color="auto"/>
              <w:bottom w:val="none" w:sz="0" w:space="0" w:color="auto"/>
            </w:tcBorders>
            <w:noWrap/>
            <w:hideMark/>
          </w:tcPr>
          <w:p w14:paraId="3B728B8A"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0,5</w:t>
            </w:r>
          </w:p>
        </w:tc>
      </w:tr>
      <w:tr w:rsidR="008F269F" w:rsidRPr="001B41AD" w14:paraId="75B1C8A3"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60D90892"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2026</w:t>
            </w:r>
          </w:p>
        </w:tc>
        <w:tc>
          <w:tcPr>
            <w:tcW w:w="0" w:type="auto"/>
            <w:hideMark/>
          </w:tcPr>
          <w:p w14:paraId="012AAE0C"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-1,0</w:t>
            </w:r>
          </w:p>
        </w:tc>
        <w:tc>
          <w:tcPr>
            <w:tcW w:w="0" w:type="auto"/>
            <w:hideMark/>
          </w:tcPr>
          <w:p w14:paraId="5D63B024"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-3,0</w:t>
            </w:r>
          </w:p>
        </w:tc>
        <w:tc>
          <w:tcPr>
            <w:tcW w:w="0" w:type="auto"/>
            <w:hideMark/>
          </w:tcPr>
          <w:p w14:paraId="54692E3E"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-1,2</w:t>
            </w:r>
          </w:p>
        </w:tc>
        <w:tc>
          <w:tcPr>
            <w:tcW w:w="0" w:type="auto"/>
            <w:noWrap/>
            <w:hideMark/>
          </w:tcPr>
          <w:p w14:paraId="621FEBAB"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-2,7</w:t>
            </w:r>
          </w:p>
        </w:tc>
        <w:tc>
          <w:tcPr>
            <w:tcW w:w="0" w:type="auto"/>
            <w:hideMark/>
          </w:tcPr>
          <w:p w14:paraId="7DA0F594"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-0,9</w:t>
            </w:r>
          </w:p>
        </w:tc>
        <w:tc>
          <w:tcPr>
            <w:tcW w:w="0" w:type="auto"/>
            <w:hideMark/>
          </w:tcPr>
          <w:p w14:paraId="22FA35A3"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-1,4</w:t>
            </w:r>
          </w:p>
        </w:tc>
        <w:tc>
          <w:tcPr>
            <w:tcW w:w="0" w:type="auto"/>
            <w:noWrap/>
            <w:hideMark/>
          </w:tcPr>
          <w:p w14:paraId="73E88641"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0,4</w:t>
            </w:r>
          </w:p>
        </w:tc>
        <w:tc>
          <w:tcPr>
            <w:tcW w:w="0" w:type="auto"/>
            <w:noWrap/>
            <w:hideMark/>
          </w:tcPr>
          <w:p w14:paraId="3A7355D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-0,2</w:t>
            </w:r>
          </w:p>
        </w:tc>
      </w:tr>
      <w:tr w:rsidR="008F269F" w:rsidRPr="001B41AD" w14:paraId="42945769"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noWrap/>
            <w:hideMark/>
          </w:tcPr>
          <w:p w14:paraId="406B0EC0"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2027</w:t>
            </w:r>
          </w:p>
        </w:tc>
        <w:tc>
          <w:tcPr>
            <w:tcW w:w="0" w:type="auto"/>
            <w:tcBorders>
              <w:top w:val="none" w:sz="0" w:space="0" w:color="auto"/>
              <w:bottom w:val="none" w:sz="0" w:space="0" w:color="auto"/>
            </w:tcBorders>
            <w:hideMark/>
          </w:tcPr>
          <w:p w14:paraId="6621A733"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0,3</w:t>
            </w:r>
          </w:p>
        </w:tc>
        <w:tc>
          <w:tcPr>
            <w:tcW w:w="0" w:type="auto"/>
            <w:tcBorders>
              <w:top w:val="none" w:sz="0" w:space="0" w:color="auto"/>
              <w:bottom w:val="none" w:sz="0" w:space="0" w:color="auto"/>
            </w:tcBorders>
            <w:hideMark/>
          </w:tcPr>
          <w:p w14:paraId="34184C5C"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-3,0</w:t>
            </w:r>
          </w:p>
        </w:tc>
        <w:tc>
          <w:tcPr>
            <w:tcW w:w="0" w:type="auto"/>
            <w:tcBorders>
              <w:top w:val="none" w:sz="0" w:space="0" w:color="auto"/>
              <w:bottom w:val="none" w:sz="0" w:space="0" w:color="auto"/>
            </w:tcBorders>
            <w:hideMark/>
          </w:tcPr>
          <w:p w14:paraId="2336306D"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-1,2</w:t>
            </w:r>
          </w:p>
        </w:tc>
        <w:tc>
          <w:tcPr>
            <w:tcW w:w="0" w:type="auto"/>
            <w:tcBorders>
              <w:top w:val="none" w:sz="0" w:space="0" w:color="auto"/>
              <w:bottom w:val="none" w:sz="0" w:space="0" w:color="auto"/>
            </w:tcBorders>
            <w:hideMark/>
          </w:tcPr>
          <w:p w14:paraId="70EC989E"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-3,1</w:t>
            </w:r>
          </w:p>
        </w:tc>
        <w:tc>
          <w:tcPr>
            <w:tcW w:w="0" w:type="auto"/>
            <w:tcBorders>
              <w:top w:val="none" w:sz="0" w:space="0" w:color="auto"/>
              <w:bottom w:val="none" w:sz="0" w:space="0" w:color="auto"/>
            </w:tcBorders>
            <w:hideMark/>
          </w:tcPr>
          <w:p w14:paraId="3FA7C921"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-1,3</w:t>
            </w:r>
          </w:p>
        </w:tc>
        <w:tc>
          <w:tcPr>
            <w:tcW w:w="0" w:type="auto"/>
            <w:tcBorders>
              <w:top w:val="none" w:sz="0" w:space="0" w:color="auto"/>
              <w:bottom w:val="none" w:sz="0" w:space="0" w:color="auto"/>
            </w:tcBorders>
            <w:hideMark/>
          </w:tcPr>
          <w:p w14:paraId="22DBC7D7"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-1,6</w:t>
            </w:r>
          </w:p>
        </w:tc>
        <w:tc>
          <w:tcPr>
            <w:tcW w:w="0" w:type="auto"/>
            <w:tcBorders>
              <w:top w:val="none" w:sz="0" w:space="0" w:color="auto"/>
              <w:bottom w:val="none" w:sz="0" w:space="0" w:color="auto"/>
            </w:tcBorders>
            <w:hideMark/>
          </w:tcPr>
          <w:p w14:paraId="648E3634"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0,2</w:t>
            </w:r>
          </w:p>
        </w:tc>
        <w:tc>
          <w:tcPr>
            <w:tcW w:w="0" w:type="auto"/>
            <w:tcBorders>
              <w:top w:val="none" w:sz="0" w:space="0" w:color="auto"/>
              <w:bottom w:val="none" w:sz="0" w:space="0" w:color="auto"/>
            </w:tcBorders>
            <w:noWrap/>
            <w:hideMark/>
          </w:tcPr>
          <w:p w14:paraId="3EC26473" w14:textId="77777777" w:rsidR="008F269F" w:rsidRPr="001B41AD" w:rsidRDefault="008F269F" w:rsidP="00405489">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0,4</w:t>
            </w:r>
          </w:p>
        </w:tc>
      </w:tr>
      <w:tr w:rsidR="008F269F" w:rsidRPr="001B41AD" w14:paraId="7DD61A25" w14:textId="77777777" w:rsidTr="00405489">
        <w:trPr>
          <w:trHeight w:val="20"/>
        </w:trPr>
        <w:tc>
          <w:tcPr>
            <w:cnfStyle w:val="001000000000" w:firstRow="0" w:lastRow="0" w:firstColumn="1" w:lastColumn="0" w:oddVBand="0" w:evenVBand="0" w:oddHBand="0" w:evenHBand="0" w:firstRowFirstColumn="0" w:firstRowLastColumn="0" w:lastRowFirstColumn="0" w:lastRowLastColumn="0"/>
            <w:tcW w:w="0" w:type="auto"/>
            <w:noWrap/>
          </w:tcPr>
          <w:p w14:paraId="4FEA237F" w14:textId="77777777" w:rsidR="008F269F" w:rsidRPr="001B41AD" w:rsidRDefault="008F269F" w:rsidP="00405489">
            <w:pPr>
              <w:jc w:val="left"/>
              <w:rPr>
                <w:rFonts w:eastAsia="Times New Roman" w:cstheme="minorHAnsi"/>
                <w:b w:val="0"/>
                <w:color w:val="1F4E79" w:themeColor="accent5" w:themeShade="80"/>
                <w:sz w:val="16"/>
                <w:szCs w:val="16"/>
                <w:lang w:val="sr-Cyrl-CS"/>
              </w:rPr>
            </w:pPr>
            <w:r w:rsidRPr="001B41AD">
              <w:rPr>
                <w:rFonts w:eastAsia="Times New Roman" w:cstheme="minorHAnsi"/>
                <w:color w:val="1F4E79" w:themeColor="accent5" w:themeShade="80"/>
                <w:sz w:val="16"/>
                <w:szCs w:val="16"/>
                <w:lang w:val="sr-Cyrl-CS"/>
              </w:rPr>
              <w:t>2028</w:t>
            </w:r>
          </w:p>
        </w:tc>
        <w:tc>
          <w:tcPr>
            <w:tcW w:w="0" w:type="auto"/>
          </w:tcPr>
          <w:p w14:paraId="64609C7F"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0,0</w:t>
            </w:r>
          </w:p>
        </w:tc>
        <w:tc>
          <w:tcPr>
            <w:tcW w:w="0" w:type="auto"/>
          </w:tcPr>
          <w:p w14:paraId="69609A69"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-2,5</w:t>
            </w:r>
          </w:p>
        </w:tc>
        <w:tc>
          <w:tcPr>
            <w:tcW w:w="0" w:type="auto"/>
          </w:tcPr>
          <w:p w14:paraId="3A10AC06"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-0,7</w:t>
            </w:r>
          </w:p>
        </w:tc>
        <w:tc>
          <w:tcPr>
            <w:tcW w:w="0" w:type="auto"/>
          </w:tcPr>
          <w:p w14:paraId="2CA44204"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-2,5</w:t>
            </w:r>
          </w:p>
        </w:tc>
        <w:tc>
          <w:tcPr>
            <w:tcW w:w="0" w:type="auto"/>
          </w:tcPr>
          <w:p w14:paraId="34855325"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-0,7</w:t>
            </w:r>
          </w:p>
        </w:tc>
        <w:tc>
          <w:tcPr>
            <w:tcW w:w="0" w:type="auto"/>
          </w:tcPr>
          <w:p w14:paraId="79D3750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-1,7</w:t>
            </w:r>
          </w:p>
        </w:tc>
        <w:tc>
          <w:tcPr>
            <w:tcW w:w="0" w:type="auto"/>
          </w:tcPr>
          <w:p w14:paraId="403E5FEB"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0,1</w:t>
            </w:r>
          </w:p>
        </w:tc>
        <w:tc>
          <w:tcPr>
            <w:tcW w:w="0" w:type="auto"/>
            <w:noWrap/>
          </w:tcPr>
          <w:p w14:paraId="33F29F4D" w14:textId="77777777" w:rsidR="008F269F" w:rsidRPr="001B41AD" w:rsidRDefault="008F269F" w:rsidP="00405489">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lang w:val="sr-Cyrl-CS"/>
              </w:rPr>
            </w:pPr>
            <w:r w:rsidRPr="001B41AD">
              <w:rPr>
                <w:rFonts w:cstheme="minorHAnsi"/>
                <w:sz w:val="16"/>
                <w:szCs w:val="16"/>
                <w:lang w:val="sr-Cyrl-CS"/>
              </w:rPr>
              <w:t>-0,6</w:t>
            </w:r>
          </w:p>
        </w:tc>
      </w:tr>
    </w:tbl>
    <w:p w14:paraId="19B60118" w14:textId="77777777" w:rsidR="008F269F" w:rsidRPr="001B41AD" w:rsidRDefault="008F269F" w:rsidP="008F269F">
      <w:pPr>
        <w:jc w:val="center"/>
        <w:rPr>
          <w:rFonts w:ascii="Calibri" w:eastAsia="MS PGothic" w:hAnsi="Calibri" w:cs="Calibri"/>
          <w:b/>
          <w:bCs/>
          <w:color w:val="002060"/>
          <w:lang w:val="sr-Cyrl-CS"/>
        </w:rPr>
      </w:pPr>
      <w:r w:rsidRPr="001B41AD">
        <w:rPr>
          <w:rFonts w:ascii="Calibri" w:eastAsia="MS PGothic" w:hAnsi="Calibri" w:cs="Calibri"/>
          <w:b/>
          <w:bCs/>
          <w:color w:val="002060"/>
          <w:lang w:val="sr-Cyrl-CS"/>
        </w:rPr>
        <w:t>Табела 2</w:t>
      </w:r>
      <w:r w:rsidR="00BB0049" w:rsidRPr="001B41AD">
        <w:rPr>
          <w:rFonts w:ascii="Calibri" w:eastAsia="MS PGothic" w:hAnsi="Calibri" w:cs="Calibri"/>
          <w:b/>
          <w:bCs/>
          <w:color w:val="002060"/>
          <w:lang w:val="sr-Cyrl-CS"/>
        </w:rPr>
        <w:t>6</w:t>
      </w:r>
      <w:r w:rsidRPr="001B41AD">
        <w:rPr>
          <w:rFonts w:ascii="Calibri" w:eastAsia="MS PGothic" w:hAnsi="Calibri" w:cs="Calibri"/>
          <w:b/>
          <w:bCs/>
          <w:color w:val="002060"/>
          <w:lang w:val="sr-Cyrl-CS"/>
        </w:rPr>
        <w:t xml:space="preserve">. Фискални биланс и компоненте за обрачун циклично прилагођеног биланса </w:t>
      </w:r>
      <w:r w:rsidRPr="001B41AD">
        <w:rPr>
          <w:rFonts w:ascii="Calibri" w:eastAsia="MS PGothic" w:hAnsi="Calibri" w:cs="Calibri"/>
          <w:b/>
          <w:bCs/>
          <w:color w:val="002060"/>
          <w:lang w:val="sr-Cyrl-CS"/>
        </w:rPr>
        <w:br w:type="textWrapping" w:clear="all"/>
        <w:t>у периоду 2005–2028. године, % БДП*</w:t>
      </w:r>
    </w:p>
    <w:p w14:paraId="7654AEBC" w14:textId="77777777" w:rsidR="008F269F" w:rsidRPr="001B41AD" w:rsidRDefault="008F269F" w:rsidP="008F269F">
      <w:pPr>
        <w:shd w:val="clear" w:color="auto" w:fill="FFFFFF" w:themeFill="background1"/>
        <w:spacing w:before="40" w:after="0" w:line="276" w:lineRule="auto"/>
        <w:rPr>
          <w:rFonts w:ascii="Calibri" w:eastAsia="MS PGothic" w:hAnsi="Calibri" w:cs="Calibri"/>
          <w:sz w:val="16"/>
          <w:szCs w:val="16"/>
          <w:lang w:val="sr-Cyrl-CS" w:eastAsia="ja-JP"/>
        </w:rPr>
      </w:pPr>
      <w:r w:rsidRPr="001B41AD">
        <w:rPr>
          <w:rFonts w:ascii="Calibri" w:eastAsia="MS PGothic" w:hAnsi="Calibri" w:cs="Calibri"/>
          <w:bCs/>
          <w:sz w:val="16"/>
          <w:szCs w:val="16"/>
          <w:lang w:val="sr-Cyrl-CS" w:eastAsia="ja-JP"/>
        </w:rPr>
        <w:t xml:space="preserve">* </w:t>
      </w:r>
      <w:r w:rsidRPr="001B41AD">
        <w:rPr>
          <w:rFonts w:ascii="Calibri" w:eastAsia="MS PGothic" w:hAnsi="Calibri" w:cs="Calibri"/>
          <w:sz w:val="16"/>
          <w:szCs w:val="16"/>
          <w:lang w:val="sr-Cyrl-CS" w:eastAsia="ja-JP"/>
        </w:rPr>
        <w:t>За период 2025–2028. године приказане су пројектоване вредности.</w:t>
      </w:r>
    </w:p>
    <w:p w14:paraId="29C06B44" w14:textId="77777777" w:rsidR="008F269F" w:rsidRPr="001B41AD" w:rsidRDefault="008F269F" w:rsidP="008F269F">
      <w:pPr>
        <w:shd w:val="clear" w:color="auto" w:fill="FFFFFF" w:themeFill="background1"/>
        <w:spacing w:after="0" w:line="276" w:lineRule="auto"/>
        <w:rPr>
          <w:rFonts w:ascii="Calibri" w:eastAsia="MS PGothic" w:hAnsi="Calibri" w:cs="Calibri"/>
          <w:sz w:val="16"/>
          <w:szCs w:val="16"/>
          <w:lang w:val="sr-Cyrl-CS" w:eastAsia="ja-JP"/>
        </w:rPr>
      </w:pPr>
      <w:r w:rsidRPr="001B41AD">
        <w:rPr>
          <w:rFonts w:ascii="Calibri" w:eastAsia="MS PGothic" w:hAnsi="Calibri" w:cs="Calibri"/>
          <w:bCs/>
          <w:sz w:val="16"/>
          <w:szCs w:val="16"/>
          <w:lang w:val="sr-Cyrl-CS" w:eastAsia="ja-JP"/>
        </w:rPr>
        <w:t>** Структурни биланси добијени су искључивањем процењених једнократних прихода и расхода</w:t>
      </w:r>
      <w:r w:rsidRPr="001B41AD">
        <w:rPr>
          <w:rFonts w:ascii="Calibri" w:eastAsia="MS PGothic" w:hAnsi="Calibri" w:cs="Calibri"/>
          <w:sz w:val="16"/>
          <w:szCs w:val="16"/>
          <w:lang w:val="sr-Cyrl-CS" w:eastAsia="ja-JP"/>
        </w:rPr>
        <w:t xml:space="preserve">. За период од 2024. до 2028. године једнократним расходима су третирани и део капиталних расхода за потребе изложбе </w:t>
      </w:r>
      <w:r w:rsidRPr="001B41AD">
        <w:rPr>
          <w:rFonts w:ascii="Calibri" w:eastAsia="MS PGothic" w:hAnsi="Calibri" w:cs="Calibri"/>
          <w:i/>
          <w:sz w:val="16"/>
          <w:szCs w:val="16"/>
          <w:lang w:val="sr-Cyrl-CS" w:eastAsia="ja-JP"/>
        </w:rPr>
        <w:t>EXPO 2027</w:t>
      </w:r>
      <w:r w:rsidRPr="001B41AD">
        <w:rPr>
          <w:rFonts w:ascii="Calibri" w:eastAsia="MS PGothic" w:hAnsi="Calibri" w:cs="Calibri"/>
          <w:sz w:val="16"/>
          <w:szCs w:val="16"/>
          <w:lang w:val="sr-Cyrl-CS" w:eastAsia="ja-JP"/>
        </w:rPr>
        <w:t xml:space="preserve">, као и део расхода за војну опрему. </w:t>
      </w:r>
    </w:p>
    <w:p w14:paraId="55DFEB0A" w14:textId="77777777" w:rsidR="008F269F" w:rsidRPr="001B41AD" w:rsidRDefault="008F269F" w:rsidP="008F269F">
      <w:pPr>
        <w:spacing w:line="276" w:lineRule="auto"/>
        <w:rPr>
          <w:rFonts w:ascii="Calibri" w:eastAsia="Calibri" w:hAnsi="Calibri" w:cs="Calibri"/>
          <w:sz w:val="16"/>
          <w:szCs w:val="20"/>
          <w:lang w:val="sr-Cyrl-CS"/>
        </w:rPr>
      </w:pPr>
      <w:r w:rsidRPr="001B41AD">
        <w:rPr>
          <w:rFonts w:ascii="Calibri" w:eastAsia="Calibri" w:hAnsi="Calibri" w:cs="Calibri"/>
          <w:sz w:val="16"/>
          <w:szCs w:val="16"/>
          <w:lang w:val="sr-Cyrl-CS"/>
        </w:rPr>
        <w:t xml:space="preserve">Извор: </w:t>
      </w:r>
      <w:r w:rsidRPr="001B41AD">
        <w:rPr>
          <w:rFonts w:ascii="Calibri" w:eastAsia="Calibri" w:hAnsi="Calibri" w:cs="Calibri"/>
          <w:sz w:val="16"/>
          <w:szCs w:val="20"/>
          <w:lang w:val="sr-Cyrl-CS"/>
        </w:rPr>
        <w:t>Министарство финансија</w:t>
      </w:r>
    </w:p>
    <w:p w14:paraId="0A48C896" w14:textId="77777777" w:rsidR="008F269F" w:rsidRPr="001B41AD" w:rsidRDefault="008F269F" w:rsidP="008F269F">
      <w:pPr>
        <w:spacing w:line="276" w:lineRule="auto"/>
        <w:rPr>
          <w:rFonts w:ascii="Calibri" w:eastAsia="Calibri" w:hAnsi="Calibri" w:cs="Calibri"/>
          <w:sz w:val="16"/>
          <w:szCs w:val="16"/>
          <w:lang w:val="sr-Cyrl-CS"/>
        </w:rPr>
        <w:sectPr w:rsidR="008F269F" w:rsidRPr="001B41AD" w:rsidSect="008D31CC">
          <w:type w:val="continuous"/>
          <w:pgSz w:w="12240" w:h="15840" w:code="1"/>
          <w:pgMar w:top="1417" w:right="1417" w:bottom="1417" w:left="1417" w:header="720" w:footer="720" w:gutter="0"/>
          <w:cols w:space="720"/>
        </w:sectPr>
      </w:pPr>
    </w:p>
    <w:p w14:paraId="2543CFD3" w14:textId="77777777" w:rsidR="008F269F" w:rsidRPr="001B41AD" w:rsidRDefault="008F269F" w:rsidP="008F269F">
      <w:pPr>
        <w:spacing w:after="0"/>
        <w:jc w:val="center"/>
        <w:rPr>
          <w:color w:val="002060"/>
          <w:lang w:val="sr-Cyrl-CS" w:eastAsia="sr-Cyrl-RS"/>
        </w:rPr>
      </w:pPr>
      <w:r w:rsidRPr="001B41AD">
        <w:rPr>
          <w:rFonts w:cstheme="minorHAnsi"/>
          <w:b/>
          <w:color w:val="002060"/>
          <w:lang w:val="sr-Cyrl-CS"/>
        </w:rPr>
        <w:t>Производни јаз, циклично прилаг. и структурни фиск. биланс у периоду 2005–2028. год, % БДП*</w:t>
      </w:r>
    </w:p>
    <w:p w14:paraId="3588A75F" w14:textId="77777777" w:rsidR="008F269F" w:rsidRPr="001B41AD" w:rsidRDefault="008F269F" w:rsidP="008F269F">
      <w:pPr>
        <w:spacing w:after="0"/>
        <w:jc w:val="left"/>
        <w:rPr>
          <w:lang w:val="sr-Cyrl-CS" w:eastAsia="sr-Cyrl-RS"/>
        </w:rPr>
      </w:pPr>
      <w:r w:rsidRPr="001B41AD">
        <w:rPr>
          <w:noProof/>
        </w:rPr>
        <w:drawing>
          <wp:inline distT="0" distB="0" distL="0" distR="0" wp14:anchorId="11692269" wp14:editId="0959BDA3">
            <wp:extent cx="2757805" cy="2807677"/>
            <wp:effectExtent l="0" t="0" r="4445"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5689B98F" w14:textId="77777777" w:rsidR="008F269F" w:rsidRPr="001B41AD" w:rsidRDefault="008F269F" w:rsidP="008F269F">
      <w:pPr>
        <w:spacing w:after="0"/>
        <w:jc w:val="center"/>
        <w:rPr>
          <w:rFonts w:cstheme="minorHAnsi"/>
          <w:b/>
          <w:color w:val="002060"/>
          <w:lang w:val="sr-Cyrl-CS"/>
        </w:rPr>
      </w:pPr>
      <w:r w:rsidRPr="001B41AD">
        <w:rPr>
          <w:rFonts w:cstheme="minorHAnsi"/>
          <w:b/>
          <w:color w:val="002060"/>
          <w:lang w:val="sr-Cyrl-CS"/>
        </w:rPr>
        <w:t>Карактер и ефекти фискалне по</w:t>
      </w:r>
      <w:r w:rsidR="00FF1261" w:rsidRPr="001B41AD">
        <w:rPr>
          <w:rFonts w:cstheme="minorHAnsi"/>
          <w:b/>
          <w:color w:val="002060"/>
          <w:lang w:val="sr-Cyrl-CS"/>
        </w:rPr>
        <w:t>литике у периоду 2006–2028. год</w:t>
      </w:r>
      <w:r w:rsidRPr="001B41AD">
        <w:rPr>
          <w:rFonts w:cstheme="minorHAnsi"/>
          <w:b/>
          <w:color w:val="002060"/>
          <w:lang w:val="sr-Cyrl-CS"/>
        </w:rPr>
        <w:t>, % БДП*</w:t>
      </w:r>
      <w:r w:rsidRPr="001B41AD">
        <w:rPr>
          <w:noProof/>
        </w:rPr>
        <w:drawing>
          <wp:inline distT="0" distB="0" distL="0" distR="0" wp14:anchorId="52CCBF20" wp14:editId="13CD0F36">
            <wp:extent cx="2757805" cy="2784231"/>
            <wp:effectExtent l="0" t="0" r="4445"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7CA078D0" w14:textId="77777777" w:rsidR="008F269F" w:rsidRPr="001B41AD" w:rsidRDefault="008F269F" w:rsidP="008F269F">
      <w:pPr>
        <w:jc w:val="left"/>
        <w:rPr>
          <w:rFonts w:ascii="Calibri" w:eastAsia="MS PGothic" w:hAnsi="Calibri" w:cs="Calibri"/>
          <w:sz w:val="16"/>
          <w:szCs w:val="20"/>
          <w:lang w:val="sr-Cyrl-CS" w:eastAsia="ja-JP"/>
        </w:rPr>
        <w:sectPr w:rsidR="008F269F" w:rsidRPr="001B41AD" w:rsidSect="008D31CC">
          <w:type w:val="continuous"/>
          <w:pgSz w:w="12240" w:h="15840" w:code="1"/>
          <w:pgMar w:top="1417" w:right="1417" w:bottom="1417" w:left="1417" w:header="720" w:footer="720" w:gutter="0"/>
          <w:cols w:num="2" w:space="720"/>
        </w:sectPr>
      </w:pPr>
      <w:r w:rsidRPr="001B41AD">
        <w:rPr>
          <w:rFonts w:ascii="Calibri" w:eastAsia="MS PGothic" w:hAnsi="Calibri" w:cs="Calibri"/>
          <w:sz w:val="16"/>
          <w:szCs w:val="20"/>
          <w:lang w:val="sr-Cyrl-CS" w:eastAsia="ja-JP"/>
        </w:rPr>
        <w:t>* За период 2025–2028. године приказане су пројектоване вредности.</w:t>
      </w:r>
    </w:p>
    <w:p w14:paraId="3347C9E9" w14:textId="77777777" w:rsidR="008F269F" w:rsidRPr="001B41AD" w:rsidRDefault="008F269F" w:rsidP="008F269F">
      <w:pPr>
        <w:spacing w:after="120"/>
        <w:rPr>
          <w:lang w:val="sr-Cyrl-CS" w:eastAsia="ja-JP"/>
        </w:rPr>
      </w:pPr>
      <w:r w:rsidRPr="001B41AD">
        <w:rPr>
          <w:rFonts w:ascii="Calibri" w:eastAsia="Calibri" w:hAnsi="Calibri" w:cs="Calibri"/>
          <w:bCs/>
          <w:szCs w:val="20"/>
          <w:lang w:val="sr-Cyrl-CS"/>
        </w:rPr>
        <w:lastRenderedPageBreak/>
        <w:t>Структурна фискална позиција земље није нарушена у периоду између 2020. и 2022. године, због тога што су спроведене мере помоћи привреди и становништву из домена фискалне политике биле временски ограниченог карактера.</w:t>
      </w:r>
      <w:r w:rsidRPr="001B41AD">
        <w:rPr>
          <w:rFonts w:ascii="Calibri" w:eastAsia="Calibri" w:hAnsi="Calibri" w:cs="Calibri"/>
          <w:szCs w:val="20"/>
          <w:lang w:val="sr-Cyrl-CS"/>
        </w:rPr>
        <w:t xml:space="preserve"> Осим тога, енергетска криза условила је значајне интервенције државе у домену обезбеђивања енергетске стабилности у 2022. години. На ове потребе, утрошено је 2,7% БДП. Током 2022. </w:t>
      </w:r>
      <w:r w:rsidR="007545C1" w:rsidRPr="001B41AD">
        <w:rPr>
          <w:rFonts w:ascii="Calibri" w:eastAsia="Calibri" w:hAnsi="Calibri" w:cs="Calibri"/>
          <w:szCs w:val="20"/>
          <w:lang w:val="sr-Cyrl-CS"/>
        </w:rPr>
        <w:t>године</w:t>
      </w:r>
      <w:r w:rsidRPr="001B41AD">
        <w:rPr>
          <w:rFonts w:ascii="Calibri" w:eastAsia="Calibri" w:hAnsi="Calibri" w:cs="Calibri"/>
          <w:szCs w:val="20"/>
          <w:lang w:val="sr-Cyrl-CS"/>
        </w:rPr>
        <w:t xml:space="preserve"> реализована је и помоћ становништву у висини од 0,9% БДП. Осим повећаних издатака за енергенте, помоћ становништву и привреди, обезбеђена је и смањењем акциза на </w:t>
      </w:r>
      <w:r w:rsidRPr="001B41AD">
        <w:rPr>
          <w:lang w:val="sr-Cyrl-CS" w:eastAsia="ja-JP"/>
        </w:rPr>
        <w:t>нафтне деривате.</w:t>
      </w:r>
    </w:p>
    <w:p w14:paraId="6419BD58" w14:textId="77777777" w:rsidR="008F269F" w:rsidRPr="001B41AD" w:rsidRDefault="008F269F" w:rsidP="008F269F">
      <w:pPr>
        <w:spacing w:after="120"/>
        <w:rPr>
          <w:lang w:val="sr-Cyrl-CS" w:eastAsia="ja-JP"/>
        </w:rPr>
      </w:pPr>
      <w:r w:rsidRPr="001B41AD">
        <w:rPr>
          <w:bCs/>
          <w:lang w:val="sr-Cyrl-CS" w:eastAsia="ja-JP"/>
        </w:rPr>
        <w:t>Током 2023. године</w:t>
      </w:r>
      <w:r w:rsidRPr="001B41AD">
        <w:rPr>
          <w:lang w:val="sr-Cyrl-CS" w:eastAsia="ja-JP"/>
        </w:rPr>
        <w:t>, промена у структурној позицији сектора државе делом је условљена применом формуле за усклађивање пензија у складу са посебним фискалним правилима као и ванредним повећањем пензија у 2022. и 2023. години. Посебно фискално правило уводи директну везу између начина усклађивања пензија и учешћа овог облика расхода у БДП. Овакво системско решење обезбеђује да примања и стандард пензионера у већој мери рефлектују економску снагу земље, без угрожавања одрживости јавних финансија. Остатак благог погоршања структурне фискалне позиције последица је и раста учешћа расхода за камате у БДП, као и последица мера за сузбијање инфлаторних тенденција на домаћем и међународном тржишту.</w:t>
      </w:r>
    </w:p>
    <w:p w14:paraId="4A81C0AB" w14:textId="77777777" w:rsidR="008F269F" w:rsidRPr="001B41AD" w:rsidRDefault="008F269F" w:rsidP="008F269F">
      <w:pPr>
        <w:spacing w:after="120"/>
        <w:rPr>
          <w:lang w:val="sr-Cyrl-CS" w:eastAsia="ja-JP"/>
        </w:rPr>
      </w:pPr>
      <w:r w:rsidRPr="001B41AD">
        <w:rPr>
          <w:lang w:val="sr-Cyrl-CS" w:eastAsia="ja-JP"/>
        </w:rPr>
        <w:t>Ванредно повећање пензија крајем 2023. године, као и значајно повећање родитељског додатка у 2024. години, имали су пренети ефекат на кретање структурног резултата и током наредног периода. Међутим, овим фискалним оквиром, одређено је кретање и горња граница структурног фискалног резултата, са основним циљем да се обезбеди одржив ниво и опадајућа путања јавног дуга. У периоду од 2023. до 2025. године раст расхода за камате у одређеној мери такође повећава ниво структурног дефицита. Након тога, постепеним смањењем учешћа камата у БДП, отвара се простор за повећање других продуктивних облика расхода.</w:t>
      </w:r>
    </w:p>
    <w:p w14:paraId="6EC948F1" w14:textId="77777777" w:rsidR="008F269F" w:rsidRPr="001B41AD" w:rsidRDefault="008F269F" w:rsidP="008F269F">
      <w:pPr>
        <w:spacing w:after="120"/>
        <w:rPr>
          <w:lang w:val="sr-Cyrl-CS" w:eastAsia="ja-JP"/>
        </w:rPr>
      </w:pPr>
      <w:r w:rsidRPr="001B41AD">
        <w:rPr>
          <w:lang w:val="sr-Cyrl-CS" w:eastAsia="ja-JP"/>
        </w:rPr>
        <w:t xml:space="preserve">Како је фискални импулс дефинисан као разлика два узастопна циклично прилагођена (примарна) резултата, оцењује се да је фискална политика </w:t>
      </w:r>
      <w:r w:rsidRPr="001B41AD">
        <w:rPr>
          <w:lang w:val="sr-Cyrl-CS" w:eastAsia="ja-JP"/>
        </w:rPr>
        <w:t xml:space="preserve">током 2020. године била изразито експанзивно-контрациклична, усмерена на ублажавање негативног економског циклуса. Услед нешто мањег обима пакета мера економске подршке у 2021. години, фискална политика је рестриктивнија него претходне године, а по карактеру такође контрациклична. За период од 2022. до 2023. године, оцењено је да је фискална политика благо рестриктивна, и поред значајних издвајања за ублажавање енергетске кризе. Делом је то и последица раста расхода за камате који се искључују из обрачуна примарног резултата. </w:t>
      </w:r>
    </w:p>
    <w:p w14:paraId="3B004A2D" w14:textId="77777777" w:rsidR="008F269F" w:rsidRPr="001B41AD" w:rsidRDefault="008F269F" w:rsidP="008F269F">
      <w:pPr>
        <w:spacing w:after="120"/>
        <w:rPr>
          <w:lang w:val="sr-Cyrl-CS" w:eastAsia="ja-JP"/>
        </w:rPr>
      </w:pPr>
      <w:r w:rsidRPr="001B41AD">
        <w:rPr>
          <w:lang w:val="sr-Cyrl-CS" w:eastAsia="ja-JP"/>
        </w:rPr>
        <w:t xml:space="preserve">У периоду 2025–2027. година, у складу са планираним фискалним оквиром, карактер фискалне политике одређује се променом производног јаза и динамиком примарног салда. У 2026. години, услед </w:t>
      </w:r>
      <w:r w:rsidRPr="001B41AD">
        <w:rPr>
          <w:bCs/>
          <w:lang w:val="sr-Cyrl-CS" w:eastAsia="ja-JP"/>
        </w:rPr>
        <w:t>већег (негативног) производног јаза</w:t>
      </w:r>
      <w:r w:rsidRPr="001B41AD">
        <w:rPr>
          <w:lang w:val="sr-Cyrl-CS" w:eastAsia="ja-JP"/>
        </w:rPr>
        <w:t xml:space="preserve"> и истовременог </w:t>
      </w:r>
      <w:r w:rsidRPr="001B41AD">
        <w:rPr>
          <w:bCs/>
          <w:lang w:val="sr-Cyrl-CS" w:eastAsia="ja-JP"/>
        </w:rPr>
        <w:t>задржавања примарног резултата на истом нивоу</w:t>
      </w:r>
      <w:r w:rsidRPr="001B41AD">
        <w:rPr>
          <w:lang w:val="sr-Cyrl-CS" w:eastAsia="ja-JP"/>
        </w:rPr>
        <w:t xml:space="preserve">, фискална политика се оцењује као </w:t>
      </w:r>
      <w:r w:rsidRPr="001B41AD">
        <w:rPr>
          <w:bCs/>
          <w:lang w:val="sr-Cyrl-CS" w:eastAsia="ja-JP"/>
        </w:rPr>
        <w:t>благо рестриктивна</w:t>
      </w:r>
      <w:r w:rsidRPr="001B41AD">
        <w:rPr>
          <w:lang w:val="sr-Cyrl-CS" w:eastAsia="ja-JP"/>
        </w:rPr>
        <w:t xml:space="preserve"> у односу на неутралан став. Насупрот томе, у 2027. години фискална политика постаје </w:t>
      </w:r>
      <w:r w:rsidRPr="001B41AD">
        <w:rPr>
          <w:bCs/>
          <w:lang w:val="sr-Cyrl-CS" w:eastAsia="ja-JP"/>
        </w:rPr>
        <w:t>умерено експанзивна</w:t>
      </w:r>
      <w:r w:rsidRPr="001B41AD">
        <w:rPr>
          <w:lang w:val="sr-Cyrl-CS" w:eastAsia="ja-JP"/>
        </w:rPr>
        <w:t xml:space="preserve">, пре свега због окончања снажног инвестиционог циклуса повезаног са манифестацијом </w:t>
      </w:r>
      <w:r w:rsidRPr="001B41AD">
        <w:rPr>
          <w:bCs/>
          <w:i/>
          <w:lang w:val="sr-Cyrl-CS" w:eastAsia="ja-JP"/>
        </w:rPr>
        <w:t>EXPO 2027</w:t>
      </w:r>
      <w:r w:rsidRPr="001B41AD">
        <w:rPr>
          <w:lang w:val="sr-Cyrl-CS" w:eastAsia="ja-JP"/>
        </w:rPr>
        <w:t xml:space="preserve">, као и других крупних инфраструктурних пројеката који, поред непосредног пројектног импулса, генеришу и </w:t>
      </w:r>
      <w:r w:rsidRPr="001B41AD">
        <w:rPr>
          <w:bCs/>
          <w:lang w:val="sr-Cyrl-CS" w:eastAsia="ja-JP"/>
        </w:rPr>
        <w:t>позитивне мултипликативне ефекте</w:t>
      </w:r>
      <w:r w:rsidRPr="001B41AD">
        <w:rPr>
          <w:lang w:val="sr-Cyrl-CS" w:eastAsia="ja-JP"/>
        </w:rPr>
        <w:t xml:space="preserve"> на потенцијални раст. Након завршетка наведеног циклуса, у 2028. години фискални импулс прелази у </w:t>
      </w:r>
      <w:r w:rsidRPr="001B41AD">
        <w:rPr>
          <w:bCs/>
          <w:lang w:val="sr-Cyrl-CS" w:eastAsia="ja-JP"/>
        </w:rPr>
        <w:t>рестриктиван</w:t>
      </w:r>
      <w:r w:rsidRPr="001B41AD">
        <w:rPr>
          <w:lang w:val="sr-Cyrl-CS" w:eastAsia="ja-JP"/>
        </w:rPr>
        <w:t xml:space="preserve">, у складу са планираним </w:t>
      </w:r>
      <w:r w:rsidRPr="001B41AD">
        <w:rPr>
          <w:bCs/>
          <w:lang w:val="sr-Cyrl-CS" w:eastAsia="ja-JP"/>
        </w:rPr>
        <w:t>смањењем укупног и примарног фискалног салда</w:t>
      </w:r>
      <w:r w:rsidRPr="001B41AD">
        <w:rPr>
          <w:lang w:val="sr-Cyrl-CS" w:eastAsia="ja-JP"/>
        </w:rPr>
        <w:t>, што је усмерено на очување одрживости јавних финансија и постепени повратак ка неутралном средњорочном ставу.</w:t>
      </w:r>
    </w:p>
    <w:p w14:paraId="152A674F" w14:textId="77777777" w:rsidR="008F269F" w:rsidRPr="001B41AD" w:rsidRDefault="008F269F" w:rsidP="008F269F">
      <w:pPr>
        <w:jc w:val="left"/>
        <w:rPr>
          <w:rFonts w:cstheme="minorHAnsi"/>
          <w:b/>
          <w:color w:val="002060"/>
          <w:lang w:val="sr-Cyrl-CS"/>
        </w:rPr>
      </w:pPr>
      <w:r w:rsidRPr="001B41AD">
        <w:rPr>
          <w:rFonts w:cstheme="minorHAnsi"/>
          <w:b/>
          <w:color w:val="002060"/>
          <w:lang w:val="sr-Cyrl-CS"/>
        </w:rPr>
        <w:t>Карактер и ефекти фискалне политике у периоду 2006–2025. године, % БДП</w:t>
      </w:r>
    </w:p>
    <w:p w14:paraId="16C9F5B4" w14:textId="77777777" w:rsidR="008F269F" w:rsidRPr="001B41AD" w:rsidRDefault="008F269F" w:rsidP="008F269F">
      <w:pPr>
        <w:spacing w:after="120"/>
        <w:rPr>
          <w:rFonts w:ascii="Calibri" w:eastAsia="MS PGothic" w:hAnsi="Calibri" w:cs="Calibri"/>
          <w:color w:val="2F5496" w:themeColor="accent1" w:themeShade="BF"/>
          <w:szCs w:val="20"/>
          <w:lang w:val="sr-Cyrl-CS" w:eastAsia="ja-JP"/>
        </w:rPr>
        <w:sectPr w:rsidR="008F269F" w:rsidRPr="001B41AD" w:rsidSect="008D31CC">
          <w:type w:val="continuous"/>
          <w:pgSz w:w="12240" w:h="15840" w:code="1"/>
          <w:pgMar w:top="1417" w:right="1417" w:bottom="1417" w:left="1417" w:header="720" w:footer="720" w:gutter="0"/>
          <w:cols w:num="2" w:space="720"/>
        </w:sectPr>
      </w:pPr>
      <w:r w:rsidRPr="001B41AD">
        <w:rPr>
          <w:noProof/>
        </w:rPr>
        <w:drawing>
          <wp:inline distT="0" distB="0" distL="0" distR="0" wp14:anchorId="3CCD4343" wp14:editId="299A4778">
            <wp:extent cx="2699385" cy="1617785"/>
            <wp:effectExtent l="0" t="0" r="5715" b="190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bookmarkEnd w:id="56"/>
    <w:bookmarkEnd w:id="57"/>
    <w:bookmarkEnd w:id="58"/>
    <w:p w14:paraId="5CE3B01D" w14:textId="77777777" w:rsidR="008F269F" w:rsidRPr="001B41AD" w:rsidRDefault="008F269F" w:rsidP="008F269F">
      <w:pPr>
        <w:pStyle w:val="Heading2"/>
        <w:rPr>
          <w:rFonts w:cstheme="minorBidi"/>
          <w:lang w:val="sr-Cyrl-CS"/>
        </w:rPr>
        <w:sectPr w:rsidR="008F269F" w:rsidRPr="001B41AD" w:rsidSect="008D31CC">
          <w:headerReference w:type="even" r:id="rId168"/>
          <w:footerReference w:type="even" r:id="rId169"/>
          <w:footerReference w:type="default" r:id="rId170"/>
          <w:headerReference w:type="first" r:id="rId171"/>
          <w:type w:val="continuous"/>
          <w:pgSz w:w="12240" w:h="15840" w:code="1"/>
          <w:pgMar w:top="1417" w:right="1417" w:bottom="1417" w:left="1417" w:header="720" w:footer="720" w:gutter="0"/>
          <w:cols w:space="720"/>
        </w:sectPr>
      </w:pPr>
      <w:r w:rsidRPr="001B41AD">
        <w:rPr>
          <w:lang w:val="sr-Cyrl-CS"/>
        </w:rPr>
        <w:br w:type="page"/>
      </w:r>
      <w:bookmarkStart w:id="59" w:name="_Toc181190972"/>
      <w:bookmarkStart w:id="60" w:name="_Toc181271507"/>
      <w:bookmarkStart w:id="61" w:name="_Toc212642474"/>
      <w:r w:rsidR="004E78E7" w:rsidRPr="001B41AD">
        <w:rPr>
          <w:lang w:val="sr-Cyrl-CS"/>
        </w:rPr>
        <w:lastRenderedPageBreak/>
        <w:t>6</w:t>
      </w:r>
      <w:r w:rsidRPr="001B41AD">
        <w:rPr>
          <w:szCs w:val="24"/>
          <w:lang w:val="sr-Cyrl-CS"/>
        </w:rPr>
        <w:t>.</w:t>
      </w:r>
      <w:r w:rsidRPr="001B41AD">
        <w:rPr>
          <w:lang w:val="sr-Cyrl-CS"/>
        </w:rPr>
        <w:t xml:space="preserve"> </w:t>
      </w:r>
      <w:r w:rsidRPr="001B41AD">
        <w:rPr>
          <w:rFonts w:eastAsia="MS PGothic"/>
          <w:lang w:val="sr-Cyrl-CS" w:eastAsia="ja-JP"/>
        </w:rPr>
        <w:t>Симулација путање јавног дуга</w:t>
      </w:r>
      <w:bookmarkEnd w:id="59"/>
      <w:bookmarkEnd w:id="60"/>
      <w:bookmarkEnd w:id="61"/>
    </w:p>
    <w:p w14:paraId="25E82B71" w14:textId="77777777" w:rsidR="008F269F" w:rsidRPr="001B41AD" w:rsidRDefault="008F269F" w:rsidP="008F269F">
      <w:pPr>
        <w:rPr>
          <w:lang w:val="sr-Cyrl-CS"/>
        </w:rPr>
        <w:sectPr w:rsidR="008F269F" w:rsidRPr="001B41AD" w:rsidSect="008D31CC">
          <w:headerReference w:type="even" r:id="rId172"/>
          <w:footerReference w:type="even" r:id="rId173"/>
          <w:footerReference w:type="default" r:id="rId174"/>
          <w:headerReference w:type="first" r:id="rId175"/>
          <w:type w:val="continuous"/>
          <w:pgSz w:w="12240" w:h="15840" w:code="1"/>
          <w:pgMar w:top="1417" w:right="1417" w:bottom="1417" w:left="1417" w:header="720" w:footer="720" w:gutter="0"/>
          <w:cols w:space="720"/>
        </w:sectPr>
      </w:pPr>
    </w:p>
    <w:p w14:paraId="56D75EE6" w14:textId="77777777" w:rsidR="008F269F" w:rsidRPr="001B41AD" w:rsidRDefault="008F269F" w:rsidP="008F269F">
      <w:pPr>
        <w:spacing w:after="120"/>
        <w:rPr>
          <w:rFonts w:ascii="Calibri" w:eastAsia="MS PGothic" w:hAnsi="Calibri" w:cs="Calibri"/>
          <w:bCs/>
          <w:szCs w:val="20"/>
          <w:lang w:val="sr-Cyrl-CS" w:eastAsia="ja-JP"/>
        </w:rPr>
      </w:pPr>
      <w:r w:rsidRPr="001B41AD">
        <w:rPr>
          <w:rFonts w:ascii="Calibri" w:eastAsia="MS PGothic" w:hAnsi="Calibri" w:cs="Calibri"/>
          <w:bCs/>
          <w:szCs w:val="20"/>
          <w:lang w:val="sr-Cyrl-CS" w:eastAsia="ja-JP"/>
        </w:rPr>
        <w:t>У овом делу приказује се сажета ретроспектива кретања јавног дуга у периоду од 2008. до 2025. године, као и пројекције за наредни трогодишњи период, до 2028. године, у складу са постављеним средњорочним фискалним оквиром. Након тога, дата је и симулација алтернативних сценарија кретања јавног дуга у дужем периоду, од 2029. до 2035. године.</w:t>
      </w:r>
    </w:p>
    <w:p w14:paraId="1F607705" w14:textId="77777777" w:rsidR="008F269F" w:rsidRPr="001B41AD" w:rsidRDefault="008F269F" w:rsidP="008F269F">
      <w:pPr>
        <w:spacing w:after="120"/>
        <w:jc w:val="left"/>
        <w:rPr>
          <w:rFonts w:cstheme="minorHAnsi"/>
          <w:b/>
          <w:color w:val="2F5496" w:themeColor="accent1" w:themeShade="BF"/>
          <w:spacing w:val="-2"/>
          <w:sz w:val="22"/>
          <w:lang w:val="sr-Cyrl-CS"/>
        </w:rPr>
      </w:pPr>
      <w:r w:rsidRPr="001B41AD">
        <w:rPr>
          <w:rFonts w:cstheme="minorHAnsi"/>
          <w:b/>
          <w:color w:val="2F5496" w:themeColor="accent1" w:themeShade="BF"/>
          <w:spacing w:val="-2"/>
          <w:sz w:val="22"/>
          <w:lang w:val="sr-Cyrl-CS"/>
        </w:rPr>
        <w:t>Историјски преглед (2008–2025)</w:t>
      </w:r>
    </w:p>
    <w:p w14:paraId="52C2D002" w14:textId="77777777" w:rsidR="008F269F" w:rsidRPr="001B41AD" w:rsidRDefault="008F269F" w:rsidP="008F269F">
      <w:pPr>
        <w:spacing w:after="120"/>
        <w:rPr>
          <w:rFonts w:ascii="Calibri" w:eastAsia="MS PGothic" w:hAnsi="Calibri" w:cs="Calibri"/>
          <w:bCs/>
          <w:szCs w:val="20"/>
          <w:lang w:val="sr-Cyrl-CS" w:eastAsia="ja-JP"/>
        </w:rPr>
      </w:pPr>
      <w:r w:rsidRPr="001B41AD">
        <w:rPr>
          <w:rFonts w:ascii="Calibri" w:eastAsia="MS PGothic" w:hAnsi="Calibri" w:cs="Calibri"/>
          <w:bCs/>
          <w:szCs w:val="20"/>
          <w:lang w:val="sr-Cyrl-CS" w:eastAsia="ja-JP"/>
        </w:rPr>
        <w:t>Период од 2008. до 2014. године карактерисало је континуирано повећање фискалног дефицита, што је, уз одсуство строже буџетске контроле, довело до наглог раста јавног дуга. Учешће јавног дуга у БДП је више него удвостручено, услед чега је постављен приоритет усвајања мера фискалне консолидације. Иако су почетни кораци ка фискалној консолидацији направљени крајем 2012. и током 2013. године, њихови ефекти били су ограничени. Смањење примарног дефицита током тог периода није било довољно да заустави раст удела јавног дуга у БДП. Посебан изазов представљао је раст неформалне економије након повећања пореских стопа, што је умањило ефекте мера на приходној страни, док су високи издаци по основу камата и одређени једнократни трошкови додатно оптерећивали буџет.</w:t>
      </w:r>
    </w:p>
    <w:p w14:paraId="16B2CAB9" w14:textId="77777777" w:rsidR="008F269F" w:rsidRPr="001B41AD" w:rsidRDefault="008F269F" w:rsidP="008F269F">
      <w:pPr>
        <w:spacing w:after="120"/>
        <w:jc w:val="center"/>
        <w:rPr>
          <w:rFonts w:cstheme="minorHAnsi"/>
          <w:b/>
          <w:color w:val="002060"/>
          <w:spacing w:val="-2"/>
          <w:lang w:val="sr-Cyrl-CS"/>
        </w:rPr>
      </w:pPr>
      <w:r w:rsidRPr="001B41AD">
        <w:rPr>
          <w:rFonts w:cstheme="minorHAnsi"/>
          <w:b/>
          <w:color w:val="002060"/>
          <w:spacing w:val="-2"/>
          <w:lang w:val="sr-Cyrl-CS"/>
        </w:rPr>
        <w:t xml:space="preserve">Јавни дуг сектора државе у периоду </w:t>
      </w:r>
      <w:r w:rsidRPr="001B41AD">
        <w:rPr>
          <w:rFonts w:cstheme="minorHAnsi"/>
          <w:b/>
          <w:color w:val="002060"/>
          <w:spacing w:val="-2"/>
          <w:lang w:val="sr-Cyrl-CS"/>
        </w:rPr>
        <w:br/>
        <w:t>2008–2025. године, % БДП</w:t>
      </w:r>
    </w:p>
    <w:p w14:paraId="6417E78F" w14:textId="77777777" w:rsidR="008F269F" w:rsidRPr="001B41AD" w:rsidRDefault="008F269F" w:rsidP="008F269F">
      <w:pPr>
        <w:spacing w:after="120"/>
        <w:rPr>
          <w:rFonts w:ascii="Calibri" w:eastAsia="MS PGothic" w:hAnsi="Calibri" w:cs="Calibri"/>
          <w:b/>
          <w:bCs/>
          <w:szCs w:val="20"/>
          <w:lang w:val="sr-Cyrl-CS" w:eastAsia="ja-JP"/>
        </w:rPr>
      </w:pPr>
      <w:r w:rsidRPr="001B41AD">
        <w:rPr>
          <w:noProof/>
        </w:rPr>
        <w:drawing>
          <wp:inline distT="0" distB="0" distL="0" distR="0" wp14:anchorId="1EB4902D" wp14:editId="100BD010">
            <wp:extent cx="2757805" cy="2426677"/>
            <wp:effectExtent l="0" t="0" r="4445" b="0"/>
            <wp:docPr id="11" name="Chart 11">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041B3650" w14:textId="77777777" w:rsidR="008F269F" w:rsidRPr="001B41AD" w:rsidRDefault="008F269F" w:rsidP="008F269F">
      <w:pPr>
        <w:spacing w:after="0" w:line="240" w:lineRule="auto"/>
        <w:rPr>
          <w:rFonts w:ascii="Calibri" w:eastAsia="MS PGothic" w:hAnsi="Calibri" w:cs="Calibri"/>
          <w:bCs/>
          <w:sz w:val="16"/>
          <w:szCs w:val="16"/>
          <w:lang w:val="sr-Cyrl-CS" w:eastAsia="ja-JP"/>
        </w:rPr>
      </w:pPr>
      <w:r w:rsidRPr="001B41AD">
        <w:rPr>
          <w:rFonts w:ascii="Calibri" w:eastAsia="MS PGothic" w:hAnsi="Calibri" w:cs="Calibri"/>
          <w:bCs/>
          <w:sz w:val="16"/>
          <w:szCs w:val="16"/>
          <w:lang w:val="sr-Cyrl-CS" w:eastAsia="ja-JP"/>
        </w:rPr>
        <w:t>* апроксимација локалног дуга</w:t>
      </w:r>
    </w:p>
    <w:p w14:paraId="22FF5AFA" w14:textId="77777777" w:rsidR="008F269F" w:rsidRPr="001B41AD" w:rsidRDefault="008F269F" w:rsidP="008F269F">
      <w:pPr>
        <w:spacing w:after="0" w:line="240" w:lineRule="auto"/>
        <w:rPr>
          <w:rFonts w:ascii="Calibri" w:eastAsia="MS PGothic" w:hAnsi="Calibri" w:cs="Calibri"/>
          <w:bCs/>
          <w:sz w:val="16"/>
          <w:szCs w:val="16"/>
          <w:lang w:val="sr-Cyrl-CS" w:eastAsia="ja-JP"/>
        </w:rPr>
      </w:pPr>
      <w:r w:rsidRPr="001B41AD">
        <w:rPr>
          <w:rFonts w:ascii="Calibri" w:eastAsia="MS PGothic" w:hAnsi="Calibri" w:cs="Calibri"/>
          <w:bCs/>
          <w:sz w:val="16"/>
          <w:szCs w:val="16"/>
          <w:lang w:val="sr-Cyrl-CS" w:eastAsia="ja-JP"/>
        </w:rPr>
        <w:t>** процена за 2025. годину</w:t>
      </w:r>
    </w:p>
    <w:p w14:paraId="39520056" w14:textId="2408AE24" w:rsidR="008F269F" w:rsidRPr="001B41AD" w:rsidRDefault="008F269F" w:rsidP="008F269F">
      <w:pPr>
        <w:spacing w:after="120"/>
        <w:rPr>
          <w:rFonts w:ascii="Calibri" w:eastAsia="MS PGothic" w:hAnsi="Calibri" w:cs="Calibri"/>
          <w:bCs/>
          <w:szCs w:val="20"/>
          <w:lang w:val="sr-Cyrl-CS" w:eastAsia="ja-JP"/>
        </w:rPr>
      </w:pPr>
      <w:r w:rsidRPr="001B41AD">
        <w:rPr>
          <w:rFonts w:ascii="Calibri" w:eastAsia="MS PGothic" w:hAnsi="Calibri" w:cs="Calibri"/>
          <w:bCs/>
          <w:szCs w:val="20"/>
          <w:lang w:val="sr-Cyrl-CS" w:eastAsia="ja-JP"/>
        </w:rPr>
        <w:t>Резултати примене свеобухватнијег пакета мера фискалне консолидације, усвојеног крајем 2014. године, постају видљиви већ у 2015. години, када се темпо раста јавног дуга успорава, а током 2016. године долази до преокрета и почетка смањења учешћа јавног дуга у БДП. Први примарни суфицит од 1,6% БДП у 2016. години створио је основ за стабилизацију, а већ 2017. године, уз примарни суфицит од 3</w:t>
      </w:r>
      <w:r w:rsidR="001B41AD">
        <w:rPr>
          <w:rFonts w:ascii="Calibri" w:eastAsia="MS PGothic" w:hAnsi="Calibri" w:cs="Calibri"/>
          <w:bCs/>
          <w:szCs w:val="20"/>
          <w:lang w:val="sr-Cyrl-CS" w:eastAsia="ja-JP"/>
        </w:rPr>
        <w:t xml:space="preserve">,5% БДП, удео јавног дуга у БДП </w:t>
      </w:r>
      <w:r w:rsidRPr="001B41AD">
        <w:rPr>
          <w:rFonts w:ascii="Calibri" w:eastAsia="MS PGothic" w:hAnsi="Calibri" w:cs="Calibri"/>
          <w:bCs/>
          <w:szCs w:val="20"/>
          <w:lang w:val="sr-Cyrl-CS" w:eastAsia="ja-JP"/>
        </w:rPr>
        <w:t xml:space="preserve">опао је за око 10 процентних поена, на 56,3%. Тренд смањења настављен је и у 2018. години (52,1% БДП), док је фискална релаксација у 2019. години била пажљиво </w:t>
      </w:r>
      <w:r w:rsidR="007545C1" w:rsidRPr="001B41AD">
        <w:rPr>
          <w:rFonts w:ascii="Calibri" w:eastAsia="MS PGothic" w:hAnsi="Calibri" w:cs="Calibri"/>
          <w:bCs/>
          <w:szCs w:val="20"/>
          <w:lang w:val="sr-Cyrl-CS" w:eastAsia="ja-JP"/>
        </w:rPr>
        <w:t>димензионирана</w:t>
      </w:r>
      <w:r w:rsidRPr="001B41AD">
        <w:rPr>
          <w:rFonts w:ascii="Calibri" w:eastAsia="MS PGothic" w:hAnsi="Calibri" w:cs="Calibri"/>
          <w:bCs/>
          <w:szCs w:val="20"/>
          <w:lang w:val="sr-Cyrl-CS" w:eastAsia="ja-JP"/>
        </w:rPr>
        <w:t xml:space="preserve"> тако да не угрози опадајућу путању јавног дуга – што потврђује остварени примарни суфицит од 1,7% БДП.</w:t>
      </w:r>
    </w:p>
    <w:p w14:paraId="19E3C314" w14:textId="77777777" w:rsidR="008F269F" w:rsidRPr="001B41AD" w:rsidRDefault="008F269F" w:rsidP="008F269F">
      <w:pPr>
        <w:spacing w:after="120"/>
        <w:rPr>
          <w:rFonts w:ascii="Calibri" w:eastAsia="MS PGothic" w:hAnsi="Calibri" w:cs="Calibri"/>
          <w:bCs/>
          <w:szCs w:val="20"/>
          <w:lang w:val="sr-Cyrl-CS" w:eastAsia="ja-JP"/>
        </w:rPr>
      </w:pPr>
      <w:r w:rsidRPr="001B41AD">
        <w:rPr>
          <w:rFonts w:ascii="Calibri" w:eastAsia="MS PGothic" w:hAnsi="Calibri" w:cs="Calibri"/>
          <w:bCs/>
          <w:szCs w:val="20"/>
          <w:lang w:val="sr-Cyrl-CS" w:eastAsia="ja-JP"/>
        </w:rPr>
        <w:t>Период од 2020. године обележен је избијањем глобалне здравствене и економске кризе услед пандемије COVID-19. Значајна повећања фискалне потрошње, како би се очували животи и економска активност, довела су до пораста фискалног дефицита (7,7% БДП укупно, од чега 5,8% примарни дефицит), као и до преокрета тренда смањења јавног дуга. Ипак, захваљујући претходно спроведеној консолидацији и стабилном приступу међународним финансијским тржиштима, Република Србија је несметано обезбеђивала средства за финансирање дефицита и отплату дугова.</w:t>
      </w:r>
      <w:r w:rsidRPr="001B41AD">
        <w:rPr>
          <w:lang w:val="sr-Cyrl-CS"/>
        </w:rPr>
        <w:t xml:space="preserve"> </w:t>
      </w:r>
      <w:r w:rsidRPr="001B41AD">
        <w:rPr>
          <w:rFonts w:ascii="Calibri" w:eastAsia="MS PGothic" w:hAnsi="Calibri" w:cs="Calibri"/>
          <w:bCs/>
          <w:szCs w:val="20"/>
          <w:lang w:val="sr-Cyrl-CS" w:eastAsia="ja-JP"/>
        </w:rPr>
        <w:t>Упркос израженом фискалном дефициту током здравствене кризе, учешће јавног дуга сектора државе у БДП бележи благо смањење у 2021. години са 55,2% у 2020. години на 54,5% БДП, што указује на очување релативне стабилности јавних финансија у условима појачаних изазова.</w:t>
      </w:r>
    </w:p>
    <w:p w14:paraId="51BF95F4" w14:textId="77777777" w:rsidR="008F269F" w:rsidRPr="001B41AD" w:rsidRDefault="008F269F" w:rsidP="008F269F">
      <w:pPr>
        <w:spacing w:after="120"/>
        <w:rPr>
          <w:rFonts w:ascii="Calibri" w:eastAsia="MS PGothic" w:hAnsi="Calibri" w:cs="Calibri"/>
          <w:bCs/>
          <w:szCs w:val="20"/>
          <w:lang w:val="sr-Cyrl-CS" w:eastAsia="ja-JP"/>
        </w:rPr>
      </w:pPr>
      <w:r w:rsidRPr="001B41AD">
        <w:rPr>
          <w:rFonts w:ascii="Calibri" w:eastAsia="MS PGothic" w:hAnsi="Calibri" w:cs="Calibri"/>
          <w:bCs/>
          <w:szCs w:val="20"/>
          <w:lang w:val="sr-Cyrl-CS" w:eastAsia="ja-JP"/>
        </w:rPr>
        <w:t>Енергетска криза током 2022. и 2023. године, уз пратеће инфлаторне притиске, захтевала је уравнотежен приступ – комбинацију фискалне подршке и контроле расхода. И поред изазова, примарни дефицити у том периоду били су умерени (1,6% БДП у 2022, 0,5% у 2023. и 0,3% у 2024), што је омогућило наставак смањења учешћа дуга у БДП. За 2025. годину пројектован је примарни дефицит од 1,2% БДП, при чему се очекује да ниво јавног дуга опадне на 45% БДП.</w:t>
      </w:r>
    </w:p>
    <w:p w14:paraId="3DE89A9E" w14:textId="77777777" w:rsidR="008F269F" w:rsidRPr="001B41AD" w:rsidRDefault="008F269F" w:rsidP="008F269F">
      <w:pPr>
        <w:spacing w:after="120"/>
        <w:rPr>
          <w:rFonts w:ascii="Calibri" w:eastAsia="MS PGothic" w:hAnsi="Calibri" w:cs="Calibri"/>
          <w:b/>
          <w:bCs/>
          <w:szCs w:val="20"/>
          <w:lang w:val="sr-Cyrl-CS" w:eastAsia="ja-JP"/>
        </w:rPr>
      </w:pPr>
    </w:p>
    <w:p w14:paraId="1F80653C" w14:textId="77777777" w:rsidR="008F269F" w:rsidRPr="001B41AD" w:rsidRDefault="008F269F" w:rsidP="008F269F">
      <w:pPr>
        <w:spacing w:after="120"/>
        <w:rPr>
          <w:rFonts w:ascii="Calibri" w:eastAsia="MS PGothic" w:hAnsi="Calibri" w:cs="Calibri"/>
          <w:bCs/>
          <w:szCs w:val="20"/>
          <w:lang w:val="sr-Cyrl-CS" w:eastAsia="ja-JP"/>
        </w:rPr>
      </w:pPr>
      <w:r w:rsidRPr="001B41AD">
        <w:rPr>
          <w:rFonts w:ascii="Calibri" w:eastAsia="MS PGothic" w:hAnsi="Calibri" w:cs="Calibri"/>
          <w:bCs/>
          <w:szCs w:val="20"/>
          <w:lang w:val="sr-Cyrl-CS" w:eastAsia="ja-JP"/>
        </w:rPr>
        <w:lastRenderedPageBreak/>
        <w:t xml:space="preserve">У складу са средњорочним фискалним оквиром, у периоду од 2026. до 2028. године предвиђа се наставак опадајућег тренда јавног дуга, захваљујући пажљиво </w:t>
      </w:r>
      <w:r w:rsidR="007545C1" w:rsidRPr="001B41AD">
        <w:rPr>
          <w:rFonts w:ascii="Calibri" w:eastAsia="MS PGothic" w:hAnsi="Calibri" w:cs="Calibri"/>
          <w:bCs/>
          <w:szCs w:val="20"/>
          <w:lang w:val="sr-Cyrl-CS" w:eastAsia="ja-JP"/>
        </w:rPr>
        <w:t xml:space="preserve">одмереној </w:t>
      </w:r>
      <w:r w:rsidRPr="001B41AD">
        <w:rPr>
          <w:rFonts w:ascii="Calibri" w:eastAsia="MS PGothic" w:hAnsi="Calibri" w:cs="Calibri"/>
          <w:bCs/>
          <w:szCs w:val="20"/>
          <w:lang w:val="sr-Cyrl-CS" w:eastAsia="ja-JP"/>
        </w:rPr>
        <w:t>фискалној политици и умереним примарним фискалним дефицитима. Остваривање блажег, али доследно позитивног примарног стабилизационог јаза у свакој од ових година обезбедиће да удео јавног дуга у БДП настави да лагано опада.</w:t>
      </w:r>
    </w:p>
    <w:p w14:paraId="1BB86D5D" w14:textId="77777777" w:rsidR="008F269F" w:rsidRPr="001B41AD" w:rsidRDefault="008F269F" w:rsidP="008F269F">
      <w:pPr>
        <w:spacing w:after="120"/>
        <w:jc w:val="left"/>
        <w:rPr>
          <w:rFonts w:cstheme="minorHAnsi"/>
          <w:b/>
          <w:color w:val="2F5496" w:themeColor="accent1" w:themeShade="BF"/>
          <w:spacing w:val="-2"/>
          <w:sz w:val="22"/>
          <w:lang w:val="sr-Cyrl-CS"/>
        </w:rPr>
      </w:pPr>
      <w:r w:rsidRPr="001B41AD">
        <w:rPr>
          <w:rFonts w:cstheme="minorHAnsi"/>
          <w:b/>
          <w:color w:val="2F5496" w:themeColor="accent1" w:themeShade="BF"/>
          <w:spacing w:val="-2"/>
          <w:sz w:val="22"/>
          <w:lang w:val="sr-Cyrl-CS"/>
        </w:rPr>
        <w:t>Анализа примарног стабилизационог јаза</w:t>
      </w:r>
    </w:p>
    <w:p w14:paraId="0D4855F7" w14:textId="77777777" w:rsidR="008F269F" w:rsidRPr="001B41AD" w:rsidRDefault="008F269F" w:rsidP="008F269F">
      <w:pPr>
        <w:spacing w:after="120"/>
        <w:rPr>
          <w:rFonts w:ascii="Calibri" w:eastAsia="MS PGothic" w:hAnsi="Calibri" w:cs="Calibri"/>
          <w:bCs/>
          <w:szCs w:val="20"/>
          <w:lang w:val="sr-Cyrl-CS" w:eastAsia="ja-JP"/>
        </w:rPr>
      </w:pPr>
      <w:r w:rsidRPr="001B41AD">
        <w:rPr>
          <w:rFonts w:ascii="Calibri" w:eastAsia="MS PGothic" w:hAnsi="Calibri" w:cs="Calibri"/>
          <w:bCs/>
          <w:szCs w:val="20"/>
          <w:lang w:val="sr-Cyrl-CS" w:eastAsia="ja-JP"/>
        </w:rPr>
        <w:t>Примарни стабилизациони јаз представља разлику између оствареног примарног резултата и резултата неопходног за стабилизацију удела дуга у БДП. Од 2016. године па све до данас, овај индикатор је у већини година позитиван, што потврђује дугорочну одрживост јавних финансија. Највећи позитивни јаз забележен је током 2017. и 2018. године, када је остварено и најинтензивније смањење јавног дуга. Супротан тренд забележен је 2020. године – у време пандемије – али се већ од 2021. године враћа у позитивну зону.</w:t>
      </w:r>
      <w:r w:rsidRPr="001B41AD">
        <w:rPr>
          <w:lang w:val="sr-Cyrl-CS"/>
        </w:rPr>
        <w:t xml:space="preserve"> </w:t>
      </w:r>
      <w:r w:rsidRPr="001B41AD">
        <w:rPr>
          <w:rFonts w:ascii="Calibri" w:eastAsia="MS PGothic" w:hAnsi="Calibri" w:cs="Calibri"/>
          <w:bCs/>
          <w:szCs w:val="20"/>
          <w:lang w:val="sr-Cyrl-CS" w:eastAsia="ja-JP"/>
        </w:rPr>
        <w:t>У периоду 2021–2024. године, примарни стабилизациони јаз поново прелази у позитивну зону, што је створило услове за поступно смањење учешћа јавног дуга у БДП. У складу са фискалним оквиром представљеним у овом документу, у наредном средњорочном периоду (2025–2028) пројектују се умерено позитивне вредности овог индикатора, што ће омогућити наставак одрживе путање јавног дуга.</w:t>
      </w:r>
    </w:p>
    <w:p w14:paraId="2B169BA8" w14:textId="77777777" w:rsidR="008F269F" w:rsidRPr="001B41AD" w:rsidRDefault="008F269F" w:rsidP="008F269F">
      <w:pPr>
        <w:spacing w:after="120"/>
        <w:jc w:val="left"/>
        <w:rPr>
          <w:rFonts w:cstheme="minorHAnsi"/>
          <w:b/>
          <w:color w:val="2F5496" w:themeColor="accent1" w:themeShade="BF"/>
          <w:spacing w:val="-2"/>
          <w:sz w:val="22"/>
          <w:lang w:val="sr-Cyrl-CS"/>
        </w:rPr>
      </w:pPr>
      <w:r w:rsidRPr="001B41AD">
        <w:rPr>
          <w:rFonts w:cstheme="minorHAnsi"/>
          <w:b/>
          <w:color w:val="2F5496" w:themeColor="accent1" w:themeShade="BF"/>
          <w:spacing w:val="-2"/>
          <w:sz w:val="22"/>
          <w:lang w:val="sr-Cyrl-CS"/>
        </w:rPr>
        <w:t>Симулација кретања дуга (2029–2035)</w:t>
      </w:r>
    </w:p>
    <w:p w14:paraId="1D5E34FB" w14:textId="77777777" w:rsidR="008F269F" w:rsidRPr="001B41AD" w:rsidRDefault="008F269F" w:rsidP="008F269F">
      <w:pPr>
        <w:spacing w:after="120"/>
        <w:rPr>
          <w:rFonts w:ascii="Calibri" w:eastAsia="MS PGothic" w:hAnsi="Calibri" w:cs="Calibri"/>
          <w:bCs/>
          <w:szCs w:val="20"/>
          <w:lang w:val="sr-Cyrl-CS" w:eastAsia="ja-JP"/>
        </w:rPr>
      </w:pPr>
      <w:r w:rsidRPr="001B41AD">
        <w:rPr>
          <w:rFonts w:ascii="Calibri" w:eastAsia="MS PGothic" w:hAnsi="Calibri" w:cs="Calibri"/>
          <w:bCs/>
          <w:szCs w:val="20"/>
          <w:lang w:val="sr-Cyrl-CS" w:eastAsia="ja-JP"/>
        </w:rPr>
        <w:t xml:space="preserve">У циљу јачања средњорочног и дугорочног планирања, припремљене су симулације кретања јавног дуга у различитим сценаријима за период од 2029. до 2035. године. Оне укључују основни сценарио (заснован на претпоставци стабилног економског раста, конзервативне фискалне политике и умерених каматних стопа), као и алтернативне сценарије који укључују шокове на страни раста БДП, курсне флуктуације и неочекиване фискалне трошкове. </w:t>
      </w:r>
    </w:p>
    <w:p w14:paraId="42233675" w14:textId="77777777" w:rsidR="008F269F" w:rsidRPr="001B41AD" w:rsidRDefault="008F269F" w:rsidP="008F269F">
      <w:pPr>
        <w:spacing w:after="120"/>
        <w:jc w:val="center"/>
        <w:rPr>
          <w:rFonts w:cstheme="minorHAnsi"/>
          <w:b/>
          <w:color w:val="002060"/>
          <w:spacing w:val="-2"/>
          <w:lang w:val="sr-Cyrl-CS"/>
        </w:rPr>
      </w:pPr>
    </w:p>
    <w:p w14:paraId="5BED05F6" w14:textId="77777777" w:rsidR="008F269F" w:rsidRPr="001B41AD" w:rsidRDefault="008F269F" w:rsidP="008F269F">
      <w:pPr>
        <w:spacing w:after="120"/>
        <w:jc w:val="center"/>
        <w:rPr>
          <w:rFonts w:cstheme="minorHAnsi"/>
          <w:b/>
          <w:color w:val="002060"/>
          <w:spacing w:val="-2"/>
          <w:lang w:val="sr-Cyrl-CS"/>
        </w:rPr>
      </w:pPr>
    </w:p>
    <w:p w14:paraId="2F0A97F1" w14:textId="77777777" w:rsidR="008F269F" w:rsidRPr="001B41AD" w:rsidRDefault="008F269F" w:rsidP="008F269F">
      <w:pPr>
        <w:spacing w:after="120"/>
        <w:jc w:val="center"/>
        <w:rPr>
          <w:rFonts w:cstheme="minorHAnsi"/>
          <w:b/>
          <w:color w:val="002060"/>
          <w:spacing w:val="-2"/>
          <w:lang w:val="sr-Cyrl-CS"/>
        </w:rPr>
      </w:pPr>
    </w:p>
    <w:p w14:paraId="4473CFC4" w14:textId="77777777" w:rsidR="008F269F" w:rsidRPr="001B41AD" w:rsidRDefault="008F269F" w:rsidP="008F269F">
      <w:pPr>
        <w:spacing w:after="120"/>
        <w:jc w:val="center"/>
        <w:rPr>
          <w:rFonts w:cstheme="minorHAnsi"/>
          <w:b/>
          <w:color w:val="002060"/>
          <w:spacing w:val="-2"/>
          <w:lang w:val="sr-Cyrl-CS"/>
        </w:rPr>
      </w:pPr>
      <w:r w:rsidRPr="001B41AD">
        <w:rPr>
          <w:rFonts w:cstheme="minorHAnsi"/>
          <w:b/>
          <w:color w:val="002060"/>
          <w:spacing w:val="-2"/>
          <w:lang w:val="sr-Cyrl-CS"/>
        </w:rPr>
        <w:t>Примарни резултат који стабилизује учешће дуга у БДП и остварени/пројектовани резултат*, % БДП</w:t>
      </w:r>
    </w:p>
    <w:p w14:paraId="29F67C87" w14:textId="77777777" w:rsidR="008F269F" w:rsidRPr="001B41AD" w:rsidRDefault="008F269F" w:rsidP="008F269F">
      <w:pPr>
        <w:spacing w:after="40"/>
        <w:rPr>
          <w:lang w:val="sr-Cyrl-CS"/>
        </w:rPr>
      </w:pPr>
      <w:r w:rsidRPr="001B41AD">
        <w:rPr>
          <w:noProof/>
        </w:rPr>
        <w:drawing>
          <wp:inline distT="0" distB="0" distL="0" distR="0" wp14:anchorId="3039B4C1" wp14:editId="30D819C5">
            <wp:extent cx="2757805" cy="2121877"/>
            <wp:effectExtent l="0" t="0" r="4445" b="1206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70141737" w14:textId="77777777" w:rsidR="008F269F" w:rsidRPr="001B41AD" w:rsidRDefault="008F269F" w:rsidP="008F269F">
      <w:pPr>
        <w:spacing w:after="0"/>
        <w:rPr>
          <w:rFonts w:cstheme="minorHAnsi"/>
          <w:bCs/>
          <w:sz w:val="16"/>
          <w:szCs w:val="72"/>
          <w:lang w:val="sr-Cyrl-CS"/>
        </w:rPr>
      </w:pPr>
      <w:r w:rsidRPr="001B41AD">
        <w:rPr>
          <w:rFonts w:ascii="Calibri" w:eastAsia="Calibri" w:hAnsi="Calibri" w:cs="Calibri"/>
          <w:sz w:val="16"/>
          <w:szCs w:val="16"/>
          <w:lang w:val="sr-Cyrl-CS"/>
        </w:rPr>
        <w:t xml:space="preserve">* </w:t>
      </w:r>
      <w:r w:rsidRPr="001B41AD">
        <w:rPr>
          <w:rFonts w:cstheme="minorHAnsi"/>
          <w:bCs/>
          <w:sz w:val="16"/>
          <w:szCs w:val="72"/>
          <w:lang w:val="sr-Cyrl-CS"/>
        </w:rPr>
        <w:t>За период 2025. до 2027. дате су пројектоване вредности.</w:t>
      </w:r>
    </w:p>
    <w:p w14:paraId="4DCB8075" w14:textId="77777777" w:rsidR="008F269F" w:rsidRPr="001B41AD" w:rsidRDefault="008F269F" w:rsidP="008F269F">
      <w:pPr>
        <w:rPr>
          <w:rFonts w:ascii="Calibri" w:eastAsia="MS PGothic" w:hAnsi="Calibri" w:cs="Calibri"/>
          <w:b/>
          <w:szCs w:val="20"/>
          <w:lang w:val="sr-Cyrl-CS" w:eastAsia="ja-JP"/>
        </w:rPr>
      </w:pPr>
      <w:r w:rsidRPr="001B41AD">
        <w:rPr>
          <w:rFonts w:cstheme="minorHAnsi"/>
          <w:bCs/>
          <w:sz w:val="16"/>
          <w:szCs w:val="72"/>
          <w:lang w:val="sr-Cyrl-CS"/>
        </w:rPr>
        <w:t>Извор: Министарство финансија</w:t>
      </w:r>
    </w:p>
    <w:p w14:paraId="130BDC80" w14:textId="77777777" w:rsidR="008F269F" w:rsidRPr="001B41AD" w:rsidRDefault="008F269F" w:rsidP="008F269F">
      <w:pPr>
        <w:widowControl w:val="0"/>
        <w:spacing w:after="120"/>
        <w:rPr>
          <w:rFonts w:ascii="Calibri" w:eastAsia="Calibri" w:hAnsi="Calibri" w:cs="Calibri"/>
          <w:bCs/>
          <w:szCs w:val="20"/>
          <w:lang w:val="sr-Cyrl-CS"/>
        </w:rPr>
      </w:pPr>
      <w:r w:rsidRPr="001B41AD">
        <w:rPr>
          <w:rFonts w:ascii="Calibri" w:eastAsia="Calibri" w:hAnsi="Calibri" w:cs="Calibri"/>
          <w:bCs/>
          <w:szCs w:val="20"/>
          <w:lang w:val="sr-Cyrl-CS"/>
        </w:rPr>
        <w:t>Основни сценарио кретања јавног дуга предвиђен овим документом заснива се на задржавању фискалног дефицита на нивоу од 3% БДП у периоду од 2025. до 2027. године, уз постепено смањење на 2,5% БДП у 2028. години. Према таквој путањи дефицита, очекује се наставак силазне трајекторије јавног дуга, са пројекцијом његовог учешћа у БДП од 44,1% на крају 2028. године.</w:t>
      </w:r>
    </w:p>
    <w:p w14:paraId="4916E5BA" w14:textId="77777777" w:rsidR="008F269F" w:rsidRPr="001B41AD" w:rsidRDefault="008F269F" w:rsidP="008F269F">
      <w:pPr>
        <w:widowControl w:val="0"/>
        <w:spacing w:after="120"/>
        <w:rPr>
          <w:rFonts w:ascii="Calibri" w:eastAsia="Calibri" w:hAnsi="Calibri" w:cs="Calibri"/>
          <w:bCs/>
          <w:szCs w:val="20"/>
          <w:lang w:val="sr-Cyrl-CS"/>
        </w:rPr>
      </w:pPr>
      <w:r w:rsidRPr="001B41AD">
        <w:rPr>
          <w:rFonts w:ascii="Calibri" w:eastAsia="Calibri" w:hAnsi="Calibri" w:cs="Calibri"/>
          <w:bCs/>
          <w:szCs w:val="20"/>
          <w:lang w:val="sr-Cyrl-CS"/>
        </w:rPr>
        <w:t>За период од 2029. до 2035. године спроведена је симулација три алтернативна сценарија кретања јавног дуга, уз претпоставку да држава у сваком од случајева адекватно реагује прилагођавањем нивоа фискалног дефицита. Два од три сценарија предвиђају ефекте екстерних фискалних или макроекономских шокова, и пратеће мере прилагођавања фискалне политике.</w:t>
      </w:r>
    </w:p>
    <w:p w14:paraId="0E77F880" w14:textId="77777777" w:rsidR="008F269F" w:rsidRPr="001B41AD" w:rsidRDefault="008F269F" w:rsidP="008F269F">
      <w:pPr>
        <w:widowControl w:val="0"/>
        <w:spacing w:after="120"/>
        <w:rPr>
          <w:rFonts w:ascii="Calibri" w:eastAsia="Calibri" w:hAnsi="Calibri" w:cs="Calibri"/>
          <w:bCs/>
          <w:szCs w:val="20"/>
          <w:lang w:val="sr-Cyrl-CS"/>
        </w:rPr>
      </w:pPr>
      <w:r w:rsidRPr="001B41AD">
        <w:rPr>
          <w:rFonts w:ascii="Calibri" w:eastAsia="Calibri" w:hAnsi="Calibri" w:cs="Calibri"/>
          <w:bCs/>
          <w:szCs w:val="20"/>
          <w:lang w:val="sr-Cyrl-CS"/>
        </w:rPr>
        <w:t>Кључне претпоставке на којима почива основни сценарио су следеће:</w:t>
      </w:r>
    </w:p>
    <w:p w14:paraId="2B84F781" w14:textId="77777777" w:rsidR="008F269F" w:rsidRPr="001B41AD" w:rsidRDefault="008F269F" w:rsidP="00204810">
      <w:pPr>
        <w:pStyle w:val="ListParagraph"/>
        <w:widowControl w:val="0"/>
        <w:numPr>
          <w:ilvl w:val="0"/>
          <w:numId w:val="17"/>
        </w:numPr>
        <w:spacing w:after="120"/>
        <w:ind w:left="450" w:hanging="270"/>
        <w:rPr>
          <w:rFonts w:ascii="Calibri" w:eastAsia="Calibri" w:hAnsi="Calibri" w:cs="Calibri"/>
          <w:bCs/>
          <w:szCs w:val="20"/>
          <w:lang w:val="sr-Cyrl-CS"/>
        </w:rPr>
      </w:pPr>
      <w:r w:rsidRPr="001B41AD">
        <w:rPr>
          <w:rFonts w:ascii="Calibri" w:eastAsia="Calibri" w:hAnsi="Calibri" w:cs="Calibri"/>
          <w:bCs/>
          <w:szCs w:val="20"/>
          <w:lang w:val="sr-Cyrl-CS"/>
        </w:rPr>
        <w:t>Фискални дефицит у периоду 2025–2028. планира се у складу са оквиром утврђеним у овом документу. Почев од 2029. године, планира се смањење дефицита на ниво од највише 2% БДП, иако важећа фискална правила дозвољавају и веће дефиците уколико је ниво јавног дуга испод прага од 45% БДП. Оваквим приступом, уз остале повољне претпоставке, омогућава се континуирано смањење учешћа дуга, са пројекцијом од 41,2% БДП у 2035. години;</w:t>
      </w:r>
    </w:p>
    <w:p w14:paraId="2717E1C3" w14:textId="77777777" w:rsidR="008F269F" w:rsidRPr="001B41AD" w:rsidRDefault="008F269F" w:rsidP="00204810">
      <w:pPr>
        <w:pStyle w:val="ListParagraph"/>
        <w:widowControl w:val="0"/>
        <w:numPr>
          <w:ilvl w:val="0"/>
          <w:numId w:val="17"/>
        </w:numPr>
        <w:spacing w:after="120"/>
        <w:ind w:left="450" w:hanging="270"/>
        <w:rPr>
          <w:rFonts w:ascii="Calibri" w:eastAsia="Calibri" w:hAnsi="Calibri" w:cs="Calibri"/>
          <w:bCs/>
          <w:szCs w:val="20"/>
          <w:lang w:val="sr-Cyrl-CS"/>
        </w:rPr>
      </w:pPr>
      <w:r w:rsidRPr="001B41AD">
        <w:rPr>
          <w:rFonts w:ascii="Calibri" w:eastAsia="Calibri" w:hAnsi="Calibri" w:cs="Calibri"/>
          <w:bCs/>
          <w:szCs w:val="20"/>
          <w:lang w:val="sr-Cyrl-CS"/>
        </w:rPr>
        <w:t xml:space="preserve">Просечна реална стопа раста БДП пројектује </w:t>
      </w:r>
      <w:r w:rsidRPr="001B41AD">
        <w:rPr>
          <w:rFonts w:ascii="Calibri" w:eastAsia="Calibri" w:hAnsi="Calibri" w:cs="Calibri"/>
          <w:bCs/>
          <w:szCs w:val="20"/>
          <w:lang w:val="sr-Cyrl-CS"/>
        </w:rPr>
        <w:lastRenderedPageBreak/>
        <w:t>се на 3,7% у дугом року, што представља ниво раста који омогућава очување пожељне динамике јавног дуга и у условима умерено експанзивне фискалне политике;</w:t>
      </w:r>
    </w:p>
    <w:p w14:paraId="5A3CBDC5" w14:textId="77777777" w:rsidR="008F269F" w:rsidRPr="001B41AD" w:rsidRDefault="008F269F" w:rsidP="00204810">
      <w:pPr>
        <w:pStyle w:val="ListParagraph"/>
        <w:widowControl w:val="0"/>
        <w:numPr>
          <w:ilvl w:val="0"/>
          <w:numId w:val="17"/>
        </w:numPr>
        <w:spacing w:after="120"/>
        <w:ind w:left="450" w:hanging="270"/>
        <w:rPr>
          <w:rFonts w:ascii="Calibri" w:eastAsia="Calibri" w:hAnsi="Calibri" w:cs="Calibri"/>
          <w:bCs/>
          <w:szCs w:val="20"/>
          <w:lang w:val="sr-Cyrl-CS"/>
        </w:rPr>
      </w:pPr>
      <w:r w:rsidRPr="001B41AD">
        <w:rPr>
          <w:rFonts w:ascii="Calibri" w:eastAsia="Calibri" w:hAnsi="Calibri" w:cs="Calibri"/>
          <w:bCs/>
          <w:szCs w:val="20"/>
          <w:lang w:val="sr-Cyrl-CS"/>
        </w:rPr>
        <w:t>Инфлација се стабилизује и у наставку периода одржава на нивоу од 3% у просеку у дужем року, што доприноси предвидивости макроекономског окружења и трошкова финансирања;</w:t>
      </w:r>
    </w:p>
    <w:p w14:paraId="674916CA" w14:textId="77777777" w:rsidR="008F269F" w:rsidRPr="001B41AD" w:rsidRDefault="008F269F" w:rsidP="00204810">
      <w:pPr>
        <w:pStyle w:val="ListParagraph"/>
        <w:widowControl w:val="0"/>
        <w:numPr>
          <w:ilvl w:val="0"/>
          <w:numId w:val="17"/>
        </w:numPr>
        <w:spacing w:after="120"/>
        <w:ind w:left="450" w:hanging="270"/>
        <w:rPr>
          <w:rFonts w:ascii="Calibri" w:eastAsia="Calibri" w:hAnsi="Calibri" w:cs="Calibri"/>
          <w:bCs/>
          <w:szCs w:val="20"/>
          <w:lang w:val="sr-Cyrl-CS"/>
        </w:rPr>
      </w:pPr>
      <w:r w:rsidRPr="001B41AD">
        <w:rPr>
          <w:rFonts w:ascii="Calibri" w:eastAsia="Calibri" w:hAnsi="Calibri" w:cs="Calibri"/>
          <w:bCs/>
          <w:szCs w:val="20"/>
          <w:lang w:val="sr-Cyrl-CS"/>
        </w:rPr>
        <w:t>Раст фискалних прихода пројектује се нешто спорије од номиналног раста БДП, услед очекиване промене у структури економије, већег учешћа инвестиција и извоза, као и одсуства значајнијих измена пореске политике. Истовремено, капитална потрошња се одржава на релативно високом нивоу у функцији подршке економском расту;</w:t>
      </w:r>
    </w:p>
    <w:p w14:paraId="79FC369F" w14:textId="77777777" w:rsidR="008F269F" w:rsidRPr="001B41AD" w:rsidRDefault="008F269F" w:rsidP="00204810">
      <w:pPr>
        <w:pStyle w:val="ListParagraph"/>
        <w:widowControl w:val="0"/>
        <w:numPr>
          <w:ilvl w:val="0"/>
          <w:numId w:val="17"/>
        </w:numPr>
        <w:spacing w:after="120"/>
        <w:ind w:left="450" w:hanging="270"/>
        <w:rPr>
          <w:rFonts w:ascii="Calibri" w:eastAsia="Calibri" w:hAnsi="Calibri" w:cs="Calibri"/>
          <w:bCs/>
          <w:szCs w:val="20"/>
          <w:lang w:val="sr-Cyrl-CS"/>
        </w:rPr>
      </w:pPr>
      <w:r w:rsidRPr="001B41AD">
        <w:rPr>
          <w:rFonts w:ascii="Calibri" w:eastAsia="Calibri" w:hAnsi="Calibri" w:cs="Calibri"/>
          <w:bCs/>
          <w:szCs w:val="20"/>
          <w:lang w:val="sr-Cyrl-CS"/>
        </w:rPr>
        <w:t xml:space="preserve">Након 2028. године не очекује се нови нето прираст државних гаранција, што ограничава </w:t>
      </w:r>
      <w:r w:rsidRPr="001B41AD">
        <w:rPr>
          <w:rFonts w:ascii="Calibri" w:eastAsia="Calibri" w:hAnsi="Calibri" w:cs="Calibri"/>
          <w:bCs/>
          <w:szCs w:val="20"/>
          <w:lang w:val="sr-Cyrl-CS"/>
        </w:rPr>
        <w:t>потенцијалне обавезе по том основу;</w:t>
      </w:r>
    </w:p>
    <w:p w14:paraId="5BC85989" w14:textId="77777777" w:rsidR="008F269F" w:rsidRPr="001B41AD" w:rsidRDefault="008F269F" w:rsidP="00204810">
      <w:pPr>
        <w:pStyle w:val="ListParagraph"/>
        <w:widowControl w:val="0"/>
        <w:numPr>
          <w:ilvl w:val="0"/>
          <w:numId w:val="17"/>
        </w:numPr>
        <w:spacing w:after="120"/>
        <w:ind w:left="450" w:hanging="270"/>
        <w:rPr>
          <w:rFonts w:ascii="Calibri" w:eastAsia="Calibri" w:hAnsi="Calibri" w:cs="Calibri"/>
          <w:bCs/>
          <w:szCs w:val="20"/>
          <w:lang w:val="sr-Cyrl-CS"/>
        </w:rPr>
      </w:pPr>
      <w:r w:rsidRPr="001B41AD">
        <w:rPr>
          <w:rFonts w:ascii="Calibri" w:eastAsia="Calibri" w:hAnsi="Calibri" w:cs="Calibri"/>
          <w:bCs/>
          <w:szCs w:val="20"/>
          <w:lang w:val="sr-Cyrl-CS"/>
        </w:rPr>
        <w:t>Не предвиђају се приходи од приватизације. Уколико до њих ипак дође, они ће додатно умањити потребу за задуживањем и убрзати смањење јавног дуга.</w:t>
      </w:r>
    </w:p>
    <w:p w14:paraId="301FCCA4" w14:textId="77777777" w:rsidR="008F269F" w:rsidRPr="001B41AD" w:rsidRDefault="008F269F" w:rsidP="008F269F">
      <w:pPr>
        <w:spacing w:after="120"/>
        <w:ind w:left="181"/>
        <w:rPr>
          <w:rFonts w:ascii="Calibri" w:eastAsia="Calibri" w:hAnsi="Calibri" w:cs="Calibri"/>
          <w:szCs w:val="20"/>
          <w:lang w:val="sr-Cyrl-CS"/>
        </w:rPr>
      </w:pPr>
      <w:r w:rsidRPr="001B41AD">
        <w:rPr>
          <w:rFonts w:ascii="Calibri" w:eastAsia="Calibri" w:hAnsi="Calibri" w:cs="Calibri"/>
          <w:szCs w:val="20"/>
          <w:lang w:val="sr-Cyrl-CS"/>
        </w:rPr>
        <w:t>Управљање и одрживост јавног дуга ће се додатно обезбедити:</w:t>
      </w:r>
    </w:p>
    <w:p w14:paraId="4EFA6A52" w14:textId="77777777" w:rsidR="008F269F" w:rsidRPr="001B41AD" w:rsidRDefault="008F269F" w:rsidP="00204810">
      <w:pPr>
        <w:numPr>
          <w:ilvl w:val="0"/>
          <w:numId w:val="2"/>
        </w:numPr>
        <w:spacing w:after="120"/>
        <w:ind w:left="450" w:hanging="270"/>
        <w:rPr>
          <w:rFonts w:ascii="Calibri" w:eastAsia="Calibri" w:hAnsi="Calibri" w:cs="Calibri"/>
          <w:szCs w:val="20"/>
          <w:lang w:val="sr-Cyrl-CS"/>
        </w:rPr>
      </w:pPr>
      <w:r w:rsidRPr="001B41AD">
        <w:rPr>
          <w:rFonts w:ascii="Calibri" w:eastAsia="Calibri" w:hAnsi="Calibri" w:cs="Calibri"/>
          <w:szCs w:val="20"/>
          <w:lang w:val="sr-Cyrl-CS"/>
        </w:rPr>
        <w:t>ограничењем закључивања нових пројектних зајмова у случајевима да претходно одобрени зајмови нису ефикасно коришћени;</w:t>
      </w:r>
    </w:p>
    <w:p w14:paraId="77CDB536" w14:textId="77777777" w:rsidR="008F269F" w:rsidRPr="001B41AD" w:rsidRDefault="008F269F" w:rsidP="00204810">
      <w:pPr>
        <w:numPr>
          <w:ilvl w:val="0"/>
          <w:numId w:val="2"/>
        </w:numPr>
        <w:spacing w:after="120"/>
        <w:ind w:left="450" w:hanging="270"/>
        <w:rPr>
          <w:rFonts w:ascii="Calibri" w:eastAsia="Calibri" w:hAnsi="Calibri" w:cs="Calibri"/>
          <w:szCs w:val="20"/>
          <w:lang w:val="sr-Cyrl-CS"/>
        </w:rPr>
      </w:pPr>
      <w:r w:rsidRPr="001B41AD">
        <w:rPr>
          <w:rFonts w:ascii="Calibri" w:eastAsia="Calibri" w:hAnsi="Calibri" w:cs="Calibri"/>
          <w:szCs w:val="20"/>
          <w:lang w:val="sr-Cyrl-CS"/>
        </w:rPr>
        <w:t>откупом једног дела скупог дуга коришћењем средстава из повољнијих зајмова или приватизационих прихода уколико за то постоје могућности;</w:t>
      </w:r>
    </w:p>
    <w:p w14:paraId="29ADC843" w14:textId="77777777" w:rsidR="008F269F" w:rsidRPr="001B41AD" w:rsidRDefault="008F269F" w:rsidP="00204810">
      <w:pPr>
        <w:numPr>
          <w:ilvl w:val="0"/>
          <w:numId w:val="1"/>
        </w:numPr>
        <w:spacing w:after="120"/>
        <w:ind w:left="450" w:hanging="270"/>
        <w:rPr>
          <w:rFonts w:ascii="Calibri" w:eastAsia="Calibri" w:hAnsi="Calibri" w:cs="Calibri"/>
          <w:szCs w:val="20"/>
          <w:lang w:val="sr-Cyrl-CS"/>
        </w:rPr>
      </w:pPr>
      <w:r w:rsidRPr="001B41AD">
        <w:rPr>
          <w:rFonts w:ascii="Calibri" w:eastAsia="Calibri" w:hAnsi="Calibri" w:cs="Calibri"/>
          <w:szCs w:val="20"/>
          <w:lang w:val="sr-Cyrl-CS"/>
        </w:rPr>
        <w:t>идентификацијом и бољим управљањем фискалним ризицима.</w:t>
      </w:r>
    </w:p>
    <w:p w14:paraId="0AE87EB2" w14:textId="77777777" w:rsidR="008F269F" w:rsidRPr="001B41AD" w:rsidRDefault="008F269F" w:rsidP="008F269F">
      <w:pPr>
        <w:rPr>
          <w:rFonts w:cs="Calibri"/>
          <w:szCs w:val="20"/>
          <w:lang w:val="sr-Cyrl-CS" w:eastAsia="ja-JP"/>
        </w:rPr>
        <w:sectPr w:rsidR="008F269F" w:rsidRPr="001B41AD" w:rsidSect="008D31CC">
          <w:type w:val="continuous"/>
          <w:pgSz w:w="12240" w:h="15840" w:code="1"/>
          <w:pgMar w:top="1417" w:right="1417" w:bottom="1417" w:left="1417" w:header="720" w:footer="720" w:gutter="0"/>
          <w:cols w:num="2" w:space="720"/>
        </w:sectPr>
      </w:pPr>
    </w:p>
    <w:p w14:paraId="145129AA" w14:textId="77777777" w:rsidR="008F269F" w:rsidRPr="001B41AD" w:rsidRDefault="008F269F" w:rsidP="008F269F">
      <w:pPr>
        <w:spacing w:after="40"/>
        <w:jc w:val="center"/>
        <w:rPr>
          <w:rFonts w:cstheme="minorHAnsi"/>
          <w:b/>
          <w:color w:val="002060"/>
          <w:lang w:val="sr-Cyrl-CS"/>
        </w:rPr>
      </w:pPr>
    </w:p>
    <w:p w14:paraId="08B81EAD" w14:textId="77777777" w:rsidR="008F269F" w:rsidRPr="001B41AD" w:rsidRDefault="008F269F" w:rsidP="008F269F">
      <w:pPr>
        <w:spacing w:after="40"/>
        <w:jc w:val="center"/>
        <w:rPr>
          <w:rFonts w:cstheme="minorHAnsi"/>
          <w:b/>
          <w:color w:val="002060"/>
          <w:lang w:val="sr-Cyrl-CS"/>
        </w:rPr>
      </w:pPr>
      <w:r w:rsidRPr="001B41AD">
        <w:rPr>
          <w:rFonts w:cstheme="minorHAnsi"/>
          <w:b/>
          <w:color w:val="002060"/>
          <w:lang w:val="sr-Cyrl-CS"/>
        </w:rPr>
        <w:t>Табела 2</w:t>
      </w:r>
      <w:r w:rsidR="00BB0049" w:rsidRPr="001B41AD">
        <w:rPr>
          <w:rFonts w:cstheme="minorHAnsi"/>
          <w:b/>
          <w:color w:val="002060"/>
          <w:lang w:val="sr-Cyrl-CS"/>
        </w:rPr>
        <w:t>7</w:t>
      </w:r>
      <w:r w:rsidRPr="001B41AD">
        <w:rPr>
          <w:rFonts w:cstheme="minorHAnsi"/>
          <w:b/>
          <w:color w:val="002060"/>
          <w:lang w:val="sr-Cyrl-CS"/>
        </w:rPr>
        <w:t>. Симулација нивоа укупног дуга у основном сценарију до 2035. године, % БДП</w:t>
      </w:r>
    </w:p>
    <w:tbl>
      <w:tblPr>
        <w:tblStyle w:val="TableGrid1"/>
        <w:tblW w:w="5092"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8"/>
        <w:gridCol w:w="608"/>
        <w:gridCol w:w="608"/>
        <w:gridCol w:w="607"/>
        <w:gridCol w:w="607"/>
        <w:gridCol w:w="609"/>
        <w:gridCol w:w="609"/>
        <w:gridCol w:w="609"/>
        <w:gridCol w:w="609"/>
        <w:gridCol w:w="609"/>
        <w:gridCol w:w="609"/>
        <w:gridCol w:w="609"/>
        <w:gridCol w:w="598"/>
      </w:tblGrid>
      <w:tr w:rsidR="008F269F" w:rsidRPr="001B41AD" w14:paraId="6216A628" w14:textId="77777777" w:rsidTr="00405489">
        <w:trPr>
          <w:trHeight w:hRule="exact" w:val="254"/>
        </w:trPr>
        <w:tc>
          <w:tcPr>
            <w:tcW w:w="1194" w:type="pct"/>
            <w:tcBorders>
              <w:top w:val="single" w:sz="4" w:space="0" w:color="auto"/>
              <w:bottom w:val="single" w:sz="4" w:space="0" w:color="auto"/>
            </w:tcBorders>
            <w:hideMark/>
          </w:tcPr>
          <w:p w14:paraId="1A7D8401" w14:textId="77777777" w:rsidR="008F269F" w:rsidRPr="001B41AD" w:rsidRDefault="008F269F" w:rsidP="00405489">
            <w:pPr>
              <w:ind w:right="-427"/>
              <w:jc w:val="left"/>
              <w:rPr>
                <w:rFonts w:eastAsia="Times New Roman" w:cstheme="minorHAnsi"/>
                <w:color w:val="002060"/>
                <w:sz w:val="16"/>
                <w:szCs w:val="16"/>
                <w:lang w:val="sr-Cyrl-CS"/>
              </w:rPr>
            </w:pPr>
            <w:r w:rsidRPr="001B41AD">
              <w:rPr>
                <w:rFonts w:eastAsia="Times New Roman" w:cstheme="minorHAnsi"/>
                <w:color w:val="002060"/>
                <w:sz w:val="16"/>
                <w:szCs w:val="16"/>
                <w:lang w:val="sr-Cyrl-CS"/>
              </w:rPr>
              <w:t>Основни сценарио</w:t>
            </w:r>
          </w:p>
        </w:tc>
        <w:tc>
          <w:tcPr>
            <w:tcW w:w="317" w:type="pct"/>
            <w:tcBorders>
              <w:top w:val="single" w:sz="4" w:space="0" w:color="auto"/>
              <w:bottom w:val="single" w:sz="4" w:space="0" w:color="auto"/>
            </w:tcBorders>
            <w:noWrap/>
            <w:hideMark/>
          </w:tcPr>
          <w:p w14:paraId="5C3DD3D5"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2024</w:t>
            </w:r>
          </w:p>
        </w:tc>
        <w:tc>
          <w:tcPr>
            <w:tcW w:w="317" w:type="pct"/>
            <w:tcBorders>
              <w:top w:val="single" w:sz="4" w:space="0" w:color="auto"/>
              <w:bottom w:val="single" w:sz="4" w:space="0" w:color="auto"/>
            </w:tcBorders>
            <w:noWrap/>
            <w:hideMark/>
          </w:tcPr>
          <w:p w14:paraId="4AF4786E"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2025</w:t>
            </w:r>
          </w:p>
        </w:tc>
        <w:tc>
          <w:tcPr>
            <w:tcW w:w="317" w:type="pct"/>
            <w:tcBorders>
              <w:top w:val="single" w:sz="4" w:space="0" w:color="auto"/>
              <w:bottom w:val="single" w:sz="4" w:space="0" w:color="auto"/>
            </w:tcBorders>
            <w:noWrap/>
            <w:hideMark/>
          </w:tcPr>
          <w:p w14:paraId="1FBCFCF0"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2026</w:t>
            </w:r>
          </w:p>
        </w:tc>
        <w:tc>
          <w:tcPr>
            <w:tcW w:w="317" w:type="pct"/>
            <w:tcBorders>
              <w:top w:val="single" w:sz="4" w:space="0" w:color="auto"/>
              <w:bottom w:val="single" w:sz="4" w:space="0" w:color="auto"/>
            </w:tcBorders>
            <w:noWrap/>
            <w:hideMark/>
          </w:tcPr>
          <w:p w14:paraId="30404906"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2027</w:t>
            </w:r>
          </w:p>
        </w:tc>
        <w:tc>
          <w:tcPr>
            <w:tcW w:w="318" w:type="pct"/>
            <w:tcBorders>
              <w:top w:val="single" w:sz="4" w:space="0" w:color="auto"/>
              <w:bottom w:val="single" w:sz="4" w:space="0" w:color="auto"/>
            </w:tcBorders>
            <w:noWrap/>
            <w:hideMark/>
          </w:tcPr>
          <w:p w14:paraId="2D3E29BF"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2028</w:t>
            </w:r>
          </w:p>
        </w:tc>
        <w:tc>
          <w:tcPr>
            <w:tcW w:w="318" w:type="pct"/>
            <w:tcBorders>
              <w:top w:val="single" w:sz="4" w:space="0" w:color="auto"/>
              <w:bottom w:val="single" w:sz="4" w:space="0" w:color="auto"/>
            </w:tcBorders>
            <w:noWrap/>
            <w:hideMark/>
          </w:tcPr>
          <w:p w14:paraId="44D45190"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2029</w:t>
            </w:r>
          </w:p>
        </w:tc>
        <w:tc>
          <w:tcPr>
            <w:tcW w:w="318" w:type="pct"/>
            <w:tcBorders>
              <w:top w:val="single" w:sz="4" w:space="0" w:color="auto"/>
              <w:bottom w:val="single" w:sz="4" w:space="0" w:color="auto"/>
            </w:tcBorders>
            <w:noWrap/>
            <w:hideMark/>
          </w:tcPr>
          <w:p w14:paraId="2049DE9A"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2030</w:t>
            </w:r>
          </w:p>
        </w:tc>
        <w:tc>
          <w:tcPr>
            <w:tcW w:w="318" w:type="pct"/>
            <w:tcBorders>
              <w:top w:val="single" w:sz="4" w:space="0" w:color="auto"/>
              <w:bottom w:val="single" w:sz="4" w:space="0" w:color="auto"/>
            </w:tcBorders>
            <w:noWrap/>
            <w:hideMark/>
          </w:tcPr>
          <w:p w14:paraId="4CED72E4"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2031</w:t>
            </w:r>
          </w:p>
        </w:tc>
        <w:tc>
          <w:tcPr>
            <w:tcW w:w="318" w:type="pct"/>
            <w:tcBorders>
              <w:top w:val="single" w:sz="4" w:space="0" w:color="auto"/>
              <w:bottom w:val="single" w:sz="4" w:space="0" w:color="auto"/>
            </w:tcBorders>
          </w:tcPr>
          <w:p w14:paraId="4C5D7077"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2032</w:t>
            </w:r>
          </w:p>
        </w:tc>
        <w:tc>
          <w:tcPr>
            <w:tcW w:w="318" w:type="pct"/>
            <w:tcBorders>
              <w:top w:val="single" w:sz="4" w:space="0" w:color="auto"/>
              <w:bottom w:val="single" w:sz="4" w:space="0" w:color="auto"/>
            </w:tcBorders>
          </w:tcPr>
          <w:p w14:paraId="37B064B1"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2033</w:t>
            </w:r>
          </w:p>
        </w:tc>
        <w:tc>
          <w:tcPr>
            <w:tcW w:w="318" w:type="pct"/>
            <w:tcBorders>
              <w:top w:val="single" w:sz="4" w:space="0" w:color="auto"/>
              <w:bottom w:val="single" w:sz="4" w:space="0" w:color="auto"/>
            </w:tcBorders>
          </w:tcPr>
          <w:p w14:paraId="05139D84"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2034</w:t>
            </w:r>
          </w:p>
        </w:tc>
        <w:tc>
          <w:tcPr>
            <w:tcW w:w="313" w:type="pct"/>
            <w:tcBorders>
              <w:top w:val="single" w:sz="4" w:space="0" w:color="auto"/>
              <w:bottom w:val="single" w:sz="4" w:space="0" w:color="auto"/>
            </w:tcBorders>
          </w:tcPr>
          <w:p w14:paraId="5C8E81CE" w14:textId="77777777" w:rsidR="008F269F" w:rsidRPr="001B41AD" w:rsidRDefault="008F269F" w:rsidP="00405489">
            <w:pPr>
              <w:jc w:val="right"/>
              <w:rPr>
                <w:rFonts w:cstheme="minorHAnsi"/>
                <w:color w:val="002060"/>
                <w:sz w:val="16"/>
                <w:szCs w:val="16"/>
                <w:lang w:val="sr-Cyrl-CS"/>
              </w:rPr>
            </w:pPr>
            <w:r w:rsidRPr="001B41AD">
              <w:rPr>
                <w:rFonts w:cstheme="minorHAnsi"/>
                <w:color w:val="002060"/>
                <w:sz w:val="16"/>
                <w:szCs w:val="16"/>
                <w:lang w:val="sr-Cyrl-CS"/>
              </w:rPr>
              <w:t>2035</w:t>
            </w:r>
          </w:p>
        </w:tc>
      </w:tr>
      <w:tr w:rsidR="008F269F" w:rsidRPr="001B41AD" w14:paraId="32E45D6B" w14:textId="77777777" w:rsidTr="00405489">
        <w:trPr>
          <w:trHeight w:hRule="exact" w:val="254"/>
        </w:trPr>
        <w:tc>
          <w:tcPr>
            <w:tcW w:w="1194" w:type="pct"/>
            <w:tcBorders>
              <w:top w:val="single" w:sz="4" w:space="0" w:color="auto"/>
            </w:tcBorders>
            <w:noWrap/>
            <w:hideMark/>
          </w:tcPr>
          <w:p w14:paraId="19F14312" w14:textId="77777777" w:rsidR="008F269F" w:rsidRPr="001B41AD" w:rsidRDefault="008F269F" w:rsidP="00405489">
            <w:pPr>
              <w:jc w:val="left"/>
              <w:rPr>
                <w:rFonts w:eastAsia="Times New Roman" w:cstheme="minorHAnsi"/>
                <w:color w:val="002060"/>
                <w:sz w:val="16"/>
                <w:szCs w:val="16"/>
                <w:lang w:val="sr-Cyrl-CS"/>
              </w:rPr>
            </w:pPr>
            <w:r w:rsidRPr="001B41AD">
              <w:rPr>
                <w:rFonts w:eastAsia="Times New Roman" w:cstheme="minorHAnsi"/>
                <w:color w:val="002060"/>
                <w:sz w:val="16"/>
                <w:szCs w:val="16"/>
                <w:lang w:val="sr-Cyrl-CS"/>
              </w:rPr>
              <w:t>Приходи</w:t>
            </w:r>
          </w:p>
        </w:tc>
        <w:tc>
          <w:tcPr>
            <w:tcW w:w="317" w:type="pct"/>
            <w:tcBorders>
              <w:top w:val="single" w:sz="4" w:space="0" w:color="auto"/>
            </w:tcBorders>
            <w:noWrap/>
            <w:hideMark/>
          </w:tcPr>
          <w:p w14:paraId="57A6CAA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40,4</w:t>
            </w:r>
          </w:p>
        </w:tc>
        <w:tc>
          <w:tcPr>
            <w:tcW w:w="317" w:type="pct"/>
            <w:tcBorders>
              <w:top w:val="single" w:sz="4" w:space="0" w:color="auto"/>
            </w:tcBorders>
            <w:noWrap/>
            <w:hideMark/>
          </w:tcPr>
          <w:p w14:paraId="34B93C9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40,9</w:t>
            </w:r>
          </w:p>
        </w:tc>
        <w:tc>
          <w:tcPr>
            <w:tcW w:w="317" w:type="pct"/>
            <w:tcBorders>
              <w:top w:val="single" w:sz="4" w:space="0" w:color="auto"/>
            </w:tcBorders>
            <w:noWrap/>
            <w:hideMark/>
          </w:tcPr>
          <w:p w14:paraId="4156311E"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41,1</w:t>
            </w:r>
          </w:p>
        </w:tc>
        <w:tc>
          <w:tcPr>
            <w:tcW w:w="317" w:type="pct"/>
            <w:tcBorders>
              <w:top w:val="single" w:sz="4" w:space="0" w:color="auto"/>
            </w:tcBorders>
            <w:noWrap/>
            <w:hideMark/>
          </w:tcPr>
          <w:p w14:paraId="22A71195"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40,3</w:t>
            </w:r>
          </w:p>
        </w:tc>
        <w:tc>
          <w:tcPr>
            <w:tcW w:w="318" w:type="pct"/>
            <w:tcBorders>
              <w:top w:val="single" w:sz="4" w:space="0" w:color="auto"/>
            </w:tcBorders>
            <w:noWrap/>
            <w:hideMark/>
          </w:tcPr>
          <w:p w14:paraId="7E5A581E"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40,1</w:t>
            </w:r>
          </w:p>
        </w:tc>
        <w:tc>
          <w:tcPr>
            <w:tcW w:w="318" w:type="pct"/>
            <w:tcBorders>
              <w:top w:val="single" w:sz="4" w:space="0" w:color="auto"/>
            </w:tcBorders>
            <w:noWrap/>
            <w:hideMark/>
          </w:tcPr>
          <w:p w14:paraId="6AF372AD"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39,9</w:t>
            </w:r>
          </w:p>
        </w:tc>
        <w:tc>
          <w:tcPr>
            <w:tcW w:w="318" w:type="pct"/>
            <w:tcBorders>
              <w:top w:val="single" w:sz="4" w:space="0" w:color="auto"/>
            </w:tcBorders>
            <w:noWrap/>
            <w:hideMark/>
          </w:tcPr>
          <w:p w14:paraId="188359C0"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39,7</w:t>
            </w:r>
          </w:p>
        </w:tc>
        <w:tc>
          <w:tcPr>
            <w:tcW w:w="318" w:type="pct"/>
            <w:tcBorders>
              <w:top w:val="single" w:sz="4" w:space="0" w:color="auto"/>
            </w:tcBorders>
            <w:noWrap/>
            <w:hideMark/>
          </w:tcPr>
          <w:p w14:paraId="0216DAD1"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39,5</w:t>
            </w:r>
          </w:p>
        </w:tc>
        <w:tc>
          <w:tcPr>
            <w:tcW w:w="318" w:type="pct"/>
            <w:tcBorders>
              <w:top w:val="single" w:sz="4" w:space="0" w:color="auto"/>
            </w:tcBorders>
          </w:tcPr>
          <w:p w14:paraId="41D54304"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39,3</w:t>
            </w:r>
          </w:p>
        </w:tc>
        <w:tc>
          <w:tcPr>
            <w:tcW w:w="318" w:type="pct"/>
            <w:tcBorders>
              <w:top w:val="single" w:sz="4" w:space="0" w:color="auto"/>
            </w:tcBorders>
          </w:tcPr>
          <w:p w14:paraId="2D78C80C"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39,1</w:t>
            </w:r>
          </w:p>
        </w:tc>
        <w:tc>
          <w:tcPr>
            <w:tcW w:w="318" w:type="pct"/>
            <w:tcBorders>
              <w:top w:val="single" w:sz="4" w:space="0" w:color="auto"/>
            </w:tcBorders>
          </w:tcPr>
          <w:p w14:paraId="0D9F4BCE"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38,9</w:t>
            </w:r>
          </w:p>
        </w:tc>
        <w:tc>
          <w:tcPr>
            <w:tcW w:w="313" w:type="pct"/>
            <w:tcBorders>
              <w:top w:val="single" w:sz="4" w:space="0" w:color="auto"/>
            </w:tcBorders>
          </w:tcPr>
          <w:p w14:paraId="332BD05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38,7</w:t>
            </w:r>
          </w:p>
        </w:tc>
      </w:tr>
      <w:tr w:rsidR="008F269F" w:rsidRPr="001B41AD" w14:paraId="0E0CB078" w14:textId="77777777" w:rsidTr="00405489">
        <w:trPr>
          <w:trHeight w:hRule="exact" w:val="254"/>
        </w:trPr>
        <w:tc>
          <w:tcPr>
            <w:tcW w:w="1194" w:type="pct"/>
            <w:noWrap/>
            <w:hideMark/>
          </w:tcPr>
          <w:p w14:paraId="7DE0941B" w14:textId="77777777" w:rsidR="008F269F" w:rsidRPr="001B41AD" w:rsidRDefault="008F269F" w:rsidP="00405489">
            <w:pPr>
              <w:jc w:val="left"/>
              <w:rPr>
                <w:rFonts w:eastAsia="Times New Roman" w:cstheme="minorHAnsi"/>
                <w:color w:val="002060"/>
                <w:sz w:val="16"/>
                <w:szCs w:val="16"/>
                <w:lang w:val="sr-Cyrl-CS"/>
              </w:rPr>
            </w:pPr>
            <w:r w:rsidRPr="001B41AD">
              <w:rPr>
                <w:rFonts w:eastAsia="Times New Roman" w:cstheme="minorHAnsi"/>
                <w:color w:val="002060"/>
                <w:sz w:val="16"/>
                <w:szCs w:val="16"/>
                <w:lang w:val="sr-Cyrl-CS"/>
              </w:rPr>
              <w:t>Расходи</w:t>
            </w:r>
          </w:p>
        </w:tc>
        <w:tc>
          <w:tcPr>
            <w:tcW w:w="317" w:type="pct"/>
            <w:noWrap/>
            <w:hideMark/>
          </w:tcPr>
          <w:p w14:paraId="2B9EBF8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42,4</w:t>
            </w:r>
          </w:p>
        </w:tc>
        <w:tc>
          <w:tcPr>
            <w:tcW w:w="317" w:type="pct"/>
            <w:noWrap/>
            <w:hideMark/>
          </w:tcPr>
          <w:p w14:paraId="0426714B"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43,9</w:t>
            </w:r>
          </w:p>
        </w:tc>
        <w:tc>
          <w:tcPr>
            <w:tcW w:w="317" w:type="pct"/>
            <w:noWrap/>
            <w:hideMark/>
          </w:tcPr>
          <w:p w14:paraId="51D4F62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44,1</w:t>
            </w:r>
          </w:p>
        </w:tc>
        <w:tc>
          <w:tcPr>
            <w:tcW w:w="317" w:type="pct"/>
            <w:noWrap/>
            <w:hideMark/>
          </w:tcPr>
          <w:p w14:paraId="71F420F0"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43,3</w:t>
            </w:r>
          </w:p>
        </w:tc>
        <w:tc>
          <w:tcPr>
            <w:tcW w:w="318" w:type="pct"/>
            <w:noWrap/>
            <w:hideMark/>
          </w:tcPr>
          <w:p w14:paraId="3DA0912C"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42,6</w:t>
            </w:r>
          </w:p>
        </w:tc>
        <w:tc>
          <w:tcPr>
            <w:tcW w:w="318" w:type="pct"/>
            <w:noWrap/>
            <w:hideMark/>
          </w:tcPr>
          <w:p w14:paraId="53EE13BC"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41,9</w:t>
            </w:r>
          </w:p>
        </w:tc>
        <w:tc>
          <w:tcPr>
            <w:tcW w:w="318" w:type="pct"/>
            <w:noWrap/>
            <w:hideMark/>
          </w:tcPr>
          <w:p w14:paraId="6F77E976"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41,7</w:t>
            </w:r>
          </w:p>
        </w:tc>
        <w:tc>
          <w:tcPr>
            <w:tcW w:w="318" w:type="pct"/>
            <w:noWrap/>
            <w:hideMark/>
          </w:tcPr>
          <w:p w14:paraId="66444FB9"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41,5</w:t>
            </w:r>
          </w:p>
        </w:tc>
        <w:tc>
          <w:tcPr>
            <w:tcW w:w="318" w:type="pct"/>
          </w:tcPr>
          <w:p w14:paraId="65B34FC9"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41,3</w:t>
            </w:r>
          </w:p>
        </w:tc>
        <w:tc>
          <w:tcPr>
            <w:tcW w:w="318" w:type="pct"/>
          </w:tcPr>
          <w:p w14:paraId="2B08BB38"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41,1</w:t>
            </w:r>
          </w:p>
        </w:tc>
        <w:tc>
          <w:tcPr>
            <w:tcW w:w="318" w:type="pct"/>
          </w:tcPr>
          <w:p w14:paraId="09032E16"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40,9</w:t>
            </w:r>
          </w:p>
        </w:tc>
        <w:tc>
          <w:tcPr>
            <w:tcW w:w="313" w:type="pct"/>
          </w:tcPr>
          <w:p w14:paraId="5A0BB431"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40,7</w:t>
            </w:r>
          </w:p>
        </w:tc>
      </w:tr>
      <w:tr w:rsidR="008F269F" w:rsidRPr="001B41AD" w14:paraId="4F0CCCB1" w14:textId="77777777" w:rsidTr="00405489">
        <w:trPr>
          <w:trHeight w:hRule="exact" w:val="254"/>
        </w:trPr>
        <w:tc>
          <w:tcPr>
            <w:tcW w:w="1194" w:type="pct"/>
            <w:noWrap/>
            <w:hideMark/>
          </w:tcPr>
          <w:p w14:paraId="17DA97F4" w14:textId="77777777" w:rsidR="008F269F" w:rsidRPr="001B41AD" w:rsidRDefault="008F269F" w:rsidP="00405489">
            <w:pPr>
              <w:jc w:val="left"/>
              <w:rPr>
                <w:rFonts w:eastAsia="Times New Roman" w:cstheme="minorHAnsi"/>
                <w:i/>
                <w:iCs/>
                <w:color w:val="002060"/>
                <w:sz w:val="16"/>
                <w:szCs w:val="16"/>
                <w:lang w:val="sr-Cyrl-CS"/>
              </w:rPr>
            </w:pPr>
            <w:r w:rsidRPr="001B41AD">
              <w:rPr>
                <w:rFonts w:eastAsia="Times New Roman" w:cstheme="minorHAnsi"/>
                <w:i/>
                <w:color w:val="002060"/>
                <w:sz w:val="16"/>
                <w:szCs w:val="16"/>
                <w:lang w:val="sr-Cyrl-CS"/>
              </w:rPr>
              <w:t>Пад учешћа расхода</w:t>
            </w:r>
          </w:p>
        </w:tc>
        <w:tc>
          <w:tcPr>
            <w:tcW w:w="317" w:type="pct"/>
            <w:noWrap/>
            <w:hideMark/>
          </w:tcPr>
          <w:p w14:paraId="3804337F" w14:textId="77777777" w:rsidR="008F269F" w:rsidRPr="001B41AD" w:rsidRDefault="008F269F" w:rsidP="00405489">
            <w:pPr>
              <w:jc w:val="right"/>
              <w:rPr>
                <w:rFonts w:cstheme="minorHAnsi"/>
                <w:sz w:val="16"/>
                <w:szCs w:val="16"/>
                <w:lang w:val="sr-Cyrl-CS"/>
              </w:rPr>
            </w:pPr>
          </w:p>
        </w:tc>
        <w:tc>
          <w:tcPr>
            <w:tcW w:w="317" w:type="pct"/>
            <w:noWrap/>
            <w:hideMark/>
          </w:tcPr>
          <w:p w14:paraId="14387066"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1,5</w:t>
            </w:r>
          </w:p>
        </w:tc>
        <w:tc>
          <w:tcPr>
            <w:tcW w:w="317" w:type="pct"/>
            <w:noWrap/>
            <w:hideMark/>
          </w:tcPr>
          <w:p w14:paraId="543CA3B0"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0,2</w:t>
            </w:r>
          </w:p>
        </w:tc>
        <w:tc>
          <w:tcPr>
            <w:tcW w:w="317" w:type="pct"/>
            <w:noWrap/>
            <w:hideMark/>
          </w:tcPr>
          <w:p w14:paraId="35607E5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-0,8</w:t>
            </w:r>
          </w:p>
        </w:tc>
        <w:tc>
          <w:tcPr>
            <w:tcW w:w="318" w:type="pct"/>
            <w:noWrap/>
            <w:hideMark/>
          </w:tcPr>
          <w:p w14:paraId="51DB9C8E"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-0,7</w:t>
            </w:r>
          </w:p>
        </w:tc>
        <w:tc>
          <w:tcPr>
            <w:tcW w:w="318" w:type="pct"/>
            <w:noWrap/>
            <w:hideMark/>
          </w:tcPr>
          <w:p w14:paraId="7111E254"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-0,7</w:t>
            </w:r>
          </w:p>
        </w:tc>
        <w:tc>
          <w:tcPr>
            <w:tcW w:w="318" w:type="pct"/>
            <w:noWrap/>
            <w:hideMark/>
          </w:tcPr>
          <w:p w14:paraId="56249C30"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-0,2</w:t>
            </w:r>
          </w:p>
        </w:tc>
        <w:tc>
          <w:tcPr>
            <w:tcW w:w="318" w:type="pct"/>
            <w:noWrap/>
            <w:hideMark/>
          </w:tcPr>
          <w:p w14:paraId="5588B806"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-0,2</w:t>
            </w:r>
          </w:p>
        </w:tc>
        <w:tc>
          <w:tcPr>
            <w:tcW w:w="318" w:type="pct"/>
          </w:tcPr>
          <w:p w14:paraId="7908AF2B"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-0,2</w:t>
            </w:r>
          </w:p>
        </w:tc>
        <w:tc>
          <w:tcPr>
            <w:tcW w:w="318" w:type="pct"/>
          </w:tcPr>
          <w:p w14:paraId="5D350186"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-0,2</w:t>
            </w:r>
          </w:p>
        </w:tc>
        <w:tc>
          <w:tcPr>
            <w:tcW w:w="318" w:type="pct"/>
          </w:tcPr>
          <w:p w14:paraId="55886A1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-0,2</w:t>
            </w:r>
          </w:p>
        </w:tc>
        <w:tc>
          <w:tcPr>
            <w:tcW w:w="313" w:type="pct"/>
          </w:tcPr>
          <w:p w14:paraId="6D5ACA39"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-0,2</w:t>
            </w:r>
          </w:p>
        </w:tc>
      </w:tr>
      <w:tr w:rsidR="008F269F" w:rsidRPr="001B41AD" w14:paraId="14797EC5" w14:textId="77777777" w:rsidTr="00405489">
        <w:trPr>
          <w:trHeight w:hRule="exact" w:val="254"/>
        </w:trPr>
        <w:tc>
          <w:tcPr>
            <w:tcW w:w="1194" w:type="pct"/>
            <w:noWrap/>
            <w:hideMark/>
          </w:tcPr>
          <w:p w14:paraId="39157001" w14:textId="77777777" w:rsidR="008F269F" w:rsidRPr="001B41AD" w:rsidRDefault="008F269F" w:rsidP="00405489">
            <w:pPr>
              <w:jc w:val="left"/>
              <w:rPr>
                <w:rFonts w:eastAsia="Times New Roman" w:cstheme="minorHAnsi"/>
                <w:color w:val="002060"/>
                <w:sz w:val="16"/>
                <w:szCs w:val="16"/>
                <w:lang w:val="sr-Cyrl-CS"/>
              </w:rPr>
            </w:pPr>
            <w:r w:rsidRPr="001B41AD">
              <w:rPr>
                <w:rFonts w:eastAsia="Times New Roman" w:cstheme="minorHAnsi"/>
                <w:color w:val="002060"/>
                <w:sz w:val="16"/>
                <w:szCs w:val="16"/>
                <w:lang w:val="sr-Cyrl-CS"/>
              </w:rPr>
              <w:t xml:space="preserve">Фискални резултат </w:t>
            </w:r>
          </w:p>
        </w:tc>
        <w:tc>
          <w:tcPr>
            <w:tcW w:w="317" w:type="pct"/>
            <w:noWrap/>
            <w:hideMark/>
          </w:tcPr>
          <w:p w14:paraId="067697B4"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-2,0</w:t>
            </w:r>
          </w:p>
        </w:tc>
        <w:tc>
          <w:tcPr>
            <w:tcW w:w="317" w:type="pct"/>
            <w:noWrap/>
            <w:hideMark/>
          </w:tcPr>
          <w:p w14:paraId="0EA696DB"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-3,0</w:t>
            </w:r>
          </w:p>
        </w:tc>
        <w:tc>
          <w:tcPr>
            <w:tcW w:w="317" w:type="pct"/>
            <w:noWrap/>
            <w:hideMark/>
          </w:tcPr>
          <w:p w14:paraId="27F60775"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-3,0</w:t>
            </w:r>
          </w:p>
        </w:tc>
        <w:tc>
          <w:tcPr>
            <w:tcW w:w="317" w:type="pct"/>
            <w:noWrap/>
            <w:hideMark/>
          </w:tcPr>
          <w:p w14:paraId="2488DA50"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-3,0</w:t>
            </w:r>
          </w:p>
        </w:tc>
        <w:tc>
          <w:tcPr>
            <w:tcW w:w="318" w:type="pct"/>
            <w:noWrap/>
            <w:hideMark/>
          </w:tcPr>
          <w:p w14:paraId="312BFB7E"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-2,5</w:t>
            </w:r>
          </w:p>
        </w:tc>
        <w:tc>
          <w:tcPr>
            <w:tcW w:w="318" w:type="pct"/>
            <w:noWrap/>
            <w:hideMark/>
          </w:tcPr>
          <w:p w14:paraId="7F5BCEBC"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-2,0</w:t>
            </w:r>
          </w:p>
        </w:tc>
        <w:tc>
          <w:tcPr>
            <w:tcW w:w="318" w:type="pct"/>
            <w:noWrap/>
            <w:hideMark/>
          </w:tcPr>
          <w:p w14:paraId="00170AD2"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-2,0</w:t>
            </w:r>
          </w:p>
        </w:tc>
        <w:tc>
          <w:tcPr>
            <w:tcW w:w="318" w:type="pct"/>
            <w:noWrap/>
            <w:hideMark/>
          </w:tcPr>
          <w:p w14:paraId="0F06CBF8"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-2,0</w:t>
            </w:r>
          </w:p>
        </w:tc>
        <w:tc>
          <w:tcPr>
            <w:tcW w:w="318" w:type="pct"/>
          </w:tcPr>
          <w:p w14:paraId="12CBACFC"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-2,0</w:t>
            </w:r>
          </w:p>
        </w:tc>
        <w:tc>
          <w:tcPr>
            <w:tcW w:w="318" w:type="pct"/>
          </w:tcPr>
          <w:p w14:paraId="2AB7F00C"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-2,0</w:t>
            </w:r>
          </w:p>
        </w:tc>
        <w:tc>
          <w:tcPr>
            <w:tcW w:w="318" w:type="pct"/>
          </w:tcPr>
          <w:p w14:paraId="6D80BBFD"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-2,0</w:t>
            </w:r>
          </w:p>
        </w:tc>
        <w:tc>
          <w:tcPr>
            <w:tcW w:w="313" w:type="pct"/>
          </w:tcPr>
          <w:p w14:paraId="7EB8D969"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-2,0</w:t>
            </w:r>
          </w:p>
        </w:tc>
      </w:tr>
      <w:tr w:rsidR="008F269F" w:rsidRPr="001B41AD" w14:paraId="06B1CE4B" w14:textId="77777777" w:rsidTr="00405489">
        <w:trPr>
          <w:trHeight w:hRule="exact" w:val="254"/>
        </w:trPr>
        <w:tc>
          <w:tcPr>
            <w:tcW w:w="1194" w:type="pct"/>
            <w:noWrap/>
            <w:hideMark/>
          </w:tcPr>
          <w:p w14:paraId="1400F528" w14:textId="77777777" w:rsidR="008F269F" w:rsidRPr="001B41AD" w:rsidRDefault="008F269F" w:rsidP="00405489">
            <w:pPr>
              <w:jc w:val="left"/>
              <w:rPr>
                <w:rFonts w:eastAsia="Times New Roman" w:cstheme="minorHAnsi"/>
                <w:color w:val="002060"/>
                <w:sz w:val="16"/>
                <w:szCs w:val="16"/>
                <w:lang w:val="sr-Cyrl-CS"/>
              </w:rPr>
            </w:pPr>
            <w:r w:rsidRPr="001B41AD">
              <w:rPr>
                <w:rFonts w:eastAsia="Times New Roman" w:cstheme="minorHAnsi"/>
                <w:color w:val="002060"/>
                <w:sz w:val="16"/>
                <w:szCs w:val="16"/>
                <w:lang w:val="sr-Cyrl-CS"/>
              </w:rPr>
              <w:t>Примарни фиск. резултат</w:t>
            </w:r>
          </w:p>
        </w:tc>
        <w:tc>
          <w:tcPr>
            <w:tcW w:w="317" w:type="pct"/>
            <w:noWrap/>
            <w:hideMark/>
          </w:tcPr>
          <w:p w14:paraId="03C9ABBE"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-0,3</w:t>
            </w:r>
          </w:p>
        </w:tc>
        <w:tc>
          <w:tcPr>
            <w:tcW w:w="317" w:type="pct"/>
            <w:noWrap/>
            <w:hideMark/>
          </w:tcPr>
          <w:p w14:paraId="6ACE51F1"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-1,2</w:t>
            </w:r>
          </w:p>
        </w:tc>
        <w:tc>
          <w:tcPr>
            <w:tcW w:w="317" w:type="pct"/>
            <w:noWrap/>
            <w:hideMark/>
          </w:tcPr>
          <w:p w14:paraId="082A740E"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-1,2</w:t>
            </w:r>
          </w:p>
        </w:tc>
        <w:tc>
          <w:tcPr>
            <w:tcW w:w="317" w:type="pct"/>
            <w:noWrap/>
            <w:hideMark/>
          </w:tcPr>
          <w:p w14:paraId="5FB2E6F8"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-1,2</w:t>
            </w:r>
          </w:p>
        </w:tc>
        <w:tc>
          <w:tcPr>
            <w:tcW w:w="318" w:type="pct"/>
            <w:noWrap/>
            <w:hideMark/>
          </w:tcPr>
          <w:p w14:paraId="6D53A689"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-0,7</w:t>
            </w:r>
          </w:p>
        </w:tc>
        <w:tc>
          <w:tcPr>
            <w:tcW w:w="318" w:type="pct"/>
            <w:noWrap/>
            <w:hideMark/>
          </w:tcPr>
          <w:p w14:paraId="3D28CBEF"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-0,1</w:t>
            </w:r>
          </w:p>
        </w:tc>
        <w:tc>
          <w:tcPr>
            <w:tcW w:w="318" w:type="pct"/>
            <w:noWrap/>
            <w:hideMark/>
          </w:tcPr>
          <w:p w14:paraId="61245488"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-0,1</w:t>
            </w:r>
          </w:p>
        </w:tc>
        <w:tc>
          <w:tcPr>
            <w:tcW w:w="318" w:type="pct"/>
            <w:noWrap/>
            <w:hideMark/>
          </w:tcPr>
          <w:p w14:paraId="49CBD4E6"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-0,1</w:t>
            </w:r>
          </w:p>
        </w:tc>
        <w:tc>
          <w:tcPr>
            <w:tcW w:w="318" w:type="pct"/>
          </w:tcPr>
          <w:p w14:paraId="2BB3602F"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-0,1</w:t>
            </w:r>
          </w:p>
        </w:tc>
        <w:tc>
          <w:tcPr>
            <w:tcW w:w="318" w:type="pct"/>
          </w:tcPr>
          <w:p w14:paraId="1B7DC2BE"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-0,1</w:t>
            </w:r>
          </w:p>
        </w:tc>
        <w:tc>
          <w:tcPr>
            <w:tcW w:w="318" w:type="pct"/>
          </w:tcPr>
          <w:p w14:paraId="42A4BA6E"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-0,1</w:t>
            </w:r>
          </w:p>
        </w:tc>
        <w:tc>
          <w:tcPr>
            <w:tcW w:w="313" w:type="pct"/>
          </w:tcPr>
          <w:p w14:paraId="4490EBC5"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-0,1</w:t>
            </w:r>
          </w:p>
        </w:tc>
      </w:tr>
      <w:tr w:rsidR="008F269F" w:rsidRPr="001B41AD" w14:paraId="7B7469DD" w14:textId="77777777" w:rsidTr="00405489">
        <w:trPr>
          <w:trHeight w:hRule="exact" w:val="254"/>
        </w:trPr>
        <w:tc>
          <w:tcPr>
            <w:tcW w:w="1194" w:type="pct"/>
            <w:noWrap/>
            <w:hideMark/>
          </w:tcPr>
          <w:p w14:paraId="6E43D209" w14:textId="77777777" w:rsidR="008F269F" w:rsidRPr="001B41AD" w:rsidRDefault="008F269F" w:rsidP="00405489">
            <w:pPr>
              <w:jc w:val="left"/>
              <w:rPr>
                <w:rFonts w:eastAsia="Times New Roman" w:cstheme="minorHAnsi"/>
                <w:color w:val="002060"/>
                <w:sz w:val="16"/>
                <w:szCs w:val="16"/>
                <w:lang w:val="sr-Cyrl-CS"/>
              </w:rPr>
            </w:pPr>
            <w:r w:rsidRPr="001B41AD">
              <w:rPr>
                <w:rFonts w:eastAsia="Times New Roman" w:cstheme="minorHAnsi"/>
                <w:color w:val="002060"/>
                <w:sz w:val="16"/>
                <w:szCs w:val="16"/>
                <w:lang w:val="sr-Cyrl-CS"/>
              </w:rPr>
              <w:t>Јавни дуг у БДП</w:t>
            </w:r>
          </w:p>
        </w:tc>
        <w:tc>
          <w:tcPr>
            <w:tcW w:w="317" w:type="pct"/>
            <w:noWrap/>
            <w:hideMark/>
          </w:tcPr>
          <w:p w14:paraId="3ADD855A"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46,9</w:t>
            </w:r>
          </w:p>
        </w:tc>
        <w:tc>
          <w:tcPr>
            <w:tcW w:w="317" w:type="pct"/>
            <w:noWrap/>
            <w:hideMark/>
          </w:tcPr>
          <w:p w14:paraId="5F519EB1"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45,0</w:t>
            </w:r>
          </w:p>
        </w:tc>
        <w:tc>
          <w:tcPr>
            <w:tcW w:w="317" w:type="pct"/>
            <w:noWrap/>
            <w:hideMark/>
          </w:tcPr>
          <w:p w14:paraId="5941D3B3"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44,5</w:t>
            </w:r>
          </w:p>
        </w:tc>
        <w:tc>
          <w:tcPr>
            <w:tcW w:w="317" w:type="pct"/>
            <w:noWrap/>
            <w:hideMark/>
          </w:tcPr>
          <w:p w14:paraId="4D636D5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44,3</w:t>
            </w:r>
          </w:p>
        </w:tc>
        <w:tc>
          <w:tcPr>
            <w:tcW w:w="318" w:type="pct"/>
            <w:noWrap/>
            <w:hideMark/>
          </w:tcPr>
          <w:p w14:paraId="7A669159"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44,1</w:t>
            </w:r>
          </w:p>
        </w:tc>
        <w:tc>
          <w:tcPr>
            <w:tcW w:w="318" w:type="pct"/>
            <w:noWrap/>
            <w:hideMark/>
          </w:tcPr>
          <w:p w14:paraId="4BE2EF01"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43,5</w:t>
            </w:r>
          </w:p>
        </w:tc>
        <w:tc>
          <w:tcPr>
            <w:tcW w:w="318" w:type="pct"/>
            <w:noWrap/>
            <w:hideMark/>
          </w:tcPr>
          <w:p w14:paraId="5BF7D3F3"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42,9</w:t>
            </w:r>
          </w:p>
        </w:tc>
        <w:tc>
          <w:tcPr>
            <w:tcW w:w="318" w:type="pct"/>
            <w:noWrap/>
            <w:hideMark/>
          </w:tcPr>
          <w:p w14:paraId="4D8B0245"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42,5</w:t>
            </w:r>
          </w:p>
        </w:tc>
        <w:tc>
          <w:tcPr>
            <w:tcW w:w="318" w:type="pct"/>
          </w:tcPr>
          <w:p w14:paraId="68E2E79B"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42,1</w:t>
            </w:r>
          </w:p>
        </w:tc>
        <w:tc>
          <w:tcPr>
            <w:tcW w:w="318" w:type="pct"/>
          </w:tcPr>
          <w:p w14:paraId="63DC1DA4"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41,8</w:t>
            </w:r>
          </w:p>
        </w:tc>
        <w:tc>
          <w:tcPr>
            <w:tcW w:w="318" w:type="pct"/>
          </w:tcPr>
          <w:p w14:paraId="0E6A11D8"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41,5</w:t>
            </w:r>
          </w:p>
        </w:tc>
        <w:tc>
          <w:tcPr>
            <w:tcW w:w="313" w:type="pct"/>
          </w:tcPr>
          <w:p w14:paraId="163B4936"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41,2</w:t>
            </w:r>
          </w:p>
        </w:tc>
      </w:tr>
      <w:tr w:rsidR="008F269F" w:rsidRPr="001B41AD" w14:paraId="0C4D8725" w14:textId="77777777" w:rsidTr="00405489">
        <w:trPr>
          <w:trHeight w:hRule="exact" w:val="254"/>
        </w:trPr>
        <w:tc>
          <w:tcPr>
            <w:tcW w:w="1194" w:type="pct"/>
            <w:tcBorders>
              <w:bottom w:val="single" w:sz="4" w:space="0" w:color="auto"/>
            </w:tcBorders>
            <w:noWrap/>
            <w:hideMark/>
          </w:tcPr>
          <w:p w14:paraId="3C0E4DE7" w14:textId="77777777" w:rsidR="008F269F" w:rsidRPr="001B41AD" w:rsidRDefault="008F269F" w:rsidP="00405489">
            <w:pPr>
              <w:jc w:val="left"/>
              <w:rPr>
                <w:rFonts w:eastAsia="Times New Roman" w:cstheme="minorHAnsi"/>
                <w:color w:val="002060"/>
                <w:sz w:val="16"/>
                <w:szCs w:val="16"/>
                <w:lang w:val="sr-Cyrl-CS"/>
              </w:rPr>
            </w:pPr>
            <w:r w:rsidRPr="001B41AD">
              <w:rPr>
                <w:rFonts w:eastAsia="Times New Roman" w:cstheme="minorHAnsi"/>
                <w:color w:val="002060"/>
                <w:sz w:val="16"/>
                <w:szCs w:val="16"/>
                <w:lang w:val="sr-Cyrl-CS"/>
              </w:rPr>
              <w:t>БДП реални раст, %</w:t>
            </w:r>
          </w:p>
        </w:tc>
        <w:tc>
          <w:tcPr>
            <w:tcW w:w="317" w:type="pct"/>
            <w:tcBorders>
              <w:bottom w:val="single" w:sz="4" w:space="0" w:color="auto"/>
            </w:tcBorders>
            <w:noWrap/>
            <w:hideMark/>
          </w:tcPr>
          <w:p w14:paraId="0BCF7242"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3,9</w:t>
            </w:r>
          </w:p>
        </w:tc>
        <w:tc>
          <w:tcPr>
            <w:tcW w:w="317" w:type="pct"/>
            <w:tcBorders>
              <w:bottom w:val="single" w:sz="4" w:space="0" w:color="auto"/>
            </w:tcBorders>
            <w:noWrap/>
            <w:hideMark/>
          </w:tcPr>
          <w:p w14:paraId="305F1190"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2,3</w:t>
            </w:r>
          </w:p>
        </w:tc>
        <w:tc>
          <w:tcPr>
            <w:tcW w:w="317" w:type="pct"/>
            <w:tcBorders>
              <w:bottom w:val="single" w:sz="4" w:space="0" w:color="auto"/>
            </w:tcBorders>
            <w:noWrap/>
            <w:hideMark/>
          </w:tcPr>
          <w:p w14:paraId="4A319502"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3,0</w:t>
            </w:r>
          </w:p>
        </w:tc>
        <w:tc>
          <w:tcPr>
            <w:tcW w:w="317" w:type="pct"/>
            <w:tcBorders>
              <w:bottom w:val="single" w:sz="4" w:space="0" w:color="auto"/>
            </w:tcBorders>
            <w:noWrap/>
            <w:hideMark/>
          </w:tcPr>
          <w:p w14:paraId="6B2E4371"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5,0</w:t>
            </w:r>
          </w:p>
        </w:tc>
        <w:tc>
          <w:tcPr>
            <w:tcW w:w="318" w:type="pct"/>
            <w:tcBorders>
              <w:bottom w:val="single" w:sz="4" w:space="0" w:color="auto"/>
            </w:tcBorders>
            <w:noWrap/>
            <w:hideMark/>
          </w:tcPr>
          <w:p w14:paraId="68DE3E75"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3,5</w:t>
            </w:r>
          </w:p>
        </w:tc>
        <w:tc>
          <w:tcPr>
            <w:tcW w:w="318" w:type="pct"/>
            <w:tcBorders>
              <w:bottom w:val="single" w:sz="4" w:space="0" w:color="auto"/>
            </w:tcBorders>
            <w:noWrap/>
            <w:hideMark/>
          </w:tcPr>
          <w:p w14:paraId="310F0AD0"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4,0</w:t>
            </w:r>
          </w:p>
        </w:tc>
        <w:tc>
          <w:tcPr>
            <w:tcW w:w="318" w:type="pct"/>
            <w:tcBorders>
              <w:bottom w:val="single" w:sz="4" w:space="0" w:color="auto"/>
            </w:tcBorders>
            <w:noWrap/>
            <w:hideMark/>
          </w:tcPr>
          <w:p w14:paraId="291E8E2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4,0</w:t>
            </w:r>
          </w:p>
        </w:tc>
        <w:tc>
          <w:tcPr>
            <w:tcW w:w="318" w:type="pct"/>
            <w:tcBorders>
              <w:bottom w:val="single" w:sz="4" w:space="0" w:color="auto"/>
            </w:tcBorders>
            <w:noWrap/>
            <w:hideMark/>
          </w:tcPr>
          <w:p w14:paraId="144037AD"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3,7</w:t>
            </w:r>
          </w:p>
        </w:tc>
        <w:tc>
          <w:tcPr>
            <w:tcW w:w="318" w:type="pct"/>
            <w:tcBorders>
              <w:bottom w:val="single" w:sz="4" w:space="0" w:color="auto"/>
            </w:tcBorders>
          </w:tcPr>
          <w:p w14:paraId="7EA4A297"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3,7</w:t>
            </w:r>
          </w:p>
        </w:tc>
        <w:tc>
          <w:tcPr>
            <w:tcW w:w="318" w:type="pct"/>
            <w:tcBorders>
              <w:bottom w:val="single" w:sz="4" w:space="0" w:color="auto"/>
            </w:tcBorders>
          </w:tcPr>
          <w:p w14:paraId="0CFE6448"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3,5</w:t>
            </w:r>
          </w:p>
        </w:tc>
        <w:tc>
          <w:tcPr>
            <w:tcW w:w="318" w:type="pct"/>
            <w:tcBorders>
              <w:bottom w:val="single" w:sz="4" w:space="0" w:color="auto"/>
            </w:tcBorders>
          </w:tcPr>
          <w:p w14:paraId="1659E784"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3,5</w:t>
            </w:r>
          </w:p>
        </w:tc>
        <w:tc>
          <w:tcPr>
            <w:tcW w:w="313" w:type="pct"/>
            <w:tcBorders>
              <w:bottom w:val="single" w:sz="4" w:space="0" w:color="auto"/>
            </w:tcBorders>
          </w:tcPr>
          <w:p w14:paraId="12135FC3" w14:textId="77777777" w:rsidR="008F269F" w:rsidRPr="001B41AD" w:rsidRDefault="008F269F" w:rsidP="00405489">
            <w:pPr>
              <w:jc w:val="right"/>
              <w:rPr>
                <w:rFonts w:cstheme="minorHAnsi"/>
                <w:sz w:val="16"/>
                <w:szCs w:val="16"/>
                <w:lang w:val="sr-Cyrl-CS"/>
              </w:rPr>
            </w:pPr>
            <w:r w:rsidRPr="001B41AD">
              <w:rPr>
                <w:rFonts w:cstheme="minorHAnsi"/>
                <w:sz w:val="16"/>
                <w:szCs w:val="16"/>
                <w:lang w:val="sr-Cyrl-CS"/>
              </w:rPr>
              <w:t>3,5</w:t>
            </w:r>
          </w:p>
        </w:tc>
      </w:tr>
    </w:tbl>
    <w:p w14:paraId="15465EFA" w14:textId="77777777" w:rsidR="008F269F" w:rsidRPr="001B41AD" w:rsidRDefault="008F269F" w:rsidP="008F269F">
      <w:pPr>
        <w:spacing w:after="0" w:line="240" w:lineRule="auto"/>
        <w:jc w:val="left"/>
        <w:rPr>
          <w:rFonts w:ascii="Calibri" w:eastAsia="MS PGothic" w:hAnsi="Calibri" w:cs="Calibri"/>
          <w:sz w:val="16"/>
          <w:szCs w:val="16"/>
          <w:lang w:val="sr-Cyrl-CS" w:eastAsia="ja-JP"/>
        </w:rPr>
        <w:sectPr w:rsidR="008F269F" w:rsidRPr="001B41AD" w:rsidSect="008D31CC">
          <w:type w:val="continuous"/>
          <w:pgSz w:w="12240" w:h="15840" w:code="1"/>
          <w:pgMar w:top="1417" w:right="1417" w:bottom="1417" w:left="1417" w:header="720" w:footer="720" w:gutter="0"/>
          <w:cols w:space="720"/>
        </w:sectPr>
      </w:pPr>
    </w:p>
    <w:p w14:paraId="47B649B4" w14:textId="77777777" w:rsidR="008F269F" w:rsidRPr="001B41AD" w:rsidRDefault="008F269F" w:rsidP="008F269F">
      <w:pPr>
        <w:spacing w:after="0" w:line="240" w:lineRule="auto"/>
        <w:jc w:val="left"/>
        <w:rPr>
          <w:rFonts w:ascii="Calibri" w:eastAsia="Calibri" w:hAnsi="Calibri" w:cs="Calibri"/>
          <w:sz w:val="16"/>
          <w:szCs w:val="20"/>
          <w:lang w:val="sr-Cyrl-CS"/>
        </w:rPr>
      </w:pPr>
      <w:r w:rsidRPr="001B41AD">
        <w:rPr>
          <w:rFonts w:ascii="Calibri" w:eastAsia="MS PGothic" w:hAnsi="Calibri" w:cs="Calibri"/>
          <w:sz w:val="16"/>
          <w:szCs w:val="16"/>
          <w:lang w:val="sr-Cyrl-CS" w:eastAsia="ja-JP"/>
        </w:rPr>
        <w:t xml:space="preserve">Извор: </w:t>
      </w:r>
      <w:r w:rsidRPr="001B41AD">
        <w:rPr>
          <w:rFonts w:ascii="Calibri" w:eastAsia="Calibri" w:hAnsi="Calibri" w:cs="Calibri"/>
          <w:sz w:val="16"/>
          <w:szCs w:val="20"/>
          <w:lang w:val="sr-Cyrl-CS"/>
        </w:rPr>
        <w:t>Министарство финансија</w:t>
      </w:r>
    </w:p>
    <w:p w14:paraId="373650AA" w14:textId="77777777" w:rsidR="008F269F" w:rsidRPr="001B41AD" w:rsidRDefault="008F269F" w:rsidP="008F269F">
      <w:pPr>
        <w:spacing w:after="0" w:line="240" w:lineRule="auto"/>
        <w:jc w:val="left"/>
        <w:rPr>
          <w:rFonts w:ascii="Calibri" w:eastAsia="Calibri" w:hAnsi="Calibri" w:cs="Calibri"/>
          <w:sz w:val="16"/>
          <w:szCs w:val="20"/>
          <w:lang w:val="sr-Cyrl-CS"/>
        </w:rPr>
      </w:pPr>
    </w:p>
    <w:p w14:paraId="39C14E2B" w14:textId="77777777" w:rsidR="008F269F" w:rsidRPr="001B41AD" w:rsidRDefault="008F269F" w:rsidP="008F269F">
      <w:pPr>
        <w:spacing w:after="0"/>
        <w:rPr>
          <w:rFonts w:cstheme="minorHAnsi"/>
          <w:b/>
          <w:color w:val="002060"/>
          <w:lang w:val="sr-Cyrl-CS"/>
        </w:rPr>
        <w:sectPr w:rsidR="008F269F" w:rsidRPr="001B41AD" w:rsidSect="008D31CC">
          <w:type w:val="continuous"/>
          <w:pgSz w:w="12240" w:h="15840" w:code="1"/>
          <w:pgMar w:top="1440" w:right="1440" w:bottom="1440" w:left="1440" w:header="720" w:footer="720" w:gutter="0"/>
          <w:cols w:space="720"/>
          <w:docGrid w:linePitch="360"/>
        </w:sectPr>
      </w:pPr>
    </w:p>
    <w:p w14:paraId="47E09B3E" w14:textId="77777777" w:rsidR="008F269F" w:rsidRPr="001B41AD" w:rsidRDefault="008F269F" w:rsidP="008F269F">
      <w:pPr>
        <w:keepNext/>
        <w:keepLines/>
        <w:spacing w:after="0"/>
        <w:jc w:val="center"/>
        <w:rPr>
          <w:rFonts w:cstheme="minorHAnsi"/>
          <w:b/>
          <w:color w:val="002060"/>
          <w:lang w:val="sr-Cyrl-CS"/>
        </w:rPr>
      </w:pPr>
      <w:r w:rsidRPr="001B41AD">
        <w:rPr>
          <w:rFonts w:cstheme="minorHAnsi"/>
          <w:b/>
          <w:color w:val="002060"/>
          <w:lang w:val="sr-Cyrl-CS"/>
        </w:rPr>
        <w:t>Поређење различитих сценарија и утицај на висину јавног дуга, % БДП</w:t>
      </w:r>
    </w:p>
    <w:p w14:paraId="0EB06847" w14:textId="77777777" w:rsidR="008F269F" w:rsidRPr="001B41AD" w:rsidRDefault="00B729E1" w:rsidP="008F269F">
      <w:pPr>
        <w:keepNext/>
        <w:keepLines/>
        <w:spacing w:after="0"/>
        <w:jc w:val="center"/>
        <w:rPr>
          <w:rFonts w:cstheme="minorHAnsi"/>
          <w:b/>
          <w:color w:val="002060"/>
          <w:lang w:val="sr-Cyrl-CS"/>
        </w:rPr>
        <w:sectPr w:rsidR="008F269F" w:rsidRPr="001B41AD" w:rsidSect="003A643C">
          <w:type w:val="continuous"/>
          <w:pgSz w:w="12240" w:h="15840" w:code="1"/>
          <w:pgMar w:top="1440" w:right="1440" w:bottom="1440" w:left="1440" w:header="720" w:footer="720" w:gutter="0"/>
          <w:cols w:num="2" w:space="720"/>
          <w:docGrid w:linePitch="360"/>
        </w:sectPr>
      </w:pPr>
      <w:r w:rsidRPr="001B41AD">
        <w:rPr>
          <w:noProof/>
        </w:rPr>
        <w:drawing>
          <wp:inline distT="0" distB="0" distL="0" distR="0" wp14:anchorId="6D61633F" wp14:editId="4C294911">
            <wp:extent cx="2743200" cy="2500604"/>
            <wp:effectExtent l="0" t="0" r="0" b="0"/>
            <wp:docPr id="80" name="Chart 80">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209D1B99" w14:textId="77777777" w:rsidR="008F269F" w:rsidRPr="001B41AD" w:rsidRDefault="008F269F" w:rsidP="008F269F">
      <w:pPr>
        <w:keepNext/>
        <w:keepLines/>
        <w:widowControl w:val="0"/>
        <w:tabs>
          <w:tab w:val="left" w:pos="699"/>
        </w:tabs>
        <w:spacing w:after="0"/>
        <w:rPr>
          <w:rFonts w:ascii="Calibri" w:eastAsia="Calibri" w:hAnsi="Calibri" w:cs="Calibri"/>
          <w:szCs w:val="20"/>
          <w:lang w:val="sr-Cyrl-CS"/>
        </w:rPr>
        <w:sectPr w:rsidR="008F269F" w:rsidRPr="001B41AD" w:rsidSect="003A643C">
          <w:type w:val="continuous"/>
          <w:pgSz w:w="12240" w:h="15840" w:code="1"/>
          <w:pgMar w:top="2700" w:right="1440" w:bottom="1440" w:left="1440" w:header="720" w:footer="720" w:gutter="0"/>
          <w:cols w:space="720"/>
          <w:docGrid w:linePitch="360"/>
        </w:sectPr>
      </w:pPr>
    </w:p>
    <w:p w14:paraId="46389213" w14:textId="77777777" w:rsidR="00455F43" w:rsidRPr="001B41AD" w:rsidRDefault="008F269F" w:rsidP="00127CC4">
      <w:pPr>
        <w:widowControl w:val="0"/>
        <w:spacing w:after="0"/>
        <w:rPr>
          <w:rFonts w:ascii="Calibri" w:eastAsia="Calibri" w:hAnsi="Calibri" w:cs="Calibri"/>
          <w:b/>
          <w:bCs/>
          <w:color w:val="2F5496" w:themeColor="accent1" w:themeShade="BF"/>
          <w:sz w:val="22"/>
          <w:szCs w:val="20"/>
          <w:lang w:val="sr-Cyrl-CS"/>
        </w:rPr>
      </w:pPr>
      <w:r w:rsidRPr="001B41AD">
        <w:rPr>
          <w:rFonts w:ascii="Calibri" w:eastAsia="Calibri" w:hAnsi="Calibri" w:cs="Calibri"/>
          <w:b/>
          <w:bCs/>
          <w:color w:val="2F5496" w:themeColor="accent1" w:themeShade="BF"/>
          <w:sz w:val="22"/>
          <w:szCs w:val="20"/>
          <w:lang w:val="sr-Cyrl-CS"/>
        </w:rPr>
        <w:lastRenderedPageBreak/>
        <w:t xml:space="preserve">Алтернативни сценарији: „Успорени раст </w:t>
      </w:r>
    </w:p>
    <w:p w14:paraId="0348C669" w14:textId="77777777" w:rsidR="008F269F" w:rsidRPr="001B41AD" w:rsidRDefault="00455F43" w:rsidP="00127CC4">
      <w:pPr>
        <w:widowControl w:val="0"/>
        <w:spacing w:after="0"/>
        <w:rPr>
          <w:rFonts w:ascii="Calibri" w:eastAsia="Calibri" w:hAnsi="Calibri" w:cs="Calibri"/>
          <w:b/>
          <w:bCs/>
          <w:color w:val="2F5496" w:themeColor="accent1" w:themeShade="BF"/>
          <w:sz w:val="22"/>
          <w:szCs w:val="20"/>
          <w:lang w:val="sr-Cyrl-CS"/>
        </w:rPr>
      </w:pPr>
      <w:r w:rsidRPr="001B41AD">
        <w:rPr>
          <w:rFonts w:ascii="Calibri" w:eastAsia="Calibri" w:hAnsi="Calibri" w:cs="Calibri"/>
          <w:b/>
          <w:bCs/>
          <w:color w:val="2F5496" w:themeColor="accent1" w:themeShade="BF"/>
          <w:sz w:val="22"/>
          <w:szCs w:val="20"/>
          <w:lang w:val="sr-Cyrl-CS"/>
        </w:rPr>
        <w:t xml:space="preserve">након </w:t>
      </w:r>
      <w:r w:rsidR="008F269F" w:rsidRPr="001B41AD">
        <w:rPr>
          <w:rFonts w:ascii="Calibri" w:eastAsia="Calibri" w:hAnsi="Calibri" w:cs="Calibri"/>
          <w:b/>
          <w:bCs/>
          <w:color w:val="2F5496" w:themeColor="accent1" w:themeShade="BF"/>
          <w:sz w:val="22"/>
          <w:szCs w:val="20"/>
          <w:lang w:val="sr-Cyrl-CS"/>
        </w:rPr>
        <w:t>2028. године” и „Фискални шок након 2028. године”</w:t>
      </w:r>
    </w:p>
    <w:p w14:paraId="19F06604" w14:textId="77777777" w:rsidR="008F269F" w:rsidRPr="001B41AD" w:rsidRDefault="008F269F" w:rsidP="008F269F">
      <w:pPr>
        <w:widowControl w:val="0"/>
        <w:spacing w:after="120"/>
        <w:rPr>
          <w:rFonts w:ascii="Calibri" w:eastAsia="Calibri" w:hAnsi="Calibri" w:cs="Calibri"/>
          <w:szCs w:val="20"/>
          <w:lang w:val="sr-Cyrl-CS"/>
        </w:rPr>
      </w:pPr>
      <w:r w:rsidRPr="001B41AD">
        <w:rPr>
          <w:rFonts w:ascii="Calibri" w:eastAsia="Calibri" w:hAnsi="Calibri" w:cs="Calibri"/>
          <w:szCs w:val="20"/>
          <w:lang w:val="sr-Cyrl-CS"/>
        </w:rPr>
        <w:t>Поред основног сценарија, анализирана су два алтернативна сценарија кретања јавног дуга у периоду након 2028. године, са циљем да се сагледају потенцијалне фискалне импликације различитих макроекономских и фискалних околности.</w:t>
      </w:r>
    </w:p>
    <w:p w14:paraId="36865FF4" w14:textId="77777777" w:rsidR="008F269F" w:rsidRPr="001B41AD" w:rsidRDefault="008F269F" w:rsidP="008F269F">
      <w:pPr>
        <w:keepNext/>
        <w:spacing w:after="120"/>
        <w:rPr>
          <w:rFonts w:ascii="Calibri" w:eastAsia="Calibri" w:hAnsi="Calibri" w:cs="Calibri"/>
          <w:szCs w:val="20"/>
          <w:lang w:val="sr-Cyrl-CS"/>
        </w:rPr>
      </w:pPr>
      <w:r w:rsidRPr="001B41AD">
        <w:rPr>
          <w:rFonts w:ascii="Calibri" w:eastAsia="Calibri" w:hAnsi="Calibri" w:cs="Calibri"/>
          <w:b/>
          <w:bCs/>
          <w:color w:val="2F5496" w:themeColor="accent1" w:themeShade="BF"/>
          <w:sz w:val="22"/>
          <w:szCs w:val="20"/>
          <w:lang w:val="sr-Cyrl-CS"/>
        </w:rPr>
        <w:t>Сценарио „успорени раст након 2028. године”</w:t>
      </w:r>
      <w:r w:rsidRPr="001B41AD">
        <w:rPr>
          <w:rFonts w:ascii="Calibri" w:eastAsia="Calibri" w:hAnsi="Calibri" w:cs="Calibri"/>
          <w:color w:val="002060"/>
          <w:szCs w:val="20"/>
          <w:lang w:val="sr-Cyrl-CS"/>
        </w:rPr>
        <w:t xml:space="preserve"> </w:t>
      </w:r>
      <w:r w:rsidRPr="001B41AD">
        <w:rPr>
          <w:rFonts w:ascii="Calibri" w:eastAsia="Calibri" w:hAnsi="Calibri" w:cs="Calibri"/>
          <w:szCs w:val="20"/>
          <w:lang w:val="sr-Cyrl-CS"/>
        </w:rPr>
        <w:t>полази од претпоставке о просечној стопи реалног раста БДП од 0,8% у посматраном периоду, уз задржавање истог нивоа фискалног дефицита као у основном сценарију. Према овом сценарију, јавни дуг би бележио умерени и континуирани раст, достигавши 48,2% БДП до краја 2035. године. Иако предложена путања фискалног дефицита спречава прекомерну акумулацију дуга, спорији раст захтева већу акомодацију на расходној страни буџета. Ово имплицира потребу за прилагођавањем приоритета и структуре јавне потрошње како би се очувала стабилност фискалне позиције.</w:t>
      </w:r>
    </w:p>
    <w:p w14:paraId="5C1BDC78" w14:textId="77777777" w:rsidR="008F269F" w:rsidRPr="001B41AD" w:rsidRDefault="008F269F" w:rsidP="008F269F">
      <w:pPr>
        <w:keepNext/>
        <w:spacing w:after="120"/>
        <w:rPr>
          <w:rFonts w:ascii="Calibri" w:eastAsia="Calibri" w:hAnsi="Calibri" w:cs="Calibri"/>
          <w:szCs w:val="20"/>
          <w:lang w:val="sr-Cyrl-CS"/>
        </w:rPr>
      </w:pPr>
      <w:r w:rsidRPr="001B41AD">
        <w:rPr>
          <w:rFonts w:ascii="Calibri" w:eastAsia="Calibri" w:hAnsi="Calibri" w:cs="Calibri"/>
          <w:szCs w:val="20"/>
          <w:lang w:val="sr-Cyrl-CS"/>
        </w:rPr>
        <w:t>Иако овај сценарио не подразумева реализацију снажног једнократног шока, он указује на дугорочну неодрживост ниских стопа економског раста за укупан привредни и социјални развој земље. Упркос томе што ниво јавног дуга остаје под контролом, слаб привредни раст ограничава простор за структурне реформе и улагања.</w:t>
      </w:r>
    </w:p>
    <w:p w14:paraId="33E5D6B7" w14:textId="77777777" w:rsidR="008F269F" w:rsidRPr="001B41AD" w:rsidRDefault="008F269F" w:rsidP="008F269F">
      <w:pPr>
        <w:keepNext/>
        <w:spacing w:after="120"/>
        <w:rPr>
          <w:rFonts w:ascii="Calibri" w:eastAsia="Calibri" w:hAnsi="Calibri" w:cs="Calibri"/>
          <w:szCs w:val="20"/>
          <w:lang w:val="sr-Cyrl-CS"/>
        </w:rPr>
      </w:pPr>
      <w:r w:rsidRPr="001B41AD">
        <w:rPr>
          <w:rFonts w:ascii="Calibri" w:eastAsia="Calibri" w:hAnsi="Calibri" w:cs="Calibri"/>
          <w:b/>
          <w:bCs/>
          <w:color w:val="2F5496" w:themeColor="accent1" w:themeShade="BF"/>
          <w:sz w:val="22"/>
          <w:szCs w:val="20"/>
          <w:lang w:val="sr-Cyrl-CS"/>
        </w:rPr>
        <w:t>Сценарио „фискални шок након 2028. године”</w:t>
      </w:r>
      <w:r w:rsidRPr="001B41AD">
        <w:rPr>
          <w:rFonts w:ascii="Calibri" w:eastAsia="Calibri" w:hAnsi="Calibri" w:cs="Calibri"/>
          <w:color w:val="2F5496" w:themeColor="accent1" w:themeShade="BF"/>
          <w:sz w:val="22"/>
          <w:szCs w:val="20"/>
          <w:lang w:val="sr-Cyrl-CS"/>
        </w:rPr>
        <w:t xml:space="preserve"> </w:t>
      </w:r>
      <w:r w:rsidRPr="001B41AD">
        <w:rPr>
          <w:rFonts w:ascii="Calibri" w:eastAsia="Calibri" w:hAnsi="Calibri" w:cs="Calibri"/>
          <w:szCs w:val="20"/>
          <w:lang w:val="sr-Cyrl-CS"/>
        </w:rPr>
        <w:t xml:space="preserve">разматра ситуацију у којој долази до реализације значајне ванредне околности – било природне, здравствене или економске – која оставља истовремени негативан утицај на реални сектор и фискалне показатеље. Као реакција на насталу кризу, држава је принуђена да интервенише повећаним издвајањима или </w:t>
      </w:r>
      <w:r w:rsidRPr="001B41AD">
        <w:rPr>
          <w:rFonts w:ascii="Calibri" w:eastAsia="Calibri" w:hAnsi="Calibri" w:cs="Calibri"/>
          <w:szCs w:val="20"/>
          <w:lang w:val="sr-Cyrl-CS"/>
        </w:rPr>
        <w:t>привременим фискалним олакшицама, што доводи до погоршања буџетске позиције.</w:t>
      </w:r>
    </w:p>
    <w:p w14:paraId="136AEC45" w14:textId="77777777" w:rsidR="008F269F" w:rsidRPr="001B41AD" w:rsidRDefault="008F269F" w:rsidP="008F269F">
      <w:pPr>
        <w:keepNext/>
        <w:spacing w:after="120"/>
        <w:rPr>
          <w:rFonts w:ascii="Calibri" w:eastAsia="Calibri" w:hAnsi="Calibri" w:cs="Calibri"/>
          <w:szCs w:val="20"/>
          <w:lang w:val="sr-Cyrl-CS"/>
        </w:rPr>
      </w:pPr>
      <w:r w:rsidRPr="001B41AD">
        <w:rPr>
          <w:rFonts w:ascii="Calibri" w:eastAsia="Calibri" w:hAnsi="Calibri" w:cs="Calibri"/>
          <w:szCs w:val="20"/>
          <w:lang w:val="sr-Cyrl-CS"/>
        </w:rPr>
        <w:t>Истовремено, негативан утицај на реални сектор доводи до смањења БДП или његовог успореног раста, уз пратећи пад буџетских прихода. Комбиновано дејство ових фактора доводи до наглог повећања фискалног дефицита и јавног дуга. У конкретној симулацији, дефицит достиже 9% БДП, уз реални пад БДП од 3,5%, што резултира скоком јавног дуга на 53,7% БДП.</w:t>
      </w:r>
    </w:p>
    <w:p w14:paraId="07F6D8FA" w14:textId="3AE3152D" w:rsidR="008F269F" w:rsidRPr="001B41AD" w:rsidRDefault="008F269F" w:rsidP="008F269F">
      <w:pPr>
        <w:keepNext/>
        <w:spacing w:after="120"/>
        <w:rPr>
          <w:rFonts w:ascii="Calibri" w:eastAsia="Calibri" w:hAnsi="Calibri" w:cs="Calibri"/>
          <w:szCs w:val="20"/>
          <w:lang w:val="sr-Cyrl-CS"/>
        </w:rPr>
      </w:pPr>
      <w:r w:rsidRPr="001B41AD">
        <w:rPr>
          <w:rFonts w:ascii="Calibri" w:eastAsia="Calibri" w:hAnsi="Calibri" w:cs="Calibri"/>
          <w:szCs w:val="20"/>
          <w:lang w:val="sr-Cyrl-CS"/>
        </w:rPr>
        <w:t>Иако би било технички могуће извршити нагло фискално прилагођавање ради брзе стабилизације, такав приступ би произвео негативне социјалне и економске последице. Због тога се као одговарајућа мера препоручује постепено прилагођавање током наредне две године. У 2030. години планира се дефицит од 3% БДП, при симулираном одсуству реалног раста, што доводи до благог даљег раста дуга на преко 55%. Већ у 2031. години, уз планирани минимални дефицит од 0,5% БДП, долази до стабилизације и преокрета путање јавног дуга. У наредним годинама, са очекиваним опоравком привреде и реалним растом од 3% БДП, учешће дуга се констант</w:t>
      </w:r>
      <w:r w:rsidR="001B41AD">
        <w:rPr>
          <w:rFonts w:ascii="Calibri" w:eastAsia="Calibri" w:hAnsi="Calibri" w:cs="Calibri"/>
          <w:szCs w:val="20"/>
          <w:lang w:val="sr-Cyrl-CS"/>
        </w:rPr>
        <w:t>н</w:t>
      </w:r>
      <w:r w:rsidRPr="001B41AD">
        <w:rPr>
          <w:rFonts w:ascii="Calibri" w:eastAsia="Calibri" w:hAnsi="Calibri" w:cs="Calibri"/>
          <w:szCs w:val="20"/>
          <w:lang w:val="sr-Cyrl-CS"/>
        </w:rPr>
        <w:t>о креће испод 55% БДП, што омогућава поновну релаксацију фискалне политике.</w:t>
      </w:r>
    </w:p>
    <w:p w14:paraId="23EEB45B" w14:textId="77777777" w:rsidR="008F269F" w:rsidRPr="001B41AD" w:rsidRDefault="008F269F" w:rsidP="008F269F">
      <w:pPr>
        <w:widowControl w:val="0"/>
        <w:spacing w:after="120"/>
        <w:rPr>
          <w:rFonts w:ascii="Calibri" w:eastAsia="Calibri" w:hAnsi="Calibri" w:cs="Calibri"/>
          <w:szCs w:val="20"/>
          <w:lang w:val="sr-Cyrl-CS"/>
        </w:rPr>
      </w:pPr>
      <w:r w:rsidRPr="001B41AD">
        <w:rPr>
          <w:rFonts w:ascii="Calibri" w:eastAsia="Calibri" w:hAnsi="Calibri" w:cs="Calibri"/>
          <w:szCs w:val="20"/>
          <w:lang w:val="sr-Cyrl-CS"/>
        </w:rPr>
        <w:t>Представљене симулације указују на потенцијалне правце деловања фискалне политике у различитим макроекономским условима. Истовремено, оне потврђују да је основни сценарио, дефинисан овим фискалним оквиром, реалан и спроводљив, те да обезбеђује дугорочну стабилност јавних финансија и отпорност на шокове.</w:t>
      </w:r>
    </w:p>
    <w:p w14:paraId="1789D01E" w14:textId="77777777" w:rsidR="008F269F" w:rsidRPr="001B41AD" w:rsidRDefault="008F269F" w:rsidP="008F269F">
      <w:pPr>
        <w:spacing w:after="120"/>
        <w:rPr>
          <w:lang w:val="sr-Cyrl-CS"/>
        </w:rPr>
      </w:pPr>
      <w:r w:rsidRPr="001B41AD">
        <w:rPr>
          <w:rFonts w:ascii="Calibri" w:eastAsia="Calibri" w:hAnsi="Calibri" w:cs="Calibri"/>
          <w:szCs w:val="20"/>
          <w:lang w:val="sr-Cyrl-CS"/>
        </w:rPr>
        <w:t>Ове симулације поред осталог показују могуће правце деловања фискалне политике у различитим сценаријима. Истовремено оне дају и потврду о томе да је основни сценарио дат овим фискалним оквиром операбилан и спроводљив и да испуњава своју сврху, а то је дугорочна одрживост фискалне позиције земље</w:t>
      </w:r>
      <w:r w:rsidRPr="001B41AD">
        <w:rPr>
          <w:lang w:val="sr-Cyrl-CS"/>
        </w:rPr>
        <w:t>.</w:t>
      </w:r>
    </w:p>
    <w:p w14:paraId="1D01C633" w14:textId="77777777" w:rsidR="00212E0C" w:rsidRPr="001B41AD" w:rsidRDefault="00212E0C" w:rsidP="00B63247">
      <w:pPr>
        <w:rPr>
          <w:lang w:val="sr-Cyrl-CS"/>
        </w:rPr>
        <w:sectPr w:rsidR="00212E0C" w:rsidRPr="001B41AD" w:rsidSect="00455F43">
          <w:type w:val="continuous"/>
          <w:pgSz w:w="12240" w:h="15840" w:code="1"/>
          <w:pgMar w:top="1170" w:right="1440" w:bottom="1440" w:left="1440" w:header="720" w:footer="720" w:gutter="0"/>
          <w:cols w:num="2" w:space="720"/>
          <w:docGrid w:linePitch="360"/>
        </w:sectPr>
      </w:pPr>
    </w:p>
    <w:p w14:paraId="681D47F3" w14:textId="77777777" w:rsidR="008A2367" w:rsidRPr="001B41AD" w:rsidRDefault="008A2367" w:rsidP="00B63247">
      <w:pPr>
        <w:rPr>
          <w:lang w:val="sr-Cyrl-CS"/>
        </w:rPr>
      </w:pPr>
    </w:p>
    <w:p w14:paraId="465E22AC" w14:textId="77777777" w:rsidR="00113630" w:rsidRPr="001B41AD" w:rsidRDefault="00113630" w:rsidP="00B63247">
      <w:pPr>
        <w:rPr>
          <w:lang w:val="sr-Cyrl-CS"/>
        </w:rPr>
      </w:pPr>
    </w:p>
    <w:p w14:paraId="246501D1" w14:textId="77777777" w:rsidR="00113630" w:rsidRPr="001B41AD" w:rsidRDefault="00113630" w:rsidP="00B63247">
      <w:pPr>
        <w:rPr>
          <w:lang w:val="sr-Cyrl-CS"/>
        </w:rPr>
      </w:pPr>
    </w:p>
    <w:p w14:paraId="520386E4" w14:textId="77777777" w:rsidR="00113630" w:rsidRPr="001B41AD" w:rsidRDefault="00113630" w:rsidP="00B63247">
      <w:pPr>
        <w:rPr>
          <w:lang w:val="sr-Cyrl-CS"/>
        </w:rPr>
      </w:pPr>
    </w:p>
    <w:p w14:paraId="6C5ABC1B" w14:textId="77777777" w:rsidR="00113630" w:rsidRPr="001B41AD" w:rsidRDefault="004E78E7" w:rsidP="00113630">
      <w:pPr>
        <w:pStyle w:val="Heading1"/>
        <w:spacing w:before="0" w:after="240"/>
        <w:jc w:val="center"/>
        <w:rPr>
          <w:rFonts w:ascii="Calibri" w:eastAsia="Calibri" w:hAnsi="Calibri" w:cs="Calibri"/>
          <w:bCs/>
          <w:szCs w:val="72"/>
          <w:lang w:val="sr-Cyrl-CS"/>
        </w:rPr>
        <w:sectPr w:rsidR="00113630" w:rsidRPr="001B41AD" w:rsidSect="00405489">
          <w:type w:val="continuous"/>
          <w:pgSz w:w="12240" w:h="15840" w:code="1"/>
          <w:pgMar w:top="1440" w:right="1440" w:bottom="1440" w:left="1440" w:header="720" w:footer="720" w:gutter="0"/>
          <w:cols w:space="720"/>
          <w:docGrid w:linePitch="360"/>
        </w:sectPr>
      </w:pPr>
      <w:bookmarkStart w:id="62" w:name="_Toc212642475"/>
      <w:r w:rsidRPr="001B41AD">
        <w:rPr>
          <w:rFonts w:asciiTheme="minorHAnsi" w:hAnsiTheme="minorHAnsi" w:cstheme="minorHAnsi"/>
          <w:b/>
          <w:sz w:val="26"/>
          <w:szCs w:val="26"/>
          <w:lang w:val="sr-Cyrl-CS"/>
        </w:rPr>
        <w:lastRenderedPageBreak/>
        <w:t xml:space="preserve">III </w:t>
      </w:r>
      <w:r w:rsidR="00113630" w:rsidRPr="001B41AD">
        <w:rPr>
          <w:rFonts w:asciiTheme="minorHAnsi" w:hAnsiTheme="minorHAnsi" w:cstheme="minorHAnsi"/>
          <w:b/>
          <w:sz w:val="26"/>
          <w:szCs w:val="26"/>
          <w:lang w:val="sr-Cyrl-CS"/>
        </w:rPr>
        <w:t>СТРАТЕГИЈА УПРАВЉАЊА ЈАВНИМ ДУГОМ ОД 2026. ДО 2028. ГОДИНЕ</w:t>
      </w:r>
      <w:bookmarkEnd w:id="62"/>
    </w:p>
    <w:p w14:paraId="6FEF4B7F" w14:textId="77777777" w:rsidR="00113630" w:rsidRPr="001B41AD" w:rsidRDefault="00113630" w:rsidP="00113630">
      <w:pPr>
        <w:rPr>
          <w:rFonts w:ascii="Calibri" w:eastAsia="Calibri" w:hAnsi="Calibri" w:cs="Calibri"/>
          <w:bCs/>
          <w:szCs w:val="72"/>
          <w:lang w:val="sr-Cyrl-CS"/>
        </w:rPr>
        <w:sectPr w:rsidR="00113630" w:rsidRPr="001B41AD" w:rsidSect="00405489">
          <w:type w:val="continuous"/>
          <w:pgSz w:w="12240" w:h="15840" w:code="1"/>
          <w:pgMar w:top="1440" w:right="1440" w:bottom="1440" w:left="1440" w:header="720" w:footer="720" w:gutter="0"/>
          <w:cols w:num="2" w:space="720"/>
          <w:docGrid w:linePitch="360"/>
        </w:sectPr>
      </w:pPr>
    </w:p>
    <w:p w14:paraId="4A30325C" w14:textId="77777777" w:rsidR="00113630" w:rsidRPr="001B41AD" w:rsidRDefault="00113630" w:rsidP="00113630">
      <w:pPr>
        <w:contextualSpacing/>
        <w:rPr>
          <w:rFonts w:ascii="Calibri" w:eastAsia="Calibri" w:hAnsi="Calibri" w:cs="Calibri"/>
          <w:bCs/>
          <w:szCs w:val="72"/>
          <w:lang w:val="sr-Cyrl-CS"/>
        </w:rPr>
      </w:pPr>
      <w:r w:rsidRPr="001B41AD">
        <w:rPr>
          <w:rFonts w:ascii="Calibri" w:eastAsia="Calibri" w:hAnsi="Calibri" w:cs="Calibri"/>
          <w:bCs/>
          <w:szCs w:val="72"/>
          <w:lang w:val="sr-Cyrl-CS"/>
        </w:rPr>
        <w:t xml:space="preserve">Према Закону о јавном дугу, као правном основу задуживања Републике Србије, јавни дуг чине све директне обавезе Републике по основу задуживања, као и гаранције издате од Републике за задуживање јавних предузећа и јединица локалне самоуправе, као и других правних лица. </w:t>
      </w:r>
      <w:r w:rsidRPr="001B41AD">
        <w:rPr>
          <w:rFonts w:ascii="Calibri" w:eastAsia="Calibri" w:hAnsi="Calibri" w:cs="Calibri"/>
          <w:bCs/>
          <w:spacing w:val="-2"/>
          <w:szCs w:val="72"/>
          <w:lang w:val="sr-Cyrl-CS"/>
        </w:rPr>
        <w:t>Република се може задуживати у домаћој и страној валути, ради финансирања буџетског дефицита, дефицита текуће ликвидности, рефинансирања неизмиреног дуга, за финансирање инвестиционих пројеката, као и за извршавање обавеза по датим гаранцијама.</w:t>
      </w:r>
      <w:r w:rsidRPr="001B41AD">
        <w:rPr>
          <w:rFonts w:ascii="Calibri" w:eastAsia="Calibri" w:hAnsi="Calibri" w:cs="Calibri"/>
          <w:bCs/>
          <w:szCs w:val="72"/>
          <w:lang w:val="sr-Cyrl-CS"/>
        </w:rPr>
        <w:t xml:space="preserve"> Одредбама Закона о јавном дугу назначено је да јавни дуг представља безусловну и неопозиву обавезу Републике Србије у односу на отплату главнице, камате и осталих припадајућих трошкова.</w:t>
      </w:r>
    </w:p>
    <w:p w14:paraId="3608CA90"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За формулисање Стратегије за управљање јавним дугом коришћен је квантитативни приступ, идентификујући могућа ограничења кроз макроекономске показатеље, анализу трошкова и ризика и тржишних услова који утичу на управљање јавним дугом. У сврху анализе коришћени су инструменти финансирања доступни на домаћем и међународном финансијском тржишту. Стратегија управљања јавним дугом заснива се на принципима који дефинишу потребу за транспарентним и предвидивим процесом задуживања, уз перманентан развој тржишта државних хартија од вредности и прихватљив ниво изложености финансијским ризицима.</w:t>
      </w:r>
    </w:p>
    <w:p w14:paraId="0A4FD9AC"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Ситуација на међународном и домаћем финансијском тржишту, успешна примена мера фискалне консолидације уз добру координацију фискалне и монетарне политике довела је до значајног пада трошкова задуживања на динарским и евро деноминованим хартијама од вредности у периоду од 2012. до 2021. године и смањивања ризико премије за српске државне хартије од вредности. Међутим, почетком 2022. године долази до значајног раста каматних стопа изазваног екстерним утицајем, који је настављен и у 2023. години, да би се тренд преокренуо током </w:t>
      </w:r>
      <w:r w:rsidRPr="001B41AD">
        <w:rPr>
          <w:rFonts w:ascii="Calibri" w:eastAsia="Calibri" w:hAnsi="Calibri" w:cs="Calibri"/>
          <w:bCs/>
          <w:szCs w:val="72"/>
          <w:lang w:val="sr-Cyrl-CS"/>
        </w:rPr>
        <w:t>2024. и 2025. године када долази до њиховог постепеног пада.</w:t>
      </w:r>
    </w:p>
    <w:p w14:paraId="345E496B"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Фискална стратегија предвиђа смањење јавног дуга сектора државе до краја 2028. године на ниво од 44,1% БДП, при чему се у складу са смерницама управљања јавним дугом дефинисаним од стране Светске банке и ММФ, у оквиру Стратегије управљања јавним дугом врши стрес-сценарио анализа утицаја промене девизног курса домаће валуте у односу на валуте у којима је деноминован јавни дуг Републике Србије.</w:t>
      </w:r>
    </w:p>
    <w:p w14:paraId="20334E9D"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У последњих десет година учињен је значајан напредак у погледу повећања просечне рочности динарских државних хартија од вредности и смањења трошкова финансирања по основу овог вида задуживања, чиме је смањена изложеност ризику рефинансирања. Битно је напоменути да је у наведеном периоду просечна пондерисана купонска стопа на динарске државне хартије од вредности смањена са 13,68%, колико је износила на крају 2012. године, на 5,34% на крају августа 2025. године.</w:t>
      </w:r>
    </w:p>
    <w:p w14:paraId="6B5B8E1C"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Стратегијом управљања јавним дугом се дефинишу основне мере за даљи наставак развоја динарског тржишта државних хартија од вредности. Развојем овог тржишта очекује се да ће доћи до даљег раста унутрашњег дуга и повећања његовог учешћа у укупном дугу, као и смањења изложености јавног дуга према девизном ризику, што ће позитивно утицати на повећање кредитног рејтинга Републике Србије.</w:t>
      </w:r>
    </w:p>
    <w:p w14:paraId="3267C767"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Након успешно спроведених мера фискалне консолидације у 2016. години је преокренута растућа путања кретања јавног дуга и учешће јавног дуга у БДП, те долази до пада учешћа са 67,2% БДП колико је износило на централном нивоу власти на крају 2015. године на 65,2% на крају 2016. године. Током 2017. године дошло је до значајног пада на 55,5% БДП. Тренд је настављен и током 2018. године када удео јавног дуга у БДП пада на 51,4%, као и током 2019. године када је учешће јавног дуга у БДП смањено на ниво од 49,7% БДП. Како би се смањио утицај кризе </w:t>
      </w:r>
      <w:r w:rsidRPr="001B41AD">
        <w:rPr>
          <w:rFonts w:ascii="Calibri" w:eastAsia="Calibri" w:hAnsi="Calibri" w:cs="Calibri"/>
          <w:bCs/>
          <w:szCs w:val="72"/>
          <w:lang w:val="sr-Cyrl-CS"/>
        </w:rPr>
        <w:lastRenderedPageBreak/>
        <w:t>изазване пандемијом вируса COVID-19, јавила се потреба за финансирањем мера подршке привреди и грађанима, што је резултирало растом учешћа дуга у БДП на 54,4% на крају 2020. године. Током 2021. године долази до благог пада наведеног показатеља, тако да је учешће јавног дуга у БДП на крају 2021. године износило 53,9%. Позитивни тренд је настављен и у наредним годинама, тако да је на крају 2022. године учешће износило 52,4%, на крају 2023. године 48,0%, а на крају 2024. године 46,7%. На крају августа 2025. године учешће јавног дуга у БДП је износило 43,2%.</w:t>
      </w:r>
    </w:p>
    <w:p w14:paraId="52597E61"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Услед појачане контроле издавања гаранција у последњих десет година гарантовани јавни дуг је значајно смањен и бележи пад са 2,8 милијарде EUR колико је износио на крају 2013. године на 1,7 милијарди EUR на крају августа 2025. године, док је његово учешће у БДП у истом периоду пало са 7,6% на само 1,9%.</w:t>
      </w:r>
    </w:p>
    <w:p w14:paraId="4E521F69"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Позитивни фискални резултати које остварује Република Србија потврђени су и преко кретања кредитног рејтинга Србије последњих неколико година. Захваљујући одговорној макроекономској политици коју Република Србија континуирано спроводи годинама уназад по први пут је добијен инвестициони рејтинг. Рејтинг агенција Standard and Poor’s је 4</w:t>
      </w:r>
      <w:r w:rsidR="00130E66" w:rsidRPr="001B41AD">
        <w:rPr>
          <w:rFonts w:ascii="Calibri" w:eastAsia="Calibri" w:hAnsi="Calibri" w:cs="Calibri"/>
          <w:bCs/>
          <w:szCs w:val="72"/>
          <w:lang w:val="sr-Cyrl-CS"/>
        </w:rPr>
        <w:t>. октобра 2024. године повећала</w:t>
      </w:r>
      <w:r w:rsidRPr="001B41AD">
        <w:rPr>
          <w:rFonts w:ascii="Calibri" w:eastAsia="Calibri" w:hAnsi="Calibri" w:cs="Calibri"/>
          <w:bCs/>
          <w:szCs w:val="72"/>
          <w:lang w:val="sr-Cyrl-CS"/>
        </w:rPr>
        <w:t xml:space="preserve"> кредитни рејтинг Републике Србије на инвестициони, на ниво БББ- са стабилним изгледима за његово даље побољшање. Fitch Ratings је у најновијем извештају од 25. јула 2025. године потврдио кредитни рејтинг Републике Србије на нивоу ББ+ са позитивним изгледима за његово даље побољшање. Рејтинг агенција Moody’s је у последњем извештају 30. августа 2024. године потврдила кредитни рејтинг Републике Србије на нивоу Ба2 и повећала изгледе за његово даље повећање са стабилних на позитивне. Добијање инвестиционог рејтинга ће значајно утицати на даље смањивање трошкова финансирања Републике Србије. Очекује се проширивање базе инвеститора, с обзиром да одређени инвеститори нису до сада улагали у државне обвезнице Републике Србије услед пословне политике да се не улаже у земље које немају инвестициони рејтинг, односно због лимита које имају за улагање у обвезнице ових </w:t>
      </w:r>
      <w:r w:rsidRPr="001B41AD">
        <w:rPr>
          <w:rFonts w:ascii="Calibri" w:eastAsia="Calibri" w:hAnsi="Calibri" w:cs="Calibri"/>
          <w:bCs/>
          <w:szCs w:val="72"/>
          <w:lang w:val="sr-Cyrl-CS"/>
        </w:rPr>
        <w:t xml:space="preserve">земаља. Ово ће довести до нижих трошкова задуживања и на домаћем и на међународном тржишту, услед мање ризичности које носе инструменти које ће издавати Република Србија. Нижи трошкови задуживања ће довести до уштеда у буџету, уз истовремено смањивање ризичности портофолија јавног дуга. </w:t>
      </w:r>
    </w:p>
    <w:p w14:paraId="3F8BE69F"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Република Србија је током 2020. године у два наврата емитовала еврообвезнице како би финансирала пакет мера помоћи привреди и грађанима у циљу минимизирања утицаја кризе изазване пандемијом вируса COVID-19 и превремено отплатиле раније емитоване скупе еврообвезнице. Прва емисија еврообвезница је била 15. маја 2020. године, у еврима, у најделикатнијем тренутку у првом таласу пандемије, у укупном износу од 2,0 милијарде EUR. Купонска стопа је износила 3,125%, а обвезница доспева 2027. године. Друга емисија еврообвезница је била 1. децембра 2020. године, у укупном износу од 1,2 милијарде америчких долара са доспећем 2030. године. Купонска стопа је износила 2,125%, а финална каматна стопа у еврима, након реализације хеџинг трансакције 1,066% и 1,236% . Повратак на доларско тржиште хартија и нова емисија деноминована у доларима, омогућиле су Србији да остане присутна у индексу обвезница тржишта у развоју – EMBI Index, чиме је осигурана њена видљивост на америчком тржишту капитала, као и на широј међународној инвестиционој мапи. Средствима емисије еврообвезница из децембра 2020. године извршeна je превремена отплата 900 милиона долара еврообвезница емитованих 2011. године, од укупно 1,6 милијарде долара колико је доспевало у септембру 2021. године. Превремено су откупљене обвезнице које су биле емитоване по купонској стопи од чак 7,25%.</w:t>
      </w:r>
    </w:p>
    <w:p w14:paraId="751B35AE" w14:textId="77777777" w:rsidR="00113630" w:rsidRPr="001B41AD" w:rsidRDefault="00113630" w:rsidP="00113630">
      <w:pPr>
        <w:rPr>
          <w:lang w:val="sr-Cyrl-CS"/>
        </w:rPr>
      </w:pPr>
      <w:r w:rsidRPr="001B41AD">
        <w:rPr>
          <w:rFonts w:ascii="Calibri" w:eastAsia="Calibri" w:hAnsi="Calibri" w:cs="Calibri"/>
          <w:bCs/>
          <w:spacing w:val="-2"/>
          <w:szCs w:val="72"/>
          <w:lang w:val="sr-Cyrl-CS"/>
        </w:rPr>
        <w:t xml:space="preserve">Како би снизила трошкове финансирања и продужила рочност дуга Република Србија је 3. марта 2021. године успешно искористила још увек повољне услове на међународном финансијском тржишту и по први пут емитовала дванаестогодишње еврообвезнице деноминоване у еврима у износу од једне милијарде евра </w:t>
      </w:r>
      <w:r w:rsidRPr="001B41AD">
        <w:rPr>
          <w:rFonts w:ascii="Calibri" w:eastAsia="Calibri" w:hAnsi="Calibri" w:cs="Times New Roman"/>
          <w:spacing w:val="-2"/>
          <w:lang w:val="sr-Cyrl-CS"/>
        </w:rPr>
        <w:t xml:space="preserve">по купонској стопи од 1,65%. Република </w:t>
      </w:r>
      <w:r w:rsidRPr="001B41AD">
        <w:rPr>
          <w:rFonts w:ascii="Calibri" w:hAnsi="Calibri"/>
          <w:spacing w:val="-2"/>
          <w:lang w:val="sr-Cyrl-CS"/>
        </w:rPr>
        <w:t xml:space="preserve">Србија је </w:t>
      </w:r>
      <w:r w:rsidRPr="001B41AD">
        <w:rPr>
          <w:rFonts w:ascii="Calibri" w:eastAsia="Calibri" w:hAnsi="Calibri" w:cs="Times New Roman"/>
          <w:spacing w:val="-2"/>
          <w:lang w:val="sr-Cyrl-CS"/>
        </w:rPr>
        <w:t xml:space="preserve">23. септембра 2021. године </w:t>
      </w:r>
      <w:r w:rsidRPr="001B41AD">
        <w:rPr>
          <w:rFonts w:ascii="Calibri" w:hAnsi="Calibri"/>
          <w:spacing w:val="-2"/>
          <w:lang w:val="sr-Cyrl-CS"/>
        </w:rPr>
        <w:t xml:space="preserve">поново померила границе у избору финансирања својих инвестиција </w:t>
      </w:r>
      <w:r w:rsidRPr="001B41AD">
        <w:rPr>
          <w:rFonts w:ascii="Calibri" w:hAnsi="Calibri"/>
          <w:spacing w:val="-2"/>
          <w:lang w:val="sr-Cyrl-CS"/>
        </w:rPr>
        <w:lastRenderedPageBreak/>
        <w:t>изласком на међународно тржиште зелених обвезница. Зелена</w:t>
      </w:r>
      <w:r w:rsidRPr="001B41AD">
        <w:rPr>
          <w:lang w:val="sr-Cyrl-CS"/>
        </w:rPr>
        <w:t xml:space="preserve"> еврообвезница емитована је у износу од 1,0 милијарде евра са роком доспећа од седам година и купонском стопом од 1,00%, најнижом до сада постигнутом на међународном тржишту. Република Србија се сврстала у ред ретких европских земаља које су на међународном финансијском тржишту емитовале зелене еврообвезнице намењене искључиво за финансирање еколошки прихватљивих пројеката. Истовремено, са емисијом зелене еврообвезнице, емитована је и петнаестогодишња еврообвезница најдуже рочности до сада у износу од 750 милиона евра, са годишњом купонском стопом од 2,05%, чијом емисијом је додатно повећана рочност јавног дуга.</w:t>
      </w:r>
    </w:p>
    <w:p w14:paraId="2FE73ED6" w14:textId="77777777" w:rsidR="00113630" w:rsidRPr="001B41AD" w:rsidRDefault="00113630" w:rsidP="00113630">
      <w:pPr>
        <w:rPr>
          <w:lang w:val="sr-Cyrl-CS"/>
        </w:rPr>
      </w:pPr>
      <w:r w:rsidRPr="001B41AD">
        <w:rPr>
          <w:lang w:val="sr-Cyrl-CS"/>
        </w:rPr>
        <w:t>У јануару 2023. године су издате еврообвезнице рочности пет и десет година у укупном износу од 1,75 милијарди долара (750 милиона долара на пет година и 1 милијарда долара на десет година). Еврообвезница рочности пет година емитована је уз купонску стопу од 6,25%, док је еврообвезница рочности десет година емитована уз купонску стопу од 6,50%. 12. јуна 2024. године Република Србија је успешно реализовала емисију одрживих (ESG - Environmental, Social and Governance) еврообвезница деноминованих у америчким доларима на међународном финансијском тржишту рочности десет година у укупном износу од 1,5 милијарди долара уз купонску стопу од 6,00%.</w:t>
      </w:r>
    </w:p>
    <w:p w14:paraId="55625D80"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Водећи се најбољом међународном праксом активног управљања јавним дугом, Република Србија је у децембру 2020. године по први пут реализовала хеџинг трансакцију, тј. коришћење финансијских деривата у сврху заштите од девизног и каматног ризика, у складу са међународним ISDA стандардима (</w:t>
      </w:r>
      <w:r w:rsidRPr="001B41AD">
        <w:rPr>
          <w:rFonts w:ascii="Calibri" w:eastAsia="Calibri" w:hAnsi="Calibri" w:cs="Calibri"/>
          <w:bCs/>
          <w:i/>
          <w:szCs w:val="72"/>
          <w:lang w:val="sr-Cyrl-CS"/>
        </w:rPr>
        <w:t>International Swaps and Derivatives Association</w:t>
      </w:r>
      <w:r w:rsidRPr="001B41AD">
        <w:rPr>
          <w:rFonts w:ascii="Calibri" w:eastAsia="Calibri" w:hAnsi="Calibri" w:cs="Calibri"/>
          <w:bCs/>
          <w:szCs w:val="72"/>
          <w:lang w:val="sr-Cyrl-CS"/>
        </w:rPr>
        <w:t xml:space="preserve">), односно унакрсна валутна своп трансакција којом су обавезе по основу емитоване обвезнице конвертоване из америчких долара у евре по значајно нижој финалној каматној стопи. Своје обавезе по основу емисије деноминоване у доларима, у износу од 1,2 милијарди USD, Република Србија ће исплаћивати у еврима по купонској стопи од 1,066% и 1,236% на номиналну вредност емисије након конверзије од 1,016 </w:t>
      </w:r>
      <w:r w:rsidRPr="001B41AD">
        <w:rPr>
          <w:rFonts w:ascii="Calibri" w:eastAsia="Calibri" w:hAnsi="Calibri" w:cs="Calibri"/>
          <w:bCs/>
          <w:szCs w:val="72"/>
          <w:lang w:val="sr-Cyrl-CS"/>
        </w:rPr>
        <w:t xml:space="preserve">милијарди евра. Искоришћен је повољан однос курса евра и америчког долара у датом тренутку, као и дивергенције између доларских и еварских каматних стопа на међународном тржишту капитала и постигнута је најповољнија цена задуживања, уз оптимизацију валутне структуре јавног дуга, а све у циљу заштите од ризика промене девизног курса. Током јануара 2021. године реализована је друга своп трансакција, којом је обавеза по основу Споразума о репрограму дуга између Републике Србије и Kuwait Investment Authority конвертована из америчких долара у евре, по значајно нижој каматној стопи. Обавезе по основу наведеног репрограмираног зајма, уговорене у доларима по каматној стопи од 1,5%, Република Србија ће исплаћивати у еврима по каматној стопи од 0,393% и 0,520%. У марту 2021. године је закључена нова своп трансакција којом је кредит код Export - Import Bank of China за пројекат изградње обилазнице око Београда на аутопуту Е70/Е75, који је 2018. године иницијално уговорен у кинеским јуанима конвертован у евре. Наведени зајам, на који је плаћана фиксна каматна стопа од 2,50% годишње у кинеским јуанима, конвертован је у евре по фиксној каматној стопи од </w:t>
      </w:r>
      <w:r w:rsidRPr="001B41AD">
        <w:rPr>
          <w:rFonts w:ascii="Calibri" w:eastAsia="Calibri" w:hAnsi="Calibri" w:cs="Calibri"/>
          <w:bCs/>
          <w:szCs w:val="72"/>
          <w:lang w:val="sr-Cyrl-CS"/>
        </w:rPr>
        <w:br w:type="textWrapping" w:clear="all"/>
        <w:t>0,09%. 24. новембра 2021. године</w:t>
      </w:r>
      <w:r w:rsidRPr="001B41AD">
        <w:rPr>
          <w:lang w:val="sr-Cyrl-CS"/>
        </w:rPr>
        <w:t xml:space="preserve"> реализована је</w:t>
      </w:r>
      <w:r w:rsidRPr="001B41AD">
        <w:rPr>
          <w:rFonts w:ascii="Calibri" w:eastAsia="Calibri" w:hAnsi="Calibri" w:cs="Calibri"/>
          <w:bCs/>
          <w:szCs w:val="72"/>
          <w:lang w:val="sr-Cyrl-CS"/>
        </w:rPr>
        <w:t xml:space="preserve"> </w:t>
      </w:r>
      <w:r w:rsidRPr="001B41AD">
        <w:rPr>
          <w:lang w:val="sr-Cyrl-CS"/>
        </w:rPr>
        <w:t xml:space="preserve">још једна, четврта по реду, своп трансакција којом су обавезе по основу зајма узетог од Фонда за развој Абу Дабија, 2016. године, иницијално уговорене у дирхамима, са плаћањем у америчким доларима, конвертоване у евре. Дуг и обавезе по основу наведеног зајма на који је плаћана фиксна каматна стопа од 2,25% годишње, замењени су у евре по годишњој каматној стопи од 0,96%. У 2023. години су одмах након емитовања еврообвезница закључене хеџинг трансакције, тј. обавезе по основу емисије доларских еврообвезница су конвертоване у обавезе у еврима, тако да након извршеног cross currency swap-а, варијабилна каматна стопа за петогодишњу обвезницу износи шестомесечни еuribor + 2,908%, а за десетогодишњу обвезницу шестомесечни еuribor + 3,073%, шестомесечни еuribor + 3,286% и шестомесечни еuribor + 3,323%. У јуну 2024. године, истовремено са емитовањем десетогодишње доларске одрживе еврообвезнице уз купонску стопу од 6% (ESG - Environmental, Social, and Governance), закључена </w:t>
      </w:r>
      <w:r w:rsidRPr="001B41AD">
        <w:rPr>
          <w:lang w:val="sr-Cyrl-CS"/>
        </w:rPr>
        <w:lastRenderedPageBreak/>
        <w:t>је своп трансакција, чиме су обавезе у доларима конвертоване у обавезе у еврима уз фиксну каматну стопу од 4,754%.</w:t>
      </w:r>
    </w:p>
    <w:p w14:paraId="39A9D576"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Током 2020. године настављено је са емитовањем „бенчмарк” обвезница на домаћем тржишту. Емитоване су обвезнице рочности 5,5 и 12,5 година у RSD номиналнe вредности од по 100 милијарди динара, чији обими су повећани на по 150 милијарди динара током 2021. године. 30. јуна 2021. године динарске бенчмарк обвезнице Републике Србије рочности 7, 10 и 12,5 година укључене су у J.P. Morgan GBI-EM Index. Укључивањем у наведени индекс начињен је значајан напредак у јачању ликвидности секундарног тржишта државних обвезница и обезбеђен долазак нових међународних инвестиционих фондова, што ће резултирати већом конкуренцијом и даљим падом трошкова задуживања. У марту 2024. године, у J.P. Morgan GBI-EM Index укључена је и бенчмарк обвезница Републике Србије рочности 8 година номиналне вредности 150 милијарди динара емитована 2023. године. 31. марта 2025. године у J.P. Morgan индекс државних обвезница земаља у развоју (GBI-EM Global Diversified Index), укључена је нова динарска бенчмарк обвезница са датумом доспећа 27. јул 2035. године (RSMFRSD34101).</w:t>
      </w:r>
    </w:p>
    <w:p w14:paraId="436EE12A"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У октобру 2021. године, Clearstream, међународни централни регистар хартија од вредности, који обавља послове клиринга и салдирања (ICSD), отворио је рачун хартија од вредности у домаћем регистру и путем посредника – овлашћеног учесника на локалном тржишту, омогућио страним инвеститорима салдирање српских обвезница у динарима.</w:t>
      </w:r>
    </w:p>
    <w:p w14:paraId="0FC0E52C"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Валутни ризик је смањен током претходних година, иако је током последње три године дошло до извесног погоршања овог показатеља услед специфичних околности на тржишту, те неопходности интензивнијег коришћења међународног финансијског тржишта, како би се минимизирали трошкови задуживања. Удео јавног дуга у домаћој валути у укупном јавном дугу </w:t>
      </w:r>
      <w:r w:rsidRPr="001B41AD">
        <w:rPr>
          <w:rFonts w:ascii="Calibri" w:eastAsia="Calibri" w:hAnsi="Calibri" w:cs="Calibri"/>
          <w:bCs/>
          <w:szCs w:val="72"/>
          <w:lang w:val="sr-Cyrl-CS"/>
        </w:rPr>
        <w:t xml:space="preserve">централног нивоа власти је на крају 2008. године износио само 2,6%, а до краја 2020. године је порастао на 30,5%, али је након тога услед задуживања у већој мери на иностраном тржишту због повољнијих услова, дошло до пада учешћа на 21,7% на крају 2023. године, да би дошло до малог побољшања током 2024. године – 21,8% и током првих осам месеци 2025. године, те је на крају августа учешће износило 22,2%. Расту динарског дуга претходних година су пре свега допринеле емисије динарских државних хартија од вредности на домаћем тржишту хартија од вредности. Током 2019. и 2020. године је извршен превремени откуп скупих еврообвезница емитованих у 2011. и 2013. години у америчким доларима, а током фебруара 2020. године редовна отплата доларске обвезнице емитоване у 2013. години. У децембру 2020. године је закључена и прва хеџинг трансакција којом је емитована еврообвезница у америчким доларима, одмах конвертована у евре. У јануару 2021. године је закључена још једна хеџинг трансакција којом су обавезе у америчким доларима конвертоване у евре. У јануару 2023. и јуну 2024. године су закључене нове хеџинг трансакције којим су емитоване еврообвезнице у америчким доларима, одмах конвертоване у евре. Захваљујући свим овим трансакцијама, дошло је до пада његовог учешћа у укупном јавном дугу са 33,9% колико је износило на крају </w:t>
      </w:r>
      <w:r w:rsidR="00130E66" w:rsidRPr="001B41AD">
        <w:rPr>
          <w:rFonts w:ascii="Calibri" w:eastAsia="Calibri" w:hAnsi="Calibri" w:cs="Calibri"/>
          <w:bCs/>
          <w:szCs w:val="72"/>
          <w:lang w:val="sr-Cyrl-CS"/>
        </w:rPr>
        <w:t xml:space="preserve">2016. године на 12,5% на крају </w:t>
      </w:r>
      <w:r w:rsidRPr="001B41AD">
        <w:rPr>
          <w:rFonts w:ascii="Calibri" w:eastAsia="Calibri" w:hAnsi="Calibri" w:cs="Calibri"/>
          <w:bCs/>
          <w:szCs w:val="72"/>
          <w:lang w:val="sr-Cyrl-CS"/>
        </w:rPr>
        <w:t>августа 2025. године.</w:t>
      </w:r>
    </w:p>
    <w:p w14:paraId="76248573"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Трошкови задуживања су такође значајно снижени током претходних година. Учешће трошкова камата у БДП је пало са 2,8% (централни ниво власти) колико је износило 2015. године на 1,8% у 2024. години.</w:t>
      </w:r>
    </w:p>
    <w:p w14:paraId="72207D04" w14:textId="77777777" w:rsidR="00113630" w:rsidRPr="001B41AD" w:rsidRDefault="00113630" w:rsidP="00113630">
      <w:pPr>
        <w:spacing w:after="240"/>
        <w:rPr>
          <w:rFonts w:ascii="Calibri" w:eastAsia="Calibri" w:hAnsi="Calibri" w:cs="Calibri"/>
          <w:bCs/>
          <w:szCs w:val="72"/>
          <w:lang w:val="sr-Cyrl-CS"/>
        </w:rPr>
      </w:pPr>
      <w:r w:rsidRPr="001B41AD">
        <w:rPr>
          <w:rFonts w:ascii="Calibri" w:eastAsia="Calibri" w:hAnsi="Calibri" w:cs="Calibri"/>
          <w:bCs/>
          <w:szCs w:val="72"/>
          <w:lang w:val="sr-Cyrl-CS"/>
        </w:rPr>
        <w:t>На крају августа 2025. године укупно стање јавног дуга сектора државе износило је 4.516,8 млрд динара, односно 43,5% БДП. Од тога се на директне обавезе односило 4.285,3 млрд динара, на индиректне обавезе 195,5 млрд динара, док се 36,0 млрд динара односи на негарантовани дуг јединица локалне самоуправе.</w:t>
      </w:r>
    </w:p>
    <w:p w14:paraId="6369068D" w14:textId="77777777" w:rsidR="00113630" w:rsidRPr="001B41AD" w:rsidRDefault="00113630" w:rsidP="00113630">
      <w:pPr>
        <w:spacing w:after="240"/>
        <w:rPr>
          <w:rFonts w:ascii="Calibri" w:eastAsia="Calibri" w:hAnsi="Calibri" w:cs="Calibri"/>
          <w:bCs/>
          <w:szCs w:val="72"/>
          <w:lang w:val="sr-Cyrl-CS"/>
        </w:rPr>
        <w:sectPr w:rsidR="00113630" w:rsidRPr="001B41AD" w:rsidSect="00405489">
          <w:type w:val="continuous"/>
          <w:pgSz w:w="12240" w:h="15840"/>
          <w:pgMar w:top="1440" w:right="1440" w:bottom="1440" w:left="1440" w:header="720" w:footer="720" w:gutter="0"/>
          <w:cols w:num="2" w:space="720"/>
        </w:sectPr>
      </w:pPr>
    </w:p>
    <w:p w14:paraId="4F2D320D" w14:textId="77777777" w:rsidR="00113630" w:rsidRPr="001B41AD" w:rsidRDefault="00113630" w:rsidP="00113630">
      <w:pPr>
        <w:rPr>
          <w:lang w:val="sr-Cyrl-CS"/>
        </w:rPr>
      </w:pPr>
    </w:p>
    <w:p w14:paraId="13E60CF8" w14:textId="77777777" w:rsidR="001D7380" w:rsidRPr="001B41AD" w:rsidRDefault="001D7380" w:rsidP="00113630">
      <w:pPr>
        <w:rPr>
          <w:lang w:val="sr-Cyrl-CS"/>
        </w:rPr>
      </w:pPr>
    </w:p>
    <w:p w14:paraId="7B8C3D50" w14:textId="77777777" w:rsidR="00113630" w:rsidRPr="001B41AD" w:rsidRDefault="00113630" w:rsidP="00113630">
      <w:pPr>
        <w:spacing w:after="0" w:line="257" w:lineRule="auto"/>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lastRenderedPageBreak/>
        <w:t>Учешће јавног дуга сектора државе у БДП,%</w:t>
      </w:r>
    </w:p>
    <w:p w14:paraId="4E19213E" w14:textId="77777777" w:rsidR="00113630" w:rsidRPr="001B41AD" w:rsidRDefault="00113630" w:rsidP="00113630">
      <w:pPr>
        <w:spacing w:line="256" w:lineRule="auto"/>
        <w:jc w:val="center"/>
        <w:rPr>
          <w:lang w:val="sr-Cyrl-CS"/>
        </w:rPr>
      </w:pPr>
      <w:r w:rsidRPr="001B41AD">
        <w:rPr>
          <w:rFonts w:ascii="Calibri" w:eastAsia="Calibri" w:hAnsi="Calibri" w:cs="Times New Roman"/>
          <w:noProof/>
        </w:rPr>
        <w:drawing>
          <wp:inline distT="0" distB="0" distL="0" distR="0" wp14:anchorId="66E501A4" wp14:editId="7A7CE311">
            <wp:extent cx="4472305" cy="1532890"/>
            <wp:effectExtent l="0" t="0" r="4445" b="0"/>
            <wp:docPr id="7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351D390A" w14:textId="77777777" w:rsidR="00113630" w:rsidRPr="001B41AD" w:rsidRDefault="00BB0049" w:rsidP="00113630">
      <w:pPr>
        <w:spacing w:line="256" w:lineRule="auto"/>
        <w:jc w:val="center"/>
        <w:rPr>
          <w:lang w:val="sr-Cyrl-CS"/>
        </w:rPr>
      </w:pPr>
      <w:r w:rsidRPr="001B41AD">
        <w:rPr>
          <w:rFonts w:ascii="Calibri" w:eastAsia="Calibri" w:hAnsi="Calibri" w:cs="Times New Roman"/>
          <w:b/>
          <w:color w:val="002060"/>
          <w:lang w:val="sr-Cyrl-CS"/>
        </w:rPr>
        <w:t>Табела 28</w:t>
      </w:r>
      <w:r w:rsidR="00113630" w:rsidRPr="001B41AD">
        <w:rPr>
          <w:rFonts w:ascii="Calibri" w:eastAsia="Calibri" w:hAnsi="Calibri" w:cs="Times New Roman"/>
          <w:b/>
          <w:color w:val="002060"/>
          <w:lang w:val="sr-Cyrl-CS"/>
        </w:rPr>
        <w:t xml:space="preserve">. </w:t>
      </w:r>
      <w:r w:rsidR="00113630" w:rsidRPr="001B41AD">
        <w:rPr>
          <w:rFonts w:ascii="Calibri" w:eastAsia="Calibri" w:hAnsi="Calibri" w:cs="Times New Roman"/>
          <w:b/>
          <w:bCs/>
          <w:color w:val="002060"/>
          <w:lang w:val="sr-Cyrl-CS"/>
        </w:rPr>
        <w:t xml:space="preserve">Јавни дуг сектора државе Републике Србије у периоду </w:t>
      </w:r>
      <w:r w:rsidR="00113630" w:rsidRPr="001B41AD">
        <w:rPr>
          <w:rFonts w:ascii="Calibri" w:eastAsia="Calibri" w:hAnsi="Calibri" w:cs="Times New Roman"/>
          <w:b/>
          <w:bCs/>
          <w:color w:val="002060"/>
          <w:lang w:val="sr-Cyrl-CS"/>
        </w:rPr>
        <w:br w:type="textWrapping" w:clear="all"/>
        <w:t>крај 2022–31. август 2025. године</w:t>
      </w:r>
    </w:p>
    <w:tbl>
      <w:tblPr>
        <w:tblStyle w:val="LightShading-Accent12121"/>
        <w:tblW w:w="5000" w:type="pct"/>
        <w:tblInd w:w="0" w:type="dxa"/>
        <w:tblLook w:val="04A0" w:firstRow="1" w:lastRow="0" w:firstColumn="1" w:lastColumn="0" w:noHBand="0" w:noVBand="1"/>
      </w:tblPr>
      <w:tblGrid>
        <w:gridCol w:w="4046"/>
        <w:gridCol w:w="1328"/>
        <w:gridCol w:w="1330"/>
        <w:gridCol w:w="1327"/>
        <w:gridCol w:w="1329"/>
      </w:tblGrid>
      <w:tr w:rsidR="00113630" w:rsidRPr="001B41AD" w14:paraId="65B50B49" w14:textId="77777777" w:rsidTr="00405489">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002060"/>
              <w:left w:val="none" w:sz="0" w:space="0" w:color="auto"/>
              <w:bottom w:val="single" w:sz="4" w:space="0" w:color="FFFFFF" w:themeColor="background1"/>
              <w:right w:val="none" w:sz="0" w:space="0" w:color="auto"/>
            </w:tcBorders>
            <w:noWrap/>
            <w:hideMark/>
          </w:tcPr>
          <w:p w14:paraId="3D221597" w14:textId="77777777" w:rsidR="00113630" w:rsidRPr="001B41AD" w:rsidRDefault="00113630" w:rsidP="00405489">
            <w:pPr>
              <w:jc w:val="center"/>
              <w:rPr>
                <w:rFonts w:ascii="Calibri" w:hAnsi="Calibri" w:cs="Calibri"/>
                <w:color w:val="002060"/>
                <w:sz w:val="18"/>
                <w:szCs w:val="18"/>
                <w:lang w:val="sr-Cyrl-CS"/>
              </w:rPr>
            </w:pPr>
            <w:r w:rsidRPr="001B41AD">
              <w:rPr>
                <w:rFonts w:ascii="Calibri" w:hAnsi="Calibri" w:cs="Calibri"/>
                <w:color w:val="002060"/>
                <w:sz w:val="18"/>
                <w:szCs w:val="18"/>
                <w:lang w:val="sr-Cyrl-CS"/>
              </w:rPr>
              <w:t> </w:t>
            </w:r>
          </w:p>
        </w:tc>
        <w:tc>
          <w:tcPr>
            <w:tcW w:w="709" w:type="pct"/>
            <w:tcBorders>
              <w:top w:val="single" w:sz="4" w:space="0" w:color="002060"/>
              <w:left w:val="none" w:sz="0" w:space="0" w:color="auto"/>
              <w:bottom w:val="single" w:sz="4" w:space="0" w:color="002060"/>
              <w:right w:val="none" w:sz="0" w:space="0" w:color="auto"/>
            </w:tcBorders>
            <w:vAlign w:val="center"/>
            <w:hideMark/>
          </w:tcPr>
          <w:p w14:paraId="5FA31D57"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2022</w:t>
            </w:r>
          </w:p>
        </w:tc>
        <w:tc>
          <w:tcPr>
            <w:tcW w:w="710" w:type="pct"/>
            <w:tcBorders>
              <w:top w:val="single" w:sz="4" w:space="0" w:color="002060"/>
              <w:left w:val="none" w:sz="0" w:space="0" w:color="auto"/>
              <w:bottom w:val="single" w:sz="4" w:space="0" w:color="002060"/>
              <w:right w:val="none" w:sz="0" w:space="0" w:color="auto"/>
            </w:tcBorders>
            <w:vAlign w:val="center"/>
            <w:hideMark/>
          </w:tcPr>
          <w:p w14:paraId="0FA98A7E"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2023</w:t>
            </w:r>
          </w:p>
        </w:tc>
        <w:tc>
          <w:tcPr>
            <w:tcW w:w="709" w:type="pct"/>
            <w:tcBorders>
              <w:top w:val="single" w:sz="4" w:space="0" w:color="002060"/>
              <w:left w:val="none" w:sz="0" w:space="0" w:color="auto"/>
              <w:bottom w:val="single" w:sz="4" w:space="0" w:color="002060"/>
              <w:right w:val="none" w:sz="0" w:space="0" w:color="auto"/>
            </w:tcBorders>
            <w:noWrap/>
            <w:vAlign w:val="center"/>
            <w:hideMark/>
          </w:tcPr>
          <w:p w14:paraId="7632CF39"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2024</w:t>
            </w:r>
          </w:p>
        </w:tc>
        <w:tc>
          <w:tcPr>
            <w:tcW w:w="710" w:type="pct"/>
            <w:tcBorders>
              <w:top w:val="single" w:sz="4" w:space="0" w:color="002060"/>
              <w:left w:val="none" w:sz="0" w:space="0" w:color="auto"/>
              <w:bottom w:val="single" w:sz="4" w:space="0" w:color="002060"/>
              <w:right w:val="none" w:sz="0" w:space="0" w:color="auto"/>
            </w:tcBorders>
            <w:noWrap/>
            <w:vAlign w:val="center"/>
            <w:hideMark/>
          </w:tcPr>
          <w:p w14:paraId="1644BA8A"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2025/VIII</w:t>
            </w:r>
          </w:p>
        </w:tc>
      </w:tr>
      <w:tr w:rsidR="00113630" w:rsidRPr="001B41AD" w14:paraId="7163137D" w14:textId="77777777" w:rsidTr="00405489">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FFFFFF" w:themeColor="background1"/>
              <w:left w:val="none" w:sz="0" w:space="0" w:color="auto"/>
              <w:bottom w:val="nil"/>
              <w:right w:val="none" w:sz="0" w:space="0" w:color="auto"/>
            </w:tcBorders>
            <w:shd w:val="clear" w:color="auto" w:fill="E7E6E6" w:themeFill="background2"/>
            <w:noWrap/>
            <w:vAlign w:val="center"/>
            <w:hideMark/>
          </w:tcPr>
          <w:p w14:paraId="6D7ED079"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Јавни дуг сектора државе (у млрд динара)</w:t>
            </w:r>
          </w:p>
        </w:tc>
        <w:tc>
          <w:tcPr>
            <w:tcW w:w="709" w:type="pct"/>
            <w:tcBorders>
              <w:top w:val="single" w:sz="4" w:space="0" w:color="002060"/>
              <w:left w:val="none" w:sz="0" w:space="0" w:color="auto"/>
              <w:bottom w:val="nil"/>
              <w:right w:val="none" w:sz="0" w:space="0" w:color="auto"/>
            </w:tcBorders>
            <w:shd w:val="clear" w:color="auto" w:fill="E7E6E6" w:themeFill="background2"/>
            <w:vAlign w:val="center"/>
            <w:hideMark/>
          </w:tcPr>
          <w:p w14:paraId="3510B3CF"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3.945,8</w:t>
            </w:r>
          </w:p>
        </w:tc>
        <w:tc>
          <w:tcPr>
            <w:tcW w:w="710" w:type="pct"/>
            <w:tcBorders>
              <w:top w:val="single" w:sz="4" w:space="0" w:color="002060"/>
              <w:left w:val="none" w:sz="0" w:space="0" w:color="auto"/>
              <w:bottom w:val="nil"/>
              <w:right w:val="none" w:sz="0" w:space="0" w:color="auto"/>
            </w:tcBorders>
            <w:shd w:val="clear" w:color="auto" w:fill="E7E6E6" w:themeFill="background2"/>
            <w:vAlign w:val="center"/>
            <w:hideMark/>
          </w:tcPr>
          <w:p w14:paraId="5CCEDDCB"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4.266,6</w:t>
            </w:r>
          </w:p>
        </w:tc>
        <w:tc>
          <w:tcPr>
            <w:tcW w:w="709" w:type="pct"/>
            <w:tcBorders>
              <w:top w:val="single" w:sz="4" w:space="0" w:color="002060"/>
              <w:left w:val="none" w:sz="0" w:space="0" w:color="auto"/>
              <w:bottom w:val="nil"/>
              <w:right w:val="none" w:sz="0" w:space="0" w:color="auto"/>
            </w:tcBorders>
            <w:shd w:val="clear" w:color="auto" w:fill="E7E6E6" w:themeFill="background2"/>
            <w:noWrap/>
            <w:vAlign w:val="center"/>
            <w:hideMark/>
          </w:tcPr>
          <w:p w14:paraId="071FAD89"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4.576,5</w:t>
            </w:r>
          </w:p>
        </w:tc>
        <w:tc>
          <w:tcPr>
            <w:tcW w:w="710" w:type="pct"/>
            <w:tcBorders>
              <w:top w:val="single" w:sz="4" w:space="0" w:color="002060"/>
              <w:left w:val="none" w:sz="0" w:space="0" w:color="auto"/>
              <w:bottom w:val="nil"/>
              <w:right w:val="none" w:sz="0" w:space="0" w:color="auto"/>
            </w:tcBorders>
            <w:shd w:val="clear" w:color="auto" w:fill="E7E6E6" w:themeFill="background2"/>
            <w:noWrap/>
            <w:vAlign w:val="center"/>
            <w:hideMark/>
          </w:tcPr>
          <w:p w14:paraId="65510CC0"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4.516,8</w:t>
            </w:r>
          </w:p>
        </w:tc>
      </w:tr>
      <w:tr w:rsidR="00113630" w:rsidRPr="001B41AD" w14:paraId="359F087D" w14:textId="77777777" w:rsidTr="00405489">
        <w:trPr>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nil"/>
              <w:left w:val="nil"/>
              <w:bottom w:val="nil"/>
              <w:right w:val="nil"/>
            </w:tcBorders>
            <w:noWrap/>
            <w:vAlign w:val="center"/>
            <w:hideMark/>
          </w:tcPr>
          <w:p w14:paraId="00EF9847"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Јавни дуг сектора државе (у мил. евра)</w:t>
            </w:r>
          </w:p>
        </w:tc>
        <w:tc>
          <w:tcPr>
            <w:tcW w:w="709" w:type="pct"/>
            <w:tcBorders>
              <w:top w:val="nil"/>
              <w:left w:val="nil"/>
              <w:bottom w:val="nil"/>
              <w:right w:val="nil"/>
            </w:tcBorders>
            <w:vAlign w:val="center"/>
            <w:hideMark/>
          </w:tcPr>
          <w:p w14:paraId="02B184A2"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33.632,2</w:t>
            </w:r>
          </w:p>
        </w:tc>
        <w:tc>
          <w:tcPr>
            <w:tcW w:w="710" w:type="pct"/>
            <w:tcBorders>
              <w:top w:val="nil"/>
              <w:left w:val="nil"/>
              <w:bottom w:val="nil"/>
              <w:right w:val="nil"/>
            </w:tcBorders>
            <w:vAlign w:val="center"/>
            <w:hideMark/>
          </w:tcPr>
          <w:p w14:paraId="6F39EE1A"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36.412,3</w:t>
            </w:r>
          </w:p>
        </w:tc>
        <w:tc>
          <w:tcPr>
            <w:tcW w:w="709" w:type="pct"/>
            <w:tcBorders>
              <w:top w:val="nil"/>
              <w:left w:val="nil"/>
              <w:bottom w:val="nil"/>
              <w:right w:val="nil"/>
            </w:tcBorders>
            <w:noWrap/>
            <w:vAlign w:val="center"/>
            <w:hideMark/>
          </w:tcPr>
          <w:p w14:paraId="1C704A14"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39.110,7</w:t>
            </w:r>
          </w:p>
        </w:tc>
        <w:tc>
          <w:tcPr>
            <w:tcW w:w="710" w:type="pct"/>
            <w:tcBorders>
              <w:top w:val="nil"/>
              <w:left w:val="nil"/>
              <w:bottom w:val="nil"/>
              <w:right w:val="nil"/>
            </w:tcBorders>
            <w:noWrap/>
            <w:vAlign w:val="center"/>
            <w:hideMark/>
          </w:tcPr>
          <w:p w14:paraId="1AD69857"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38.547,7</w:t>
            </w:r>
          </w:p>
        </w:tc>
      </w:tr>
      <w:tr w:rsidR="00113630" w:rsidRPr="001B41AD" w14:paraId="25616F4D" w14:textId="77777777" w:rsidTr="00405489">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nil"/>
              <w:left w:val="none" w:sz="0" w:space="0" w:color="auto"/>
              <w:bottom w:val="single" w:sz="4" w:space="0" w:color="002060"/>
              <w:right w:val="none" w:sz="0" w:space="0" w:color="auto"/>
            </w:tcBorders>
            <w:shd w:val="clear" w:color="auto" w:fill="E7E6E6" w:themeFill="background2"/>
            <w:noWrap/>
            <w:vAlign w:val="center"/>
            <w:hideMark/>
          </w:tcPr>
          <w:p w14:paraId="311576CE"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Јавни дуг сектора државе (у мил. долара)</w:t>
            </w:r>
          </w:p>
        </w:tc>
        <w:tc>
          <w:tcPr>
            <w:tcW w:w="709" w:type="pct"/>
            <w:tcBorders>
              <w:top w:val="nil"/>
              <w:left w:val="none" w:sz="0" w:space="0" w:color="auto"/>
              <w:bottom w:val="single" w:sz="4" w:space="0" w:color="002060"/>
              <w:right w:val="none" w:sz="0" w:space="0" w:color="auto"/>
            </w:tcBorders>
            <w:shd w:val="clear" w:color="auto" w:fill="E7E6E6" w:themeFill="background2"/>
            <w:vAlign w:val="center"/>
            <w:hideMark/>
          </w:tcPr>
          <w:p w14:paraId="1F7B9D0C"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35.821,6</w:t>
            </w:r>
          </w:p>
        </w:tc>
        <w:tc>
          <w:tcPr>
            <w:tcW w:w="710" w:type="pct"/>
            <w:tcBorders>
              <w:top w:val="nil"/>
              <w:left w:val="none" w:sz="0" w:space="0" w:color="auto"/>
              <w:bottom w:val="single" w:sz="4" w:space="0" w:color="002060"/>
              <w:right w:val="none" w:sz="0" w:space="0" w:color="auto"/>
            </w:tcBorders>
            <w:shd w:val="clear" w:color="auto" w:fill="E7E6E6" w:themeFill="background2"/>
            <w:vAlign w:val="center"/>
            <w:hideMark/>
          </w:tcPr>
          <w:p w14:paraId="64449186"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40.301,1</w:t>
            </w:r>
          </w:p>
        </w:tc>
        <w:tc>
          <w:tcPr>
            <w:tcW w:w="709" w:type="pct"/>
            <w:tcBorders>
              <w:top w:val="nil"/>
              <w:left w:val="none" w:sz="0" w:space="0" w:color="auto"/>
              <w:bottom w:val="single" w:sz="4" w:space="0" w:color="002060"/>
              <w:right w:val="none" w:sz="0" w:space="0" w:color="auto"/>
            </w:tcBorders>
            <w:shd w:val="clear" w:color="auto" w:fill="E7E6E6" w:themeFill="background2"/>
            <w:noWrap/>
            <w:vAlign w:val="center"/>
            <w:hideMark/>
          </w:tcPr>
          <w:p w14:paraId="358FBC6A"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40.702,5</w:t>
            </w:r>
          </w:p>
        </w:tc>
        <w:tc>
          <w:tcPr>
            <w:tcW w:w="710" w:type="pct"/>
            <w:tcBorders>
              <w:top w:val="nil"/>
              <w:left w:val="none" w:sz="0" w:space="0" w:color="auto"/>
              <w:bottom w:val="single" w:sz="4" w:space="0" w:color="002060"/>
              <w:right w:val="none" w:sz="0" w:space="0" w:color="auto"/>
            </w:tcBorders>
            <w:shd w:val="clear" w:color="auto" w:fill="E7E6E6" w:themeFill="background2"/>
            <w:noWrap/>
            <w:vAlign w:val="center"/>
            <w:hideMark/>
          </w:tcPr>
          <w:p w14:paraId="663BF636"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44.973,6</w:t>
            </w:r>
          </w:p>
        </w:tc>
      </w:tr>
    </w:tbl>
    <w:p w14:paraId="25F7B637" w14:textId="77777777" w:rsidR="00113630" w:rsidRPr="001B41AD" w:rsidRDefault="00113630" w:rsidP="00113630">
      <w:pPr>
        <w:spacing w:after="280"/>
        <w:rPr>
          <w:rFonts w:ascii="Calibri" w:eastAsia="Calibri" w:hAnsi="Calibri" w:cs="Calibri"/>
          <w:bCs/>
          <w:szCs w:val="72"/>
          <w:lang w:val="sr-Cyrl-CS"/>
        </w:rPr>
        <w:sectPr w:rsidR="00113630" w:rsidRPr="001B41AD" w:rsidSect="00405489">
          <w:type w:val="continuous"/>
          <w:pgSz w:w="12240" w:h="15840"/>
          <w:pgMar w:top="1440" w:right="1440" w:bottom="1440" w:left="1440" w:header="720" w:footer="720" w:gutter="0"/>
          <w:cols w:space="720"/>
        </w:sectPr>
      </w:pPr>
    </w:p>
    <w:p w14:paraId="2B161C45" w14:textId="77777777" w:rsidR="00113630" w:rsidRPr="001B41AD" w:rsidRDefault="00113630" w:rsidP="00113630">
      <w:pPr>
        <w:spacing w:after="280"/>
        <w:rPr>
          <w:rFonts w:ascii="Calibri" w:eastAsia="Calibri" w:hAnsi="Calibri" w:cs="Calibri"/>
          <w:bCs/>
          <w:szCs w:val="72"/>
          <w:lang w:val="sr-Cyrl-CS"/>
        </w:rPr>
      </w:pPr>
      <w:r w:rsidRPr="001B41AD">
        <w:rPr>
          <w:rFonts w:ascii="Calibri" w:eastAsia="Calibri" w:hAnsi="Calibri" w:cs="Calibri"/>
          <w:bCs/>
          <w:szCs w:val="72"/>
          <w:lang w:val="sr-Cyrl-CS"/>
        </w:rPr>
        <w:t xml:space="preserve">У последње четири године приметан је интензиван раст јавног дуга централног нивоа власти у еврима. Услед повољнијих услова за задуживање на иностраном тржишту, емитоване су у више наврата еврообвезнице у еврима и америчким доларима које су одмах након трансакције конвертоване у евре. Поред тога део дуга у америчким доларима, кинеским јуанима и УАЕ дирхамима је конвертован у евре, услед далеко мање осцилације курса евра према динару, у односу на наведене валуте, како би се смањио валутни ризик. Током 2022. и 2023. године дошло је до раста дуга у специјалним правима вучења, услед задуживања код ММФ по </w:t>
      </w:r>
      <w:r w:rsidRPr="001B41AD">
        <w:rPr>
          <w:rFonts w:ascii="Calibri" w:eastAsia="Calibri" w:hAnsi="Calibri" w:cs="Calibri"/>
          <w:bCs/>
          <w:szCs w:val="72"/>
          <w:lang w:val="sr-Cyrl-CS"/>
        </w:rPr>
        <w:t>повољним условима. Током 2022. и 2023. године приметан је пад дуга у динарима, због редовне отплате доспелих државних обвезница, док током 2024. године и првих осам месеци 2025. године долази до његовог раста. Честе осцилације курса америчког долара према динару показују пуну оправданост одлуке да се максимално смањи доларски дуг и на тај начин минимизира валутни ризик, као и да је за закључивање своп трансакција изабран прави моменат. Услед закључених своп трансакција, а такође са циљем да се минимизира валутни ризик, значајно је смањен дуг у осталим валутама.</w:t>
      </w:r>
    </w:p>
    <w:p w14:paraId="0A475711" w14:textId="77777777" w:rsidR="00113630" w:rsidRPr="001B41AD" w:rsidRDefault="00113630" w:rsidP="00113630">
      <w:pPr>
        <w:spacing w:line="256" w:lineRule="auto"/>
        <w:jc w:val="center"/>
        <w:rPr>
          <w:rFonts w:ascii="Calibri" w:eastAsia="Calibri" w:hAnsi="Calibri" w:cs="Times New Roman"/>
          <w:b/>
          <w:color w:val="002060"/>
          <w:lang w:val="sr-Cyrl-CS"/>
        </w:rPr>
        <w:sectPr w:rsidR="00113630" w:rsidRPr="001B41AD" w:rsidSect="00405489">
          <w:type w:val="continuous"/>
          <w:pgSz w:w="12240" w:h="15840"/>
          <w:pgMar w:top="1440" w:right="1440" w:bottom="1440" w:left="1440" w:header="720" w:footer="720" w:gutter="0"/>
          <w:cols w:num="2" w:space="720"/>
        </w:sectPr>
      </w:pPr>
    </w:p>
    <w:p w14:paraId="6DE3CC0A" w14:textId="77777777" w:rsidR="00113630" w:rsidRPr="001B41AD" w:rsidRDefault="00113630" w:rsidP="00113630">
      <w:pPr>
        <w:spacing w:line="256" w:lineRule="auto"/>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t>Табела 2</w:t>
      </w:r>
      <w:r w:rsidR="00BB0049" w:rsidRPr="001B41AD">
        <w:rPr>
          <w:rFonts w:ascii="Calibri" w:eastAsia="Calibri" w:hAnsi="Calibri" w:cs="Times New Roman"/>
          <w:b/>
          <w:color w:val="002060"/>
          <w:lang w:val="sr-Cyrl-CS"/>
        </w:rPr>
        <w:t>9</w:t>
      </w:r>
      <w:r w:rsidRPr="001B41AD">
        <w:rPr>
          <w:rFonts w:ascii="Calibri" w:eastAsia="Calibri" w:hAnsi="Calibri" w:cs="Times New Roman"/>
          <w:b/>
          <w:color w:val="002060"/>
          <w:lang w:val="sr-Cyrl-CS"/>
        </w:rPr>
        <w:t xml:space="preserve">. Стање јавног дуга централног нивоа државе по оригиналним валутама у периоду </w:t>
      </w:r>
      <w:r w:rsidRPr="001B41AD">
        <w:rPr>
          <w:rFonts w:ascii="Calibri" w:eastAsia="Calibri" w:hAnsi="Calibri" w:cs="Times New Roman"/>
          <w:b/>
          <w:color w:val="002060"/>
          <w:lang w:val="sr-Cyrl-CS"/>
        </w:rPr>
        <w:br/>
        <w:t>крај 2022–31. август 2025. године, у милионима</w:t>
      </w:r>
    </w:p>
    <w:tbl>
      <w:tblPr>
        <w:tblStyle w:val="LightShading-Accent12121"/>
        <w:tblW w:w="5000" w:type="pct"/>
        <w:tblInd w:w="-48" w:type="dxa"/>
        <w:tblLook w:val="04A0" w:firstRow="1" w:lastRow="0" w:firstColumn="1" w:lastColumn="0" w:noHBand="0" w:noVBand="1"/>
      </w:tblPr>
      <w:tblGrid>
        <w:gridCol w:w="3230"/>
        <w:gridCol w:w="1532"/>
        <w:gridCol w:w="1534"/>
        <w:gridCol w:w="1531"/>
        <w:gridCol w:w="1533"/>
      </w:tblGrid>
      <w:tr w:rsidR="00113630" w:rsidRPr="001B41AD" w14:paraId="7B508BCD" w14:textId="77777777" w:rsidTr="00405489">
        <w:trPr>
          <w:cnfStyle w:val="100000000000" w:firstRow="1" w:lastRow="0"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002060"/>
              <w:left w:val="none" w:sz="0" w:space="0" w:color="auto"/>
              <w:bottom w:val="single" w:sz="4" w:space="0" w:color="FFFFFF" w:themeColor="background1"/>
              <w:right w:val="none" w:sz="0" w:space="0" w:color="auto"/>
            </w:tcBorders>
            <w:noWrap/>
            <w:hideMark/>
          </w:tcPr>
          <w:p w14:paraId="5717838F"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 </w:t>
            </w:r>
          </w:p>
        </w:tc>
        <w:tc>
          <w:tcPr>
            <w:tcW w:w="818" w:type="pct"/>
            <w:tcBorders>
              <w:top w:val="single" w:sz="4" w:space="0" w:color="002060"/>
              <w:left w:val="none" w:sz="0" w:space="0" w:color="auto"/>
              <w:bottom w:val="single" w:sz="4" w:space="0" w:color="002060"/>
              <w:right w:val="none" w:sz="0" w:space="0" w:color="auto"/>
            </w:tcBorders>
            <w:noWrap/>
            <w:hideMark/>
          </w:tcPr>
          <w:p w14:paraId="3C1EDC64"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2022</w:t>
            </w:r>
          </w:p>
        </w:tc>
        <w:tc>
          <w:tcPr>
            <w:tcW w:w="819" w:type="pct"/>
            <w:tcBorders>
              <w:top w:val="single" w:sz="4" w:space="0" w:color="002060"/>
              <w:left w:val="none" w:sz="0" w:space="0" w:color="auto"/>
              <w:bottom w:val="single" w:sz="4" w:space="0" w:color="002060"/>
              <w:right w:val="none" w:sz="0" w:space="0" w:color="auto"/>
            </w:tcBorders>
            <w:noWrap/>
            <w:hideMark/>
          </w:tcPr>
          <w:p w14:paraId="06F9C132"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2023</w:t>
            </w:r>
          </w:p>
        </w:tc>
        <w:tc>
          <w:tcPr>
            <w:tcW w:w="818" w:type="pct"/>
            <w:tcBorders>
              <w:top w:val="single" w:sz="4" w:space="0" w:color="002060"/>
              <w:left w:val="none" w:sz="0" w:space="0" w:color="auto"/>
              <w:bottom w:val="single" w:sz="4" w:space="0" w:color="002060"/>
              <w:right w:val="none" w:sz="0" w:space="0" w:color="auto"/>
            </w:tcBorders>
            <w:noWrap/>
            <w:hideMark/>
          </w:tcPr>
          <w:p w14:paraId="36755EFA"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2024</w:t>
            </w:r>
          </w:p>
        </w:tc>
        <w:tc>
          <w:tcPr>
            <w:tcW w:w="819" w:type="pct"/>
            <w:tcBorders>
              <w:top w:val="single" w:sz="4" w:space="0" w:color="002060"/>
              <w:left w:val="none" w:sz="0" w:space="0" w:color="auto"/>
              <w:bottom w:val="single" w:sz="4" w:space="0" w:color="002060"/>
              <w:right w:val="none" w:sz="0" w:space="0" w:color="auto"/>
            </w:tcBorders>
            <w:noWrap/>
            <w:hideMark/>
          </w:tcPr>
          <w:p w14:paraId="4FC95F0E"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2025/VIII</w:t>
            </w:r>
          </w:p>
        </w:tc>
      </w:tr>
      <w:tr w:rsidR="00113630" w:rsidRPr="001B41AD" w14:paraId="0419CC04" w14:textId="77777777" w:rsidTr="00405489">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FFFFFF" w:themeColor="background1"/>
              <w:left w:val="none" w:sz="0" w:space="0" w:color="auto"/>
              <w:bottom w:val="nil"/>
              <w:right w:val="none" w:sz="0" w:space="0" w:color="auto"/>
            </w:tcBorders>
            <w:shd w:val="clear" w:color="auto" w:fill="E7E6E6" w:themeFill="background2"/>
            <w:noWrap/>
            <w:hideMark/>
          </w:tcPr>
          <w:p w14:paraId="5C103101"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EUR</w:t>
            </w:r>
          </w:p>
        </w:tc>
        <w:tc>
          <w:tcPr>
            <w:tcW w:w="818" w:type="pct"/>
            <w:tcBorders>
              <w:top w:val="single" w:sz="4" w:space="0" w:color="002060"/>
              <w:left w:val="none" w:sz="0" w:space="0" w:color="auto"/>
              <w:bottom w:val="nil"/>
              <w:right w:val="none" w:sz="0" w:space="0" w:color="auto"/>
            </w:tcBorders>
            <w:shd w:val="clear" w:color="auto" w:fill="E7E6E6" w:themeFill="background2"/>
            <w:noWrap/>
            <w:hideMark/>
          </w:tcPr>
          <w:p w14:paraId="7434E52D"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18.585,2</w:t>
            </w:r>
          </w:p>
        </w:tc>
        <w:tc>
          <w:tcPr>
            <w:tcW w:w="819" w:type="pct"/>
            <w:tcBorders>
              <w:top w:val="single" w:sz="4" w:space="0" w:color="002060"/>
              <w:left w:val="none" w:sz="0" w:space="0" w:color="auto"/>
              <w:bottom w:val="nil"/>
              <w:right w:val="none" w:sz="0" w:space="0" w:color="auto"/>
            </w:tcBorders>
            <w:shd w:val="clear" w:color="auto" w:fill="E7E6E6" w:themeFill="background2"/>
            <w:noWrap/>
            <w:hideMark/>
          </w:tcPr>
          <w:p w14:paraId="2C48EC2E"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20.857,5</w:t>
            </w:r>
          </w:p>
        </w:tc>
        <w:tc>
          <w:tcPr>
            <w:tcW w:w="818" w:type="pct"/>
            <w:tcBorders>
              <w:top w:val="single" w:sz="4" w:space="0" w:color="002060"/>
              <w:left w:val="none" w:sz="0" w:space="0" w:color="auto"/>
              <w:bottom w:val="nil"/>
              <w:right w:val="none" w:sz="0" w:space="0" w:color="auto"/>
            </w:tcBorders>
            <w:shd w:val="clear" w:color="auto" w:fill="E7E6E6" w:themeFill="background2"/>
            <w:noWrap/>
            <w:hideMark/>
          </w:tcPr>
          <w:p w14:paraId="04996BDE"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22.387,8</w:t>
            </w:r>
          </w:p>
        </w:tc>
        <w:tc>
          <w:tcPr>
            <w:tcW w:w="819" w:type="pct"/>
            <w:tcBorders>
              <w:top w:val="single" w:sz="4" w:space="0" w:color="002060"/>
              <w:left w:val="none" w:sz="0" w:space="0" w:color="auto"/>
              <w:bottom w:val="nil"/>
              <w:right w:val="none" w:sz="0" w:space="0" w:color="auto"/>
            </w:tcBorders>
            <w:shd w:val="clear" w:color="auto" w:fill="E7E6E6" w:themeFill="background2"/>
            <w:noWrap/>
            <w:hideMark/>
          </w:tcPr>
          <w:p w14:paraId="0CCBDE3F"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22.540,0</w:t>
            </w:r>
          </w:p>
        </w:tc>
      </w:tr>
      <w:tr w:rsidR="00113630" w:rsidRPr="001B41AD" w14:paraId="5C2EEEAB" w14:textId="77777777" w:rsidTr="00405489">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6CB4609C"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USD</w:t>
            </w:r>
          </w:p>
        </w:tc>
        <w:tc>
          <w:tcPr>
            <w:tcW w:w="818" w:type="pct"/>
            <w:tcBorders>
              <w:top w:val="nil"/>
              <w:left w:val="nil"/>
              <w:bottom w:val="nil"/>
              <w:right w:val="nil"/>
            </w:tcBorders>
            <w:noWrap/>
            <w:hideMark/>
          </w:tcPr>
          <w:p w14:paraId="5EEB327D"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5.076,7</w:t>
            </w:r>
          </w:p>
        </w:tc>
        <w:tc>
          <w:tcPr>
            <w:tcW w:w="819" w:type="pct"/>
            <w:tcBorders>
              <w:top w:val="nil"/>
              <w:left w:val="nil"/>
              <w:bottom w:val="nil"/>
              <w:right w:val="nil"/>
            </w:tcBorders>
            <w:noWrap/>
            <w:hideMark/>
          </w:tcPr>
          <w:p w14:paraId="7FFCBBF3"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5.364,6</w:t>
            </w:r>
          </w:p>
        </w:tc>
        <w:tc>
          <w:tcPr>
            <w:tcW w:w="818" w:type="pct"/>
            <w:tcBorders>
              <w:top w:val="nil"/>
              <w:left w:val="nil"/>
              <w:bottom w:val="nil"/>
              <w:right w:val="nil"/>
            </w:tcBorders>
            <w:noWrap/>
            <w:hideMark/>
          </w:tcPr>
          <w:p w14:paraId="1DC3519D"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5.607,1</w:t>
            </w:r>
          </w:p>
        </w:tc>
        <w:tc>
          <w:tcPr>
            <w:tcW w:w="819" w:type="pct"/>
            <w:tcBorders>
              <w:top w:val="nil"/>
              <w:left w:val="nil"/>
              <w:bottom w:val="nil"/>
              <w:right w:val="nil"/>
            </w:tcBorders>
            <w:noWrap/>
            <w:hideMark/>
          </w:tcPr>
          <w:p w14:paraId="691EC315"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5.561,4</w:t>
            </w:r>
          </w:p>
        </w:tc>
      </w:tr>
      <w:tr w:rsidR="00113630" w:rsidRPr="001B41AD" w14:paraId="122DEBDB" w14:textId="77777777" w:rsidTr="00405489">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one" w:sz="0" w:space="0" w:color="auto"/>
              <w:bottom w:val="nil"/>
              <w:right w:val="none" w:sz="0" w:space="0" w:color="auto"/>
            </w:tcBorders>
            <w:shd w:val="clear" w:color="auto" w:fill="E7E6E6" w:themeFill="background2"/>
            <w:noWrap/>
            <w:hideMark/>
          </w:tcPr>
          <w:p w14:paraId="0F87017F"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RSD</w:t>
            </w:r>
          </w:p>
        </w:tc>
        <w:tc>
          <w:tcPr>
            <w:tcW w:w="818" w:type="pct"/>
            <w:tcBorders>
              <w:top w:val="nil"/>
              <w:left w:val="none" w:sz="0" w:space="0" w:color="auto"/>
              <w:bottom w:val="nil"/>
              <w:right w:val="none" w:sz="0" w:space="0" w:color="auto"/>
            </w:tcBorders>
            <w:shd w:val="clear" w:color="auto" w:fill="E7E6E6" w:themeFill="background2"/>
            <w:noWrap/>
            <w:hideMark/>
          </w:tcPr>
          <w:p w14:paraId="495123C7"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983.500,7</w:t>
            </w:r>
          </w:p>
        </w:tc>
        <w:tc>
          <w:tcPr>
            <w:tcW w:w="819" w:type="pct"/>
            <w:tcBorders>
              <w:top w:val="nil"/>
              <w:left w:val="none" w:sz="0" w:space="0" w:color="auto"/>
              <w:bottom w:val="nil"/>
              <w:right w:val="none" w:sz="0" w:space="0" w:color="auto"/>
            </w:tcBorders>
            <w:shd w:val="clear" w:color="auto" w:fill="E7E6E6" w:themeFill="background2"/>
            <w:noWrap/>
            <w:hideMark/>
          </w:tcPr>
          <w:p w14:paraId="48D65D70"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917.800,7</w:t>
            </w:r>
          </w:p>
        </w:tc>
        <w:tc>
          <w:tcPr>
            <w:tcW w:w="818" w:type="pct"/>
            <w:tcBorders>
              <w:top w:val="nil"/>
              <w:left w:val="none" w:sz="0" w:space="0" w:color="auto"/>
              <w:bottom w:val="nil"/>
              <w:right w:val="none" w:sz="0" w:space="0" w:color="auto"/>
            </w:tcBorders>
            <w:shd w:val="clear" w:color="auto" w:fill="E7E6E6" w:themeFill="background2"/>
            <w:noWrap/>
            <w:hideMark/>
          </w:tcPr>
          <w:p w14:paraId="62CB6ADA"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991.640,9</w:t>
            </w:r>
          </w:p>
        </w:tc>
        <w:tc>
          <w:tcPr>
            <w:tcW w:w="819" w:type="pct"/>
            <w:tcBorders>
              <w:top w:val="nil"/>
              <w:left w:val="none" w:sz="0" w:space="0" w:color="auto"/>
              <w:bottom w:val="nil"/>
              <w:right w:val="none" w:sz="0" w:space="0" w:color="auto"/>
            </w:tcBorders>
            <w:shd w:val="clear" w:color="auto" w:fill="E7E6E6" w:themeFill="background2"/>
            <w:noWrap/>
            <w:hideMark/>
          </w:tcPr>
          <w:p w14:paraId="30CF0CE1"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996.753,4</w:t>
            </w:r>
          </w:p>
        </w:tc>
      </w:tr>
      <w:tr w:rsidR="00113630" w:rsidRPr="001B41AD" w14:paraId="125E3826" w14:textId="77777777" w:rsidTr="00405489">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06BDFB6A"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CHF</w:t>
            </w:r>
          </w:p>
        </w:tc>
        <w:tc>
          <w:tcPr>
            <w:tcW w:w="818" w:type="pct"/>
            <w:tcBorders>
              <w:top w:val="nil"/>
              <w:left w:val="nil"/>
              <w:bottom w:val="nil"/>
              <w:right w:val="nil"/>
            </w:tcBorders>
            <w:noWrap/>
            <w:hideMark/>
          </w:tcPr>
          <w:p w14:paraId="4162D698"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27,2</w:t>
            </w:r>
          </w:p>
        </w:tc>
        <w:tc>
          <w:tcPr>
            <w:tcW w:w="819" w:type="pct"/>
            <w:tcBorders>
              <w:top w:val="nil"/>
              <w:left w:val="nil"/>
              <w:bottom w:val="nil"/>
              <w:right w:val="nil"/>
            </w:tcBorders>
            <w:noWrap/>
            <w:hideMark/>
          </w:tcPr>
          <w:p w14:paraId="07CF4AD5"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9,7</w:t>
            </w:r>
          </w:p>
        </w:tc>
        <w:tc>
          <w:tcPr>
            <w:tcW w:w="818" w:type="pct"/>
            <w:tcBorders>
              <w:top w:val="nil"/>
              <w:left w:val="nil"/>
              <w:bottom w:val="nil"/>
              <w:right w:val="nil"/>
            </w:tcBorders>
            <w:noWrap/>
            <w:hideMark/>
          </w:tcPr>
          <w:p w14:paraId="3676770A"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0,0</w:t>
            </w:r>
          </w:p>
        </w:tc>
        <w:tc>
          <w:tcPr>
            <w:tcW w:w="819" w:type="pct"/>
            <w:tcBorders>
              <w:top w:val="nil"/>
              <w:left w:val="nil"/>
              <w:bottom w:val="nil"/>
              <w:right w:val="nil"/>
            </w:tcBorders>
            <w:noWrap/>
            <w:hideMark/>
          </w:tcPr>
          <w:p w14:paraId="79C1942B"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0,0</w:t>
            </w:r>
          </w:p>
        </w:tc>
      </w:tr>
      <w:tr w:rsidR="00113630" w:rsidRPr="001B41AD" w14:paraId="03F6EE59" w14:textId="77777777" w:rsidTr="00405489">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one" w:sz="0" w:space="0" w:color="auto"/>
              <w:bottom w:val="nil"/>
              <w:right w:val="none" w:sz="0" w:space="0" w:color="auto"/>
            </w:tcBorders>
            <w:shd w:val="clear" w:color="auto" w:fill="E7E6E6" w:themeFill="background2"/>
            <w:noWrap/>
            <w:hideMark/>
          </w:tcPr>
          <w:p w14:paraId="439CCD77"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Специјална права вучења</w:t>
            </w:r>
          </w:p>
        </w:tc>
        <w:tc>
          <w:tcPr>
            <w:tcW w:w="818" w:type="pct"/>
            <w:tcBorders>
              <w:top w:val="nil"/>
              <w:left w:val="none" w:sz="0" w:space="0" w:color="auto"/>
              <w:bottom w:val="nil"/>
              <w:right w:val="none" w:sz="0" w:space="0" w:color="auto"/>
            </w:tcBorders>
            <w:shd w:val="clear" w:color="auto" w:fill="E7E6E6" w:themeFill="background2"/>
            <w:noWrap/>
            <w:hideMark/>
          </w:tcPr>
          <w:p w14:paraId="718328E4"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1.064,9</w:t>
            </w:r>
          </w:p>
        </w:tc>
        <w:tc>
          <w:tcPr>
            <w:tcW w:w="819" w:type="pct"/>
            <w:tcBorders>
              <w:top w:val="nil"/>
              <w:left w:val="none" w:sz="0" w:space="0" w:color="auto"/>
              <w:bottom w:val="nil"/>
              <w:right w:val="none" w:sz="0" w:space="0" w:color="auto"/>
            </w:tcBorders>
            <w:shd w:val="clear" w:color="auto" w:fill="E7E6E6" w:themeFill="background2"/>
            <w:noWrap/>
            <w:hideMark/>
          </w:tcPr>
          <w:p w14:paraId="4FC4AACA"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1.988,6</w:t>
            </w:r>
          </w:p>
        </w:tc>
        <w:tc>
          <w:tcPr>
            <w:tcW w:w="818" w:type="pct"/>
            <w:tcBorders>
              <w:top w:val="nil"/>
              <w:left w:val="none" w:sz="0" w:space="0" w:color="auto"/>
              <w:bottom w:val="nil"/>
              <w:right w:val="none" w:sz="0" w:space="0" w:color="auto"/>
            </w:tcBorders>
            <w:shd w:val="clear" w:color="auto" w:fill="E7E6E6" w:themeFill="background2"/>
            <w:noWrap/>
            <w:hideMark/>
          </w:tcPr>
          <w:p w14:paraId="46D8D9E1"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1.973,1</w:t>
            </w:r>
          </w:p>
        </w:tc>
        <w:tc>
          <w:tcPr>
            <w:tcW w:w="819" w:type="pct"/>
            <w:tcBorders>
              <w:top w:val="nil"/>
              <w:left w:val="none" w:sz="0" w:space="0" w:color="auto"/>
              <w:bottom w:val="nil"/>
              <w:right w:val="none" w:sz="0" w:space="0" w:color="auto"/>
            </w:tcBorders>
            <w:shd w:val="clear" w:color="auto" w:fill="E7E6E6" w:themeFill="background2"/>
            <w:noWrap/>
            <w:hideMark/>
          </w:tcPr>
          <w:p w14:paraId="082B660E"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1.966,4</w:t>
            </w:r>
          </w:p>
        </w:tc>
      </w:tr>
      <w:tr w:rsidR="00113630" w:rsidRPr="001B41AD" w14:paraId="5AB98915" w14:textId="77777777" w:rsidTr="00405489">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single" w:sz="4" w:space="0" w:color="002060"/>
              <w:right w:val="nil"/>
            </w:tcBorders>
            <w:noWrap/>
            <w:hideMark/>
          </w:tcPr>
          <w:p w14:paraId="332275D8"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Друге валуте (у RSD)</w:t>
            </w:r>
          </w:p>
        </w:tc>
        <w:tc>
          <w:tcPr>
            <w:tcW w:w="818" w:type="pct"/>
            <w:tcBorders>
              <w:top w:val="nil"/>
              <w:left w:val="nil"/>
              <w:bottom w:val="single" w:sz="4" w:space="0" w:color="002060"/>
              <w:right w:val="nil"/>
            </w:tcBorders>
            <w:noWrap/>
            <w:hideMark/>
          </w:tcPr>
          <w:p w14:paraId="4C0FAB12"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27.375,6</w:t>
            </w:r>
          </w:p>
        </w:tc>
        <w:tc>
          <w:tcPr>
            <w:tcW w:w="819" w:type="pct"/>
            <w:tcBorders>
              <w:top w:val="nil"/>
              <w:left w:val="nil"/>
              <w:bottom w:val="single" w:sz="4" w:space="0" w:color="002060"/>
              <w:right w:val="nil"/>
            </w:tcBorders>
            <w:noWrap/>
            <w:hideMark/>
          </w:tcPr>
          <w:p w14:paraId="1022B5F2"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22.793,5</w:t>
            </w:r>
          </w:p>
        </w:tc>
        <w:tc>
          <w:tcPr>
            <w:tcW w:w="818" w:type="pct"/>
            <w:tcBorders>
              <w:top w:val="nil"/>
              <w:left w:val="nil"/>
              <w:bottom w:val="single" w:sz="4" w:space="0" w:color="002060"/>
              <w:right w:val="nil"/>
            </w:tcBorders>
            <w:noWrap/>
            <w:hideMark/>
          </w:tcPr>
          <w:p w14:paraId="1EAAC7AD"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17.784,7</w:t>
            </w:r>
          </w:p>
        </w:tc>
        <w:tc>
          <w:tcPr>
            <w:tcW w:w="819" w:type="pct"/>
            <w:tcBorders>
              <w:top w:val="nil"/>
              <w:left w:val="nil"/>
              <w:bottom w:val="single" w:sz="4" w:space="0" w:color="002060"/>
              <w:right w:val="nil"/>
            </w:tcBorders>
            <w:noWrap/>
            <w:hideMark/>
          </w:tcPr>
          <w:p w14:paraId="18BB0B9F"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13.933,1</w:t>
            </w:r>
          </w:p>
        </w:tc>
      </w:tr>
    </w:tbl>
    <w:p w14:paraId="1ACCDEEC" w14:textId="77777777" w:rsidR="00113630" w:rsidRPr="001B41AD" w:rsidRDefault="00113630" w:rsidP="00113630">
      <w:pPr>
        <w:spacing w:line="257" w:lineRule="auto"/>
        <w:rPr>
          <w:rFonts w:ascii="Calibri" w:eastAsia="Calibri" w:hAnsi="Calibri" w:cs="Calibri"/>
          <w:bCs/>
          <w:szCs w:val="72"/>
          <w:lang w:val="sr-Cyrl-CS"/>
        </w:rPr>
        <w:sectPr w:rsidR="00113630" w:rsidRPr="001B41AD" w:rsidSect="00405489">
          <w:type w:val="continuous"/>
          <w:pgSz w:w="12240" w:h="15840"/>
          <w:pgMar w:top="1440" w:right="1440" w:bottom="1440" w:left="1440" w:header="720" w:footer="720" w:gutter="0"/>
          <w:cols w:space="720"/>
        </w:sectPr>
      </w:pPr>
    </w:p>
    <w:p w14:paraId="4090B39D" w14:textId="77777777" w:rsidR="00113630" w:rsidRPr="001B41AD" w:rsidRDefault="00113630" w:rsidP="00113630">
      <w:pPr>
        <w:spacing w:line="257" w:lineRule="auto"/>
        <w:rPr>
          <w:rFonts w:ascii="Calibri" w:eastAsia="Calibri" w:hAnsi="Calibri" w:cs="Calibri"/>
          <w:bCs/>
          <w:szCs w:val="72"/>
          <w:lang w:val="sr-Cyrl-CS"/>
        </w:rPr>
      </w:pPr>
      <w:r w:rsidRPr="001B41AD">
        <w:rPr>
          <w:rFonts w:ascii="Calibri" w:eastAsia="Calibri" w:hAnsi="Calibri" w:cs="Calibri"/>
          <w:bCs/>
          <w:szCs w:val="72"/>
          <w:lang w:val="sr-Cyrl-CS"/>
        </w:rPr>
        <w:t xml:space="preserve">Према подацима од 31. августа 2025. године, највећи део јавног дуга сектора државе Републике Србије је деноминован у еврима и износи 58,9%. Затим су највише заступљени динар са 22,4% и </w:t>
      </w:r>
      <w:r w:rsidRPr="001B41AD">
        <w:rPr>
          <w:rFonts w:ascii="Calibri" w:eastAsia="Calibri" w:hAnsi="Calibri" w:cs="Calibri"/>
          <w:bCs/>
          <w:szCs w:val="72"/>
          <w:lang w:val="sr-Cyrl-CS"/>
        </w:rPr>
        <w:t xml:space="preserve">амерички долар са 12,4%. Остатак дуга је деноминован у специјалним правима вучења 6,0% и осталим валутама 0,3%. Захваљујући континуираном развоју домаћег тржишта хартија </w:t>
      </w:r>
      <w:r w:rsidRPr="001B41AD">
        <w:rPr>
          <w:rFonts w:ascii="Calibri" w:eastAsia="Calibri" w:hAnsi="Calibri" w:cs="Calibri"/>
          <w:bCs/>
          <w:szCs w:val="72"/>
          <w:lang w:val="sr-Cyrl-CS"/>
        </w:rPr>
        <w:lastRenderedPageBreak/>
        <w:t xml:space="preserve">од вредности и постепеном повећању обима емисија у домаћој валути, дошло је до раста учешћа дуга у домаћој валути </w:t>
      </w:r>
      <w:r w:rsidR="00486B5B" w:rsidRPr="001B41AD">
        <w:rPr>
          <w:rFonts w:ascii="Calibri" w:eastAsia="Calibri" w:hAnsi="Calibri" w:cs="Calibri"/>
          <w:bCs/>
          <w:szCs w:val="72"/>
          <w:lang w:val="sr-Cyrl-CS"/>
        </w:rPr>
        <w:t xml:space="preserve">у претходним годинама, са 16,4% </w:t>
      </w:r>
      <w:r w:rsidRPr="001B41AD">
        <w:rPr>
          <w:rFonts w:ascii="Calibri" w:eastAsia="Calibri" w:hAnsi="Calibri" w:cs="Calibri"/>
          <w:bCs/>
          <w:szCs w:val="72"/>
          <w:lang w:val="sr-Cyrl-CS"/>
        </w:rPr>
        <w:t>на крају 2011. на 30,4% на крају 2020. године, али након тога долази до његовог пада услед нешто већих потреба за финансирањем и промењених тржишних околности.</w:t>
      </w:r>
    </w:p>
    <w:p w14:paraId="0A476A80" w14:textId="77777777" w:rsidR="00113630" w:rsidRPr="001B41AD" w:rsidRDefault="00113630" w:rsidP="00113630">
      <w:pPr>
        <w:spacing w:line="257" w:lineRule="auto"/>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t>Валутна структура дуга сектора државе у периоду од 2022. до 31. августа 2025. године</w:t>
      </w:r>
    </w:p>
    <w:p w14:paraId="70CD6985" w14:textId="77777777" w:rsidR="00113630" w:rsidRPr="001B41AD" w:rsidRDefault="00113630" w:rsidP="00113630">
      <w:pPr>
        <w:spacing w:line="256" w:lineRule="auto"/>
        <w:rPr>
          <w:rFonts w:ascii="Calibri" w:eastAsia="Calibri" w:hAnsi="Calibri" w:cs="Times New Roman"/>
          <w:b/>
          <w:lang w:val="sr-Cyrl-CS"/>
        </w:rPr>
      </w:pPr>
      <w:r w:rsidRPr="001B41AD">
        <w:rPr>
          <w:rFonts w:ascii="Calibri" w:eastAsia="Calibri" w:hAnsi="Calibri" w:cs="Times New Roman"/>
          <w:noProof/>
        </w:rPr>
        <w:drawing>
          <wp:inline distT="0" distB="0" distL="0" distR="0" wp14:anchorId="241FF1FF" wp14:editId="78938FFC">
            <wp:extent cx="2797810" cy="1208598"/>
            <wp:effectExtent l="0" t="0" r="2540" b="0"/>
            <wp:docPr id="71"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1355F5ED"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На дан 31. август 2025. године, највећи део јавног дуга сектора државе Републике Србије је са фиксном каматном стопом – 70,1%, док се на јавни дуг са варијабилном каматном стопом односи 29,9% укупног јавног дуга. Међу варијабилним каматним стопама највише је заступљен EURIBOR са учешћем од 68,1%, затим варијабилна каматна стопа за специјална права вучења 20,0% и Belibor 11,7%, док је учешће обавеза са осталим каматним стопама 0,2%.</w:t>
      </w:r>
    </w:p>
    <w:p w14:paraId="63C83A12" w14:textId="77777777" w:rsidR="00113630" w:rsidRPr="001B41AD" w:rsidRDefault="00113630" w:rsidP="00113630">
      <w:pPr>
        <w:spacing w:line="256" w:lineRule="auto"/>
        <w:jc w:val="center"/>
        <w:rPr>
          <w:rFonts w:ascii="Calibri" w:eastAsia="Calibri" w:hAnsi="Calibri" w:cs="Calibri"/>
          <w:bCs/>
          <w:color w:val="002060"/>
          <w:szCs w:val="72"/>
          <w:lang w:val="sr-Cyrl-CS"/>
        </w:rPr>
      </w:pPr>
      <w:r w:rsidRPr="001B41AD">
        <w:rPr>
          <w:rFonts w:ascii="Calibri" w:eastAsia="Calibri" w:hAnsi="Calibri" w:cs="Times New Roman"/>
          <w:b/>
          <w:color w:val="002060"/>
          <w:lang w:val="sr-Cyrl-CS"/>
        </w:rPr>
        <w:t>Структура каматних стопа дуга сектора државе у периоду од 2021. до 30. априла 2025. године, %</w:t>
      </w:r>
    </w:p>
    <w:p w14:paraId="1368AE7E" w14:textId="77777777" w:rsidR="00113630" w:rsidRPr="001B41AD" w:rsidRDefault="00113630" w:rsidP="00113630">
      <w:pPr>
        <w:spacing w:line="256" w:lineRule="auto"/>
        <w:rPr>
          <w:rFonts w:ascii="Calibri" w:eastAsia="Calibri" w:hAnsi="Calibri" w:cs="Calibri"/>
          <w:bCs/>
          <w:szCs w:val="72"/>
          <w:lang w:val="sr-Cyrl-CS"/>
        </w:rPr>
      </w:pPr>
      <w:r w:rsidRPr="001B41AD">
        <w:rPr>
          <w:rFonts w:ascii="Calibri" w:eastAsia="Calibri" w:hAnsi="Calibri" w:cs="Times New Roman"/>
          <w:noProof/>
        </w:rPr>
        <w:drawing>
          <wp:inline distT="0" distB="0" distL="0" distR="0" wp14:anchorId="5007BA45" wp14:editId="5381CF7E">
            <wp:extent cx="2743200" cy="1562668"/>
            <wp:effectExtent l="0" t="0" r="0" b="0"/>
            <wp:docPr id="64"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31FAC51B"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У периоду од 2014. до 2021. године дошло је до значајног пада трошкова задуживања, који је најизраженији код државних хартија од вредности емитованих на домаћем тржишту. До пада је дошло захваљујући развоју тржишта капитала </w:t>
      </w:r>
      <w:r w:rsidRPr="001B41AD">
        <w:rPr>
          <w:rFonts w:ascii="Calibri" w:eastAsia="Calibri" w:hAnsi="Calibri" w:cs="Calibri"/>
          <w:bCs/>
          <w:szCs w:val="72"/>
          <w:lang w:val="sr-Cyrl-CS"/>
        </w:rPr>
        <w:t>државних обвезница, расту кредитног рејтинга земље, односно смањењу премије ризика, ниској стопи инфлације и смањењу референтне каматне стопе НБС. Просечно пондерисана каматна стопа на јавни дуг је пала са 5,70% колико је износила на крају 2014. године на 2,53% колико је износила на крају 2021. године. Приметан је још израженији пад код динарских државних хартија од вредности, код којих је просечна пондерисана купонска стопа смањена са 10,68</w:t>
      </w:r>
      <w:r w:rsidR="007D2D8A" w:rsidRPr="001B41AD">
        <w:rPr>
          <w:rFonts w:ascii="Calibri" w:eastAsia="Calibri" w:hAnsi="Calibri" w:cs="Calibri"/>
          <w:bCs/>
          <w:szCs w:val="72"/>
          <w:lang w:val="sr-Cyrl-CS"/>
        </w:rPr>
        <w:t>% на крају 2014. године на 5,34</w:t>
      </w:r>
      <w:r w:rsidRPr="001B41AD">
        <w:rPr>
          <w:rFonts w:ascii="Calibri" w:eastAsia="Calibri" w:hAnsi="Calibri" w:cs="Calibri"/>
          <w:bCs/>
          <w:szCs w:val="72"/>
          <w:lang w:val="sr-Cyrl-CS"/>
        </w:rPr>
        <w:t xml:space="preserve">% на крају августа 2025. године. Током 2022. и 2023. године, услед високе инфлације, дошло је до најинтензивнијег раста каматних стопа на међународном финансијском тржишту у овом веку. Ово се у извесној мери одразило и на раст трошкова задуживања Републике Србије. У 2024. години долази до стабилизације тржишних околности, те пада каматних стопа, а тренд је настављен и 2025. године. На крају августа 2025. године просечна пондерисана стопа на укупни јавни дуг је износила 3,54%. </w:t>
      </w:r>
    </w:p>
    <w:p w14:paraId="7C687286" w14:textId="77777777" w:rsidR="00113630" w:rsidRPr="001B41AD" w:rsidRDefault="00113630" w:rsidP="00113630">
      <w:pPr>
        <w:spacing w:line="256" w:lineRule="auto"/>
        <w:jc w:val="center"/>
        <w:rPr>
          <w:rFonts w:ascii="Calibri" w:eastAsia="Calibri" w:hAnsi="Calibri" w:cs="Times New Roman"/>
          <w:b/>
          <w:color w:val="002060"/>
          <w:spacing w:val="-2"/>
          <w:lang w:val="sr-Cyrl-CS"/>
        </w:rPr>
      </w:pPr>
      <w:r w:rsidRPr="001B41AD">
        <w:rPr>
          <w:rFonts w:ascii="Calibri" w:eastAsia="Calibri" w:hAnsi="Calibri" w:cs="Times New Roman"/>
          <w:b/>
          <w:color w:val="002060"/>
          <w:spacing w:val="-2"/>
          <w:lang w:val="sr-Cyrl-CS"/>
        </w:rPr>
        <w:t>Преглед кретања просечних извршних каматних стопа на динарске државне хартије од вредности у периоду 2011–31. август 2025. године</w:t>
      </w:r>
    </w:p>
    <w:p w14:paraId="4DFE7717" w14:textId="77777777" w:rsidR="00113630" w:rsidRPr="001B41AD" w:rsidRDefault="00113630" w:rsidP="00113630">
      <w:pPr>
        <w:spacing w:line="256" w:lineRule="auto"/>
        <w:jc w:val="center"/>
        <w:rPr>
          <w:lang w:val="sr-Cyrl-CS"/>
        </w:rPr>
      </w:pPr>
      <w:r w:rsidRPr="001B41AD">
        <w:rPr>
          <w:noProof/>
        </w:rPr>
        <w:drawing>
          <wp:inline distT="0" distB="0" distL="0" distR="0" wp14:anchorId="3601FA3A" wp14:editId="04E95AAA">
            <wp:extent cx="2699385" cy="1423283"/>
            <wp:effectExtent l="0" t="0" r="5715" b="5715"/>
            <wp:docPr id="1735452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03759" cy="1425589"/>
                    </a:xfrm>
                    <a:prstGeom prst="rect">
                      <a:avLst/>
                    </a:prstGeom>
                    <a:solidFill>
                      <a:sysClr val="window" lastClr="FFFFFF"/>
                    </a:solidFill>
                    <a:ln>
                      <a:noFill/>
                    </a:ln>
                  </pic:spPr>
                </pic:pic>
              </a:graphicData>
            </a:graphic>
          </wp:inline>
        </w:drawing>
      </w:r>
      <w:r w:rsidRPr="001B41AD">
        <w:rPr>
          <w:rFonts w:ascii="Calibri" w:eastAsia="Calibri" w:hAnsi="Calibri" w:cs="Times New Roman"/>
          <w:b/>
          <w:color w:val="002060"/>
          <w:spacing w:val="-2"/>
          <w:lang w:val="sr-Cyrl-CS"/>
        </w:rPr>
        <w:t>Преглед кретања просечних извршних каматних стопа на евро деноминоване државне хартије од вредности у периоду 2011–31. август 2025. године</w:t>
      </w:r>
    </w:p>
    <w:p w14:paraId="362B834D" w14:textId="77777777" w:rsidR="00113630" w:rsidRPr="001B41AD" w:rsidRDefault="00113630" w:rsidP="00113630">
      <w:pPr>
        <w:jc w:val="center"/>
        <w:rPr>
          <w:lang w:val="sr-Cyrl-CS"/>
        </w:rPr>
        <w:sectPr w:rsidR="00113630" w:rsidRPr="001B41AD" w:rsidSect="00405489">
          <w:type w:val="continuous"/>
          <w:pgSz w:w="12240" w:h="15840"/>
          <w:pgMar w:top="1440" w:right="1440" w:bottom="1440" w:left="1440" w:header="720" w:footer="720" w:gutter="0"/>
          <w:cols w:num="2" w:space="720"/>
        </w:sectPr>
      </w:pPr>
      <w:r w:rsidRPr="001B41AD">
        <w:rPr>
          <w:noProof/>
        </w:rPr>
        <w:drawing>
          <wp:inline distT="0" distB="0" distL="0" distR="0" wp14:anchorId="0747EC33" wp14:editId="6D3D1C18">
            <wp:extent cx="2699009" cy="1455089"/>
            <wp:effectExtent l="0" t="0" r="6350" b="0"/>
            <wp:docPr id="1514656843" name="Picture 10" descr="A graph with different colored line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4656843" name="Picture 10" descr="A graph with different colored lines&#10;&#10;AI-generated content may be incorrect."/>
                    <pic:cNvPicPr preferRelativeResize="0">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14359" cy="1463365"/>
                    </a:xfrm>
                    <a:prstGeom prst="rect">
                      <a:avLst/>
                    </a:prstGeom>
                    <a:solidFill>
                      <a:sysClr val="window" lastClr="FFFFFF"/>
                    </a:solidFill>
                    <a:ln>
                      <a:noFill/>
                    </a:ln>
                  </pic:spPr>
                </pic:pic>
              </a:graphicData>
            </a:graphic>
          </wp:inline>
        </w:drawing>
      </w:r>
    </w:p>
    <w:p w14:paraId="3E58E190" w14:textId="77777777" w:rsidR="00113630" w:rsidRPr="001B41AD" w:rsidRDefault="00113630" w:rsidP="00113630">
      <w:pPr>
        <w:jc w:val="center"/>
        <w:rPr>
          <w:lang w:val="sr-Cyrl-CS"/>
        </w:rPr>
      </w:pPr>
      <w:r w:rsidRPr="001B41AD">
        <w:rPr>
          <w:rFonts w:ascii="Calibri" w:eastAsia="Calibri" w:hAnsi="Calibri" w:cs="Times New Roman"/>
          <w:b/>
          <w:bCs/>
          <w:color w:val="002060"/>
          <w:spacing w:val="-4"/>
          <w:sz w:val="18"/>
          <w:szCs w:val="18"/>
          <w:lang w:val="sr-Cyrl-CS"/>
        </w:rPr>
        <w:lastRenderedPageBreak/>
        <w:t xml:space="preserve">Преглед кретања цене и приноса на </w:t>
      </w:r>
      <w:r w:rsidRPr="001B41AD">
        <w:rPr>
          <w:rFonts w:ascii="Calibri" w:eastAsia="Calibri" w:hAnsi="Calibri" w:cs="Times New Roman"/>
          <w:b/>
          <w:bCs/>
          <w:color w:val="002060"/>
          <w:spacing w:val="-4"/>
          <w:sz w:val="18"/>
          <w:szCs w:val="18"/>
          <w:lang w:val="sr-Cyrl-CS"/>
        </w:rPr>
        <w:br w:type="textWrapping" w:clear="all"/>
        <w:t>еврообвезницу Србија (EB 2027 / 3,125%)</w:t>
      </w:r>
    </w:p>
    <w:p w14:paraId="72D21AD0" w14:textId="77777777" w:rsidR="00113630" w:rsidRPr="001B41AD" w:rsidRDefault="00113630" w:rsidP="00113630">
      <w:pPr>
        <w:spacing w:line="256" w:lineRule="auto"/>
        <w:jc w:val="center"/>
        <w:rPr>
          <w:noProof/>
          <w:lang w:val="sr-Cyrl-CS"/>
        </w:rPr>
      </w:pPr>
      <w:r w:rsidRPr="001B41AD">
        <w:rPr>
          <w:noProof/>
        </w:rPr>
        <w:drawing>
          <wp:inline distT="0" distB="0" distL="0" distR="0" wp14:anchorId="5C6BAE11" wp14:editId="2A01AB01">
            <wp:extent cx="2340000" cy="2160000"/>
            <wp:effectExtent l="0" t="0" r="3175" b="0"/>
            <wp:docPr id="1881371980" name="Picture 1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71980" name="Picture 11" descr="A graph with a line going up&#10;&#10;AI-generated content may be incorrect."/>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340000" cy="2160000"/>
                    </a:xfrm>
                    <a:prstGeom prst="rect">
                      <a:avLst/>
                    </a:prstGeom>
                    <a:noFill/>
                  </pic:spPr>
                </pic:pic>
              </a:graphicData>
            </a:graphic>
          </wp:inline>
        </w:drawing>
      </w:r>
    </w:p>
    <w:p w14:paraId="015BA509"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color w:val="002060"/>
          <w:spacing w:val="-4"/>
          <w:sz w:val="18"/>
          <w:szCs w:val="18"/>
          <w:lang w:val="sr-Cyrl-CS"/>
        </w:rPr>
        <w:t xml:space="preserve">Преглед кретања цене и приноса на </w:t>
      </w:r>
      <w:r w:rsidRPr="001B41AD">
        <w:rPr>
          <w:rFonts w:ascii="Calibri" w:eastAsia="Calibri" w:hAnsi="Calibri" w:cs="Times New Roman"/>
          <w:b/>
          <w:bCs/>
          <w:color w:val="002060"/>
          <w:spacing w:val="-4"/>
          <w:sz w:val="18"/>
          <w:szCs w:val="18"/>
          <w:lang w:val="sr-Cyrl-CS"/>
        </w:rPr>
        <w:br w:type="textWrapping" w:clear="all"/>
        <w:t>еврообвезницу Србија (EB 2029 / 1,500%)</w:t>
      </w:r>
    </w:p>
    <w:p w14:paraId="33D70D55" w14:textId="77777777" w:rsidR="00113630" w:rsidRPr="001B41AD" w:rsidRDefault="00113630" w:rsidP="00113630">
      <w:pPr>
        <w:jc w:val="center"/>
        <w:rPr>
          <w:rFonts w:ascii="Calibri" w:eastAsia="Calibri" w:hAnsi="Calibri" w:cs="Times New Roman"/>
          <w:b/>
          <w:bCs/>
          <w:color w:val="002060"/>
          <w:spacing w:val="-4"/>
          <w:lang w:val="sr-Cyrl-CS"/>
        </w:rPr>
      </w:pPr>
      <w:r w:rsidRPr="001B41AD">
        <w:rPr>
          <w:rFonts w:ascii="Calibri" w:eastAsia="Calibri" w:hAnsi="Calibri" w:cs="Times New Roman"/>
          <w:b/>
          <w:bCs/>
          <w:noProof/>
          <w:color w:val="002060"/>
          <w:spacing w:val="-4"/>
        </w:rPr>
        <w:drawing>
          <wp:inline distT="0" distB="0" distL="0" distR="0" wp14:anchorId="1D09FD43" wp14:editId="2345BA26">
            <wp:extent cx="2340000" cy="2160000"/>
            <wp:effectExtent l="0" t="0" r="3175" b="0"/>
            <wp:docPr id="356835593" name="Picture 13"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835593" name="Picture 13" descr="A graph with numbers and lines&#10;&#10;AI-generated content may be incorrect."/>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340000" cy="2160000"/>
                    </a:xfrm>
                    <a:prstGeom prst="rect">
                      <a:avLst/>
                    </a:prstGeom>
                    <a:noFill/>
                  </pic:spPr>
                </pic:pic>
              </a:graphicData>
            </a:graphic>
          </wp:inline>
        </w:drawing>
      </w:r>
    </w:p>
    <w:p w14:paraId="5C273F29"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color w:val="002060"/>
          <w:spacing w:val="-4"/>
          <w:sz w:val="18"/>
          <w:szCs w:val="18"/>
          <w:lang w:val="sr-Cyrl-CS"/>
        </w:rPr>
        <w:t xml:space="preserve">Преглед кретања цене и приноса на </w:t>
      </w:r>
      <w:r w:rsidRPr="001B41AD">
        <w:rPr>
          <w:rFonts w:ascii="Calibri" w:eastAsia="Calibri" w:hAnsi="Calibri" w:cs="Times New Roman"/>
          <w:b/>
          <w:bCs/>
          <w:color w:val="002060"/>
          <w:spacing w:val="-4"/>
          <w:sz w:val="18"/>
          <w:szCs w:val="18"/>
          <w:lang w:val="sr-Cyrl-CS"/>
        </w:rPr>
        <w:br w:type="textWrapping" w:clear="all"/>
        <w:t>еврообвезницу Србија (EB 2036 / 2,050%)</w:t>
      </w:r>
    </w:p>
    <w:p w14:paraId="68AEDF99" w14:textId="77777777" w:rsidR="00113630" w:rsidRPr="001B41AD" w:rsidRDefault="00113630" w:rsidP="00113630">
      <w:pPr>
        <w:jc w:val="center"/>
        <w:rPr>
          <w:rFonts w:ascii="Calibri" w:eastAsia="Calibri" w:hAnsi="Calibri" w:cs="Times New Roman"/>
          <w:b/>
          <w:bCs/>
          <w:color w:val="002060"/>
          <w:spacing w:val="-4"/>
          <w:lang w:val="sr-Cyrl-CS"/>
        </w:rPr>
      </w:pPr>
      <w:r w:rsidRPr="001B41AD">
        <w:rPr>
          <w:rFonts w:ascii="Calibri" w:eastAsia="Calibri" w:hAnsi="Calibri" w:cs="Times New Roman"/>
          <w:b/>
          <w:bCs/>
          <w:noProof/>
          <w:color w:val="002060"/>
          <w:spacing w:val="-4"/>
        </w:rPr>
        <w:drawing>
          <wp:inline distT="0" distB="0" distL="0" distR="0" wp14:anchorId="4503103B" wp14:editId="21928BC4">
            <wp:extent cx="2340000" cy="2160000"/>
            <wp:effectExtent l="0" t="0" r="3175" b="0"/>
            <wp:docPr id="1291253218" name="Picture 15"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53218" name="Picture 15" descr="A graph with a red line&#10;&#10;AI-generated content may be incorrect."/>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40000" cy="2160000"/>
                    </a:xfrm>
                    <a:prstGeom prst="rect">
                      <a:avLst/>
                    </a:prstGeom>
                    <a:noFill/>
                  </pic:spPr>
                </pic:pic>
              </a:graphicData>
            </a:graphic>
          </wp:inline>
        </w:drawing>
      </w:r>
    </w:p>
    <w:p w14:paraId="17C4CEB2" w14:textId="77777777" w:rsidR="00113630" w:rsidRPr="001B41AD" w:rsidRDefault="00113630" w:rsidP="00113630">
      <w:pPr>
        <w:spacing w:line="256" w:lineRule="auto"/>
        <w:jc w:val="center"/>
        <w:rPr>
          <w:rFonts w:ascii="Calibri" w:eastAsia="Calibri" w:hAnsi="Calibri" w:cs="Times New Roman"/>
          <w:b/>
          <w:bCs/>
          <w:color w:val="002060"/>
          <w:spacing w:val="-4"/>
          <w:lang w:val="sr-Cyrl-CS"/>
        </w:rPr>
      </w:pPr>
    </w:p>
    <w:p w14:paraId="743A3B88"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color w:val="002060"/>
          <w:spacing w:val="-4"/>
          <w:sz w:val="18"/>
          <w:szCs w:val="18"/>
          <w:lang w:val="sr-Cyrl-CS"/>
        </w:rPr>
        <w:t xml:space="preserve">Преглед кретања цене и приноса на </w:t>
      </w:r>
      <w:r w:rsidRPr="001B41AD">
        <w:rPr>
          <w:rFonts w:ascii="Calibri" w:eastAsia="Calibri" w:hAnsi="Calibri" w:cs="Times New Roman"/>
          <w:b/>
          <w:bCs/>
          <w:color w:val="002060"/>
          <w:spacing w:val="-4"/>
          <w:sz w:val="18"/>
          <w:szCs w:val="18"/>
          <w:lang w:val="sr-Cyrl-CS"/>
        </w:rPr>
        <w:br w:type="textWrapping" w:clear="all"/>
        <w:t>еврообвезницу Србија (EB 2028 / 1,000%)</w:t>
      </w:r>
    </w:p>
    <w:p w14:paraId="790ACB6F"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p>
    <w:p w14:paraId="2E2B6B6B" w14:textId="77777777" w:rsidR="00113630" w:rsidRPr="001B41AD" w:rsidRDefault="00113630" w:rsidP="00113630">
      <w:pPr>
        <w:spacing w:line="256" w:lineRule="auto"/>
        <w:jc w:val="center"/>
        <w:rPr>
          <w:rFonts w:ascii="Calibri" w:eastAsia="Calibri" w:hAnsi="Calibri" w:cs="Times New Roman"/>
          <w:b/>
          <w:bCs/>
          <w:color w:val="002060"/>
          <w:spacing w:val="-4"/>
          <w:lang w:val="sr-Cyrl-CS"/>
        </w:rPr>
      </w:pPr>
      <w:r w:rsidRPr="001B41AD">
        <w:rPr>
          <w:rFonts w:ascii="Calibri" w:eastAsia="Calibri" w:hAnsi="Calibri" w:cs="Times New Roman"/>
          <w:b/>
          <w:bCs/>
          <w:noProof/>
          <w:color w:val="002060"/>
          <w:spacing w:val="-4"/>
        </w:rPr>
        <w:drawing>
          <wp:inline distT="0" distB="0" distL="0" distR="0" wp14:anchorId="0E089A00" wp14:editId="7B08A386">
            <wp:extent cx="2340000" cy="2160000"/>
            <wp:effectExtent l="0" t="0" r="3175" b="0"/>
            <wp:docPr id="1689609315" name="Picture 12" descr="A graph showing the price of a stock mar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09315" name="Picture 12" descr="A graph showing the price of a stock market&#10;&#10;AI-generated content may be incorrect."/>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40000" cy="2160000"/>
                    </a:xfrm>
                    <a:prstGeom prst="rect">
                      <a:avLst/>
                    </a:prstGeom>
                    <a:noFill/>
                  </pic:spPr>
                </pic:pic>
              </a:graphicData>
            </a:graphic>
          </wp:inline>
        </w:drawing>
      </w:r>
    </w:p>
    <w:p w14:paraId="52C4B8B8"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color w:val="002060"/>
          <w:spacing w:val="-4"/>
          <w:sz w:val="18"/>
          <w:szCs w:val="18"/>
          <w:lang w:val="sr-Cyrl-CS"/>
        </w:rPr>
        <w:t xml:space="preserve">Преглед кретања цене и приноса на </w:t>
      </w:r>
      <w:r w:rsidRPr="001B41AD">
        <w:rPr>
          <w:rFonts w:ascii="Calibri" w:eastAsia="Calibri" w:hAnsi="Calibri" w:cs="Times New Roman"/>
          <w:b/>
          <w:bCs/>
          <w:color w:val="002060"/>
          <w:spacing w:val="-4"/>
          <w:sz w:val="18"/>
          <w:szCs w:val="18"/>
          <w:lang w:val="sr-Cyrl-CS"/>
        </w:rPr>
        <w:br w:type="textWrapping" w:clear="all"/>
        <w:t>еврообвезницу Србија (EB 2033 / 1,650%)</w:t>
      </w:r>
    </w:p>
    <w:p w14:paraId="5FEF444E" w14:textId="77777777" w:rsidR="00113630" w:rsidRPr="001B41AD" w:rsidRDefault="00113630" w:rsidP="00113630">
      <w:pPr>
        <w:spacing w:line="256" w:lineRule="auto"/>
        <w:jc w:val="center"/>
        <w:rPr>
          <w:rFonts w:ascii="Calibri" w:eastAsia="Calibri" w:hAnsi="Calibri" w:cs="Times New Roman"/>
          <w:b/>
          <w:bCs/>
          <w:color w:val="002060"/>
          <w:spacing w:val="-4"/>
          <w:lang w:val="sr-Cyrl-CS"/>
        </w:rPr>
      </w:pPr>
      <w:r w:rsidRPr="001B41AD">
        <w:rPr>
          <w:rFonts w:ascii="Calibri" w:eastAsia="Calibri" w:hAnsi="Calibri" w:cs="Times New Roman"/>
          <w:b/>
          <w:bCs/>
          <w:noProof/>
          <w:color w:val="002060"/>
          <w:spacing w:val="-4"/>
        </w:rPr>
        <w:drawing>
          <wp:inline distT="0" distB="0" distL="0" distR="0" wp14:anchorId="15764E5C" wp14:editId="76A8CA81">
            <wp:extent cx="2340000" cy="2160000"/>
            <wp:effectExtent l="0" t="0" r="3175" b="0"/>
            <wp:docPr id="386309046" name="Picture 14"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309046" name="Picture 14" descr="A graph with numbers and lines&#10;&#10;AI-generated content may be incorrect."/>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40000" cy="2160000"/>
                    </a:xfrm>
                    <a:prstGeom prst="rect">
                      <a:avLst/>
                    </a:prstGeom>
                    <a:noFill/>
                  </pic:spPr>
                </pic:pic>
              </a:graphicData>
            </a:graphic>
          </wp:inline>
        </w:drawing>
      </w:r>
    </w:p>
    <w:p w14:paraId="791C5FE4"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color w:val="002060"/>
          <w:spacing w:val="-4"/>
          <w:sz w:val="18"/>
          <w:szCs w:val="18"/>
          <w:lang w:val="sr-Cyrl-CS"/>
        </w:rPr>
        <w:t xml:space="preserve">Преглед кретања цене и приноса на </w:t>
      </w:r>
      <w:r w:rsidRPr="001B41AD">
        <w:rPr>
          <w:rFonts w:ascii="Calibri" w:eastAsia="Calibri" w:hAnsi="Calibri" w:cs="Times New Roman"/>
          <w:b/>
          <w:bCs/>
          <w:color w:val="002060"/>
          <w:spacing w:val="-4"/>
          <w:sz w:val="18"/>
          <w:szCs w:val="18"/>
          <w:lang w:val="sr-Cyrl-CS"/>
        </w:rPr>
        <w:br w:type="textWrapping" w:clear="all"/>
        <w:t>еврообвезницу Србија (EB 2028 / 6,250%)</w:t>
      </w:r>
    </w:p>
    <w:p w14:paraId="50979BD2"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noProof/>
          <w:color w:val="002060"/>
          <w:spacing w:val="-4"/>
          <w:sz w:val="18"/>
          <w:szCs w:val="18"/>
        </w:rPr>
        <w:drawing>
          <wp:inline distT="0" distB="0" distL="0" distR="0" wp14:anchorId="446DA1B6" wp14:editId="3CE19DDB">
            <wp:extent cx="2340000" cy="2160000"/>
            <wp:effectExtent l="0" t="0" r="3175" b="0"/>
            <wp:docPr id="1418566288" name="Picture 16" descr="A graph with red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66288" name="Picture 16" descr="A graph with red lines and numbers&#10;&#10;AI-generated content may be incorrect."/>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340000" cy="2160000"/>
                    </a:xfrm>
                    <a:prstGeom prst="rect">
                      <a:avLst/>
                    </a:prstGeom>
                    <a:noFill/>
                  </pic:spPr>
                </pic:pic>
              </a:graphicData>
            </a:graphic>
          </wp:inline>
        </w:drawing>
      </w:r>
    </w:p>
    <w:p w14:paraId="6341BA01"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p>
    <w:p w14:paraId="6B8995B9"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p>
    <w:p w14:paraId="1841C07D"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p>
    <w:p w14:paraId="2D822CA4"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color w:val="002060"/>
          <w:spacing w:val="-4"/>
          <w:sz w:val="18"/>
          <w:szCs w:val="18"/>
          <w:lang w:val="sr-Cyrl-CS"/>
        </w:rPr>
        <w:lastRenderedPageBreak/>
        <w:t xml:space="preserve">Преглед кретања цене и приноса на </w:t>
      </w:r>
      <w:r w:rsidRPr="001B41AD">
        <w:rPr>
          <w:rFonts w:ascii="Calibri" w:eastAsia="Calibri" w:hAnsi="Calibri" w:cs="Times New Roman"/>
          <w:b/>
          <w:bCs/>
          <w:color w:val="002060"/>
          <w:spacing w:val="-4"/>
          <w:sz w:val="18"/>
          <w:szCs w:val="18"/>
          <w:lang w:val="sr-Cyrl-CS"/>
        </w:rPr>
        <w:br w:type="textWrapping" w:clear="all"/>
        <w:t>еврообвезницу Србија (EB 2030 / 2,125%)</w:t>
      </w:r>
    </w:p>
    <w:p w14:paraId="75F75003"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p>
    <w:p w14:paraId="2BC58B63"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noProof/>
          <w:color w:val="002060"/>
          <w:spacing w:val="-4"/>
          <w:sz w:val="18"/>
          <w:szCs w:val="18"/>
        </w:rPr>
        <w:drawing>
          <wp:inline distT="0" distB="0" distL="0" distR="0" wp14:anchorId="3671B320" wp14:editId="42F1A0ED">
            <wp:extent cx="2340000" cy="2160000"/>
            <wp:effectExtent l="0" t="0" r="3175" b="0"/>
            <wp:docPr id="1782135291" name="Picture 17"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135291" name="Picture 17" descr="A graph with a line going up&#10;&#10;AI-generated content may be incorrect."/>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340000" cy="2160000"/>
                    </a:xfrm>
                    <a:prstGeom prst="rect">
                      <a:avLst/>
                    </a:prstGeom>
                    <a:noFill/>
                  </pic:spPr>
                </pic:pic>
              </a:graphicData>
            </a:graphic>
          </wp:inline>
        </w:drawing>
      </w:r>
    </w:p>
    <w:p w14:paraId="54811806"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p>
    <w:p w14:paraId="77838DD2" w14:textId="77777777" w:rsidR="00113630" w:rsidRPr="001B41AD" w:rsidRDefault="00113630" w:rsidP="00113630">
      <w:pPr>
        <w:spacing w:line="256"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color w:val="002060"/>
          <w:spacing w:val="-4"/>
          <w:sz w:val="18"/>
          <w:szCs w:val="18"/>
          <w:lang w:val="sr-Cyrl-CS"/>
        </w:rPr>
        <w:t xml:space="preserve">Преглед кретања цене и приноса на </w:t>
      </w:r>
      <w:r w:rsidRPr="001B41AD">
        <w:rPr>
          <w:rFonts w:ascii="Calibri" w:eastAsia="Calibri" w:hAnsi="Calibri" w:cs="Times New Roman"/>
          <w:b/>
          <w:bCs/>
          <w:color w:val="002060"/>
          <w:spacing w:val="-4"/>
          <w:sz w:val="18"/>
          <w:szCs w:val="18"/>
          <w:lang w:val="sr-Cyrl-CS"/>
        </w:rPr>
        <w:br w:type="textWrapping" w:clear="all"/>
        <w:t>еврообвезницу Србија (EB 2033 / 6,500%)</w:t>
      </w:r>
    </w:p>
    <w:p w14:paraId="0CE4A3DC" w14:textId="77777777" w:rsidR="00113630" w:rsidRPr="001B41AD" w:rsidRDefault="00113630" w:rsidP="00113630">
      <w:pPr>
        <w:spacing w:line="256"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noProof/>
          <w:color w:val="002060"/>
          <w:spacing w:val="-4"/>
          <w:sz w:val="18"/>
          <w:szCs w:val="18"/>
        </w:rPr>
        <w:drawing>
          <wp:inline distT="0" distB="0" distL="0" distR="0" wp14:anchorId="4AB776D1" wp14:editId="7B561E24">
            <wp:extent cx="2340000" cy="2160000"/>
            <wp:effectExtent l="0" t="0" r="3175" b="0"/>
            <wp:docPr id="1574313635" name="Picture 19" descr="A graph with red line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313635" name="Picture 19" descr="A graph with red line and numbers&#10;&#10;AI-generated content may be incorrect."/>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340000" cy="2160000"/>
                    </a:xfrm>
                    <a:prstGeom prst="rect">
                      <a:avLst/>
                    </a:prstGeom>
                    <a:noFill/>
                  </pic:spPr>
                </pic:pic>
              </a:graphicData>
            </a:graphic>
          </wp:inline>
        </w:drawing>
      </w:r>
    </w:p>
    <w:p w14:paraId="3A6ED80F"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r w:rsidRPr="001B41AD">
        <w:rPr>
          <w:rFonts w:ascii="Calibri" w:eastAsia="Calibri" w:hAnsi="Calibri" w:cs="Times New Roman"/>
          <w:b/>
          <w:bCs/>
          <w:color w:val="002060"/>
          <w:spacing w:val="-4"/>
          <w:sz w:val="18"/>
          <w:szCs w:val="18"/>
          <w:lang w:val="sr-Cyrl-CS"/>
        </w:rPr>
        <w:t xml:space="preserve">Преглед кретања цене и приноса на </w:t>
      </w:r>
      <w:r w:rsidRPr="001B41AD">
        <w:rPr>
          <w:rFonts w:ascii="Calibri" w:eastAsia="Calibri" w:hAnsi="Calibri" w:cs="Times New Roman"/>
          <w:b/>
          <w:bCs/>
          <w:color w:val="002060"/>
          <w:spacing w:val="-4"/>
          <w:sz w:val="18"/>
          <w:szCs w:val="18"/>
          <w:lang w:val="sr-Cyrl-CS"/>
        </w:rPr>
        <w:br w:type="textWrapping" w:clear="all"/>
        <w:t>еврообвезницу Србија (EB 2034 / 6,000%)</w:t>
      </w:r>
    </w:p>
    <w:p w14:paraId="49638693" w14:textId="77777777" w:rsidR="00113630" w:rsidRPr="001B41AD" w:rsidRDefault="00113630" w:rsidP="00113630">
      <w:pPr>
        <w:spacing w:after="0" w:line="240" w:lineRule="auto"/>
        <w:jc w:val="center"/>
        <w:rPr>
          <w:rFonts w:ascii="Calibri" w:eastAsia="Calibri" w:hAnsi="Calibri" w:cs="Times New Roman"/>
          <w:b/>
          <w:bCs/>
          <w:color w:val="002060"/>
          <w:spacing w:val="-4"/>
          <w:sz w:val="18"/>
          <w:szCs w:val="18"/>
          <w:lang w:val="sr-Cyrl-CS"/>
        </w:rPr>
      </w:pPr>
    </w:p>
    <w:p w14:paraId="0A2E880D" w14:textId="77777777" w:rsidR="00113630" w:rsidRPr="001B41AD" w:rsidRDefault="00113630" w:rsidP="00113630">
      <w:pPr>
        <w:spacing w:line="256" w:lineRule="auto"/>
        <w:jc w:val="center"/>
        <w:rPr>
          <w:rFonts w:ascii="Calibri" w:eastAsia="Calibri" w:hAnsi="Calibri" w:cs="Times New Roman"/>
          <w:b/>
          <w:bCs/>
          <w:color w:val="002060"/>
          <w:spacing w:val="-4"/>
          <w:lang w:val="sr-Cyrl-CS"/>
        </w:rPr>
      </w:pPr>
      <w:r w:rsidRPr="001B41AD">
        <w:rPr>
          <w:rFonts w:ascii="Calibri" w:eastAsia="Calibri" w:hAnsi="Calibri" w:cs="Times New Roman"/>
          <w:b/>
          <w:bCs/>
          <w:noProof/>
          <w:color w:val="002060"/>
          <w:spacing w:val="-4"/>
          <w:sz w:val="18"/>
          <w:szCs w:val="18"/>
        </w:rPr>
        <w:drawing>
          <wp:inline distT="0" distB="0" distL="0" distR="0" wp14:anchorId="31CF52B3" wp14:editId="79A46E2C">
            <wp:extent cx="2340000" cy="2160000"/>
            <wp:effectExtent l="0" t="0" r="3175" b="0"/>
            <wp:docPr id="1081550889" name="Picture 20" descr="A graph with a line going dow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1550889" name="Picture 20" descr="A graph with a line going down&#10;&#10;AI-generated content may be incorrect."/>
                    <pic:cNvPicPr preferRelativeResize="0">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340000" cy="2160000"/>
                    </a:xfrm>
                    <a:prstGeom prst="rect">
                      <a:avLst/>
                    </a:prstGeom>
                    <a:noFill/>
                  </pic:spPr>
                </pic:pic>
              </a:graphicData>
            </a:graphic>
          </wp:inline>
        </w:drawing>
      </w:r>
    </w:p>
    <w:p w14:paraId="36261B9D" w14:textId="77777777" w:rsidR="00113630" w:rsidRPr="001B41AD" w:rsidRDefault="00113630" w:rsidP="00113630">
      <w:pPr>
        <w:spacing w:line="256" w:lineRule="auto"/>
        <w:jc w:val="center"/>
        <w:rPr>
          <w:rFonts w:ascii="Calibri" w:eastAsia="Calibri" w:hAnsi="Calibri" w:cs="Times New Roman"/>
          <w:b/>
          <w:bCs/>
          <w:color w:val="002060"/>
          <w:spacing w:val="-4"/>
          <w:lang w:val="sr-Cyrl-CS"/>
        </w:rPr>
      </w:pPr>
    </w:p>
    <w:p w14:paraId="6EFE150C" w14:textId="77777777" w:rsidR="00113630" w:rsidRPr="001B41AD" w:rsidRDefault="00113630" w:rsidP="00113630">
      <w:pPr>
        <w:spacing w:line="256" w:lineRule="auto"/>
        <w:jc w:val="center"/>
        <w:rPr>
          <w:rFonts w:ascii="Calibri" w:eastAsia="Calibri" w:hAnsi="Calibri" w:cs="Times New Roman"/>
          <w:b/>
          <w:bCs/>
          <w:color w:val="002060"/>
          <w:spacing w:val="-4"/>
          <w:lang w:val="sr-Cyrl-CS"/>
        </w:rPr>
      </w:pPr>
    </w:p>
    <w:p w14:paraId="247A6459" w14:textId="77777777" w:rsidR="00113630" w:rsidRPr="001B41AD" w:rsidRDefault="00113630" w:rsidP="00113630">
      <w:pPr>
        <w:spacing w:line="256" w:lineRule="auto"/>
        <w:jc w:val="center"/>
        <w:rPr>
          <w:rFonts w:ascii="Calibri" w:eastAsia="Calibri" w:hAnsi="Calibri" w:cs="Times New Roman"/>
          <w:b/>
          <w:bCs/>
          <w:color w:val="002060"/>
          <w:spacing w:val="-4"/>
          <w:lang w:val="sr-Cyrl-CS"/>
        </w:rPr>
      </w:pPr>
    </w:p>
    <w:p w14:paraId="06686EE5" w14:textId="77777777" w:rsidR="00113630" w:rsidRPr="001B41AD" w:rsidRDefault="00113630" w:rsidP="00113630">
      <w:pPr>
        <w:spacing w:line="256" w:lineRule="auto"/>
        <w:jc w:val="center"/>
        <w:rPr>
          <w:rFonts w:ascii="Calibri" w:eastAsia="Calibri" w:hAnsi="Calibri" w:cs="Times New Roman"/>
          <w:b/>
          <w:bCs/>
          <w:color w:val="002060"/>
          <w:spacing w:val="-4"/>
          <w:lang w:val="sr-Cyrl-CS"/>
        </w:rPr>
        <w:sectPr w:rsidR="00113630" w:rsidRPr="001B41AD" w:rsidSect="00405489">
          <w:type w:val="continuous"/>
          <w:pgSz w:w="12240" w:h="15840"/>
          <w:pgMar w:top="1440" w:right="1440" w:bottom="1440" w:left="1440" w:header="720" w:footer="720" w:gutter="0"/>
          <w:cols w:num="2" w:space="720"/>
        </w:sectPr>
      </w:pPr>
    </w:p>
    <w:p w14:paraId="6F730262" w14:textId="77777777" w:rsidR="00464E80" w:rsidRPr="001B41AD" w:rsidRDefault="00464E80" w:rsidP="00113630">
      <w:pPr>
        <w:spacing w:line="256" w:lineRule="auto"/>
        <w:jc w:val="center"/>
        <w:rPr>
          <w:rFonts w:ascii="Calibri" w:eastAsia="Calibri" w:hAnsi="Calibri" w:cs="Times New Roman"/>
          <w:b/>
          <w:color w:val="002060"/>
          <w:lang w:val="sr-Cyrl-CS"/>
        </w:rPr>
      </w:pPr>
    </w:p>
    <w:p w14:paraId="2A2F5679" w14:textId="77777777" w:rsidR="00113630" w:rsidRPr="001B41AD" w:rsidRDefault="00BB0049" w:rsidP="00113630">
      <w:pPr>
        <w:spacing w:line="256" w:lineRule="auto"/>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t>Табела 30</w:t>
      </w:r>
      <w:r w:rsidR="00113630" w:rsidRPr="001B41AD">
        <w:rPr>
          <w:rFonts w:ascii="Calibri" w:eastAsia="Calibri" w:hAnsi="Calibri" w:cs="Times New Roman"/>
          <w:b/>
          <w:color w:val="002060"/>
          <w:lang w:val="sr-Cyrl-CS"/>
        </w:rPr>
        <w:t>. Пројекције отплате камата и главница до 2028. године</w:t>
      </w:r>
      <w:r w:rsidR="00113630" w:rsidRPr="001B41AD">
        <w:rPr>
          <w:rFonts w:ascii="Calibri" w:eastAsia="Calibri" w:hAnsi="Calibri" w:cs="Times New Roman"/>
          <w:color w:val="002060"/>
          <w:lang w:val="sr-Cyrl-CS"/>
        </w:rPr>
        <w:t xml:space="preserve"> </w:t>
      </w:r>
      <w:r w:rsidR="00113630" w:rsidRPr="001B41AD">
        <w:rPr>
          <w:rFonts w:ascii="Calibri" w:eastAsia="Calibri" w:hAnsi="Calibri" w:cs="Times New Roman"/>
          <w:b/>
          <w:color w:val="002060"/>
          <w:lang w:val="sr-Cyrl-CS"/>
        </w:rPr>
        <w:t>(млрд динара)</w:t>
      </w:r>
    </w:p>
    <w:tbl>
      <w:tblPr>
        <w:tblStyle w:val="LightShading-Accent1222"/>
        <w:tblW w:w="5000" w:type="pct"/>
        <w:tblInd w:w="0" w:type="dxa"/>
        <w:tblLook w:val="0420" w:firstRow="1" w:lastRow="0" w:firstColumn="0" w:lastColumn="0" w:noHBand="0" w:noVBand="1"/>
      </w:tblPr>
      <w:tblGrid>
        <w:gridCol w:w="4937"/>
        <w:gridCol w:w="1105"/>
        <w:gridCol w:w="1106"/>
        <w:gridCol w:w="1106"/>
        <w:gridCol w:w="1106"/>
      </w:tblGrid>
      <w:tr w:rsidR="00113630" w:rsidRPr="001B41AD" w14:paraId="2DEE586C" w14:textId="77777777" w:rsidTr="00405489">
        <w:trPr>
          <w:cnfStyle w:val="100000000000" w:firstRow="1" w:lastRow="0" w:firstColumn="0" w:lastColumn="0" w:oddVBand="0" w:evenVBand="0" w:oddHBand="0" w:evenHBand="0" w:firstRowFirstColumn="0" w:firstRowLastColumn="0" w:lastRowFirstColumn="0" w:lastRowLastColumn="0"/>
          <w:trHeight w:val="226"/>
        </w:trPr>
        <w:tc>
          <w:tcPr>
            <w:tcW w:w="2637" w:type="pct"/>
            <w:tcBorders>
              <w:top w:val="single" w:sz="4" w:space="0" w:color="002060"/>
              <w:left w:val="none" w:sz="0" w:space="0" w:color="auto"/>
              <w:bottom w:val="single" w:sz="4" w:space="0" w:color="FFFFFF" w:themeColor="background1"/>
              <w:right w:val="none" w:sz="0" w:space="0" w:color="auto"/>
            </w:tcBorders>
            <w:noWrap/>
            <w:hideMark/>
          </w:tcPr>
          <w:p w14:paraId="751536F2" w14:textId="77777777" w:rsidR="00113630" w:rsidRPr="001B41AD" w:rsidRDefault="00113630" w:rsidP="00405489">
            <w:pPr>
              <w:rPr>
                <w:rFonts w:ascii="Calibri" w:eastAsia="Times New Roman" w:hAnsi="Calibri" w:cs="Calibri"/>
                <w:color w:val="002060"/>
                <w:sz w:val="18"/>
                <w:szCs w:val="18"/>
                <w:lang w:val="sr-Cyrl-CS" w:eastAsia="ja-JP"/>
              </w:rPr>
            </w:pPr>
            <w:r w:rsidRPr="001B41AD">
              <w:rPr>
                <w:rFonts w:ascii="Calibri" w:eastAsia="Times New Roman" w:hAnsi="Calibri" w:cs="Calibri"/>
                <w:color w:val="002060"/>
                <w:sz w:val="18"/>
                <w:szCs w:val="18"/>
                <w:lang w:val="sr-Cyrl-CS" w:eastAsia="ja-JP"/>
              </w:rPr>
              <w:t> </w:t>
            </w:r>
          </w:p>
        </w:tc>
        <w:tc>
          <w:tcPr>
            <w:tcW w:w="590" w:type="pct"/>
            <w:tcBorders>
              <w:top w:val="single" w:sz="4" w:space="0" w:color="002060"/>
              <w:left w:val="none" w:sz="0" w:space="0" w:color="auto"/>
              <w:bottom w:val="single" w:sz="4" w:space="0" w:color="002060"/>
              <w:right w:val="none" w:sz="0" w:space="0" w:color="auto"/>
            </w:tcBorders>
            <w:noWrap/>
            <w:hideMark/>
          </w:tcPr>
          <w:p w14:paraId="49E9DDB2"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2025 п</w:t>
            </w:r>
          </w:p>
        </w:tc>
        <w:tc>
          <w:tcPr>
            <w:tcW w:w="591" w:type="pct"/>
            <w:tcBorders>
              <w:top w:val="single" w:sz="4" w:space="0" w:color="002060"/>
              <w:left w:val="none" w:sz="0" w:space="0" w:color="auto"/>
              <w:bottom w:val="single" w:sz="4" w:space="0" w:color="002060"/>
              <w:right w:val="none" w:sz="0" w:space="0" w:color="auto"/>
            </w:tcBorders>
            <w:noWrap/>
            <w:hideMark/>
          </w:tcPr>
          <w:p w14:paraId="2BEAD234"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2026 п</w:t>
            </w:r>
          </w:p>
        </w:tc>
        <w:tc>
          <w:tcPr>
            <w:tcW w:w="591" w:type="pct"/>
            <w:tcBorders>
              <w:top w:val="single" w:sz="4" w:space="0" w:color="002060"/>
              <w:left w:val="none" w:sz="0" w:space="0" w:color="auto"/>
              <w:bottom w:val="single" w:sz="4" w:space="0" w:color="002060"/>
              <w:right w:val="none" w:sz="0" w:space="0" w:color="auto"/>
            </w:tcBorders>
            <w:noWrap/>
            <w:hideMark/>
          </w:tcPr>
          <w:p w14:paraId="6A8ED4E1"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2027 п</w:t>
            </w:r>
          </w:p>
        </w:tc>
        <w:tc>
          <w:tcPr>
            <w:tcW w:w="591" w:type="pct"/>
            <w:tcBorders>
              <w:top w:val="single" w:sz="4" w:space="0" w:color="002060"/>
              <w:left w:val="none" w:sz="0" w:space="0" w:color="auto"/>
              <w:bottom w:val="single" w:sz="4" w:space="0" w:color="002060"/>
              <w:right w:val="none" w:sz="0" w:space="0" w:color="auto"/>
            </w:tcBorders>
            <w:noWrap/>
            <w:hideMark/>
          </w:tcPr>
          <w:p w14:paraId="04899A3A"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2028 п</w:t>
            </w:r>
          </w:p>
        </w:tc>
      </w:tr>
      <w:tr w:rsidR="00113630" w:rsidRPr="001B41AD" w14:paraId="487469AB" w14:textId="77777777" w:rsidTr="00405489">
        <w:trPr>
          <w:cnfStyle w:val="000000100000" w:firstRow="0" w:lastRow="0" w:firstColumn="0" w:lastColumn="0" w:oddVBand="0" w:evenVBand="0" w:oddHBand="1" w:evenHBand="0" w:firstRowFirstColumn="0" w:firstRowLastColumn="0" w:lastRowFirstColumn="0" w:lastRowLastColumn="0"/>
          <w:trHeight w:val="226"/>
        </w:trPr>
        <w:tc>
          <w:tcPr>
            <w:tcW w:w="2637" w:type="pct"/>
            <w:tcBorders>
              <w:top w:val="single" w:sz="4" w:space="0" w:color="FFFFFF" w:themeColor="background1"/>
              <w:left w:val="none" w:sz="0" w:space="0" w:color="auto"/>
              <w:bottom w:val="nil"/>
              <w:right w:val="none" w:sz="0" w:space="0" w:color="auto"/>
            </w:tcBorders>
            <w:shd w:val="clear" w:color="auto" w:fill="E7E6E6" w:themeFill="background2"/>
            <w:noWrap/>
            <w:hideMark/>
          </w:tcPr>
          <w:p w14:paraId="2BC2E74D"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bCs/>
                <w:color w:val="002060"/>
                <w:sz w:val="18"/>
                <w:szCs w:val="18"/>
                <w:lang w:val="sr-Cyrl-CS"/>
              </w:rPr>
              <w:t>Главница*</w:t>
            </w:r>
          </w:p>
        </w:tc>
        <w:tc>
          <w:tcPr>
            <w:tcW w:w="590" w:type="pct"/>
            <w:tcBorders>
              <w:top w:val="single" w:sz="4" w:space="0" w:color="002060"/>
              <w:left w:val="none" w:sz="0" w:space="0" w:color="auto"/>
              <w:bottom w:val="nil"/>
              <w:right w:val="none" w:sz="0" w:space="0" w:color="auto"/>
            </w:tcBorders>
            <w:shd w:val="clear" w:color="auto" w:fill="E7E6E6" w:themeFill="background2"/>
            <w:noWrap/>
            <w:hideMark/>
          </w:tcPr>
          <w:p w14:paraId="6F30340F"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445,0</w:t>
            </w:r>
          </w:p>
        </w:tc>
        <w:tc>
          <w:tcPr>
            <w:tcW w:w="591" w:type="pct"/>
            <w:tcBorders>
              <w:top w:val="single" w:sz="4" w:space="0" w:color="002060"/>
              <w:left w:val="none" w:sz="0" w:space="0" w:color="auto"/>
              <w:bottom w:val="nil"/>
              <w:right w:val="none" w:sz="0" w:space="0" w:color="auto"/>
            </w:tcBorders>
            <w:shd w:val="clear" w:color="auto" w:fill="E7E6E6" w:themeFill="background2"/>
            <w:noWrap/>
            <w:hideMark/>
          </w:tcPr>
          <w:p w14:paraId="274A2168"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746,4</w:t>
            </w:r>
          </w:p>
        </w:tc>
        <w:tc>
          <w:tcPr>
            <w:tcW w:w="591" w:type="pct"/>
            <w:tcBorders>
              <w:top w:val="single" w:sz="4" w:space="0" w:color="002060"/>
              <w:left w:val="none" w:sz="0" w:space="0" w:color="auto"/>
              <w:bottom w:val="nil"/>
              <w:right w:val="none" w:sz="0" w:space="0" w:color="auto"/>
            </w:tcBorders>
            <w:shd w:val="clear" w:color="auto" w:fill="E7E6E6" w:themeFill="background2"/>
            <w:noWrap/>
            <w:hideMark/>
          </w:tcPr>
          <w:p w14:paraId="61F0534B"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705,0</w:t>
            </w:r>
          </w:p>
        </w:tc>
        <w:tc>
          <w:tcPr>
            <w:tcW w:w="591" w:type="pct"/>
            <w:tcBorders>
              <w:top w:val="single" w:sz="4" w:space="0" w:color="002060"/>
              <w:left w:val="none" w:sz="0" w:space="0" w:color="auto"/>
              <w:bottom w:val="nil"/>
              <w:right w:val="none" w:sz="0" w:space="0" w:color="auto"/>
            </w:tcBorders>
            <w:shd w:val="clear" w:color="auto" w:fill="E7E6E6" w:themeFill="background2"/>
            <w:noWrap/>
            <w:hideMark/>
          </w:tcPr>
          <w:p w14:paraId="5BB84D25"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802,0</w:t>
            </w:r>
          </w:p>
        </w:tc>
      </w:tr>
      <w:tr w:rsidR="00113630" w:rsidRPr="001B41AD" w14:paraId="3B84D4C1" w14:textId="77777777" w:rsidTr="00405489">
        <w:trPr>
          <w:trHeight w:val="226"/>
        </w:trPr>
        <w:tc>
          <w:tcPr>
            <w:tcW w:w="2637" w:type="pct"/>
            <w:tcBorders>
              <w:top w:val="nil"/>
              <w:left w:val="nil"/>
              <w:bottom w:val="nil"/>
              <w:right w:val="nil"/>
            </w:tcBorders>
            <w:noWrap/>
            <w:hideMark/>
          </w:tcPr>
          <w:p w14:paraId="3506AE2C"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Камата</w:t>
            </w:r>
          </w:p>
        </w:tc>
        <w:tc>
          <w:tcPr>
            <w:tcW w:w="590" w:type="pct"/>
            <w:tcBorders>
              <w:top w:val="nil"/>
              <w:left w:val="nil"/>
              <w:bottom w:val="nil"/>
              <w:right w:val="nil"/>
            </w:tcBorders>
            <w:noWrap/>
            <w:hideMark/>
          </w:tcPr>
          <w:p w14:paraId="5C549AC9"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195,2</w:t>
            </w:r>
          </w:p>
        </w:tc>
        <w:tc>
          <w:tcPr>
            <w:tcW w:w="591" w:type="pct"/>
            <w:tcBorders>
              <w:top w:val="nil"/>
              <w:left w:val="nil"/>
              <w:bottom w:val="nil"/>
              <w:right w:val="nil"/>
            </w:tcBorders>
            <w:noWrap/>
            <w:hideMark/>
          </w:tcPr>
          <w:p w14:paraId="34C2F1D4"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211,8</w:t>
            </w:r>
          </w:p>
        </w:tc>
        <w:tc>
          <w:tcPr>
            <w:tcW w:w="591" w:type="pct"/>
            <w:tcBorders>
              <w:top w:val="nil"/>
              <w:left w:val="nil"/>
              <w:bottom w:val="nil"/>
              <w:right w:val="nil"/>
            </w:tcBorders>
            <w:noWrap/>
            <w:hideMark/>
          </w:tcPr>
          <w:p w14:paraId="35C41F91"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226,5</w:t>
            </w:r>
          </w:p>
        </w:tc>
        <w:tc>
          <w:tcPr>
            <w:tcW w:w="591" w:type="pct"/>
            <w:tcBorders>
              <w:top w:val="nil"/>
              <w:left w:val="nil"/>
              <w:bottom w:val="nil"/>
              <w:right w:val="nil"/>
            </w:tcBorders>
            <w:noWrap/>
            <w:hideMark/>
          </w:tcPr>
          <w:p w14:paraId="3FFBD771"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247,2</w:t>
            </w:r>
          </w:p>
        </w:tc>
      </w:tr>
      <w:tr w:rsidR="00113630" w:rsidRPr="001B41AD" w14:paraId="6F573A83" w14:textId="77777777" w:rsidTr="00405489">
        <w:trPr>
          <w:cnfStyle w:val="000000100000" w:firstRow="0" w:lastRow="0" w:firstColumn="0" w:lastColumn="0" w:oddVBand="0" w:evenVBand="0" w:oddHBand="1" w:evenHBand="0" w:firstRowFirstColumn="0" w:firstRowLastColumn="0" w:lastRowFirstColumn="0" w:lastRowLastColumn="0"/>
          <w:trHeight w:val="226"/>
        </w:trPr>
        <w:tc>
          <w:tcPr>
            <w:tcW w:w="2637" w:type="pct"/>
            <w:tcBorders>
              <w:top w:val="nil"/>
              <w:left w:val="none" w:sz="0" w:space="0" w:color="auto"/>
              <w:bottom w:val="nil"/>
              <w:right w:val="none" w:sz="0" w:space="0" w:color="auto"/>
            </w:tcBorders>
            <w:shd w:val="clear" w:color="auto" w:fill="E7E6E6" w:themeFill="background2"/>
            <w:noWrap/>
            <w:hideMark/>
          </w:tcPr>
          <w:p w14:paraId="71E2CD9F"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bCs/>
                <w:color w:val="002060"/>
                <w:sz w:val="18"/>
                <w:szCs w:val="18"/>
                <w:lang w:val="sr-Cyrl-CS"/>
              </w:rPr>
              <w:t>Укупно</w:t>
            </w:r>
          </w:p>
        </w:tc>
        <w:tc>
          <w:tcPr>
            <w:tcW w:w="590" w:type="pct"/>
            <w:tcBorders>
              <w:top w:val="nil"/>
              <w:left w:val="none" w:sz="0" w:space="0" w:color="auto"/>
              <w:bottom w:val="nil"/>
              <w:right w:val="none" w:sz="0" w:space="0" w:color="auto"/>
            </w:tcBorders>
            <w:shd w:val="clear" w:color="auto" w:fill="E7E6E6" w:themeFill="background2"/>
            <w:noWrap/>
            <w:hideMark/>
          </w:tcPr>
          <w:p w14:paraId="24F740FA"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640,2</w:t>
            </w:r>
          </w:p>
        </w:tc>
        <w:tc>
          <w:tcPr>
            <w:tcW w:w="591" w:type="pct"/>
            <w:tcBorders>
              <w:top w:val="nil"/>
              <w:left w:val="none" w:sz="0" w:space="0" w:color="auto"/>
              <w:bottom w:val="nil"/>
              <w:right w:val="none" w:sz="0" w:space="0" w:color="auto"/>
            </w:tcBorders>
            <w:shd w:val="clear" w:color="auto" w:fill="E7E6E6" w:themeFill="background2"/>
            <w:noWrap/>
            <w:hideMark/>
          </w:tcPr>
          <w:p w14:paraId="3C84862B"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958,3</w:t>
            </w:r>
          </w:p>
        </w:tc>
        <w:tc>
          <w:tcPr>
            <w:tcW w:w="591" w:type="pct"/>
            <w:tcBorders>
              <w:top w:val="nil"/>
              <w:left w:val="none" w:sz="0" w:space="0" w:color="auto"/>
              <w:bottom w:val="nil"/>
              <w:right w:val="none" w:sz="0" w:space="0" w:color="auto"/>
            </w:tcBorders>
            <w:shd w:val="clear" w:color="auto" w:fill="E7E6E6" w:themeFill="background2"/>
            <w:noWrap/>
            <w:hideMark/>
          </w:tcPr>
          <w:p w14:paraId="431C072C"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931,5</w:t>
            </w:r>
          </w:p>
        </w:tc>
        <w:tc>
          <w:tcPr>
            <w:tcW w:w="591" w:type="pct"/>
            <w:tcBorders>
              <w:top w:val="nil"/>
              <w:left w:val="none" w:sz="0" w:space="0" w:color="auto"/>
              <w:bottom w:val="nil"/>
              <w:right w:val="none" w:sz="0" w:space="0" w:color="auto"/>
            </w:tcBorders>
            <w:shd w:val="clear" w:color="auto" w:fill="E7E6E6" w:themeFill="background2"/>
            <w:noWrap/>
            <w:hideMark/>
          </w:tcPr>
          <w:p w14:paraId="254BFDE0"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1.049,2</w:t>
            </w:r>
          </w:p>
        </w:tc>
      </w:tr>
      <w:tr w:rsidR="00113630" w:rsidRPr="001B41AD" w14:paraId="1A429D48" w14:textId="77777777" w:rsidTr="00405489">
        <w:trPr>
          <w:trHeight w:val="226"/>
        </w:trPr>
        <w:tc>
          <w:tcPr>
            <w:tcW w:w="2637" w:type="pct"/>
            <w:tcBorders>
              <w:top w:val="nil"/>
              <w:left w:val="nil"/>
              <w:bottom w:val="single" w:sz="4" w:space="0" w:color="002060"/>
              <w:right w:val="nil"/>
            </w:tcBorders>
            <w:noWrap/>
            <w:hideMark/>
          </w:tcPr>
          <w:p w14:paraId="006CA004"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 xml:space="preserve"> У односу на јавни дуг на дан 31.8.2025. године</w:t>
            </w:r>
          </w:p>
        </w:tc>
        <w:tc>
          <w:tcPr>
            <w:tcW w:w="590" w:type="pct"/>
            <w:tcBorders>
              <w:top w:val="nil"/>
              <w:left w:val="nil"/>
              <w:bottom w:val="single" w:sz="4" w:space="0" w:color="002060"/>
              <w:right w:val="nil"/>
            </w:tcBorders>
            <w:noWrap/>
            <w:hideMark/>
          </w:tcPr>
          <w:p w14:paraId="624366A2"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14,3%</w:t>
            </w:r>
          </w:p>
        </w:tc>
        <w:tc>
          <w:tcPr>
            <w:tcW w:w="591" w:type="pct"/>
            <w:tcBorders>
              <w:top w:val="nil"/>
              <w:left w:val="nil"/>
              <w:bottom w:val="single" w:sz="4" w:space="0" w:color="002060"/>
              <w:right w:val="nil"/>
            </w:tcBorders>
            <w:noWrap/>
            <w:hideMark/>
          </w:tcPr>
          <w:p w14:paraId="4EC542FF"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21,4%</w:t>
            </w:r>
          </w:p>
        </w:tc>
        <w:tc>
          <w:tcPr>
            <w:tcW w:w="591" w:type="pct"/>
            <w:tcBorders>
              <w:top w:val="nil"/>
              <w:left w:val="nil"/>
              <w:bottom w:val="single" w:sz="4" w:space="0" w:color="002060"/>
              <w:right w:val="nil"/>
            </w:tcBorders>
            <w:noWrap/>
            <w:hideMark/>
          </w:tcPr>
          <w:p w14:paraId="00A81665"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20,8%</w:t>
            </w:r>
          </w:p>
        </w:tc>
        <w:tc>
          <w:tcPr>
            <w:tcW w:w="591" w:type="pct"/>
            <w:tcBorders>
              <w:top w:val="nil"/>
              <w:left w:val="nil"/>
              <w:bottom w:val="single" w:sz="4" w:space="0" w:color="002060"/>
              <w:right w:val="nil"/>
            </w:tcBorders>
            <w:noWrap/>
            <w:hideMark/>
          </w:tcPr>
          <w:p w14:paraId="4B6FC76E"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23,4%</w:t>
            </w:r>
          </w:p>
        </w:tc>
      </w:tr>
    </w:tbl>
    <w:p w14:paraId="08989BB1" w14:textId="77777777" w:rsidR="00113630" w:rsidRPr="001B41AD" w:rsidRDefault="00113630" w:rsidP="00113630">
      <w:pPr>
        <w:spacing w:line="240" w:lineRule="auto"/>
        <w:rPr>
          <w:rFonts w:ascii="Calibri" w:eastAsia="Calibri" w:hAnsi="Calibri" w:cs="Calibri"/>
          <w:bCs/>
          <w:sz w:val="18"/>
          <w:szCs w:val="18"/>
          <w:lang w:val="sr-Cyrl-CS"/>
        </w:rPr>
      </w:pPr>
      <w:r w:rsidRPr="001B41AD">
        <w:rPr>
          <w:rFonts w:ascii="Calibri" w:eastAsia="Calibri" w:hAnsi="Calibri" w:cs="Calibri"/>
          <w:bCs/>
          <w:sz w:val="18"/>
          <w:szCs w:val="18"/>
          <w:lang w:val="sr-Cyrl-CS"/>
        </w:rPr>
        <w:t>*</w:t>
      </w:r>
      <w:r w:rsidRPr="001B41AD">
        <w:rPr>
          <w:lang w:val="sr-Cyrl-CS"/>
        </w:rPr>
        <w:t xml:space="preserve"> </w:t>
      </w:r>
      <w:r w:rsidRPr="001B41AD">
        <w:rPr>
          <w:rFonts w:ascii="Calibri" w:eastAsia="Calibri" w:hAnsi="Calibri" w:cs="Calibri"/>
          <w:bCs/>
          <w:sz w:val="18"/>
          <w:szCs w:val="18"/>
          <w:lang w:val="sr-Cyrl-CS"/>
        </w:rPr>
        <w:t xml:space="preserve">укључена и средства за </w:t>
      </w:r>
      <w:r w:rsidRPr="001B41AD">
        <w:rPr>
          <w:rFonts w:ascii="Calibri" w:eastAsia="Calibri" w:hAnsi="Calibri" w:cs="Calibri"/>
          <w:bCs/>
          <w:i/>
          <w:sz w:val="18"/>
          <w:szCs w:val="18"/>
          <w:lang w:val="sr-Cyrl-CS"/>
        </w:rPr>
        <w:t>buy-back</w:t>
      </w:r>
      <w:r w:rsidRPr="001B41AD">
        <w:rPr>
          <w:rFonts w:ascii="Calibri" w:eastAsia="Calibri" w:hAnsi="Calibri" w:cs="Calibri"/>
          <w:bCs/>
          <w:sz w:val="18"/>
          <w:szCs w:val="18"/>
          <w:lang w:val="sr-Cyrl-CS"/>
        </w:rPr>
        <w:t xml:space="preserve"> операције</w:t>
      </w:r>
    </w:p>
    <w:p w14:paraId="6199822E" w14:textId="77777777" w:rsidR="00113630" w:rsidRPr="001B41AD" w:rsidRDefault="00BB0049" w:rsidP="00113630">
      <w:pPr>
        <w:spacing w:line="256" w:lineRule="auto"/>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t>Табела 31</w:t>
      </w:r>
      <w:r w:rsidR="00113630" w:rsidRPr="001B41AD">
        <w:rPr>
          <w:rFonts w:ascii="Calibri" w:eastAsia="Calibri" w:hAnsi="Calibri" w:cs="Times New Roman"/>
          <w:b/>
          <w:color w:val="002060"/>
          <w:lang w:val="sr-Cyrl-CS"/>
        </w:rPr>
        <w:t>. Пројекције отплате камата и главница до 2028. године (% БДП)</w:t>
      </w:r>
    </w:p>
    <w:tbl>
      <w:tblPr>
        <w:tblStyle w:val="LightShading-Accent1222"/>
        <w:tblW w:w="5000" w:type="pct"/>
        <w:tblInd w:w="0" w:type="dxa"/>
        <w:tblLook w:val="0420" w:firstRow="1" w:lastRow="0" w:firstColumn="0" w:lastColumn="0" w:noHBand="0" w:noVBand="1"/>
      </w:tblPr>
      <w:tblGrid>
        <w:gridCol w:w="4949"/>
        <w:gridCol w:w="1102"/>
        <w:gridCol w:w="1103"/>
        <w:gridCol w:w="1103"/>
        <w:gridCol w:w="1103"/>
      </w:tblGrid>
      <w:tr w:rsidR="00113630" w:rsidRPr="001B41AD" w14:paraId="4734063D" w14:textId="77777777" w:rsidTr="00405489">
        <w:trPr>
          <w:cnfStyle w:val="100000000000" w:firstRow="1" w:lastRow="0" w:firstColumn="0" w:lastColumn="0" w:oddVBand="0" w:evenVBand="0" w:oddHBand="0" w:evenHBand="0" w:firstRowFirstColumn="0" w:firstRowLastColumn="0" w:lastRowFirstColumn="0" w:lastRowLastColumn="0"/>
          <w:trHeight w:val="220"/>
        </w:trPr>
        <w:tc>
          <w:tcPr>
            <w:tcW w:w="2644" w:type="pct"/>
            <w:tcBorders>
              <w:top w:val="single" w:sz="4" w:space="0" w:color="002060"/>
              <w:left w:val="none" w:sz="0" w:space="0" w:color="auto"/>
              <w:bottom w:val="single" w:sz="4" w:space="0" w:color="FFFFFF" w:themeColor="background1"/>
              <w:right w:val="none" w:sz="0" w:space="0" w:color="auto"/>
            </w:tcBorders>
            <w:noWrap/>
            <w:hideMark/>
          </w:tcPr>
          <w:p w14:paraId="59241758"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 </w:t>
            </w:r>
          </w:p>
        </w:tc>
        <w:tc>
          <w:tcPr>
            <w:tcW w:w="589" w:type="pct"/>
            <w:tcBorders>
              <w:top w:val="single" w:sz="4" w:space="0" w:color="002060"/>
              <w:left w:val="none" w:sz="0" w:space="0" w:color="auto"/>
              <w:bottom w:val="single" w:sz="4" w:space="0" w:color="002060"/>
              <w:right w:val="none" w:sz="0" w:space="0" w:color="auto"/>
            </w:tcBorders>
            <w:noWrap/>
            <w:hideMark/>
          </w:tcPr>
          <w:p w14:paraId="58A075BE"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2025 п</w:t>
            </w:r>
          </w:p>
        </w:tc>
        <w:tc>
          <w:tcPr>
            <w:tcW w:w="589" w:type="pct"/>
            <w:tcBorders>
              <w:top w:val="single" w:sz="4" w:space="0" w:color="002060"/>
              <w:left w:val="none" w:sz="0" w:space="0" w:color="auto"/>
              <w:bottom w:val="single" w:sz="4" w:space="0" w:color="002060"/>
              <w:right w:val="none" w:sz="0" w:space="0" w:color="auto"/>
            </w:tcBorders>
            <w:noWrap/>
            <w:hideMark/>
          </w:tcPr>
          <w:p w14:paraId="1ED1CDA5"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2026 п</w:t>
            </w:r>
          </w:p>
        </w:tc>
        <w:tc>
          <w:tcPr>
            <w:tcW w:w="589" w:type="pct"/>
            <w:tcBorders>
              <w:top w:val="single" w:sz="4" w:space="0" w:color="002060"/>
              <w:left w:val="none" w:sz="0" w:space="0" w:color="auto"/>
              <w:bottom w:val="single" w:sz="4" w:space="0" w:color="002060"/>
              <w:right w:val="none" w:sz="0" w:space="0" w:color="auto"/>
            </w:tcBorders>
            <w:noWrap/>
            <w:hideMark/>
          </w:tcPr>
          <w:p w14:paraId="71CB01B0"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2027 п</w:t>
            </w:r>
          </w:p>
        </w:tc>
        <w:tc>
          <w:tcPr>
            <w:tcW w:w="589" w:type="pct"/>
            <w:tcBorders>
              <w:top w:val="single" w:sz="4" w:space="0" w:color="002060"/>
              <w:left w:val="none" w:sz="0" w:space="0" w:color="auto"/>
              <w:bottom w:val="single" w:sz="4" w:space="0" w:color="002060"/>
              <w:right w:val="none" w:sz="0" w:space="0" w:color="auto"/>
            </w:tcBorders>
            <w:noWrap/>
            <w:hideMark/>
          </w:tcPr>
          <w:p w14:paraId="140CB979"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2028 п</w:t>
            </w:r>
          </w:p>
        </w:tc>
      </w:tr>
      <w:tr w:rsidR="00113630" w:rsidRPr="001B41AD" w14:paraId="5B86144E" w14:textId="77777777" w:rsidTr="00405489">
        <w:trPr>
          <w:cnfStyle w:val="000000100000" w:firstRow="0" w:lastRow="0" w:firstColumn="0" w:lastColumn="0" w:oddVBand="0" w:evenVBand="0" w:oddHBand="1" w:evenHBand="0" w:firstRowFirstColumn="0" w:firstRowLastColumn="0" w:lastRowFirstColumn="0" w:lastRowLastColumn="0"/>
          <w:trHeight w:val="220"/>
        </w:trPr>
        <w:tc>
          <w:tcPr>
            <w:tcW w:w="2644" w:type="pct"/>
            <w:tcBorders>
              <w:top w:val="nil"/>
              <w:left w:val="none" w:sz="0" w:space="0" w:color="auto"/>
              <w:bottom w:val="nil"/>
              <w:right w:val="none" w:sz="0" w:space="0" w:color="auto"/>
            </w:tcBorders>
            <w:shd w:val="clear" w:color="auto" w:fill="E7E6E6" w:themeFill="background2"/>
            <w:noWrap/>
            <w:hideMark/>
          </w:tcPr>
          <w:p w14:paraId="31E01D3D"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Главница</w:t>
            </w:r>
          </w:p>
        </w:tc>
        <w:tc>
          <w:tcPr>
            <w:tcW w:w="589" w:type="pct"/>
            <w:tcBorders>
              <w:top w:val="nil"/>
              <w:left w:val="none" w:sz="0" w:space="0" w:color="auto"/>
              <w:bottom w:val="nil"/>
              <w:right w:val="none" w:sz="0" w:space="0" w:color="auto"/>
            </w:tcBorders>
            <w:shd w:val="clear" w:color="auto" w:fill="E7E6E6" w:themeFill="background2"/>
            <w:noWrap/>
            <w:hideMark/>
          </w:tcPr>
          <w:p w14:paraId="7DCE8725"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4,3%</w:t>
            </w:r>
          </w:p>
        </w:tc>
        <w:tc>
          <w:tcPr>
            <w:tcW w:w="589" w:type="pct"/>
            <w:tcBorders>
              <w:top w:val="nil"/>
              <w:left w:val="none" w:sz="0" w:space="0" w:color="auto"/>
              <w:bottom w:val="nil"/>
              <w:right w:val="none" w:sz="0" w:space="0" w:color="auto"/>
            </w:tcBorders>
            <w:shd w:val="clear" w:color="auto" w:fill="E7E6E6" w:themeFill="background2"/>
            <w:noWrap/>
            <w:hideMark/>
          </w:tcPr>
          <w:p w14:paraId="77239C69"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6,7%</w:t>
            </w:r>
          </w:p>
        </w:tc>
        <w:tc>
          <w:tcPr>
            <w:tcW w:w="589" w:type="pct"/>
            <w:tcBorders>
              <w:top w:val="nil"/>
              <w:left w:val="none" w:sz="0" w:space="0" w:color="auto"/>
              <w:bottom w:val="nil"/>
              <w:right w:val="none" w:sz="0" w:space="0" w:color="auto"/>
            </w:tcBorders>
            <w:shd w:val="clear" w:color="auto" w:fill="E7E6E6" w:themeFill="background2"/>
            <w:noWrap/>
            <w:hideMark/>
          </w:tcPr>
          <w:p w14:paraId="2C345FA8"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5,9%</w:t>
            </w:r>
          </w:p>
        </w:tc>
        <w:tc>
          <w:tcPr>
            <w:tcW w:w="589" w:type="pct"/>
            <w:tcBorders>
              <w:top w:val="nil"/>
              <w:left w:val="none" w:sz="0" w:space="0" w:color="auto"/>
              <w:bottom w:val="nil"/>
              <w:right w:val="none" w:sz="0" w:space="0" w:color="auto"/>
            </w:tcBorders>
            <w:shd w:val="clear" w:color="auto" w:fill="E7E6E6" w:themeFill="background2"/>
            <w:noWrap/>
            <w:hideMark/>
          </w:tcPr>
          <w:p w14:paraId="70467F14"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6,3%</w:t>
            </w:r>
          </w:p>
        </w:tc>
      </w:tr>
      <w:tr w:rsidR="00113630" w:rsidRPr="001B41AD" w14:paraId="52C08E95" w14:textId="77777777" w:rsidTr="00405489">
        <w:trPr>
          <w:trHeight w:val="220"/>
        </w:trPr>
        <w:tc>
          <w:tcPr>
            <w:tcW w:w="2644" w:type="pct"/>
            <w:tcBorders>
              <w:top w:val="nil"/>
              <w:left w:val="nil"/>
              <w:bottom w:val="nil"/>
              <w:right w:val="nil"/>
            </w:tcBorders>
            <w:noWrap/>
            <w:hideMark/>
          </w:tcPr>
          <w:p w14:paraId="41C5DFDC"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bCs/>
                <w:color w:val="002060"/>
                <w:sz w:val="18"/>
                <w:szCs w:val="18"/>
                <w:lang w:val="sr-Cyrl-CS"/>
              </w:rPr>
              <w:t>Камата</w:t>
            </w:r>
          </w:p>
        </w:tc>
        <w:tc>
          <w:tcPr>
            <w:tcW w:w="589" w:type="pct"/>
            <w:tcBorders>
              <w:top w:val="nil"/>
              <w:left w:val="nil"/>
              <w:bottom w:val="nil"/>
              <w:right w:val="nil"/>
            </w:tcBorders>
            <w:noWrap/>
            <w:hideMark/>
          </w:tcPr>
          <w:p w14:paraId="5F29C77F"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1,9%</w:t>
            </w:r>
          </w:p>
        </w:tc>
        <w:tc>
          <w:tcPr>
            <w:tcW w:w="589" w:type="pct"/>
            <w:tcBorders>
              <w:top w:val="nil"/>
              <w:left w:val="nil"/>
              <w:bottom w:val="nil"/>
              <w:right w:val="nil"/>
            </w:tcBorders>
            <w:noWrap/>
            <w:hideMark/>
          </w:tcPr>
          <w:p w14:paraId="60D74567"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1,9%</w:t>
            </w:r>
          </w:p>
        </w:tc>
        <w:tc>
          <w:tcPr>
            <w:tcW w:w="589" w:type="pct"/>
            <w:tcBorders>
              <w:top w:val="nil"/>
              <w:left w:val="nil"/>
              <w:bottom w:val="nil"/>
              <w:right w:val="nil"/>
            </w:tcBorders>
            <w:noWrap/>
            <w:hideMark/>
          </w:tcPr>
          <w:p w14:paraId="3D8E5A55"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1,9%</w:t>
            </w:r>
          </w:p>
        </w:tc>
        <w:tc>
          <w:tcPr>
            <w:tcW w:w="589" w:type="pct"/>
            <w:tcBorders>
              <w:top w:val="nil"/>
              <w:left w:val="nil"/>
              <w:bottom w:val="nil"/>
              <w:right w:val="nil"/>
            </w:tcBorders>
            <w:noWrap/>
            <w:hideMark/>
          </w:tcPr>
          <w:p w14:paraId="192C4786"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1,9%</w:t>
            </w:r>
          </w:p>
        </w:tc>
      </w:tr>
      <w:tr w:rsidR="00113630" w:rsidRPr="001B41AD" w14:paraId="38081DBB" w14:textId="77777777" w:rsidTr="00405489">
        <w:trPr>
          <w:cnfStyle w:val="000000100000" w:firstRow="0" w:lastRow="0" w:firstColumn="0" w:lastColumn="0" w:oddVBand="0" w:evenVBand="0" w:oddHBand="1" w:evenHBand="0" w:firstRowFirstColumn="0" w:firstRowLastColumn="0" w:lastRowFirstColumn="0" w:lastRowLastColumn="0"/>
          <w:trHeight w:val="220"/>
        </w:trPr>
        <w:tc>
          <w:tcPr>
            <w:tcW w:w="2644" w:type="pct"/>
            <w:tcBorders>
              <w:top w:val="nil"/>
              <w:left w:val="none" w:sz="0" w:space="0" w:color="auto"/>
              <w:bottom w:val="single" w:sz="4" w:space="0" w:color="002060"/>
              <w:right w:val="none" w:sz="0" w:space="0" w:color="auto"/>
            </w:tcBorders>
            <w:shd w:val="clear" w:color="auto" w:fill="E7E6E6" w:themeFill="background2"/>
            <w:noWrap/>
            <w:hideMark/>
          </w:tcPr>
          <w:p w14:paraId="402ADF18"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Укупно</w:t>
            </w:r>
          </w:p>
        </w:tc>
        <w:tc>
          <w:tcPr>
            <w:tcW w:w="589" w:type="pct"/>
            <w:tcBorders>
              <w:top w:val="nil"/>
              <w:left w:val="none" w:sz="0" w:space="0" w:color="auto"/>
              <w:bottom w:val="single" w:sz="4" w:space="0" w:color="002060"/>
              <w:right w:val="none" w:sz="0" w:space="0" w:color="auto"/>
            </w:tcBorders>
            <w:shd w:val="clear" w:color="auto" w:fill="E7E6E6" w:themeFill="background2"/>
            <w:noWrap/>
            <w:hideMark/>
          </w:tcPr>
          <w:p w14:paraId="47BD63F3"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6,2%</w:t>
            </w:r>
          </w:p>
        </w:tc>
        <w:tc>
          <w:tcPr>
            <w:tcW w:w="589" w:type="pct"/>
            <w:tcBorders>
              <w:top w:val="nil"/>
              <w:left w:val="none" w:sz="0" w:space="0" w:color="auto"/>
              <w:bottom w:val="single" w:sz="4" w:space="0" w:color="002060"/>
              <w:right w:val="none" w:sz="0" w:space="0" w:color="auto"/>
            </w:tcBorders>
            <w:shd w:val="clear" w:color="auto" w:fill="E7E6E6" w:themeFill="background2"/>
            <w:noWrap/>
            <w:hideMark/>
          </w:tcPr>
          <w:p w14:paraId="47B03F03"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8,6%</w:t>
            </w:r>
          </w:p>
        </w:tc>
        <w:tc>
          <w:tcPr>
            <w:tcW w:w="589" w:type="pct"/>
            <w:tcBorders>
              <w:top w:val="nil"/>
              <w:left w:val="none" w:sz="0" w:space="0" w:color="auto"/>
              <w:bottom w:val="single" w:sz="4" w:space="0" w:color="002060"/>
              <w:right w:val="none" w:sz="0" w:space="0" w:color="auto"/>
            </w:tcBorders>
            <w:shd w:val="clear" w:color="auto" w:fill="E7E6E6" w:themeFill="background2"/>
            <w:noWrap/>
            <w:hideMark/>
          </w:tcPr>
          <w:p w14:paraId="4F6E38D8"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7,7%</w:t>
            </w:r>
          </w:p>
        </w:tc>
        <w:tc>
          <w:tcPr>
            <w:tcW w:w="589" w:type="pct"/>
            <w:tcBorders>
              <w:top w:val="nil"/>
              <w:left w:val="none" w:sz="0" w:space="0" w:color="auto"/>
              <w:bottom w:val="single" w:sz="4" w:space="0" w:color="002060"/>
              <w:right w:val="none" w:sz="0" w:space="0" w:color="auto"/>
            </w:tcBorders>
            <w:shd w:val="clear" w:color="auto" w:fill="E7E6E6" w:themeFill="background2"/>
            <w:noWrap/>
            <w:hideMark/>
          </w:tcPr>
          <w:p w14:paraId="52879FBE"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8,2%</w:t>
            </w:r>
          </w:p>
        </w:tc>
      </w:tr>
    </w:tbl>
    <w:p w14:paraId="2A696361" w14:textId="77777777" w:rsidR="00113630" w:rsidRPr="001B41AD" w:rsidRDefault="00113630" w:rsidP="00113630">
      <w:pPr>
        <w:rPr>
          <w:rFonts w:ascii="Calibri" w:eastAsia="Calibri" w:hAnsi="Calibri" w:cs="Calibri"/>
          <w:bCs/>
          <w:szCs w:val="72"/>
          <w:lang w:val="sr-Cyrl-CS"/>
        </w:rPr>
        <w:sectPr w:rsidR="00113630" w:rsidRPr="001B41AD" w:rsidSect="00405489">
          <w:headerReference w:type="even" r:id="rId193"/>
          <w:footerReference w:type="even" r:id="rId194"/>
          <w:footerReference w:type="default" r:id="rId195"/>
          <w:footerReference w:type="first" r:id="rId196"/>
          <w:type w:val="continuous"/>
          <w:pgSz w:w="12240" w:h="15840" w:code="1"/>
          <w:pgMar w:top="1440" w:right="1440" w:bottom="1440" w:left="1440" w:header="720" w:footer="720" w:gutter="0"/>
          <w:cols w:space="720"/>
          <w:titlePg/>
          <w:docGrid w:linePitch="360"/>
        </w:sectPr>
      </w:pPr>
    </w:p>
    <w:p w14:paraId="28164EEA"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lastRenderedPageBreak/>
        <w:t xml:space="preserve">Планирани износи за отплату камата и главница, на централном нивоу државе, укључују и средства за </w:t>
      </w:r>
      <w:r w:rsidRPr="001B41AD">
        <w:rPr>
          <w:rFonts w:ascii="Calibri" w:eastAsia="Calibri" w:hAnsi="Calibri" w:cs="Calibri"/>
          <w:bCs/>
          <w:i/>
          <w:szCs w:val="72"/>
          <w:lang w:val="sr-Cyrl-CS"/>
        </w:rPr>
        <w:t>buy-back</w:t>
      </w:r>
      <w:r w:rsidRPr="001B41AD">
        <w:rPr>
          <w:rFonts w:ascii="Calibri" w:eastAsia="Calibri" w:hAnsi="Calibri" w:cs="Calibri"/>
          <w:bCs/>
          <w:szCs w:val="72"/>
          <w:lang w:val="sr-Cyrl-CS"/>
        </w:rPr>
        <w:t xml:space="preserve"> операције, тј. превремену отплату дуга, како би се скупљи дуг заменио јефтинијим, као и премије осигурања на експортне кредите.</w:t>
      </w:r>
    </w:p>
    <w:p w14:paraId="7ADE3634"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p>
    <w:p w14:paraId="39D268DE" w14:textId="77777777" w:rsidR="007545C1" w:rsidRPr="001B41AD" w:rsidRDefault="007545C1" w:rsidP="00113630">
      <w:pPr>
        <w:spacing w:line="256" w:lineRule="auto"/>
        <w:rPr>
          <w:rFonts w:ascii="Calibri" w:eastAsia="Calibri" w:hAnsi="Calibri" w:cs="Times New Roman"/>
          <w:b/>
          <w:color w:val="2F5496" w:themeColor="accent1" w:themeShade="BF"/>
          <w:sz w:val="22"/>
          <w:lang w:val="sr-Cyrl-CS"/>
        </w:rPr>
      </w:pPr>
    </w:p>
    <w:p w14:paraId="580DEFC7" w14:textId="77777777" w:rsidR="007545C1" w:rsidRPr="001B41AD" w:rsidRDefault="007545C1" w:rsidP="00113630">
      <w:pPr>
        <w:spacing w:line="256" w:lineRule="auto"/>
        <w:rPr>
          <w:rFonts w:ascii="Calibri" w:eastAsia="Calibri" w:hAnsi="Calibri" w:cs="Times New Roman"/>
          <w:b/>
          <w:color w:val="2F5496" w:themeColor="accent1" w:themeShade="BF"/>
          <w:sz w:val="22"/>
          <w:lang w:val="sr-Cyrl-CS"/>
        </w:rPr>
      </w:pPr>
    </w:p>
    <w:p w14:paraId="29B48B0C" w14:textId="77777777" w:rsidR="007545C1" w:rsidRPr="001B41AD" w:rsidRDefault="007545C1" w:rsidP="00113630">
      <w:pPr>
        <w:spacing w:line="256" w:lineRule="auto"/>
        <w:rPr>
          <w:rFonts w:ascii="Calibri" w:eastAsia="Calibri" w:hAnsi="Calibri" w:cs="Times New Roman"/>
          <w:b/>
          <w:color w:val="2F5496" w:themeColor="accent1" w:themeShade="BF"/>
          <w:sz w:val="22"/>
          <w:lang w:val="sr-Cyrl-CS"/>
        </w:rPr>
      </w:pPr>
    </w:p>
    <w:p w14:paraId="0E471877"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r w:rsidRPr="001B41AD">
        <w:rPr>
          <w:rFonts w:ascii="Calibri" w:eastAsia="Calibri" w:hAnsi="Calibri" w:cs="Times New Roman"/>
          <w:b/>
          <w:color w:val="2F5496" w:themeColor="accent1" w:themeShade="BF"/>
          <w:sz w:val="22"/>
          <w:lang w:val="sr-Cyrl-CS"/>
        </w:rPr>
        <w:t>Пројекција стања јавног дуга сектора државе у периоду 2025–2028. године</w:t>
      </w:r>
    </w:p>
    <w:p w14:paraId="58823D2F" w14:textId="77777777" w:rsidR="00113630" w:rsidRPr="001B41AD" w:rsidRDefault="00113630" w:rsidP="007545C1">
      <w:pPr>
        <w:spacing w:after="0"/>
        <w:rPr>
          <w:rFonts w:ascii="Calibri" w:eastAsia="Calibri" w:hAnsi="Calibri" w:cs="Calibri"/>
          <w:bCs/>
          <w:szCs w:val="72"/>
          <w:lang w:val="sr-Cyrl-CS"/>
        </w:rPr>
      </w:pPr>
      <w:r w:rsidRPr="001B41AD">
        <w:rPr>
          <w:rFonts w:ascii="Calibri" w:eastAsia="Calibri" w:hAnsi="Calibri" w:cs="Calibri"/>
          <w:bCs/>
          <w:szCs w:val="72"/>
          <w:lang w:val="sr-Cyrl-CS"/>
        </w:rPr>
        <w:t>Имајући у виду пројектовани примарни резултат буџета Републике Србије за период 2025–2028. године, укључујући и обим повлачења кредитних средстава за пројектно финансирање од буџетских корисника, ефекте промене девизног курса динара према евру и америчком долару, у основном макроекономском сценарију, стање дуга централног нивоа државе требало би да буде на нивоу од 4</w:t>
      </w:r>
      <w:r w:rsidR="007545C1" w:rsidRPr="001B41AD">
        <w:rPr>
          <w:rFonts w:ascii="Calibri" w:eastAsia="Calibri" w:hAnsi="Calibri" w:cs="Calibri"/>
          <w:bCs/>
          <w:szCs w:val="72"/>
          <w:lang w:val="sr-Cyrl-CS"/>
        </w:rPr>
        <w:t>3,6% БДП на крају 2028. године.</w:t>
      </w:r>
    </w:p>
    <w:p w14:paraId="17721782" w14:textId="77777777" w:rsidR="00113630" w:rsidRPr="001B41AD" w:rsidRDefault="00113630" w:rsidP="00113630">
      <w:pPr>
        <w:spacing w:line="256" w:lineRule="auto"/>
        <w:jc w:val="center"/>
        <w:rPr>
          <w:rFonts w:ascii="Calibri" w:eastAsia="Calibri" w:hAnsi="Calibri" w:cs="Times New Roman"/>
          <w:b/>
          <w:color w:val="002060"/>
          <w:lang w:val="sr-Cyrl-CS"/>
        </w:rPr>
        <w:sectPr w:rsidR="00113630" w:rsidRPr="001B41AD" w:rsidSect="00405489">
          <w:type w:val="continuous"/>
          <w:pgSz w:w="12240" w:h="15840" w:code="1"/>
          <w:pgMar w:top="1440" w:right="1440" w:bottom="1440" w:left="1440" w:header="720" w:footer="720" w:gutter="0"/>
          <w:cols w:num="2" w:space="720"/>
          <w:titlePg/>
          <w:docGrid w:linePitch="360"/>
        </w:sectPr>
      </w:pPr>
    </w:p>
    <w:p w14:paraId="0EFC8B21" w14:textId="77777777" w:rsidR="00113630" w:rsidRPr="001B41AD" w:rsidRDefault="00113630" w:rsidP="00113630">
      <w:pPr>
        <w:spacing w:line="256" w:lineRule="auto"/>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t>Табела 3</w:t>
      </w:r>
      <w:r w:rsidR="00BB0049" w:rsidRPr="001B41AD">
        <w:rPr>
          <w:rFonts w:ascii="Calibri" w:eastAsia="Calibri" w:hAnsi="Calibri" w:cs="Times New Roman"/>
          <w:b/>
          <w:color w:val="002060"/>
          <w:lang w:val="sr-Cyrl-CS"/>
        </w:rPr>
        <w:t>2</w:t>
      </w:r>
      <w:r w:rsidRPr="001B41AD">
        <w:rPr>
          <w:rFonts w:ascii="Calibri" w:eastAsia="Calibri" w:hAnsi="Calibri" w:cs="Times New Roman"/>
          <w:b/>
          <w:color w:val="002060"/>
          <w:lang w:val="sr-Cyrl-CS"/>
        </w:rPr>
        <w:t>. Основна пројекција стања јавног дуга сектора државе до 2028. године</w:t>
      </w:r>
    </w:p>
    <w:tbl>
      <w:tblPr>
        <w:tblStyle w:val="LightShading-Accent1222"/>
        <w:tblW w:w="5000" w:type="pct"/>
        <w:tblInd w:w="0" w:type="dxa"/>
        <w:tblLook w:val="0420" w:firstRow="1" w:lastRow="0" w:firstColumn="0" w:lastColumn="0" w:noHBand="0" w:noVBand="1"/>
      </w:tblPr>
      <w:tblGrid>
        <w:gridCol w:w="5100"/>
        <w:gridCol w:w="1065"/>
        <w:gridCol w:w="1065"/>
        <w:gridCol w:w="1065"/>
        <w:gridCol w:w="1065"/>
      </w:tblGrid>
      <w:tr w:rsidR="00113630" w:rsidRPr="001B41AD" w14:paraId="5DB367A6" w14:textId="77777777" w:rsidTr="00405489">
        <w:trPr>
          <w:cnfStyle w:val="100000000000" w:firstRow="1" w:lastRow="0" w:firstColumn="0" w:lastColumn="0" w:oddVBand="0" w:evenVBand="0" w:oddHBand="0" w:evenHBand="0" w:firstRowFirstColumn="0" w:firstRowLastColumn="0" w:lastRowFirstColumn="0" w:lastRowLastColumn="0"/>
          <w:trHeight w:val="20"/>
        </w:trPr>
        <w:tc>
          <w:tcPr>
            <w:tcW w:w="2724" w:type="pct"/>
            <w:tcBorders>
              <w:top w:val="single" w:sz="4" w:space="0" w:color="002060"/>
              <w:left w:val="none" w:sz="0" w:space="0" w:color="auto"/>
              <w:bottom w:val="single" w:sz="8" w:space="0" w:color="FFFFFF" w:themeColor="background1"/>
              <w:right w:val="none" w:sz="0" w:space="0" w:color="auto"/>
            </w:tcBorders>
            <w:noWrap/>
            <w:hideMark/>
          </w:tcPr>
          <w:p w14:paraId="09722D9C" w14:textId="77777777" w:rsidR="00113630" w:rsidRPr="001B41AD" w:rsidRDefault="00113630" w:rsidP="00405489">
            <w:pPr>
              <w:spacing w:line="256" w:lineRule="auto"/>
              <w:rPr>
                <w:rFonts w:ascii="Calibri" w:hAnsi="Calibri"/>
                <w:color w:val="002060"/>
                <w:lang w:val="sr-Cyrl-CS"/>
              </w:rPr>
            </w:pPr>
          </w:p>
        </w:tc>
        <w:tc>
          <w:tcPr>
            <w:tcW w:w="569" w:type="pct"/>
            <w:tcBorders>
              <w:top w:val="single" w:sz="4" w:space="0" w:color="002060"/>
              <w:left w:val="none" w:sz="0" w:space="0" w:color="auto"/>
              <w:bottom w:val="single" w:sz="4" w:space="0" w:color="002060"/>
              <w:right w:val="none" w:sz="0" w:space="0" w:color="auto"/>
            </w:tcBorders>
            <w:noWrap/>
            <w:hideMark/>
          </w:tcPr>
          <w:p w14:paraId="7C4C6B1F"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2025 п</w:t>
            </w:r>
          </w:p>
        </w:tc>
        <w:tc>
          <w:tcPr>
            <w:tcW w:w="569" w:type="pct"/>
            <w:tcBorders>
              <w:top w:val="single" w:sz="4" w:space="0" w:color="002060"/>
              <w:left w:val="none" w:sz="0" w:space="0" w:color="auto"/>
              <w:bottom w:val="single" w:sz="4" w:space="0" w:color="002060"/>
              <w:right w:val="none" w:sz="0" w:space="0" w:color="auto"/>
            </w:tcBorders>
            <w:noWrap/>
            <w:hideMark/>
          </w:tcPr>
          <w:p w14:paraId="1AB67FF9"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2026 п</w:t>
            </w:r>
          </w:p>
        </w:tc>
        <w:tc>
          <w:tcPr>
            <w:tcW w:w="569" w:type="pct"/>
            <w:tcBorders>
              <w:top w:val="single" w:sz="4" w:space="0" w:color="002060"/>
              <w:left w:val="none" w:sz="0" w:space="0" w:color="auto"/>
              <w:bottom w:val="single" w:sz="4" w:space="0" w:color="002060"/>
              <w:right w:val="none" w:sz="0" w:space="0" w:color="auto"/>
            </w:tcBorders>
            <w:noWrap/>
            <w:hideMark/>
          </w:tcPr>
          <w:p w14:paraId="665822BC"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2027 п</w:t>
            </w:r>
          </w:p>
        </w:tc>
        <w:tc>
          <w:tcPr>
            <w:tcW w:w="569" w:type="pct"/>
            <w:tcBorders>
              <w:top w:val="single" w:sz="4" w:space="0" w:color="002060"/>
              <w:left w:val="none" w:sz="0" w:space="0" w:color="auto"/>
              <w:bottom w:val="single" w:sz="4" w:space="0" w:color="002060"/>
              <w:right w:val="none" w:sz="0" w:space="0" w:color="auto"/>
            </w:tcBorders>
            <w:noWrap/>
            <w:hideMark/>
          </w:tcPr>
          <w:p w14:paraId="5E3977BD" w14:textId="77777777" w:rsidR="00113630" w:rsidRPr="001B41AD" w:rsidRDefault="00113630" w:rsidP="00405489">
            <w:pPr>
              <w:jc w:val="right"/>
              <w:rPr>
                <w:rFonts w:ascii="Calibri" w:hAnsi="Calibri" w:cs="Calibri"/>
                <w:color w:val="002060"/>
                <w:sz w:val="18"/>
                <w:szCs w:val="18"/>
                <w:lang w:val="sr-Cyrl-CS"/>
              </w:rPr>
            </w:pPr>
            <w:r w:rsidRPr="001B41AD">
              <w:rPr>
                <w:rFonts w:ascii="Calibri" w:hAnsi="Calibri" w:cs="Calibri"/>
                <w:color w:val="002060"/>
                <w:sz w:val="18"/>
                <w:szCs w:val="18"/>
                <w:lang w:val="sr-Cyrl-CS"/>
              </w:rPr>
              <w:t>2028 п</w:t>
            </w:r>
          </w:p>
        </w:tc>
      </w:tr>
      <w:tr w:rsidR="00113630" w:rsidRPr="001B41AD" w14:paraId="2EA677D6"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left w:val="none" w:sz="0" w:space="0" w:color="auto"/>
              <w:bottom w:val="nil"/>
              <w:right w:val="none" w:sz="0" w:space="0" w:color="auto"/>
            </w:tcBorders>
            <w:shd w:val="clear" w:color="auto" w:fill="E7E6E6" w:themeFill="background2"/>
            <w:noWrap/>
            <w:hideMark/>
          </w:tcPr>
          <w:p w14:paraId="469C2AEA" w14:textId="77777777" w:rsidR="00113630" w:rsidRPr="001B41AD" w:rsidRDefault="00113630" w:rsidP="00405489">
            <w:pPr>
              <w:spacing w:line="240" w:lineRule="auto"/>
              <w:rPr>
                <w:rFonts w:ascii="Calibri" w:hAnsi="Calibri" w:cs="Calibri"/>
                <w:bCs/>
                <w:color w:val="44546A"/>
                <w:sz w:val="18"/>
                <w:szCs w:val="18"/>
                <w:lang w:val="sr-Cyrl-CS"/>
              </w:rPr>
            </w:pPr>
            <w:r w:rsidRPr="001B41AD">
              <w:rPr>
                <w:rFonts w:ascii="Calibri" w:hAnsi="Calibri" w:cs="Calibri"/>
                <w:bCs/>
                <w:color w:val="002060"/>
                <w:sz w:val="18"/>
                <w:szCs w:val="18"/>
                <w:lang w:val="sr-Cyrl-CS"/>
              </w:rPr>
              <w:t>Јавни дуг (централни ниво власти), млрд РСД</w:t>
            </w:r>
          </w:p>
        </w:tc>
        <w:tc>
          <w:tcPr>
            <w:tcW w:w="569" w:type="pct"/>
            <w:tcBorders>
              <w:top w:val="single" w:sz="4" w:space="0" w:color="002060"/>
              <w:left w:val="none" w:sz="0" w:space="0" w:color="auto"/>
              <w:bottom w:val="nil"/>
              <w:right w:val="none" w:sz="0" w:space="0" w:color="auto"/>
            </w:tcBorders>
            <w:shd w:val="clear" w:color="auto" w:fill="E7E6E6" w:themeFill="background2"/>
            <w:noWrap/>
            <w:hideMark/>
          </w:tcPr>
          <w:p w14:paraId="70272427"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4.627,9</w:t>
            </w:r>
          </w:p>
        </w:tc>
        <w:tc>
          <w:tcPr>
            <w:tcW w:w="569" w:type="pct"/>
            <w:tcBorders>
              <w:top w:val="single" w:sz="4" w:space="0" w:color="002060"/>
              <w:left w:val="none" w:sz="0" w:space="0" w:color="auto"/>
              <w:bottom w:val="nil"/>
              <w:right w:val="none" w:sz="0" w:space="0" w:color="auto"/>
            </w:tcBorders>
            <w:shd w:val="clear" w:color="auto" w:fill="E7E6E6" w:themeFill="background2"/>
            <w:noWrap/>
            <w:hideMark/>
          </w:tcPr>
          <w:p w14:paraId="28A2E182"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4.872,9</w:t>
            </w:r>
          </w:p>
        </w:tc>
        <w:tc>
          <w:tcPr>
            <w:tcW w:w="569" w:type="pct"/>
            <w:tcBorders>
              <w:top w:val="single" w:sz="4" w:space="0" w:color="002060"/>
              <w:left w:val="none" w:sz="0" w:space="0" w:color="auto"/>
              <w:bottom w:val="nil"/>
              <w:right w:val="none" w:sz="0" w:space="0" w:color="auto"/>
            </w:tcBorders>
            <w:shd w:val="clear" w:color="auto" w:fill="E7E6E6" w:themeFill="background2"/>
            <w:noWrap/>
            <w:hideMark/>
          </w:tcPr>
          <w:p w14:paraId="0BB1FD17"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5.265,9</w:t>
            </w:r>
          </w:p>
        </w:tc>
        <w:tc>
          <w:tcPr>
            <w:tcW w:w="569" w:type="pct"/>
            <w:tcBorders>
              <w:top w:val="single" w:sz="4" w:space="0" w:color="002060"/>
              <w:left w:val="none" w:sz="0" w:space="0" w:color="auto"/>
              <w:bottom w:val="nil"/>
              <w:right w:val="none" w:sz="0" w:space="0" w:color="auto"/>
            </w:tcBorders>
            <w:shd w:val="clear" w:color="auto" w:fill="E7E6E6" w:themeFill="background2"/>
            <w:noWrap/>
            <w:hideMark/>
          </w:tcPr>
          <w:p w14:paraId="46470C0F"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5.583,9</w:t>
            </w:r>
          </w:p>
        </w:tc>
      </w:tr>
      <w:tr w:rsidR="00113630" w:rsidRPr="001B41AD" w14:paraId="1620F582" w14:textId="77777777" w:rsidTr="00405489">
        <w:trPr>
          <w:trHeight w:val="20"/>
        </w:trPr>
        <w:tc>
          <w:tcPr>
            <w:tcW w:w="2724" w:type="pct"/>
            <w:tcBorders>
              <w:top w:val="nil"/>
              <w:left w:val="nil"/>
              <w:bottom w:val="nil"/>
              <w:right w:val="nil"/>
            </w:tcBorders>
            <w:hideMark/>
          </w:tcPr>
          <w:p w14:paraId="43502528"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Дуг централне државе, у % БДП</w:t>
            </w:r>
          </w:p>
        </w:tc>
        <w:tc>
          <w:tcPr>
            <w:tcW w:w="569" w:type="pct"/>
            <w:tcBorders>
              <w:top w:val="nil"/>
              <w:left w:val="nil"/>
              <w:bottom w:val="nil"/>
              <w:right w:val="nil"/>
            </w:tcBorders>
            <w:noWrap/>
            <w:hideMark/>
          </w:tcPr>
          <w:p w14:paraId="74AE5641"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44,6%</w:t>
            </w:r>
          </w:p>
        </w:tc>
        <w:tc>
          <w:tcPr>
            <w:tcW w:w="569" w:type="pct"/>
            <w:tcBorders>
              <w:top w:val="nil"/>
              <w:left w:val="nil"/>
              <w:bottom w:val="nil"/>
              <w:right w:val="nil"/>
            </w:tcBorders>
            <w:noWrap/>
            <w:hideMark/>
          </w:tcPr>
          <w:p w14:paraId="5F2FFCF0"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44,0%</w:t>
            </w:r>
          </w:p>
        </w:tc>
        <w:tc>
          <w:tcPr>
            <w:tcW w:w="569" w:type="pct"/>
            <w:tcBorders>
              <w:top w:val="nil"/>
              <w:left w:val="nil"/>
              <w:bottom w:val="nil"/>
              <w:right w:val="nil"/>
            </w:tcBorders>
            <w:noWrap/>
            <w:hideMark/>
          </w:tcPr>
          <w:p w14:paraId="4F0770CF"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43,8%</w:t>
            </w:r>
          </w:p>
        </w:tc>
        <w:tc>
          <w:tcPr>
            <w:tcW w:w="569" w:type="pct"/>
            <w:tcBorders>
              <w:top w:val="nil"/>
              <w:left w:val="nil"/>
              <w:bottom w:val="nil"/>
              <w:right w:val="nil"/>
            </w:tcBorders>
            <w:noWrap/>
            <w:hideMark/>
          </w:tcPr>
          <w:p w14:paraId="6B7F8512"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43,6%</w:t>
            </w:r>
          </w:p>
        </w:tc>
      </w:tr>
      <w:tr w:rsidR="00113630" w:rsidRPr="001B41AD" w14:paraId="70CC6B5B" w14:textId="77777777" w:rsidTr="00405489">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left w:val="none" w:sz="0" w:space="0" w:color="auto"/>
              <w:bottom w:val="nil"/>
              <w:right w:val="none" w:sz="0" w:space="0" w:color="auto"/>
            </w:tcBorders>
            <w:shd w:val="clear" w:color="auto" w:fill="E7E6E6" w:themeFill="background2"/>
            <w:hideMark/>
          </w:tcPr>
          <w:p w14:paraId="09773A59"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Негарантовани дуг јединица локалне самоуправе*, у % БДП</w:t>
            </w:r>
          </w:p>
        </w:tc>
        <w:tc>
          <w:tcPr>
            <w:tcW w:w="569" w:type="pct"/>
            <w:tcBorders>
              <w:top w:val="nil"/>
              <w:left w:val="none" w:sz="0" w:space="0" w:color="auto"/>
              <w:bottom w:val="nil"/>
              <w:right w:val="none" w:sz="0" w:space="0" w:color="auto"/>
            </w:tcBorders>
            <w:shd w:val="clear" w:color="auto" w:fill="E7E6E6" w:themeFill="background2"/>
            <w:noWrap/>
            <w:hideMark/>
          </w:tcPr>
          <w:p w14:paraId="3E060BB3"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0,4%</w:t>
            </w:r>
          </w:p>
        </w:tc>
        <w:tc>
          <w:tcPr>
            <w:tcW w:w="569" w:type="pct"/>
            <w:tcBorders>
              <w:top w:val="nil"/>
              <w:left w:val="none" w:sz="0" w:space="0" w:color="auto"/>
              <w:bottom w:val="nil"/>
              <w:right w:val="none" w:sz="0" w:space="0" w:color="auto"/>
            </w:tcBorders>
            <w:shd w:val="clear" w:color="auto" w:fill="E7E6E6" w:themeFill="background2"/>
            <w:noWrap/>
            <w:hideMark/>
          </w:tcPr>
          <w:p w14:paraId="08FBA1AE"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0,5%</w:t>
            </w:r>
          </w:p>
        </w:tc>
        <w:tc>
          <w:tcPr>
            <w:tcW w:w="569" w:type="pct"/>
            <w:tcBorders>
              <w:top w:val="nil"/>
              <w:left w:val="none" w:sz="0" w:space="0" w:color="auto"/>
              <w:bottom w:val="nil"/>
              <w:right w:val="none" w:sz="0" w:space="0" w:color="auto"/>
            </w:tcBorders>
            <w:shd w:val="clear" w:color="auto" w:fill="E7E6E6" w:themeFill="background2"/>
            <w:noWrap/>
            <w:hideMark/>
          </w:tcPr>
          <w:p w14:paraId="387646E9"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0,5%</w:t>
            </w:r>
          </w:p>
        </w:tc>
        <w:tc>
          <w:tcPr>
            <w:tcW w:w="569" w:type="pct"/>
            <w:tcBorders>
              <w:top w:val="nil"/>
              <w:left w:val="none" w:sz="0" w:space="0" w:color="auto"/>
              <w:bottom w:val="nil"/>
              <w:right w:val="none" w:sz="0" w:space="0" w:color="auto"/>
            </w:tcBorders>
            <w:shd w:val="clear" w:color="auto" w:fill="E7E6E6" w:themeFill="background2"/>
            <w:noWrap/>
            <w:hideMark/>
          </w:tcPr>
          <w:p w14:paraId="2C8B230D"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0,5%</w:t>
            </w:r>
          </w:p>
        </w:tc>
      </w:tr>
      <w:tr w:rsidR="00113630" w:rsidRPr="001B41AD" w14:paraId="333F96FE" w14:textId="77777777" w:rsidTr="00405489">
        <w:trPr>
          <w:trHeight w:val="20"/>
        </w:trPr>
        <w:tc>
          <w:tcPr>
            <w:tcW w:w="2724" w:type="pct"/>
            <w:tcBorders>
              <w:top w:val="nil"/>
              <w:left w:val="nil"/>
              <w:bottom w:val="single" w:sz="4" w:space="0" w:color="002060"/>
              <w:right w:val="nil"/>
            </w:tcBorders>
            <w:hideMark/>
          </w:tcPr>
          <w:p w14:paraId="6D3F86C1"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Дуг сектора државе, у % БДП</w:t>
            </w:r>
          </w:p>
        </w:tc>
        <w:tc>
          <w:tcPr>
            <w:tcW w:w="569" w:type="pct"/>
            <w:tcBorders>
              <w:top w:val="nil"/>
              <w:left w:val="nil"/>
              <w:bottom w:val="single" w:sz="4" w:space="0" w:color="002060"/>
              <w:right w:val="nil"/>
            </w:tcBorders>
            <w:noWrap/>
            <w:hideMark/>
          </w:tcPr>
          <w:p w14:paraId="39218E54"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45,0%</w:t>
            </w:r>
          </w:p>
        </w:tc>
        <w:tc>
          <w:tcPr>
            <w:tcW w:w="569" w:type="pct"/>
            <w:tcBorders>
              <w:top w:val="nil"/>
              <w:left w:val="nil"/>
              <w:bottom w:val="single" w:sz="4" w:space="0" w:color="002060"/>
              <w:right w:val="nil"/>
            </w:tcBorders>
            <w:noWrap/>
            <w:hideMark/>
          </w:tcPr>
          <w:p w14:paraId="575DFBDD"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44,5%</w:t>
            </w:r>
          </w:p>
        </w:tc>
        <w:tc>
          <w:tcPr>
            <w:tcW w:w="569" w:type="pct"/>
            <w:tcBorders>
              <w:top w:val="nil"/>
              <w:left w:val="nil"/>
              <w:bottom w:val="single" w:sz="4" w:space="0" w:color="002060"/>
              <w:right w:val="nil"/>
            </w:tcBorders>
            <w:noWrap/>
            <w:hideMark/>
          </w:tcPr>
          <w:p w14:paraId="4B9434D6"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44,3%</w:t>
            </w:r>
          </w:p>
        </w:tc>
        <w:tc>
          <w:tcPr>
            <w:tcW w:w="569" w:type="pct"/>
            <w:tcBorders>
              <w:top w:val="nil"/>
              <w:left w:val="nil"/>
              <w:bottom w:val="single" w:sz="4" w:space="0" w:color="002060"/>
              <w:right w:val="nil"/>
            </w:tcBorders>
            <w:noWrap/>
            <w:hideMark/>
          </w:tcPr>
          <w:p w14:paraId="0FBBD0A2" w14:textId="77777777" w:rsidR="00113630" w:rsidRPr="001B41AD" w:rsidRDefault="00113630" w:rsidP="00405489">
            <w:pPr>
              <w:spacing w:line="240" w:lineRule="auto"/>
              <w:jc w:val="right"/>
              <w:rPr>
                <w:rFonts w:ascii="Calibri" w:hAnsi="Calibri" w:cs="Calibri"/>
                <w:bCs/>
                <w:color w:val="002060"/>
                <w:sz w:val="18"/>
                <w:szCs w:val="18"/>
                <w:lang w:val="sr-Cyrl-CS"/>
              </w:rPr>
            </w:pPr>
            <w:r w:rsidRPr="001B41AD">
              <w:rPr>
                <w:rFonts w:ascii="Calibri" w:hAnsi="Calibri" w:cs="Calibri"/>
                <w:bCs/>
                <w:color w:val="002060"/>
                <w:sz w:val="18"/>
                <w:szCs w:val="18"/>
                <w:lang w:val="sr-Cyrl-CS"/>
              </w:rPr>
              <w:t>44,1%</w:t>
            </w:r>
          </w:p>
        </w:tc>
      </w:tr>
    </w:tbl>
    <w:p w14:paraId="29905455" w14:textId="77777777" w:rsidR="00113630" w:rsidRPr="001B41AD" w:rsidRDefault="00113630" w:rsidP="00113630">
      <w:pPr>
        <w:spacing w:after="240" w:line="240" w:lineRule="auto"/>
        <w:rPr>
          <w:rFonts w:ascii="Calibri" w:eastAsia="Calibri" w:hAnsi="Calibri" w:cs="Calibri"/>
          <w:bCs/>
          <w:sz w:val="18"/>
          <w:szCs w:val="18"/>
          <w:lang w:val="sr-Cyrl-CS"/>
        </w:rPr>
      </w:pPr>
      <w:r w:rsidRPr="001B41AD">
        <w:rPr>
          <w:rFonts w:ascii="Calibri" w:eastAsia="Calibri" w:hAnsi="Calibri" w:cs="Calibri"/>
          <w:bCs/>
          <w:sz w:val="18"/>
          <w:szCs w:val="18"/>
          <w:lang w:val="sr-Cyrl-CS"/>
        </w:rPr>
        <w:t>*</w:t>
      </w:r>
      <w:r w:rsidRPr="001B41AD">
        <w:rPr>
          <w:lang w:val="sr-Cyrl-CS"/>
        </w:rPr>
        <w:t xml:space="preserve"> </w:t>
      </w:r>
      <w:r w:rsidRPr="001B41AD">
        <w:rPr>
          <w:rFonts w:ascii="Calibri" w:eastAsia="Calibri" w:hAnsi="Calibri" w:cs="Calibri"/>
          <w:bCs/>
          <w:sz w:val="18"/>
          <w:szCs w:val="18"/>
          <w:lang w:val="sr-Cyrl-CS"/>
        </w:rPr>
        <w:t>и осталог сектора државе</w:t>
      </w:r>
    </w:p>
    <w:p w14:paraId="2100145A" w14:textId="77777777" w:rsidR="00113630" w:rsidRPr="001B41AD" w:rsidRDefault="00113630" w:rsidP="00113630">
      <w:pPr>
        <w:rPr>
          <w:rFonts w:ascii="Calibri" w:eastAsia="Calibri" w:hAnsi="Calibri" w:cs="Calibri"/>
          <w:bCs/>
          <w:spacing w:val="-2"/>
          <w:szCs w:val="72"/>
          <w:lang w:val="sr-Cyrl-CS"/>
        </w:rPr>
        <w:sectPr w:rsidR="00113630" w:rsidRPr="001B41AD" w:rsidSect="00405489">
          <w:type w:val="continuous"/>
          <w:pgSz w:w="12240" w:h="15840" w:code="1"/>
          <w:pgMar w:top="1440" w:right="1440" w:bottom="1440" w:left="1440" w:header="720" w:footer="720" w:gutter="0"/>
          <w:cols w:space="720"/>
          <w:titlePg/>
          <w:docGrid w:linePitch="360"/>
        </w:sectPr>
      </w:pPr>
    </w:p>
    <w:p w14:paraId="1B198183" w14:textId="77777777" w:rsidR="00113630" w:rsidRPr="001B41AD" w:rsidRDefault="00113630" w:rsidP="00113630">
      <w:pPr>
        <w:rPr>
          <w:rFonts w:ascii="Calibri" w:eastAsia="Calibri" w:hAnsi="Calibri" w:cs="Calibri"/>
          <w:bCs/>
          <w:spacing w:val="-2"/>
          <w:szCs w:val="72"/>
          <w:lang w:val="sr-Cyrl-CS"/>
        </w:rPr>
      </w:pPr>
      <w:r w:rsidRPr="001B41AD">
        <w:rPr>
          <w:rFonts w:ascii="Calibri" w:eastAsia="Calibri" w:hAnsi="Calibri" w:cs="Calibri"/>
          <w:bCs/>
          <w:spacing w:val="-2"/>
          <w:szCs w:val="72"/>
          <w:lang w:val="sr-Cyrl-CS"/>
        </w:rPr>
        <w:t>На крају 2025. године очекује се да учешће јавног дуга сектора државе у БДП износи 45,0%. У наредним годинама се очекује пад рација, који би у основном сценарију требало на крају 2026. године да износи 44,5%, на крају 2027. године 44,3%, а на крају 2028. године 44,1%. У датом периоду се очекује реализација великих инфраструктурних пројеката који ће бити финансирани углавном из пројектних зајмова, те њихова интензивнија реализација у односу на претходни период. Ово је управо једна од тачака где се може видети јасна координација фискалних и развојних циљева. Води се рачуна о одрживости јавног дуга и постепеном паду његовог учешћа у БДП, уз истовремено коришћење новог задуживања за побољшање инфраструктурних услова који доводе до раста БДП, животног стандарда и нових инвестиција. Предвиђа се да ће негарантовани дуг јединица локалне самоуправе и осталог сектора државе у наредном периоду бити на релативно стабилном нивоу од 0,4% до 0,5% БДП.</w:t>
      </w:r>
    </w:p>
    <w:p w14:paraId="3C8A36A3"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r w:rsidRPr="001B41AD">
        <w:rPr>
          <w:rFonts w:ascii="Calibri" w:eastAsia="Calibri" w:hAnsi="Calibri" w:cs="Times New Roman"/>
          <w:b/>
          <w:color w:val="2F5496" w:themeColor="accent1" w:themeShade="BF"/>
          <w:sz w:val="22"/>
          <w:lang w:val="sr-Cyrl-CS"/>
        </w:rPr>
        <w:t>Принципи управљања јавним дугом</w:t>
      </w:r>
    </w:p>
    <w:p w14:paraId="1D5EDFF6"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Према Закону о јавном дугу, примарни циљ задуживања Републике Србије и управљања јавним дугом је обезбеђивање средстава за редовно сервисирање буџетских потреба по најповољнијим условима и трошковима </w:t>
      </w:r>
      <w:r w:rsidRPr="001B41AD">
        <w:rPr>
          <w:rFonts w:ascii="Calibri" w:eastAsia="Calibri" w:hAnsi="Calibri" w:cs="Calibri"/>
          <w:bCs/>
          <w:szCs w:val="72"/>
          <w:lang w:val="sr-Cyrl-CS"/>
        </w:rPr>
        <w:t>финансирања уз прихватљив ниво ризика. На основу тога, Стратегија управљања јавним дугом Републике Србије дефинише следеће опште циљеве и принципе:</w:t>
      </w:r>
    </w:p>
    <w:p w14:paraId="5BC2A48D"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1) Осигурати финансирање фискалног дефицита и редовно сервисирање обавеза по основу јавног дуга Републике Србије;</w:t>
      </w:r>
    </w:p>
    <w:p w14:paraId="552F9A4D"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2) Дефинисати прихватљив ниво ризика који треба да буде одређен у условима циљане структуре портфолија дуга у смислу валутне структуре дуга, структуре каматних стопа, структуре рочности и структуре дуга према инструментима;</w:t>
      </w:r>
    </w:p>
    <w:p w14:paraId="1E3F5716"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3) Наставити развој тржишта државних хартија од вредности које се емитују на домаћем и међународном тржишту, што би помогло у смањењу трошкова задуживања у средњем и дугом року;</w:t>
      </w:r>
    </w:p>
    <w:p w14:paraId="7EFCBC08"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4) Омогућити транспарентност и предвидивост процеса задуживања.</w:t>
      </w:r>
    </w:p>
    <w:p w14:paraId="40C68554"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Стратегија управљања јавним дугом конзистентна је са општим средњорочним макроекономским и фискалним оквиром.</w:t>
      </w:r>
    </w:p>
    <w:p w14:paraId="1AF5BC43" w14:textId="77777777" w:rsidR="00113630" w:rsidRPr="001B41AD" w:rsidRDefault="00113630" w:rsidP="00113630">
      <w:pPr>
        <w:rPr>
          <w:rFonts w:ascii="Calibri" w:eastAsia="Calibri" w:hAnsi="Calibri" w:cs="Calibri"/>
          <w:bCs/>
          <w:spacing w:val="-2"/>
          <w:szCs w:val="72"/>
          <w:lang w:val="sr-Cyrl-CS"/>
        </w:rPr>
      </w:pPr>
      <w:r w:rsidRPr="001B41AD">
        <w:rPr>
          <w:rFonts w:ascii="Calibri" w:eastAsia="Calibri" w:hAnsi="Calibri" w:cs="Calibri"/>
          <w:bCs/>
          <w:spacing w:val="-2"/>
          <w:szCs w:val="72"/>
          <w:lang w:val="sr-Cyrl-CS"/>
        </w:rPr>
        <w:t xml:space="preserve">Стратегија управљања јавним дугом у наредном средњорочном периоду базира се на финансирању дефицита и главнице дуга буџета Републике Србије </w:t>
      </w:r>
      <w:r w:rsidRPr="001B41AD">
        <w:rPr>
          <w:rFonts w:ascii="Calibri" w:eastAsia="Calibri" w:hAnsi="Calibri" w:cs="Calibri"/>
          <w:bCs/>
          <w:spacing w:val="-2"/>
          <w:szCs w:val="72"/>
          <w:lang w:val="sr-Cyrl-CS"/>
        </w:rPr>
        <w:lastRenderedPageBreak/>
        <w:t>путем емисија државних хартија од вредности на домаћем и међународном тржишту капитала како би било испуњено редовно сервисирање обавеза. Флексибилност ће се огледати у домену избора тржишта на коме ће се вршити задуживање, валуте задуживања и инструмената финансирања. Избор структуре финансирања узимаће у обзир тренутно стање и тренд развоја домаћег и међународног финансијског тржишта (ниво каматних стопа, премије ризика, криву приноса, девизне курсеве референтних валута) и прихватљив ниво изложености финансијским ризицима.</w:t>
      </w:r>
    </w:p>
    <w:p w14:paraId="60441A86"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Циљ је да се у наредном дугорочном периоду финансирање обавља пре свега емитовањем динарских хартија од вредности на домаћем тржишту. Део финансирања може бити обезбеђен и на међународном финансијском тржишту у средњорочном периоду. Успостављање </w:t>
      </w:r>
      <w:r w:rsidRPr="001B41AD">
        <w:rPr>
          <w:rFonts w:ascii="Calibri" w:eastAsia="Calibri" w:hAnsi="Calibri" w:cs="Calibri"/>
          <w:bCs/>
          <w:i/>
          <w:szCs w:val="72"/>
          <w:lang w:val="sr-Cyrl-CS"/>
        </w:rPr>
        <w:t>GMTN</w:t>
      </w:r>
      <w:r w:rsidRPr="001B41AD">
        <w:rPr>
          <w:rFonts w:ascii="Calibri" w:eastAsia="Calibri" w:hAnsi="Calibri" w:cs="Calibri"/>
          <w:bCs/>
          <w:szCs w:val="72"/>
          <w:lang w:val="sr-Cyrl-CS"/>
        </w:rPr>
        <w:t xml:space="preserve"> програма у 2020. години омогућило је флексибилност у избору финансирања и бржи приступ финансирању на међународном тржишту.</w:t>
      </w:r>
    </w:p>
    <w:p w14:paraId="2FBA6BC2"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Позајмљивање у страној валути, као нпр. у америчким доларима, за собом повлачи и девизни ризик услед промене курса евро – амерички долар, те ће се из тог разлога користити могућност хеџинга.</w:t>
      </w:r>
    </w:p>
    <w:p w14:paraId="1DC4CC97"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Политика управљања јавним дугом мора да узме у обзир дугорочну перспективу, али се одлука о финансирању буџетских издатака мора доносити годишње. Одлука о годишњем задуживању се доноси у оквиру Закона о буџету за одређену фискалну годину. У зависности од промене основних фискалних агрегата могућа је корекција плана задуживања током фискалне године.</w:t>
      </w:r>
    </w:p>
    <w:p w14:paraId="21E991E7" w14:textId="77777777" w:rsidR="00113630" w:rsidRPr="001B41AD" w:rsidRDefault="00113630" w:rsidP="00113630">
      <w:pPr>
        <w:rPr>
          <w:lang w:val="sr-Cyrl-CS"/>
        </w:rPr>
      </w:pPr>
      <w:r w:rsidRPr="001B41AD">
        <w:rPr>
          <w:rFonts w:ascii="Calibri" w:eastAsia="Calibri" w:hAnsi="Calibri" w:cs="Times New Roman"/>
          <w:b/>
          <w:color w:val="2F5496" w:themeColor="accent1" w:themeShade="BF"/>
          <w:sz w:val="22"/>
          <w:lang w:val="sr-Cyrl-CS"/>
        </w:rPr>
        <w:t>Финансијски ризици и мере за управљање финансијским ризицима</w:t>
      </w:r>
    </w:p>
    <w:p w14:paraId="188F049E"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Утицај финансијских и фискалних ризика може довести до већег раста јавног дуга него што предвиђа основни сценарио. Ризици који су присутни и који могу да доведу до раста задужености и трошкова сервисирања јавног дуга су: ризик рефинансирања, девизни ризик, тржишни ризик (ризик каматних стопа, ризик инфлације), ризик ликвидности, кредитни и оперативни ризици и ризици везани за </w:t>
      </w:r>
      <w:r w:rsidRPr="001B41AD">
        <w:rPr>
          <w:rFonts w:ascii="Calibri" w:eastAsia="Calibri" w:hAnsi="Calibri" w:cs="Calibri"/>
          <w:bCs/>
          <w:szCs w:val="72"/>
          <w:lang w:val="sr-Cyrl-CS"/>
        </w:rPr>
        <w:t>дистрибуцију трошкова сервисирања (структура дуга, концентрација обавеза).</w:t>
      </w:r>
    </w:p>
    <w:p w14:paraId="41B0CFA1" w14:textId="77777777" w:rsidR="00113630" w:rsidRPr="001B41AD" w:rsidRDefault="00113630" w:rsidP="00113630">
      <w:pPr>
        <w:spacing w:after="120"/>
        <w:rPr>
          <w:rFonts w:ascii="Calibri" w:eastAsia="Calibri" w:hAnsi="Calibri" w:cs="Calibri"/>
          <w:bCs/>
          <w:szCs w:val="72"/>
          <w:lang w:val="sr-Cyrl-CS"/>
        </w:rPr>
      </w:pPr>
      <w:r w:rsidRPr="001B41AD">
        <w:rPr>
          <w:rFonts w:ascii="Calibri" w:eastAsia="Calibri" w:hAnsi="Calibri" w:cs="Calibri"/>
          <w:bCs/>
          <w:szCs w:val="72"/>
          <w:lang w:val="sr-Cyrl-CS"/>
        </w:rPr>
        <w:t>У циљу смањења изложености финансијским ризицима потребно је спроводити следеће мере:</w:t>
      </w:r>
    </w:p>
    <w:p w14:paraId="371A301A" w14:textId="77777777" w:rsidR="00113630" w:rsidRPr="001B41AD" w:rsidRDefault="00113630" w:rsidP="00113630">
      <w:pPr>
        <w:spacing w:after="60"/>
        <w:rPr>
          <w:rFonts w:ascii="Calibri" w:eastAsia="Calibri" w:hAnsi="Calibri" w:cs="Calibri"/>
          <w:bCs/>
          <w:szCs w:val="72"/>
          <w:lang w:val="sr-Cyrl-CS"/>
        </w:rPr>
      </w:pPr>
      <w:r w:rsidRPr="001B41AD">
        <w:rPr>
          <w:rFonts w:ascii="Calibri" w:eastAsia="Calibri" w:hAnsi="Calibri" w:cs="Calibri"/>
          <w:bCs/>
          <w:szCs w:val="72"/>
          <w:lang w:val="sr-Cyrl-CS"/>
        </w:rPr>
        <w:t>1. ризик рефинансирања</w:t>
      </w:r>
    </w:p>
    <w:p w14:paraId="02B41C68" w14:textId="77777777" w:rsidR="00113630" w:rsidRPr="001B41AD" w:rsidRDefault="00113630" w:rsidP="00204810">
      <w:pPr>
        <w:numPr>
          <w:ilvl w:val="0"/>
          <w:numId w:val="7"/>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повећање учешћа средњорочних и дугорочних финансијских инструмената деноминованих у динарима на домаћем финансијском тржишту;</w:t>
      </w:r>
    </w:p>
    <w:p w14:paraId="52B275C8" w14:textId="77777777" w:rsidR="00113630" w:rsidRPr="001B41AD" w:rsidRDefault="00113630" w:rsidP="00204810">
      <w:pPr>
        <w:numPr>
          <w:ilvl w:val="0"/>
          <w:numId w:val="7"/>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равномерна расподела обавеза по основу јавног дуга на годишњем нивоу у наредном дугорочном периоду;</w:t>
      </w:r>
    </w:p>
    <w:p w14:paraId="235D55BF" w14:textId="77777777" w:rsidR="00113630" w:rsidRPr="001B41AD" w:rsidRDefault="00113630" w:rsidP="00204810">
      <w:pPr>
        <w:numPr>
          <w:ilvl w:val="0"/>
          <w:numId w:val="7"/>
        </w:numPr>
        <w:spacing w:after="120"/>
        <w:ind w:left="181" w:hanging="181"/>
        <w:rPr>
          <w:rFonts w:ascii="Calibri" w:eastAsia="Calibri" w:hAnsi="Calibri" w:cs="Calibri"/>
          <w:bCs/>
          <w:szCs w:val="72"/>
          <w:lang w:val="sr-Cyrl-CS"/>
        </w:rPr>
      </w:pPr>
      <w:r w:rsidRPr="001B41AD">
        <w:rPr>
          <w:rFonts w:ascii="Calibri" w:eastAsia="Calibri" w:hAnsi="Calibri" w:cs="Calibri"/>
          <w:bCs/>
          <w:szCs w:val="72"/>
          <w:lang w:val="sr-Cyrl-CS"/>
        </w:rPr>
        <w:t>продужавање просечне рочности дуга који се емитује у хартијама од вредности;</w:t>
      </w:r>
    </w:p>
    <w:p w14:paraId="4EAF53EE" w14:textId="77777777" w:rsidR="00113630" w:rsidRPr="001B41AD" w:rsidRDefault="00113630" w:rsidP="00113630">
      <w:pPr>
        <w:spacing w:after="60"/>
        <w:rPr>
          <w:rFonts w:ascii="Calibri" w:eastAsia="Calibri" w:hAnsi="Calibri" w:cs="Calibri"/>
          <w:bCs/>
          <w:szCs w:val="72"/>
          <w:lang w:val="sr-Cyrl-CS"/>
        </w:rPr>
      </w:pPr>
      <w:r w:rsidRPr="001B41AD">
        <w:rPr>
          <w:rFonts w:ascii="Calibri" w:eastAsia="Calibri" w:hAnsi="Calibri" w:cs="Calibri"/>
          <w:bCs/>
          <w:szCs w:val="72"/>
          <w:lang w:val="sr-Cyrl-CS"/>
        </w:rPr>
        <w:t>2. девизни ризик</w:t>
      </w:r>
    </w:p>
    <w:p w14:paraId="3733BF9B" w14:textId="77777777" w:rsidR="00113630" w:rsidRPr="001B41AD" w:rsidRDefault="00113630" w:rsidP="00204810">
      <w:pPr>
        <w:numPr>
          <w:ilvl w:val="1"/>
          <w:numId w:val="8"/>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настојање да се смањи учешће дуга деноминованог у ино-валути уз уважавање трошкова новог дуга (трошкови динаризације дуга);</w:t>
      </w:r>
    </w:p>
    <w:p w14:paraId="574A7799" w14:textId="77777777" w:rsidR="00113630" w:rsidRPr="001B41AD" w:rsidRDefault="00113630" w:rsidP="00204810">
      <w:pPr>
        <w:numPr>
          <w:ilvl w:val="1"/>
          <w:numId w:val="8"/>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коришћење финансијских деривата у циљу лимитирања ефеката промене курсева референтних валута;</w:t>
      </w:r>
    </w:p>
    <w:p w14:paraId="5EDAFDB3" w14:textId="77777777" w:rsidR="00113630" w:rsidRPr="001B41AD" w:rsidRDefault="00113630" w:rsidP="00204810">
      <w:pPr>
        <w:numPr>
          <w:ilvl w:val="1"/>
          <w:numId w:val="8"/>
        </w:numPr>
        <w:spacing w:after="120"/>
        <w:ind w:left="181" w:hanging="181"/>
        <w:rPr>
          <w:rFonts w:ascii="Calibri" w:eastAsia="Calibri" w:hAnsi="Calibri" w:cs="Calibri"/>
          <w:bCs/>
          <w:szCs w:val="72"/>
          <w:lang w:val="sr-Cyrl-CS"/>
        </w:rPr>
      </w:pPr>
      <w:r w:rsidRPr="001B41AD">
        <w:rPr>
          <w:rFonts w:ascii="Calibri" w:eastAsia="Calibri" w:hAnsi="Calibri" w:cs="Calibri"/>
          <w:bCs/>
          <w:szCs w:val="72"/>
          <w:lang w:val="sr-Cyrl-CS"/>
        </w:rPr>
        <w:t>настојање да спољни дуг буде углавном у еврима и да се доларски дуг користи само ако је финансирање на међународном тржишту у доларима јефтиније уз коришћење финансијских деривата за лимитирање ризика;</w:t>
      </w:r>
    </w:p>
    <w:p w14:paraId="1243A30F" w14:textId="77777777" w:rsidR="00113630" w:rsidRPr="001B41AD" w:rsidRDefault="00113630" w:rsidP="00113630">
      <w:pPr>
        <w:spacing w:after="60"/>
        <w:ind w:left="181" w:hanging="181"/>
        <w:rPr>
          <w:rFonts w:ascii="Calibri" w:eastAsia="Calibri" w:hAnsi="Calibri" w:cs="Calibri"/>
          <w:bCs/>
          <w:szCs w:val="72"/>
          <w:lang w:val="sr-Cyrl-CS"/>
        </w:rPr>
      </w:pPr>
      <w:r w:rsidRPr="001B41AD">
        <w:rPr>
          <w:rFonts w:ascii="Calibri" w:eastAsia="Calibri" w:hAnsi="Calibri" w:cs="Calibri"/>
          <w:bCs/>
          <w:szCs w:val="72"/>
          <w:lang w:val="sr-Cyrl-CS"/>
        </w:rPr>
        <w:t>3. тржишни ризик (ризик каматних стопа, ризик инфлације)</w:t>
      </w:r>
    </w:p>
    <w:p w14:paraId="47D3208F" w14:textId="77777777" w:rsidR="00113630" w:rsidRPr="001B41AD" w:rsidRDefault="00113630" w:rsidP="00204810">
      <w:pPr>
        <w:numPr>
          <w:ilvl w:val="1"/>
          <w:numId w:val="9"/>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настојање да се продужи просечна рочност домаћег дуга у динарима;</w:t>
      </w:r>
    </w:p>
    <w:p w14:paraId="0994EAF0" w14:textId="77777777" w:rsidR="00113630" w:rsidRPr="001B41AD" w:rsidRDefault="00113630" w:rsidP="00204810">
      <w:pPr>
        <w:numPr>
          <w:ilvl w:val="1"/>
          <w:numId w:val="9"/>
        </w:numPr>
        <w:spacing w:after="120"/>
        <w:ind w:left="181" w:hanging="181"/>
        <w:rPr>
          <w:rFonts w:ascii="Calibri" w:eastAsia="Calibri" w:hAnsi="Calibri" w:cs="Calibri"/>
          <w:bCs/>
          <w:szCs w:val="72"/>
          <w:lang w:val="sr-Cyrl-CS"/>
        </w:rPr>
      </w:pPr>
      <w:r w:rsidRPr="001B41AD">
        <w:rPr>
          <w:rFonts w:ascii="Calibri" w:eastAsia="Calibri" w:hAnsi="Calibri" w:cs="Calibri"/>
          <w:bCs/>
          <w:szCs w:val="72"/>
          <w:lang w:val="sr-Cyrl-CS"/>
        </w:rPr>
        <w:t>настојање да ризик по основу каматних стопа на спољни дуг не угрожава дугорочни циљ минимизације трошкова јавног дуга;</w:t>
      </w:r>
    </w:p>
    <w:p w14:paraId="3105BCA0" w14:textId="77777777" w:rsidR="00113630" w:rsidRPr="001B41AD" w:rsidRDefault="00113630" w:rsidP="00113630">
      <w:pPr>
        <w:spacing w:after="60"/>
        <w:rPr>
          <w:rFonts w:ascii="Calibri" w:eastAsia="Calibri" w:hAnsi="Calibri" w:cs="Calibri"/>
          <w:bCs/>
          <w:szCs w:val="72"/>
          <w:lang w:val="sr-Cyrl-CS"/>
        </w:rPr>
      </w:pPr>
      <w:r w:rsidRPr="001B41AD">
        <w:rPr>
          <w:rFonts w:ascii="Calibri" w:eastAsia="Calibri" w:hAnsi="Calibri" w:cs="Calibri"/>
          <w:bCs/>
          <w:szCs w:val="72"/>
          <w:lang w:val="sr-Cyrl-CS"/>
        </w:rPr>
        <w:t>4. ризик ликвидности</w:t>
      </w:r>
    </w:p>
    <w:p w14:paraId="44220BE2" w14:textId="77777777" w:rsidR="00113630" w:rsidRPr="001B41AD" w:rsidRDefault="00113630" w:rsidP="00204810">
      <w:pPr>
        <w:numPr>
          <w:ilvl w:val="1"/>
          <w:numId w:val="10"/>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перманентно одржавање нивоа готовине на рачунима Републике Србије на нивоу који омогућава несметано финансирање обавеза у минимуму од четири месеца и на нивоу који омогућава апсорпцију евентуалних мањих прилива по основу задуживања у односу на план;</w:t>
      </w:r>
    </w:p>
    <w:p w14:paraId="692EBB0F" w14:textId="77777777" w:rsidR="00113630" w:rsidRPr="001B41AD" w:rsidRDefault="00113630" w:rsidP="00204810">
      <w:pPr>
        <w:numPr>
          <w:ilvl w:val="1"/>
          <w:numId w:val="10"/>
        </w:numPr>
        <w:spacing w:after="120"/>
        <w:ind w:left="181" w:hanging="181"/>
        <w:rPr>
          <w:rFonts w:ascii="Calibri" w:eastAsia="Calibri" w:hAnsi="Calibri" w:cs="Calibri"/>
          <w:bCs/>
          <w:szCs w:val="72"/>
          <w:lang w:val="sr-Cyrl-CS"/>
        </w:rPr>
      </w:pPr>
      <w:r w:rsidRPr="001B41AD">
        <w:rPr>
          <w:rFonts w:ascii="Calibri" w:eastAsia="Calibri" w:hAnsi="Calibri" w:cs="Calibri"/>
          <w:bCs/>
          <w:szCs w:val="72"/>
          <w:lang w:val="sr-Cyrl-CS"/>
        </w:rPr>
        <w:t>адекватно управљање слободним готовинским средствима на рачунима Републике Србије у складу са принципима asset-liability management и у складу са могућностима;</w:t>
      </w:r>
    </w:p>
    <w:p w14:paraId="40CB261C" w14:textId="77777777" w:rsidR="00113630" w:rsidRPr="001B41AD" w:rsidRDefault="00113630" w:rsidP="00113630">
      <w:pPr>
        <w:spacing w:after="60"/>
        <w:rPr>
          <w:rFonts w:ascii="Calibri" w:eastAsia="Calibri" w:hAnsi="Calibri" w:cs="Calibri"/>
          <w:bCs/>
          <w:szCs w:val="72"/>
          <w:lang w:val="sr-Cyrl-CS"/>
        </w:rPr>
      </w:pPr>
      <w:r w:rsidRPr="001B41AD">
        <w:rPr>
          <w:rFonts w:ascii="Calibri" w:eastAsia="Calibri" w:hAnsi="Calibri" w:cs="Calibri"/>
          <w:bCs/>
          <w:szCs w:val="72"/>
          <w:lang w:val="sr-Cyrl-CS"/>
        </w:rPr>
        <w:lastRenderedPageBreak/>
        <w:t>5. кредитни и оперативни ризици</w:t>
      </w:r>
    </w:p>
    <w:p w14:paraId="4C81DD15" w14:textId="77777777" w:rsidR="00113630" w:rsidRPr="001B41AD" w:rsidRDefault="00113630" w:rsidP="00204810">
      <w:pPr>
        <w:numPr>
          <w:ilvl w:val="1"/>
          <w:numId w:val="11"/>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спровођење трансакција са финансијским дериватима само са финансијским институцијама које имају висок кредитни рејтинг;</w:t>
      </w:r>
    </w:p>
    <w:p w14:paraId="2D0B5176" w14:textId="77777777" w:rsidR="00113630" w:rsidRPr="001B41AD" w:rsidRDefault="00113630" w:rsidP="00204810">
      <w:pPr>
        <w:numPr>
          <w:ilvl w:val="1"/>
          <w:numId w:val="11"/>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коришћење финансијских инструмената који лимитирају кредитни ризик;</w:t>
      </w:r>
    </w:p>
    <w:p w14:paraId="2640E5C0" w14:textId="77777777" w:rsidR="00113630" w:rsidRPr="001B41AD" w:rsidRDefault="00113630" w:rsidP="00204810">
      <w:pPr>
        <w:numPr>
          <w:ilvl w:val="1"/>
          <w:numId w:val="11"/>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давање гаранција и одобравање новог дуга јединицама локалне самоуправе само ако постоји адекватна анализа о релативно ниском степену вероватноће да се реализује гаранција или да јединица локалне самоуправе постане несолвентна у средњорочном периоду;</w:t>
      </w:r>
    </w:p>
    <w:p w14:paraId="22BAADF9" w14:textId="77777777" w:rsidR="00113630" w:rsidRPr="001B41AD" w:rsidRDefault="00113630" w:rsidP="00204810">
      <w:pPr>
        <w:numPr>
          <w:ilvl w:val="0"/>
          <w:numId w:val="4"/>
        </w:numPr>
        <w:tabs>
          <w:tab w:val="left" w:pos="90"/>
        </w:tabs>
        <w:spacing w:after="120"/>
        <w:ind w:left="181" w:hanging="181"/>
        <w:rPr>
          <w:rFonts w:ascii="Calibri" w:eastAsia="Calibri" w:hAnsi="Calibri" w:cs="Calibri"/>
          <w:bCs/>
          <w:szCs w:val="72"/>
          <w:lang w:val="sr-Cyrl-CS"/>
        </w:rPr>
      </w:pPr>
      <w:r w:rsidRPr="001B41AD">
        <w:rPr>
          <w:rFonts w:ascii="Calibri" w:eastAsia="Calibri" w:hAnsi="Calibri" w:cs="Calibri"/>
          <w:bCs/>
          <w:szCs w:val="72"/>
          <w:lang w:val="sr-Cyrl-CS"/>
        </w:rPr>
        <w:t>увођење адекватне контроле у свим пословним активностима у Управи за јавни дуг и унапређење знања запослених;</w:t>
      </w:r>
    </w:p>
    <w:p w14:paraId="6EB0FE46" w14:textId="77777777" w:rsidR="00113630" w:rsidRPr="001B41AD" w:rsidRDefault="00113630" w:rsidP="00113630">
      <w:pPr>
        <w:tabs>
          <w:tab w:val="left" w:pos="90"/>
        </w:tabs>
        <w:spacing w:after="60"/>
        <w:ind w:left="181" w:hanging="181"/>
        <w:rPr>
          <w:rFonts w:ascii="Calibri" w:eastAsia="Calibri" w:hAnsi="Calibri" w:cs="Calibri"/>
          <w:bCs/>
          <w:szCs w:val="72"/>
          <w:lang w:val="sr-Cyrl-CS"/>
        </w:rPr>
      </w:pPr>
      <w:r w:rsidRPr="001B41AD">
        <w:rPr>
          <w:rFonts w:ascii="Calibri" w:eastAsia="Calibri" w:hAnsi="Calibri" w:cs="Calibri"/>
          <w:bCs/>
          <w:szCs w:val="72"/>
          <w:lang w:val="sr-Cyrl-CS"/>
        </w:rPr>
        <w:t>6. ризици везани за дистрибуцију трошкова сервисирања</w:t>
      </w:r>
    </w:p>
    <w:p w14:paraId="1717B4F3" w14:textId="77777777" w:rsidR="00113630" w:rsidRPr="001B41AD" w:rsidRDefault="00113630" w:rsidP="00204810">
      <w:pPr>
        <w:numPr>
          <w:ilvl w:val="0"/>
          <w:numId w:val="4"/>
        </w:numPr>
        <w:tabs>
          <w:tab w:val="left" w:pos="90"/>
        </w:tabs>
        <w:ind w:left="181" w:hanging="181"/>
        <w:contextualSpacing/>
        <w:rPr>
          <w:rFonts w:ascii="Calibri" w:eastAsia="Calibri" w:hAnsi="Calibri" w:cs="Calibri"/>
          <w:bCs/>
          <w:szCs w:val="72"/>
          <w:lang w:val="sr-Cyrl-CS"/>
        </w:rPr>
      </w:pPr>
      <w:r w:rsidRPr="001B41AD">
        <w:rPr>
          <w:rFonts w:ascii="Calibri" w:eastAsia="Calibri" w:hAnsi="Calibri" w:cs="Calibri"/>
          <w:bCs/>
          <w:szCs w:val="72"/>
          <w:lang w:val="sr-Cyrl-CS"/>
        </w:rPr>
        <w:t>адекватно планирање задуживања на годишњем нивоу и равномерна расподела у наредним годинама и током фискалне године како би се избегао ризик велике концентрације обавеза за рефинансирање;</w:t>
      </w:r>
    </w:p>
    <w:p w14:paraId="038588F3" w14:textId="77777777" w:rsidR="00113630" w:rsidRPr="001B41AD" w:rsidRDefault="00113630" w:rsidP="00204810">
      <w:pPr>
        <w:numPr>
          <w:ilvl w:val="0"/>
          <w:numId w:val="4"/>
        </w:numPr>
        <w:tabs>
          <w:tab w:val="left" w:pos="90"/>
        </w:tabs>
        <w:ind w:left="181" w:hanging="181"/>
        <w:rPr>
          <w:rFonts w:ascii="Calibri" w:eastAsia="Calibri" w:hAnsi="Calibri" w:cs="Calibri"/>
          <w:bCs/>
          <w:szCs w:val="72"/>
          <w:lang w:val="sr-Cyrl-CS"/>
        </w:rPr>
      </w:pPr>
      <w:r w:rsidRPr="001B41AD">
        <w:rPr>
          <w:rFonts w:ascii="Calibri" w:eastAsia="Calibri" w:hAnsi="Calibri" w:cs="Calibri"/>
          <w:bCs/>
          <w:szCs w:val="72"/>
          <w:lang w:val="sr-Cyrl-CS"/>
        </w:rPr>
        <w:t>избегавање концентрације обавеза по основу јавног дуга на месечном нивоу, који не би могао бити амортизован слободним новчаним средствима на рачунима Републике Србије.</w:t>
      </w:r>
    </w:p>
    <w:p w14:paraId="34E38E5F"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r w:rsidRPr="001B41AD">
        <w:rPr>
          <w:rFonts w:ascii="Calibri" w:eastAsia="Calibri" w:hAnsi="Calibri" w:cs="Times New Roman"/>
          <w:b/>
          <w:color w:val="2F5496" w:themeColor="accent1" w:themeShade="BF"/>
          <w:sz w:val="22"/>
          <w:lang w:val="sr-Cyrl-CS"/>
        </w:rPr>
        <w:t>Анализе коришћене приликом израде Стратегије за управљање јавним дугом</w:t>
      </w:r>
    </w:p>
    <w:p w14:paraId="18D99FEA"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За формулисање Стратегије за управљање јавним дугом коришћен је квантитативни приступ у анализи трошкова и ризика који утичу на управљање јавним дугом.</w:t>
      </w:r>
    </w:p>
    <w:p w14:paraId="6FD89FD5"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Имајући у виду макроекономско окружење и тржишне услове, упоредно се разматрају алтернативни извори финансирања.</w:t>
      </w:r>
    </w:p>
    <w:p w14:paraId="6478A7B0"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У сврху анализе коришћени су инструменти доступни на домаћем и међународном финансијском тржишту.</w:t>
      </w:r>
    </w:p>
    <w:p w14:paraId="03C5E7C7" w14:textId="77777777" w:rsidR="00113630" w:rsidRPr="001B41AD" w:rsidRDefault="00113630" w:rsidP="00113630">
      <w:pPr>
        <w:spacing w:after="120"/>
        <w:rPr>
          <w:rFonts w:ascii="Calibri" w:eastAsia="Calibri" w:hAnsi="Calibri" w:cs="Calibri"/>
          <w:bCs/>
          <w:szCs w:val="72"/>
          <w:lang w:val="sr-Cyrl-CS"/>
        </w:rPr>
      </w:pPr>
      <w:r w:rsidRPr="001B41AD">
        <w:rPr>
          <w:rFonts w:ascii="Calibri" w:eastAsia="Calibri" w:hAnsi="Calibri" w:cs="Calibri"/>
          <w:bCs/>
          <w:szCs w:val="72"/>
          <w:lang w:val="sr-Cyrl-CS"/>
        </w:rPr>
        <w:t>Извори финансирања деноминовани у страној валути:</w:t>
      </w:r>
    </w:p>
    <w:p w14:paraId="5A5972CA" w14:textId="77777777" w:rsidR="00113630" w:rsidRPr="001B41AD" w:rsidRDefault="00113630" w:rsidP="00204810">
      <w:pPr>
        <w:numPr>
          <w:ilvl w:val="0"/>
          <w:numId w:val="5"/>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 xml:space="preserve">Зајмови страних влада, међународних финансијских институција, пословних банака и других поверилаца – приказани као </w:t>
      </w:r>
      <w:r w:rsidRPr="001B41AD">
        <w:rPr>
          <w:rFonts w:ascii="Calibri" w:eastAsia="Calibri" w:hAnsi="Calibri" w:cs="Calibri"/>
          <w:bCs/>
          <w:szCs w:val="72"/>
          <w:lang w:val="sr-Cyrl-CS"/>
        </w:rPr>
        <w:t>концесионални инструменти деноминовани у еврима или америчким доларима, са фиксном или варијабилном каматном стопом;</w:t>
      </w:r>
    </w:p>
    <w:p w14:paraId="3495A3BF" w14:textId="77777777" w:rsidR="00113630" w:rsidRPr="001B41AD" w:rsidRDefault="00113630" w:rsidP="00204810">
      <w:pPr>
        <w:numPr>
          <w:ilvl w:val="0"/>
          <w:numId w:val="5"/>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Државни записи и државне обвезнице емитоване на домаћем или иностраном финансијском тржишту, деноминовани у еврима;</w:t>
      </w:r>
    </w:p>
    <w:p w14:paraId="6BB7B398" w14:textId="77777777" w:rsidR="00113630" w:rsidRPr="001B41AD" w:rsidRDefault="00113630" w:rsidP="00204810">
      <w:pPr>
        <w:numPr>
          <w:ilvl w:val="0"/>
          <w:numId w:val="5"/>
        </w:numPr>
        <w:ind w:left="180" w:hanging="180"/>
        <w:contextualSpacing/>
        <w:rPr>
          <w:rFonts w:ascii="Calibri" w:eastAsia="Calibri" w:hAnsi="Calibri" w:cs="Calibri"/>
          <w:bCs/>
          <w:szCs w:val="72"/>
          <w:lang w:val="sr-Cyrl-CS"/>
        </w:rPr>
      </w:pPr>
      <w:r w:rsidRPr="001B41AD">
        <w:rPr>
          <w:rFonts w:ascii="Calibri" w:eastAsia="Calibri" w:hAnsi="Calibri" w:cs="Calibri"/>
          <w:bCs/>
          <w:szCs w:val="72"/>
          <w:lang w:val="sr-Cyrl-CS"/>
        </w:rPr>
        <w:t>Еврообвезницe – емитованe у еврима или америчким доларима на међународном финансијском тржишту.</w:t>
      </w:r>
    </w:p>
    <w:p w14:paraId="0171CCED" w14:textId="77777777" w:rsidR="00113630" w:rsidRPr="001B41AD" w:rsidRDefault="00113630" w:rsidP="00113630">
      <w:pPr>
        <w:ind w:left="180"/>
        <w:contextualSpacing/>
        <w:rPr>
          <w:rFonts w:ascii="Calibri" w:eastAsia="Calibri" w:hAnsi="Calibri" w:cs="Calibri"/>
          <w:bCs/>
          <w:szCs w:val="72"/>
          <w:lang w:val="sr-Cyrl-CS"/>
        </w:rPr>
      </w:pPr>
    </w:p>
    <w:p w14:paraId="05CF5992" w14:textId="77777777" w:rsidR="00113630" w:rsidRPr="001B41AD" w:rsidRDefault="00113630" w:rsidP="00113630">
      <w:pPr>
        <w:spacing w:after="120"/>
        <w:rPr>
          <w:rFonts w:ascii="Calibri" w:eastAsia="Calibri" w:hAnsi="Calibri" w:cs="Calibri"/>
          <w:bCs/>
          <w:szCs w:val="72"/>
          <w:lang w:val="sr-Cyrl-CS"/>
        </w:rPr>
      </w:pPr>
      <w:r w:rsidRPr="001B41AD">
        <w:rPr>
          <w:rFonts w:ascii="Calibri" w:eastAsia="Calibri" w:hAnsi="Calibri" w:cs="Calibri"/>
          <w:bCs/>
          <w:szCs w:val="72"/>
          <w:lang w:val="sr-Cyrl-CS"/>
        </w:rPr>
        <w:t>Извори финансирања у домаћој валути:</w:t>
      </w:r>
    </w:p>
    <w:p w14:paraId="7EABF5BA" w14:textId="77777777" w:rsidR="00113630" w:rsidRPr="001B41AD" w:rsidRDefault="00113630" w:rsidP="00204810">
      <w:pPr>
        <w:numPr>
          <w:ilvl w:val="1"/>
          <w:numId w:val="6"/>
        </w:numPr>
        <w:spacing w:line="256" w:lineRule="auto"/>
        <w:ind w:left="181" w:hanging="181"/>
        <w:rPr>
          <w:lang w:val="sr-Cyrl-CS"/>
        </w:rPr>
      </w:pPr>
      <w:r w:rsidRPr="001B41AD">
        <w:rPr>
          <w:rFonts w:ascii="Calibri" w:eastAsia="Calibri" w:hAnsi="Calibri" w:cs="Calibri"/>
          <w:bCs/>
          <w:szCs w:val="72"/>
          <w:lang w:val="sr-Cyrl-CS"/>
        </w:rPr>
        <w:t>Државни записи и државне обвезнице емитоване на домаћем финансијском тржишту, деноминовани у динарима;</w:t>
      </w:r>
    </w:p>
    <w:p w14:paraId="25FED50B" w14:textId="77777777" w:rsidR="00113630" w:rsidRPr="001B41AD" w:rsidRDefault="00113630" w:rsidP="00204810">
      <w:pPr>
        <w:numPr>
          <w:ilvl w:val="1"/>
          <w:numId w:val="6"/>
        </w:numPr>
        <w:spacing w:line="256" w:lineRule="auto"/>
        <w:ind w:left="181" w:hanging="181"/>
        <w:rPr>
          <w:lang w:val="sr-Cyrl-CS"/>
        </w:rPr>
      </w:pPr>
      <w:r w:rsidRPr="001B41AD">
        <w:rPr>
          <w:rFonts w:ascii="Calibri" w:eastAsia="Calibri" w:hAnsi="Calibri" w:cs="Calibri"/>
          <w:bCs/>
          <w:szCs w:val="72"/>
          <w:lang w:val="sr-Cyrl-CS"/>
        </w:rPr>
        <w:t>Кредитни аранжмани деноминовани у динарима, за финансирање значајних пројеката у земљи.</w:t>
      </w:r>
    </w:p>
    <w:p w14:paraId="3C3FD3F3"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r w:rsidRPr="001B41AD">
        <w:rPr>
          <w:rFonts w:ascii="Calibri" w:eastAsia="Calibri" w:hAnsi="Calibri" w:cs="Times New Roman"/>
          <w:b/>
          <w:color w:val="2F5496" w:themeColor="accent1" w:themeShade="BF"/>
          <w:sz w:val="22"/>
          <w:lang w:val="sr-Cyrl-CS"/>
        </w:rPr>
        <w:t>Будуће тржишне каматне стопе и сценарио анализа</w:t>
      </w:r>
    </w:p>
    <w:p w14:paraId="77B2D9A8"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Након избора одговарајуће композиције извора финансирања (изабране и компаративних стратегија финансирања), приступа се анализи трошкова и ризика полазећи од основног (највероватнијег) сценарија, након чега се врши стрес тестирање за додатне врсте сценарија –шокова, како би се добио преглед ефеката коштања разматраних стратегија.</w:t>
      </w:r>
    </w:p>
    <w:p w14:paraId="2354EDB5"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Основни сценарио се базира на највише вероватним тржишним условима за три групе тржишних варијабли: девизни курс, каматне стопе на међународном тржишту и каматне стопе на домаћем тржишту. </w:t>
      </w:r>
    </w:p>
    <w:p w14:paraId="0C2FECFB"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Након дефинисања основног сценарија, у циљу стрес тестирања одабране су додатне врсте сценарија – шокова:</w:t>
      </w:r>
    </w:p>
    <w:p w14:paraId="25A323D0" w14:textId="77777777" w:rsidR="00113630" w:rsidRPr="001B41AD" w:rsidRDefault="00113630" w:rsidP="00204810">
      <w:pPr>
        <w:pStyle w:val="ListParagraph"/>
        <w:numPr>
          <w:ilvl w:val="2"/>
          <w:numId w:val="5"/>
        </w:numPr>
        <w:spacing w:after="60"/>
        <w:ind w:left="227" w:hanging="227"/>
        <w:contextualSpacing w:val="0"/>
        <w:rPr>
          <w:rFonts w:ascii="Calibri" w:eastAsia="Calibri" w:hAnsi="Calibri" w:cs="Calibri"/>
          <w:bCs/>
          <w:szCs w:val="72"/>
          <w:lang w:val="sr-Cyrl-CS"/>
        </w:rPr>
      </w:pPr>
      <w:r w:rsidRPr="001B41AD">
        <w:rPr>
          <w:rFonts w:ascii="Calibri" w:eastAsia="Calibri" w:hAnsi="Calibri" w:cs="Calibri"/>
          <w:bCs/>
          <w:szCs w:val="72"/>
          <w:lang w:val="sr-Cyrl-CS"/>
        </w:rPr>
        <w:t>Депрецијација динара у односу на све валуте од 15% у 2027.</w:t>
      </w:r>
      <w:r w:rsidRPr="001B41AD">
        <w:rPr>
          <w:rFonts w:ascii="Calibri" w:eastAsia="Calibri" w:hAnsi="Calibri" w:cs="Calibri"/>
          <w:bCs/>
          <w:color w:val="FF0000"/>
          <w:szCs w:val="72"/>
          <w:lang w:val="sr-Cyrl-CS"/>
        </w:rPr>
        <w:t xml:space="preserve"> </w:t>
      </w:r>
      <w:r w:rsidRPr="001B41AD">
        <w:rPr>
          <w:rFonts w:ascii="Calibri" w:eastAsia="Calibri" w:hAnsi="Calibri" w:cs="Calibri"/>
          <w:bCs/>
          <w:szCs w:val="72"/>
          <w:lang w:val="sr-Cyrl-CS"/>
        </w:rPr>
        <w:t>години. У овом сценарију однос евра и америчког долара би остао стабилан, док би само динар депрецирао у односу на обе валуте;</w:t>
      </w:r>
    </w:p>
    <w:p w14:paraId="7EA1B91A" w14:textId="77777777" w:rsidR="00113630" w:rsidRPr="001B41AD" w:rsidRDefault="00113630" w:rsidP="00204810">
      <w:pPr>
        <w:pStyle w:val="ListParagraph"/>
        <w:numPr>
          <w:ilvl w:val="2"/>
          <w:numId w:val="5"/>
        </w:numPr>
        <w:spacing w:after="60"/>
        <w:ind w:left="227" w:hanging="227"/>
        <w:contextualSpacing w:val="0"/>
        <w:rPr>
          <w:rFonts w:ascii="Calibri" w:eastAsia="Calibri" w:hAnsi="Calibri" w:cs="Calibri"/>
          <w:bCs/>
          <w:szCs w:val="72"/>
          <w:lang w:val="sr-Cyrl-CS"/>
        </w:rPr>
      </w:pPr>
      <w:r w:rsidRPr="001B41AD">
        <w:rPr>
          <w:rFonts w:ascii="Calibri" w:eastAsia="Calibri" w:hAnsi="Calibri" w:cs="Calibri"/>
          <w:bCs/>
          <w:szCs w:val="72"/>
          <w:lang w:val="sr-Cyrl-CS"/>
        </w:rPr>
        <w:t>Повећање каматних стопа на домаћем и међународном тржишту за 2 п.п.;</w:t>
      </w:r>
    </w:p>
    <w:p w14:paraId="1D4712C8" w14:textId="77777777" w:rsidR="00113630" w:rsidRPr="001B41AD" w:rsidRDefault="00113630" w:rsidP="00204810">
      <w:pPr>
        <w:pStyle w:val="ListParagraph"/>
        <w:numPr>
          <w:ilvl w:val="2"/>
          <w:numId w:val="5"/>
        </w:numPr>
        <w:spacing w:after="60"/>
        <w:ind w:left="227" w:hanging="227"/>
        <w:contextualSpacing w:val="0"/>
        <w:rPr>
          <w:rFonts w:ascii="Calibri" w:eastAsia="Calibri" w:hAnsi="Calibri" w:cs="Calibri"/>
          <w:bCs/>
          <w:spacing w:val="-4"/>
          <w:szCs w:val="72"/>
          <w:lang w:val="sr-Cyrl-CS"/>
        </w:rPr>
      </w:pPr>
      <w:r w:rsidRPr="001B41AD">
        <w:rPr>
          <w:rFonts w:ascii="Calibri" w:eastAsia="Calibri" w:hAnsi="Calibri" w:cs="Calibri"/>
          <w:bCs/>
          <w:spacing w:val="-4"/>
          <w:szCs w:val="72"/>
          <w:lang w:val="sr-Cyrl-CS"/>
        </w:rPr>
        <w:lastRenderedPageBreak/>
        <w:t>Повећање каматних стопа на међународном тржишту до 3 п.п., а на домаћем тржишту до 4 п.п.;</w:t>
      </w:r>
    </w:p>
    <w:p w14:paraId="4AA851B5" w14:textId="77777777" w:rsidR="00113630" w:rsidRPr="001B41AD" w:rsidRDefault="00113630" w:rsidP="00204810">
      <w:pPr>
        <w:pStyle w:val="ListParagraph"/>
        <w:numPr>
          <w:ilvl w:val="2"/>
          <w:numId w:val="5"/>
        </w:numPr>
        <w:ind w:left="227" w:hanging="227"/>
        <w:rPr>
          <w:rFonts w:ascii="Calibri" w:eastAsia="Calibri" w:hAnsi="Calibri" w:cs="Calibri"/>
          <w:bCs/>
          <w:szCs w:val="72"/>
          <w:lang w:val="sr-Cyrl-CS"/>
        </w:rPr>
      </w:pPr>
      <w:r w:rsidRPr="001B41AD">
        <w:rPr>
          <w:rFonts w:ascii="Calibri" w:eastAsia="Calibri" w:hAnsi="Calibri" w:cs="Calibri"/>
          <w:bCs/>
          <w:szCs w:val="72"/>
          <w:lang w:val="sr-Cyrl-CS"/>
        </w:rPr>
        <w:t>Комбиновани шок који се односи на депрецијацију динара у односу на долар 15% у 2027. години и раст каматних стопа за 2 п.п.</w:t>
      </w:r>
    </w:p>
    <w:p w14:paraId="3653586F"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p>
    <w:p w14:paraId="36745F56"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r w:rsidRPr="001B41AD">
        <w:rPr>
          <w:rFonts w:ascii="Calibri" w:eastAsia="Calibri" w:hAnsi="Calibri" w:cs="Times New Roman"/>
          <w:b/>
          <w:color w:val="2F5496" w:themeColor="accent1" w:themeShade="BF"/>
          <w:sz w:val="22"/>
          <w:lang w:val="sr-Cyrl-CS"/>
        </w:rPr>
        <w:t>Алтернативне стратегије задуживања за период 2026–2028. године</w:t>
      </w:r>
    </w:p>
    <w:p w14:paraId="297A24E2"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На бази модела Светске банке </w:t>
      </w:r>
      <w:r w:rsidRPr="001B41AD">
        <w:rPr>
          <w:rFonts w:ascii="Calibri" w:eastAsia="Calibri" w:hAnsi="Calibri" w:cs="Calibri"/>
          <w:bCs/>
          <w:i/>
          <w:szCs w:val="72"/>
          <w:lang w:val="sr-Cyrl-CS"/>
        </w:rPr>
        <w:t>Medium Term Debt Strategy Model</w:t>
      </w:r>
      <w:r w:rsidRPr="001B41AD">
        <w:rPr>
          <w:rFonts w:ascii="Calibri" w:eastAsia="Calibri" w:hAnsi="Calibri" w:cs="Calibri"/>
          <w:bCs/>
          <w:szCs w:val="72"/>
          <w:lang w:val="sr-Cyrl-CS"/>
        </w:rPr>
        <w:t xml:space="preserve"> – MTDS, анализиране алтернативне стратегије задуживања су:</w:t>
      </w:r>
    </w:p>
    <w:p w14:paraId="4DE5C63F"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Основна стратегија (С1): представља стратегију која укупне потребе за буџетским финансирањем покрива приближно уједначеном комбинацијо</w:t>
      </w:r>
      <w:r w:rsidR="00130E66" w:rsidRPr="001B41AD">
        <w:rPr>
          <w:rFonts w:ascii="Calibri" w:eastAsia="Calibri" w:hAnsi="Calibri" w:cs="Calibri"/>
          <w:bCs/>
          <w:szCs w:val="72"/>
          <w:lang w:val="sr-Cyrl-CS"/>
        </w:rPr>
        <w:t>м извора финансирања у страној и домаћој валути.</w:t>
      </w:r>
      <w:r w:rsidRPr="001B41AD">
        <w:rPr>
          <w:rFonts w:ascii="Calibri" w:eastAsia="Calibri" w:hAnsi="Calibri" w:cs="Calibri"/>
          <w:bCs/>
          <w:szCs w:val="72"/>
          <w:lang w:val="sr-Cyrl-CS"/>
        </w:rPr>
        <w:t xml:space="preserve"> Изворе буџетског финансирања у страној валути највећим делом чине примања од продаје еврообвезница на иностраном финансијском тржишту рочности двана</w:t>
      </w:r>
      <w:r w:rsidR="00FD22F6" w:rsidRPr="001B41AD">
        <w:rPr>
          <w:rFonts w:ascii="Calibri" w:eastAsia="Calibri" w:hAnsi="Calibri" w:cs="Calibri"/>
          <w:bCs/>
          <w:szCs w:val="72"/>
          <w:lang w:val="sr-Cyrl-CS"/>
        </w:rPr>
        <w:t>ест, петнаест и двадесет година</w:t>
      </w:r>
      <w:r w:rsidRPr="001B41AD">
        <w:rPr>
          <w:rFonts w:ascii="Calibri" w:eastAsia="Calibri" w:hAnsi="Calibri" w:cs="Calibri"/>
          <w:bCs/>
          <w:szCs w:val="72"/>
          <w:lang w:val="sr-Cyrl-CS"/>
        </w:rPr>
        <w:t>, као и програмски зајмови различитих поверилаца. Изворе буџетског финансирања у домаћој валути чине примања од емисије државних обвезница на домаћем финансијском тржишту (са доминантиним учешћем државних обвезница рочности од десет година, али су планиране и рочности од дванаест, седам, пет и четири године). Пројектно финансирање, као и у претходним годинама, обезбеђује се највећим делом из иностраних кредитних аранжмана деноминованих у страној валути, али постаје видљив и раст удела креди</w:t>
      </w:r>
      <w:r w:rsidR="006343D7" w:rsidRPr="001B41AD">
        <w:rPr>
          <w:rFonts w:ascii="Calibri" w:eastAsia="Calibri" w:hAnsi="Calibri" w:cs="Calibri"/>
          <w:bCs/>
          <w:szCs w:val="72"/>
          <w:lang w:val="sr-Cyrl-CS"/>
        </w:rPr>
        <w:t xml:space="preserve">тних аранжмана у домаћој валути </w:t>
      </w:r>
      <w:r w:rsidRPr="001B41AD">
        <w:rPr>
          <w:rFonts w:ascii="Calibri" w:eastAsia="Calibri" w:hAnsi="Calibri" w:cs="Calibri"/>
          <w:bCs/>
          <w:szCs w:val="72"/>
          <w:lang w:val="sr-Cyrl-CS"/>
        </w:rPr>
        <w:t>од домаћих поверилаца. Стратегија (С2): у односу на стратегију С1, целокупне потребе за финансирањем задовољава емисијом еврообвезница у доларима, рочности дванаест и петнаест година. Стратегија (С3): у односу на стратегију С1, целокупне потребе за финансирањем задовољава емисијом еврообвезница у еврима, рочности дванаест и петнаест година. Стратегија додатне динаризације (С4): представља стратегију која целокупно финансирање заснива на емисијама динарских хартија од вредности рочности од десет и седам година.</w:t>
      </w:r>
    </w:p>
    <w:p w14:paraId="02F3380E"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p>
    <w:p w14:paraId="47BA2A68" w14:textId="77777777" w:rsidR="00113630" w:rsidRPr="001B41AD" w:rsidRDefault="00113630" w:rsidP="00113630">
      <w:pPr>
        <w:spacing w:line="256" w:lineRule="auto"/>
        <w:rPr>
          <w:rFonts w:ascii="Calibri" w:eastAsia="Calibri" w:hAnsi="Calibri" w:cs="Calibri"/>
          <w:bCs/>
          <w:color w:val="2F5496" w:themeColor="accent1" w:themeShade="BF"/>
          <w:szCs w:val="72"/>
          <w:lang w:val="sr-Cyrl-CS"/>
        </w:rPr>
      </w:pPr>
      <w:r w:rsidRPr="001B41AD">
        <w:rPr>
          <w:rFonts w:ascii="Calibri" w:eastAsia="Calibri" w:hAnsi="Calibri" w:cs="Times New Roman"/>
          <w:b/>
          <w:color w:val="2F5496" w:themeColor="accent1" w:themeShade="BF"/>
          <w:sz w:val="22"/>
          <w:lang w:val="sr-Cyrl-CS"/>
        </w:rPr>
        <w:t>Поређење алтернативних стратегија</w:t>
      </w:r>
    </w:p>
    <w:p w14:paraId="4BF9AFE6"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За поређење алтернативних стратегија задуживања примењене су две мере трошкова: однос јавног дуга према БДП и номинална камата као проценат БДП. Први однос је индикатор стања, а други индикатор тока. У циљу поређења, пажња је усмерена на резултате разматраних стратегија на крају 2028. године.</w:t>
      </w:r>
    </w:p>
    <w:p w14:paraId="44DDEC69"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pacing w:val="-2"/>
          <w:szCs w:val="72"/>
          <w:lang w:val="sr-Cyrl-CS"/>
        </w:rPr>
        <w:t xml:space="preserve">На основу графикона јасно се уочавају трошкови које свака од разматраних стратегија носи са собом. </w:t>
      </w:r>
      <w:r w:rsidRPr="001B41AD">
        <w:rPr>
          <w:rFonts w:ascii="Calibri" w:eastAsia="Calibri" w:hAnsi="Calibri" w:cs="Calibri"/>
          <w:bCs/>
          <w:szCs w:val="72"/>
          <w:lang w:val="sr-Cyrl-CS"/>
        </w:rPr>
        <w:t>Трошак алтернативних стратегија при основном макроекономском сценарију приказан је на вертикалној оси графикона трошкова, док се на хоризонталној оси налази потенцијални трошак одређене стратегије задуживања (резултат стрес теста).</w:t>
      </w:r>
    </w:p>
    <w:p w14:paraId="10C35A87"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При основном макроекономском сценарију на крају 2028. године, мерено учешћем дуга у БДП, највише трошкове имају стратегије С2 и С4, док су стратегије С1 и С3 на нешто нижем трошковном нивоу. Са друге стране највећи ризик на однос дуга и БДП, ако се одступи од основног макроекономског сценарија, има промена девизног курса. Посматрано са аспекта утицаја шокова девизног курса на рацио дуга и БДП, најбољи положај има стратегија С4, јер је целокупно финансирање у динарима, док стратегије С2 и С3 имају већу изложеност ризику промене девизног курса, јер је финансирање засновано у потпуности на изворима у страној валути. Стратегија С1 у погледу ризика промене девизног курса има повољнији положај у односу на стратегије С2 и С3, из разлога што комбинује финансирање у домаћој и страној валути.</w:t>
      </w:r>
    </w:p>
    <w:p w14:paraId="3174B37A" w14:textId="77777777" w:rsidR="00113630" w:rsidRPr="001B41AD" w:rsidRDefault="00113630" w:rsidP="00113630">
      <w:pPr>
        <w:spacing w:line="256" w:lineRule="auto"/>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t>Однос дуга и БДП на крају 2028. године</w:t>
      </w:r>
    </w:p>
    <w:p w14:paraId="65161F44" w14:textId="77777777" w:rsidR="00113630" w:rsidRPr="001B41AD" w:rsidRDefault="00113630" w:rsidP="00113630">
      <w:pPr>
        <w:rPr>
          <w:rFonts w:ascii="Calibri" w:eastAsia="Calibri" w:hAnsi="Calibri" w:cs="Calibri"/>
          <w:bCs/>
          <w:szCs w:val="72"/>
          <w:lang w:val="sr-Cyrl-CS"/>
        </w:rPr>
      </w:pPr>
      <w:r w:rsidRPr="001B41AD">
        <w:rPr>
          <w:noProof/>
        </w:rPr>
        <w:drawing>
          <wp:inline distT="0" distB="0" distL="0" distR="0" wp14:anchorId="34238353" wp14:editId="5171CC03">
            <wp:extent cx="2632364" cy="1295400"/>
            <wp:effectExtent l="0" t="0" r="0" b="0"/>
            <wp:docPr id="309692876" name="Chart 1">
              <a:extLst xmlns:a="http://schemas.openxmlformats.org/drawingml/2006/main">
                <a:ext uri="{FF2B5EF4-FFF2-40B4-BE49-F238E27FC236}">
                  <a16:creationId xmlns:a16="http://schemas.microsoft.com/office/drawing/2014/main" id="{00000000-0008-0000-0900-00001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1CBA6CA4" w14:textId="77777777" w:rsidR="00113630" w:rsidRPr="001B41AD" w:rsidRDefault="00113630" w:rsidP="00113630">
      <w:pPr>
        <w:spacing w:line="256" w:lineRule="auto"/>
        <w:rPr>
          <w:rFonts w:ascii="Calibri" w:eastAsia="Calibri" w:hAnsi="Calibri" w:cs="Calibri"/>
          <w:bCs/>
          <w:szCs w:val="72"/>
          <w:lang w:val="sr-Cyrl-CS"/>
        </w:rPr>
      </w:pPr>
    </w:p>
    <w:p w14:paraId="36E68980" w14:textId="77777777" w:rsidR="00113630" w:rsidRPr="001B41AD" w:rsidRDefault="00113630" w:rsidP="00113630">
      <w:pPr>
        <w:spacing w:after="0" w:line="257" w:lineRule="auto"/>
        <w:rPr>
          <w:rFonts w:ascii="Calibri" w:eastAsia="Calibri" w:hAnsi="Calibri" w:cs="Calibri"/>
          <w:bCs/>
          <w:szCs w:val="72"/>
          <w:lang w:val="sr-Cyrl-CS"/>
        </w:rPr>
      </w:pPr>
      <w:r w:rsidRPr="001B41AD">
        <w:rPr>
          <w:rFonts w:ascii="Calibri" w:eastAsia="Calibri" w:hAnsi="Calibri" w:cs="Calibri"/>
          <w:bCs/>
          <w:szCs w:val="72"/>
          <w:lang w:val="sr-Cyrl-CS"/>
        </w:rPr>
        <w:lastRenderedPageBreak/>
        <w:t xml:space="preserve">Са аспекта учешћа камата у БДП, најскупље су стратегије С4 (емисија обвезница у динарима) и С2 (емисија еврообвезница у доларима), следи стратегија С1 (која комбинује инструменте деноминоване еврима, динарима или доларима, са фиксном или варијабилном стопом), док је стратегија С3 најповољнија (јер се базира на еврообвезницама деноминованим у еврима са фиксним стопама). Резултати стрес анализе показали су да највећи ризик за промену односа камате и БДП, ако се промени основни сценарио, долази од шока промене каматних стопа који је већи на домаћем него на међународном тржишту због чега стратегија С4 има највећи ризик промене рација камате и БДП. Следе стратегије С2 и С3 које се састоје од тржишних инструмената који су такође подложни шоковима промене каматних стопа на међународном тржишту, док је код С1 </w:t>
      </w:r>
      <w:r w:rsidRPr="001B41AD">
        <w:rPr>
          <w:rFonts w:ascii="Calibri" w:eastAsia="Calibri" w:hAnsi="Calibri" w:cs="Calibri"/>
          <w:bCs/>
          <w:szCs w:val="72"/>
          <w:lang w:val="sr-Cyrl-CS"/>
        </w:rPr>
        <w:t>овај ризик ублажен услед присуства концесионалних инструмената са фиксним стопама.</w:t>
      </w:r>
    </w:p>
    <w:p w14:paraId="4535B6A3" w14:textId="77777777" w:rsidR="00113630" w:rsidRPr="001B41AD" w:rsidRDefault="00113630" w:rsidP="00113630">
      <w:pPr>
        <w:spacing w:after="0" w:line="257" w:lineRule="auto"/>
        <w:rPr>
          <w:rFonts w:ascii="Calibri" w:eastAsia="Calibri" w:hAnsi="Calibri" w:cs="Times New Roman"/>
          <w:b/>
          <w:color w:val="002060"/>
          <w:lang w:val="sr-Cyrl-CS"/>
        </w:rPr>
      </w:pPr>
    </w:p>
    <w:p w14:paraId="38AC5B77" w14:textId="77777777" w:rsidR="00113630" w:rsidRPr="001B41AD" w:rsidRDefault="00113630" w:rsidP="00113630">
      <w:pPr>
        <w:spacing w:after="0" w:line="257" w:lineRule="auto"/>
        <w:rPr>
          <w:rFonts w:ascii="Calibri" w:eastAsia="Calibri" w:hAnsi="Calibri" w:cs="Times New Roman"/>
          <w:b/>
          <w:color w:val="002060"/>
          <w:lang w:val="sr-Cyrl-CS"/>
        </w:rPr>
      </w:pPr>
      <w:r w:rsidRPr="001B41AD">
        <w:rPr>
          <w:rFonts w:ascii="Calibri" w:eastAsia="Calibri" w:hAnsi="Calibri" w:cs="Times New Roman"/>
          <w:b/>
          <w:color w:val="002060"/>
          <w:lang w:val="sr-Cyrl-CS"/>
        </w:rPr>
        <w:t>Однос камата и БДП на крају 2028. године</w:t>
      </w:r>
    </w:p>
    <w:p w14:paraId="473DAC50" w14:textId="77777777" w:rsidR="00113630" w:rsidRPr="001B41AD" w:rsidRDefault="00113630" w:rsidP="00113630">
      <w:pPr>
        <w:spacing w:after="0" w:line="257" w:lineRule="auto"/>
        <w:rPr>
          <w:rFonts w:ascii="Calibri" w:eastAsia="Calibri" w:hAnsi="Calibri" w:cs="Times New Roman"/>
          <w:b/>
          <w:color w:val="002060"/>
          <w:highlight w:val="yellow"/>
          <w:lang w:val="sr-Cyrl-CS"/>
        </w:rPr>
      </w:pPr>
    </w:p>
    <w:p w14:paraId="240848DD" w14:textId="77777777" w:rsidR="00113630" w:rsidRPr="001B41AD" w:rsidRDefault="00113630" w:rsidP="00113630">
      <w:pPr>
        <w:spacing w:after="0" w:line="257" w:lineRule="auto"/>
        <w:jc w:val="center"/>
        <w:rPr>
          <w:rFonts w:ascii="Calibri" w:eastAsia="Calibri" w:hAnsi="Calibri" w:cs="Times New Roman"/>
          <w:b/>
          <w:color w:val="002060"/>
          <w:lang w:val="sr-Cyrl-CS"/>
        </w:rPr>
      </w:pPr>
      <w:r w:rsidRPr="001B41AD">
        <w:rPr>
          <w:noProof/>
          <w:highlight w:val="yellow"/>
        </w:rPr>
        <w:drawing>
          <wp:inline distT="0" distB="0" distL="0" distR="0" wp14:anchorId="15AC6629" wp14:editId="11D7E8EC">
            <wp:extent cx="2500630" cy="1526650"/>
            <wp:effectExtent l="0" t="0" r="0" b="0"/>
            <wp:docPr id="1159965098" name="Chart 1">
              <a:extLst xmlns:a="http://schemas.openxmlformats.org/drawingml/2006/main">
                <a:ext uri="{FF2B5EF4-FFF2-40B4-BE49-F238E27FC236}">
                  <a16:creationId xmlns:a16="http://schemas.microsoft.com/office/drawing/2014/main" id="{00000000-0008-0000-0900-00001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6CE00AEB" w14:textId="77777777" w:rsidR="00113630" w:rsidRPr="001B41AD" w:rsidRDefault="00113630" w:rsidP="00113630">
      <w:pPr>
        <w:spacing w:line="256" w:lineRule="auto"/>
        <w:jc w:val="center"/>
        <w:rPr>
          <w:rFonts w:ascii="Calibri" w:eastAsia="Calibri" w:hAnsi="Calibri" w:cs="Times New Roman"/>
          <w:b/>
          <w:color w:val="002060"/>
          <w:lang w:val="sr-Cyrl-CS"/>
        </w:rPr>
      </w:pPr>
    </w:p>
    <w:p w14:paraId="6A0FC1E5" w14:textId="77777777" w:rsidR="00113630" w:rsidRPr="001B41AD" w:rsidRDefault="00113630" w:rsidP="00113630">
      <w:pPr>
        <w:spacing w:line="256" w:lineRule="auto"/>
        <w:rPr>
          <w:rFonts w:ascii="Calibri" w:eastAsia="Calibri" w:hAnsi="Calibri" w:cs="Times New Roman"/>
          <w:b/>
          <w:lang w:val="sr-Cyrl-CS"/>
        </w:rPr>
      </w:pPr>
    </w:p>
    <w:p w14:paraId="798E5703" w14:textId="77777777" w:rsidR="00113630" w:rsidRPr="001B41AD" w:rsidRDefault="00113630" w:rsidP="00113630">
      <w:pPr>
        <w:spacing w:line="256" w:lineRule="auto"/>
        <w:jc w:val="center"/>
        <w:rPr>
          <w:rFonts w:ascii="Calibri" w:eastAsia="Calibri" w:hAnsi="Calibri" w:cs="Times New Roman"/>
          <w:b/>
          <w:color w:val="002060"/>
          <w:lang w:val="sr-Cyrl-CS"/>
        </w:rPr>
        <w:sectPr w:rsidR="00113630" w:rsidRPr="001B41AD" w:rsidSect="00405489">
          <w:type w:val="continuous"/>
          <w:pgSz w:w="12240" w:h="15840" w:code="1"/>
          <w:pgMar w:top="1440" w:right="1440" w:bottom="1440" w:left="1440" w:header="720" w:footer="720" w:gutter="0"/>
          <w:cols w:num="2" w:space="720"/>
          <w:titlePg/>
          <w:docGrid w:linePitch="360"/>
        </w:sectPr>
      </w:pPr>
    </w:p>
    <w:p w14:paraId="64AD12B6" w14:textId="77777777" w:rsidR="00113630" w:rsidRPr="001B41AD" w:rsidRDefault="00113630" w:rsidP="00113630">
      <w:pPr>
        <w:jc w:val="center"/>
        <w:rPr>
          <w:lang w:val="sr-Cyrl-CS"/>
        </w:rPr>
      </w:pPr>
      <w:r w:rsidRPr="001B41AD">
        <w:rPr>
          <w:rFonts w:ascii="Calibri" w:eastAsia="Calibri" w:hAnsi="Calibri" w:cs="Times New Roman"/>
          <w:b/>
          <w:color w:val="002060"/>
          <w:lang w:val="sr-Cyrl-CS"/>
        </w:rPr>
        <w:t>Табела 3</w:t>
      </w:r>
      <w:r w:rsidR="00BB0049" w:rsidRPr="001B41AD">
        <w:rPr>
          <w:rFonts w:ascii="Calibri" w:eastAsia="Calibri" w:hAnsi="Calibri" w:cs="Times New Roman"/>
          <w:b/>
          <w:color w:val="002060"/>
          <w:lang w:val="sr-Cyrl-CS"/>
        </w:rPr>
        <w:t>3</w:t>
      </w:r>
      <w:r w:rsidRPr="001B41AD">
        <w:rPr>
          <w:rFonts w:ascii="Calibri" w:eastAsia="Calibri" w:hAnsi="Calibri" w:cs="Times New Roman"/>
          <w:b/>
          <w:color w:val="002060"/>
          <w:lang w:val="sr-Cyrl-CS"/>
        </w:rPr>
        <w:t>. Однос јавног дуга и БДП на крају 2028.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113630" w:rsidRPr="001B41AD" w14:paraId="3BE22C92" w14:textId="77777777" w:rsidTr="00405489">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left w:val="none" w:sz="0" w:space="0" w:color="auto"/>
              <w:bottom w:val="nil"/>
              <w:right w:val="none" w:sz="0" w:space="0" w:color="auto"/>
            </w:tcBorders>
            <w:noWrap/>
            <w:hideMark/>
          </w:tcPr>
          <w:p w14:paraId="5EB3BD70" w14:textId="77777777" w:rsidR="00113630" w:rsidRPr="001B41AD" w:rsidRDefault="00113630" w:rsidP="00405489">
            <w:pPr>
              <w:rPr>
                <w:rFonts w:ascii="Calibri" w:hAnsi="Calibri" w:cs="Calibri"/>
                <w:color w:val="002060"/>
                <w:sz w:val="18"/>
                <w:szCs w:val="18"/>
                <w:lang w:val="sr-Cyrl-CS"/>
              </w:rPr>
            </w:pPr>
            <w:r w:rsidRPr="001B41AD">
              <w:rPr>
                <w:rFonts w:ascii="Calibri" w:hAnsi="Calibri" w:cs="Calibri"/>
                <w:color w:val="002060"/>
                <w:sz w:val="18"/>
                <w:szCs w:val="18"/>
                <w:lang w:val="sr-Cyrl-CS"/>
              </w:rPr>
              <w:t>Сценарији</w:t>
            </w:r>
          </w:p>
        </w:tc>
        <w:tc>
          <w:tcPr>
            <w:tcW w:w="578" w:type="pct"/>
            <w:tcBorders>
              <w:top w:val="single" w:sz="4" w:space="0" w:color="002060"/>
              <w:left w:val="none" w:sz="0" w:space="0" w:color="auto"/>
              <w:bottom w:val="single" w:sz="4" w:space="0" w:color="002060"/>
              <w:right w:val="none" w:sz="0" w:space="0" w:color="auto"/>
            </w:tcBorders>
            <w:noWrap/>
            <w:hideMark/>
          </w:tcPr>
          <w:p w14:paraId="30774C0D"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C1</w:t>
            </w:r>
          </w:p>
        </w:tc>
        <w:tc>
          <w:tcPr>
            <w:tcW w:w="578" w:type="pct"/>
            <w:tcBorders>
              <w:top w:val="single" w:sz="4" w:space="0" w:color="002060"/>
              <w:left w:val="none" w:sz="0" w:space="0" w:color="auto"/>
              <w:bottom w:val="single" w:sz="4" w:space="0" w:color="002060"/>
              <w:right w:val="none" w:sz="0" w:space="0" w:color="auto"/>
            </w:tcBorders>
            <w:noWrap/>
            <w:hideMark/>
          </w:tcPr>
          <w:p w14:paraId="6BAD6ACF"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C2</w:t>
            </w:r>
          </w:p>
        </w:tc>
        <w:tc>
          <w:tcPr>
            <w:tcW w:w="578" w:type="pct"/>
            <w:tcBorders>
              <w:top w:val="single" w:sz="4" w:space="0" w:color="002060"/>
              <w:left w:val="none" w:sz="0" w:space="0" w:color="auto"/>
              <w:bottom w:val="single" w:sz="4" w:space="0" w:color="002060"/>
              <w:right w:val="none" w:sz="0" w:space="0" w:color="auto"/>
            </w:tcBorders>
            <w:noWrap/>
            <w:hideMark/>
          </w:tcPr>
          <w:p w14:paraId="76E76A1A"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C3</w:t>
            </w:r>
          </w:p>
        </w:tc>
        <w:tc>
          <w:tcPr>
            <w:tcW w:w="578" w:type="pct"/>
            <w:tcBorders>
              <w:top w:val="single" w:sz="4" w:space="0" w:color="002060"/>
              <w:left w:val="none" w:sz="0" w:space="0" w:color="auto"/>
              <w:bottom w:val="single" w:sz="4" w:space="0" w:color="002060"/>
              <w:right w:val="none" w:sz="0" w:space="0" w:color="auto"/>
            </w:tcBorders>
            <w:noWrap/>
            <w:hideMark/>
          </w:tcPr>
          <w:p w14:paraId="26DE5EA8"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C4</w:t>
            </w:r>
          </w:p>
        </w:tc>
      </w:tr>
      <w:tr w:rsidR="00113630" w:rsidRPr="001B41AD" w14:paraId="5279537F" w14:textId="77777777" w:rsidTr="00405489">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one" w:sz="0" w:space="0" w:color="auto"/>
              <w:bottom w:val="nil"/>
              <w:right w:val="none" w:sz="0" w:space="0" w:color="auto"/>
            </w:tcBorders>
            <w:shd w:val="clear" w:color="auto" w:fill="E7E6E6" w:themeFill="background2"/>
            <w:noWrap/>
            <w:hideMark/>
          </w:tcPr>
          <w:p w14:paraId="6ED4B933"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Основни сценарио</w:t>
            </w:r>
          </w:p>
        </w:tc>
        <w:tc>
          <w:tcPr>
            <w:tcW w:w="578" w:type="pct"/>
            <w:tcBorders>
              <w:top w:val="nil"/>
              <w:left w:val="none" w:sz="0" w:space="0" w:color="auto"/>
              <w:bottom w:val="nil"/>
              <w:right w:val="none" w:sz="0" w:space="0" w:color="auto"/>
            </w:tcBorders>
            <w:shd w:val="clear" w:color="auto" w:fill="E7E6E6" w:themeFill="background2"/>
            <w:noWrap/>
            <w:hideMark/>
          </w:tcPr>
          <w:p w14:paraId="71D1C366"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43,6</w:t>
            </w:r>
          </w:p>
        </w:tc>
        <w:tc>
          <w:tcPr>
            <w:tcW w:w="578" w:type="pct"/>
            <w:tcBorders>
              <w:top w:val="nil"/>
              <w:left w:val="none" w:sz="0" w:space="0" w:color="auto"/>
              <w:bottom w:val="nil"/>
              <w:right w:val="none" w:sz="0" w:space="0" w:color="auto"/>
            </w:tcBorders>
            <w:shd w:val="clear" w:color="auto" w:fill="E7E6E6" w:themeFill="background2"/>
            <w:noWrap/>
            <w:hideMark/>
          </w:tcPr>
          <w:p w14:paraId="17421339"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43,7</w:t>
            </w:r>
          </w:p>
        </w:tc>
        <w:tc>
          <w:tcPr>
            <w:tcW w:w="578" w:type="pct"/>
            <w:tcBorders>
              <w:top w:val="nil"/>
              <w:left w:val="none" w:sz="0" w:space="0" w:color="auto"/>
              <w:bottom w:val="nil"/>
              <w:right w:val="none" w:sz="0" w:space="0" w:color="auto"/>
            </w:tcBorders>
            <w:shd w:val="clear" w:color="auto" w:fill="E7E6E6" w:themeFill="background2"/>
            <w:noWrap/>
            <w:hideMark/>
          </w:tcPr>
          <w:p w14:paraId="5CE82C39"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43,6</w:t>
            </w:r>
          </w:p>
        </w:tc>
        <w:tc>
          <w:tcPr>
            <w:tcW w:w="578" w:type="pct"/>
            <w:tcBorders>
              <w:top w:val="nil"/>
              <w:left w:val="none" w:sz="0" w:space="0" w:color="auto"/>
              <w:bottom w:val="nil"/>
              <w:right w:val="none" w:sz="0" w:space="0" w:color="auto"/>
            </w:tcBorders>
            <w:shd w:val="clear" w:color="auto" w:fill="E7E6E6" w:themeFill="background2"/>
            <w:noWrap/>
            <w:hideMark/>
          </w:tcPr>
          <w:p w14:paraId="51F58197"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43,7</w:t>
            </w:r>
          </w:p>
        </w:tc>
      </w:tr>
      <w:tr w:rsidR="00113630" w:rsidRPr="001B41AD" w14:paraId="4BDD2FFA" w14:textId="77777777" w:rsidTr="00405489">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13852095"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noWrap/>
            <w:hideMark/>
          </w:tcPr>
          <w:p w14:paraId="753FA7C0"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46,8</w:t>
            </w:r>
          </w:p>
        </w:tc>
        <w:tc>
          <w:tcPr>
            <w:tcW w:w="578" w:type="pct"/>
            <w:tcBorders>
              <w:top w:val="nil"/>
              <w:left w:val="nil"/>
              <w:bottom w:val="nil"/>
              <w:right w:val="nil"/>
            </w:tcBorders>
            <w:noWrap/>
            <w:hideMark/>
          </w:tcPr>
          <w:p w14:paraId="261376B9"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47,3</w:t>
            </w:r>
          </w:p>
        </w:tc>
        <w:tc>
          <w:tcPr>
            <w:tcW w:w="578" w:type="pct"/>
            <w:tcBorders>
              <w:top w:val="nil"/>
              <w:left w:val="nil"/>
              <w:bottom w:val="nil"/>
              <w:right w:val="nil"/>
            </w:tcBorders>
            <w:noWrap/>
            <w:hideMark/>
          </w:tcPr>
          <w:p w14:paraId="53BE685A"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47,2</w:t>
            </w:r>
          </w:p>
        </w:tc>
        <w:tc>
          <w:tcPr>
            <w:tcW w:w="578" w:type="pct"/>
            <w:tcBorders>
              <w:top w:val="nil"/>
              <w:left w:val="nil"/>
              <w:bottom w:val="nil"/>
              <w:right w:val="nil"/>
            </w:tcBorders>
            <w:noWrap/>
            <w:hideMark/>
          </w:tcPr>
          <w:p w14:paraId="4AB63A08"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46,1</w:t>
            </w:r>
          </w:p>
        </w:tc>
      </w:tr>
      <w:tr w:rsidR="00113630" w:rsidRPr="001B41AD" w14:paraId="02922CA1" w14:textId="77777777" w:rsidTr="00405489">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one" w:sz="0" w:space="0" w:color="auto"/>
              <w:bottom w:val="nil"/>
              <w:right w:val="none" w:sz="0" w:space="0" w:color="auto"/>
            </w:tcBorders>
            <w:shd w:val="clear" w:color="auto" w:fill="E7E6E6" w:themeFill="background2"/>
            <w:noWrap/>
            <w:hideMark/>
          </w:tcPr>
          <w:p w14:paraId="7F86794F"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Каматни шок (сценарио 1) </w:t>
            </w:r>
          </w:p>
        </w:tc>
        <w:tc>
          <w:tcPr>
            <w:tcW w:w="578" w:type="pct"/>
            <w:tcBorders>
              <w:top w:val="nil"/>
              <w:left w:val="none" w:sz="0" w:space="0" w:color="auto"/>
              <w:bottom w:val="nil"/>
              <w:right w:val="none" w:sz="0" w:space="0" w:color="auto"/>
            </w:tcBorders>
            <w:shd w:val="clear" w:color="auto" w:fill="E7E6E6" w:themeFill="background2"/>
            <w:noWrap/>
            <w:hideMark/>
          </w:tcPr>
          <w:p w14:paraId="64E8D6B0"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44,3</w:t>
            </w:r>
          </w:p>
        </w:tc>
        <w:tc>
          <w:tcPr>
            <w:tcW w:w="578" w:type="pct"/>
            <w:tcBorders>
              <w:top w:val="nil"/>
              <w:left w:val="none" w:sz="0" w:space="0" w:color="auto"/>
              <w:bottom w:val="nil"/>
              <w:right w:val="none" w:sz="0" w:space="0" w:color="auto"/>
            </w:tcBorders>
            <w:shd w:val="clear" w:color="auto" w:fill="E7E6E6" w:themeFill="background2"/>
            <w:noWrap/>
            <w:hideMark/>
          </w:tcPr>
          <w:p w14:paraId="53811C0A"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44,5</w:t>
            </w:r>
          </w:p>
        </w:tc>
        <w:tc>
          <w:tcPr>
            <w:tcW w:w="578" w:type="pct"/>
            <w:tcBorders>
              <w:top w:val="nil"/>
              <w:left w:val="none" w:sz="0" w:space="0" w:color="auto"/>
              <w:bottom w:val="nil"/>
              <w:right w:val="none" w:sz="0" w:space="0" w:color="auto"/>
            </w:tcBorders>
            <w:shd w:val="clear" w:color="auto" w:fill="E7E6E6" w:themeFill="background2"/>
            <w:noWrap/>
            <w:hideMark/>
          </w:tcPr>
          <w:p w14:paraId="1B1DA060"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44,4</w:t>
            </w:r>
          </w:p>
        </w:tc>
        <w:tc>
          <w:tcPr>
            <w:tcW w:w="578" w:type="pct"/>
            <w:tcBorders>
              <w:top w:val="nil"/>
              <w:left w:val="none" w:sz="0" w:space="0" w:color="auto"/>
              <w:bottom w:val="nil"/>
              <w:right w:val="none" w:sz="0" w:space="0" w:color="auto"/>
            </w:tcBorders>
            <w:shd w:val="clear" w:color="auto" w:fill="E7E6E6" w:themeFill="background2"/>
            <w:noWrap/>
            <w:hideMark/>
          </w:tcPr>
          <w:p w14:paraId="5A9E3633"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44,5</w:t>
            </w:r>
          </w:p>
        </w:tc>
      </w:tr>
      <w:tr w:rsidR="00113630" w:rsidRPr="001B41AD" w14:paraId="11153D32" w14:textId="77777777" w:rsidTr="00405489">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3CC6D7C2"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noWrap/>
            <w:hideMark/>
          </w:tcPr>
          <w:p w14:paraId="334FFAF5"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44,8</w:t>
            </w:r>
          </w:p>
        </w:tc>
        <w:tc>
          <w:tcPr>
            <w:tcW w:w="578" w:type="pct"/>
            <w:tcBorders>
              <w:top w:val="nil"/>
              <w:left w:val="nil"/>
              <w:bottom w:val="nil"/>
              <w:right w:val="nil"/>
            </w:tcBorders>
            <w:noWrap/>
            <w:hideMark/>
          </w:tcPr>
          <w:p w14:paraId="1E5B4C71"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44,9</w:t>
            </w:r>
          </w:p>
        </w:tc>
        <w:tc>
          <w:tcPr>
            <w:tcW w:w="578" w:type="pct"/>
            <w:tcBorders>
              <w:top w:val="nil"/>
              <w:left w:val="nil"/>
              <w:bottom w:val="nil"/>
              <w:right w:val="nil"/>
            </w:tcBorders>
            <w:noWrap/>
            <w:hideMark/>
          </w:tcPr>
          <w:p w14:paraId="2F9050CF"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44,8</w:t>
            </w:r>
          </w:p>
        </w:tc>
        <w:tc>
          <w:tcPr>
            <w:tcW w:w="578" w:type="pct"/>
            <w:tcBorders>
              <w:top w:val="nil"/>
              <w:left w:val="nil"/>
              <w:bottom w:val="nil"/>
              <w:right w:val="nil"/>
            </w:tcBorders>
            <w:noWrap/>
            <w:hideMark/>
          </w:tcPr>
          <w:p w14:paraId="4E78F329"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45,1</w:t>
            </w:r>
          </w:p>
        </w:tc>
      </w:tr>
      <w:tr w:rsidR="00113630" w:rsidRPr="001B41AD" w14:paraId="5E4A5633" w14:textId="77777777" w:rsidTr="00405489">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one" w:sz="0" w:space="0" w:color="auto"/>
              <w:bottom w:val="nil"/>
              <w:right w:val="none" w:sz="0" w:space="0" w:color="auto"/>
            </w:tcBorders>
            <w:shd w:val="clear" w:color="auto" w:fill="E7E6E6" w:themeFill="background2"/>
            <w:noWrap/>
            <w:hideMark/>
          </w:tcPr>
          <w:p w14:paraId="76D95DB5"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Комбиновани шок (15% USD и каматни шок1) </w:t>
            </w:r>
          </w:p>
        </w:tc>
        <w:tc>
          <w:tcPr>
            <w:tcW w:w="578" w:type="pct"/>
            <w:tcBorders>
              <w:top w:val="nil"/>
              <w:left w:val="none" w:sz="0" w:space="0" w:color="auto"/>
              <w:bottom w:val="single" w:sz="4" w:space="0" w:color="002060"/>
              <w:right w:val="none" w:sz="0" w:space="0" w:color="auto"/>
            </w:tcBorders>
            <w:shd w:val="clear" w:color="auto" w:fill="E7E6E6" w:themeFill="background2"/>
            <w:noWrap/>
            <w:hideMark/>
          </w:tcPr>
          <w:p w14:paraId="0BECF1F3"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44,8</w:t>
            </w:r>
          </w:p>
        </w:tc>
        <w:tc>
          <w:tcPr>
            <w:tcW w:w="578" w:type="pct"/>
            <w:tcBorders>
              <w:top w:val="nil"/>
              <w:left w:val="none" w:sz="0" w:space="0" w:color="auto"/>
              <w:bottom w:val="single" w:sz="4" w:space="0" w:color="002060"/>
              <w:right w:val="none" w:sz="0" w:space="0" w:color="auto"/>
            </w:tcBorders>
            <w:shd w:val="clear" w:color="auto" w:fill="E7E6E6" w:themeFill="background2"/>
            <w:noWrap/>
            <w:hideMark/>
          </w:tcPr>
          <w:p w14:paraId="1C0AC13C"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46,1</w:t>
            </w:r>
          </w:p>
        </w:tc>
        <w:tc>
          <w:tcPr>
            <w:tcW w:w="578" w:type="pct"/>
            <w:tcBorders>
              <w:top w:val="nil"/>
              <w:left w:val="none" w:sz="0" w:space="0" w:color="auto"/>
              <w:bottom w:val="single" w:sz="4" w:space="0" w:color="002060"/>
              <w:right w:val="none" w:sz="0" w:space="0" w:color="auto"/>
            </w:tcBorders>
            <w:shd w:val="clear" w:color="auto" w:fill="E7E6E6" w:themeFill="background2"/>
            <w:noWrap/>
            <w:hideMark/>
          </w:tcPr>
          <w:p w14:paraId="63A3D8FC"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44,8</w:t>
            </w:r>
          </w:p>
        </w:tc>
        <w:tc>
          <w:tcPr>
            <w:tcW w:w="578" w:type="pct"/>
            <w:tcBorders>
              <w:top w:val="nil"/>
              <w:left w:val="none" w:sz="0" w:space="0" w:color="auto"/>
              <w:bottom w:val="single" w:sz="4" w:space="0" w:color="002060"/>
              <w:right w:val="none" w:sz="0" w:space="0" w:color="auto"/>
            </w:tcBorders>
            <w:shd w:val="clear" w:color="auto" w:fill="E7E6E6" w:themeFill="background2"/>
            <w:noWrap/>
            <w:hideMark/>
          </w:tcPr>
          <w:p w14:paraId="1FC8329C"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44,9</w:t>
            </w:r>
          </w:p>
        </w:tc>
      </w:tr>
      <w:tr w:rsidR="00113630" w:rsidRPr="001B41AD" w14:paraId="1A54EB8A" w14:textId="77777777" w:rsidTr="00405489">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002060"/>
              <w:right w:val="nil"/>
            </w:tcBorders>
            <w:noWrap/>
            <w:hideMark/>
          </w:tcPr>
          <w:p w14:paraId="64D9BFF6"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Максимални ризик </w:t>
            </w:r>
          </w:p>
        </w:tc>
        <w:tc>
          <w:tcPr>
            <w:tcW w:w="578" w:type="pct"/>
            <w:tcBorders>
              <w:top w:val="single" w:sz="4" w:space="0" w:color="002060"/>
              <w:left w:val="nil"/>
              <w:bottom w:val="single" w:sz="4" w:space="0" w:color="002060"/>
              <w:right w:val="nil"/>
            </w:tcBorders>
            <w:noWrap/>
            <w:hideMark/>
          </w:tcPr>
          <w:p w14:paraId="10A62D9E"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3,18</w:t>
            </w:r>
          </w:p>
        </w:tc>
        <w:tc>
          <w:tcPr>
            <w:tcW w:w="578" w:type="pct"/>
            <w:tcBorders>
              <w:top w:val="single" w:sz="4" w:space="0" w:color="002060"/>
              <w:left w:val="nil"/>
              <w:bottom w:val="single" w:sz="4" w:space="0" w:color="002060"/>
              <w:right w:val="nil"/>
            </w:tcBorders>
            <w:noWrap/>
            <w:hideMark/>
          </w:tcPr>
          <w:p w14:paraId="5230B36E"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3,58</w:t>
            </w:r>
          </w:p>
        </w:tc>
        <w:tc>
          <w:tcPr>
            <w:tcW w:w="578" w:type="pct"/>
            <w:tcBorders>
              <w:top w:val="single" w:sz="4" w:space="0" w:color="002060"/>
              <w:left w:val="nil"/>
              <w:bottom w:val="single" w:sz="4" w:space="0" w:color="002060"/>
              <w:right w:val="nil"/>
            </w:tcBorders>
            <w:noWrap/>
            <w:hideMark/>
          </w:tcPr>
          <w:p w14:paraId="3160632C"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3,57</w:t>
            </w:r>
          </w:p>
        </w:tc>
        <w:tc>
          <w:tcPr>
            <w:tcW w:w="578" w:type="pct"/>
            <w:tcBorders>
              <w:top w:val="single" w:sz="4" w:space="0" w:color="002060"/>
              <w:left w:val="nil"/>
              <w:bottom w:val="single" w:sz="4" w:space="0" w:color="002060"/>
              <w:right w:val="nil"/>
            </w:tcBorders>
            <w:noWrap/>
            <w:hideMark/>
          </w:tcPr>
          <w:p w14:paraId="59C94B27"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2,42</w:t>
            </w:r>
          </w:p>
        </w:tc>
      </w:tr>
    </w:tbl>
    <w:p w14:paraId="46DCD4D7" w14:textId="77777777" w:rsidR="00113630" w:rsidRPr="001B41AD" w:rsidRDefault="00113630" w:rsidP="00113630">
      <w:pPr>
        <w:rPr>
          <w:lang w:val="sr-Cyrl-CS"/>
        </w:rPr>
      </w:pPr>
    </w:p>
    <w:p w14:paraId="20DE0F6E" w14:textId="77777777" w:rsidR="00113630" w:rsidRPr="001B41AD" w:rsidRDefault="00113630" w:rsidP="00113630">
      <w:pPr>
        <w:spacing w:line="256" w:lineRule="auto"/>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t>Табела</w:t>
      </w:r>
      <w:r w:rsidR="00C82D44" w:rsidRPr="001B41AD">
        <w:rPr>
          <w:rFonts w:ascii="Calibri" w:eastAsia="Calibri" w:hAnsi="Calibri" w:cs="Times New Roman"/>
          <w:b/>
          <w:color w:val="002060"/>
          <w:lang w:val="sr-Cyrl-CS"/>
        </w:rPr>
        <w:t xml:space="preserve"> 3</w:t>
      </w:r>
      <w:r w:rsidR="00BB0049" w:rsidRPr="001B41AD">
        <w:rPr>
          <w:rFonts w:ascii="Calibri" w:eastAsia="Calibri" w:hAnsi="Calibri" w:cs="Times New Roman"/>
          <w:b/>
          <w:color w:val="002060"/>
          <w:lang w:val="sr-Cyrl-CS"/>
        </w:rPr>
        <w:t>4.</w:t>
      </w:r>
      <w:r w:rsidRPr="001B41AD">
        <w:rPr>
          <w:rFonts w:ascii="Calibri" w:eastAsia="Calibri" w:hAnsi="Calibri" w:cs="Times New Roman"/>
          <w:b/>
          <w:color w:val="002060"/>
          <w:lang w:val="sr-Cyrl-CS"/>
        </w:rPr>
        <w:t xml:space="preserve"> Однос плаћања по основу камата и БДП на крају 2028.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113630" w:rsidRPr="001B41AD" w14:paraId="7C757C05" w14:textId="77777777" w:rsidTr="00405489">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left w:val="none" w:sz="0" w:space="0" w:color="auto"/>
              <w:bottom w:val="nil"/>
              <w:right w:val="none" w:sz="0" w:space="0" w:color="auto"/>
            </w:tcBorders>
            <w:noWrap/>
            <w:hideMark/>
          </w:tcPr>
          <w:p w14:paraId="0202A1D7" w14:textId="77777777" w:rsidR="00113630" w:rsidRPr="001B41AD" w:rsidRDefault="00113630" w:rsidP="00405489">
            <w:pPr>
              <w:rPr>
                <w:rFonts w:ascii="Calibri" w:hAnsi="Calibri" w:cs="Calibri"/>
                <w:color w:val="002060"/>
                <w:sz w:val="18"/>
                <w:szCs w:val="18"/>
                <w:lang w:val="sr-Cyrl-CS"/>
              </w:rPr>
            </w:pPr>
            <w:r w:rsidRPr="001B41AD">
              <w:rPr>
                <w:rFonts w:ascii="Calibri" w:hAnsi="Calibri" w:cs="Calibri"/>
                <w:color w:val="002060"/>
                <w:sz w:val="18"/>
                <w:szCs w:val="18"/>
                <w:lang w:val="sr-Cyrl-CS"/>
              </w:rPr>
              <w:t>Сценарији</w:t>
            </w:r>
          </w:p>
        </w:tc>
        <w:tc>
          <w:tcPr>
            <w:tcW w:w="578" w:type="pct"/>
            <w:tcBorders>
              <w:top w:val="single" w:sz="4" w:space="0" w:color="002060"/>
              <w:left w:val="none" w:sz="0" w:space="0" w:color="auto"/>
              <w:bottom w:val="single" w:sz="4" w:space="0" w:color="002060"/>
              <w:right w:val="none" w:sz="0" w:space="0" w:color="auto"/>
            </w:tcBorders>
            <w:noWrap/>
            <w:hideMark/>
          </w:tcPr>
          <w:p w14:paraId="3A077565"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C1</w:t>
            </w:r>
          </w:p>
        </w:tc>
        <w:tc>
          <w:tcPr>
            <w:tcW w:w="578" w:type="pct"/>
            <w:tcBorders>
              <w:top w:val="single" w:sz="4" w:space="0" w:color="002060"/>
              <w:left w:val="none" w:sz="0" w:space="0" w:color="auto"/>
              <w:bottom w:val="single" w:sz="4" w:space="0" w:color="002060"/>
              <w:right w:val="none" w:sz="0" w:space="0" w:color="auto"/>
            </w:tcBorders>
            <w:noWrap/>
            <w:hideMark/>
          </w:tcPr>
          <w:p w14:paraId="4B2F77B0"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C2</w:t>
            </w:r>
          </w:p>
        </w:tc>
        <w:tc>
          <w:tcPr>
            <w:tcW w:w="578" w:type="pct"/>
            <w:tcBorders>
              <w:top w:val="single" w:sz="4" w:space="0" w:color="002060"/>
              <w:left w:val="none" w:sz="0" w:space="0" w:color="auto"/>
              <w:bottom w:val="single" w:sz="4" w:space="0" w:color="002060"/>
              <w:right w:val="none" w:sz="0" w:space="0" w:color="auto"/>
            </w:tcBorders>
            <w:noWrap/>
            <w:hideMark/>
          </w:tcPr>
          <w:p w14:paraId="770F7D2A"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C3</w:t>
            </w:r>
          </w:p>
        </w:tc>
        <w:tc>
          <w:tcPr>
            <w:tcW w:w="578" w:type="pct"/>
            <w:tcBorders>
              <w:top w:val="single" w:sz="4" w:space="0" w:color="002060"/>
              <w:left w:val="none" w:sz="0" w:space="0" w:color="auto"/>
              <w:bottom w:val="single" w:sz="4" w:space="0" w:color="002060"/>
              <w:right w:val="none" w:sz="0" w:space="0" w:color="auto"/>
            </w:tcBorders>
            <w:noWrap/>
            <w:hideMark/>
          </w:tcPr>
          <w:p w14:paraId="2841B97B"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C4</w:t>
            </w:r>
          </w:p>
        </w:tc>
      </w:tr>
      <w:tr w:rsidR="00113630" w:rsidRPr="001B41AD" w14:paraId="1416A9C4" w14:textId="77777777" w:rsidTr="00405489">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one" w:sz="0" w:space="0" w:color="auto"/>
              <w:bottom w:val="nil"/>
              <w:right w:val="none" w:sz="0" w:space="0" w:color="auto"/>
            </w:tcBorders>
            <w:shd w:val="clear" w:color="auto" w:fill="E7E6E6" w:themeFill="background2"/>
            <w:noWrap/>
            <w:hideMark/>
          </w:tcPr>
          <w:p w14:paraId="4223D1F0"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Основни сценарио</w:t>
            </w:r>
          </w:p>
        </w:tc>
        <w:tc>
          <w:tcPr>
            <w:tcW w:w="578" w:type="pct"/>
            <w:tcBorders>
              <w:top w:val="nil"/>
              <w:left w:val="none" w:sz="0" w:space="0" w:color="auto"/>
              <w:bottom w:val="nil"/>
              <w:right w:val="none" w:sz="0" w:space="0" w:color="auto"/>
            </w:tcBorders>
            <w:shd w:val="clear" w:color="auto" w:fill="E7E6E6" w:themeFill="background2"/>
            <w:noWrap/>
            <w:hideMark/>
          </w:tcPr>
          <w:p w14:paraId="7339C36B"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1,9</w:t>
            </w:r>
          </w:p>
        </w:tc>
        <w:tc>
          <w:tcPr>
            <w:tcW w:w="578" w:type="pct"/>
            <w:tcBorders>
              <w:top w:val="nil"/>
              <w:left w:val="none" w:sz="0" w:space="0" w:color="auto"/>
              <w:bottom w:val="nil"/>
              <w:right w:val="none" w:sz="0" w:space="0" w:color="auto"/>
            </w:tcBorders>
            <w:shd w:val="clear" w:color="auto" w:fill="E7E6E6" w:themeFill="background2"/>
            <w:noWrap/>
            <w:hideMark/>
          </w:tcPr>
          <w:p w14:paraId="0A0ADAE8"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2,0</w:t>
            </w:r>
          </w:p>
        </w:tc>
        <w:tc>
          <w:tcPr>
            <w:tcW w:w="578" w:type="pct"/>
            <w:tcBorders>
              <w:top w:val="nil"/>
              <w:left w:val="none" w:sz="0" w:space="0" w:color="auto"/>
              <w:bottom w:val="nil"/>
              <w:right w:val="none" w:sz="0" w:space="0" w:color="auto"/>
            </w:tcBorders>
            <w:shd w:val="clear" w:color="auto" w:fill="E7E6E6" w:themeFill="background2"/>
            <w:noWrap/>
            <w:hideMark/>
          </w:tcPr>
          <w:p w14:paraId="5D7CB3A5"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1,9</w:t>
            </w:r>
          </w:p>
        </w:tc>
        <w:tc>
          <w:tcPr>
            <w:tcW w:w="578" w:type="pct"/>
            <w:tcBorders>
              <w:top w:val="nil"/>
              <w:left w:val="none" w:sz="0" w:space="0" w:color="auto"/>
              <w:bottom w:val="nil"/>
              <w:right w:val="none" w:sz="0" w:space="0" w:color="auto"/>
            </w:tcBorders>
            <w:shd w:val="clear" w:color="auto" w:fill="E7E6E6" w:themeFill="background2"/>
            <w:noWrap/>
            <w:hideMark/>
          </w:tcPr>
          <w:p w14:paraId="1404B815"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2,0</w:t>
            </w:r>
          </w:p>
        </w:tc>
      </w:tr>
      <w:tr w:rsidR="00113630" w:rsidRPr="001B41AD" w14:paraId="7B08949D" w14:textId="77777777" w:rsidTr="00405489">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447B7728"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noWrap/>
            <w:hideMark/>
          </w:tcPr>
          <w:p w14:paraId="4F9700CA"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1,9</w:t>
            </w:r>
          </w:p>
        </w:tc>
        <w:tc>
          <w:tcPr>
            <w:tcW w:w="578" w:type="pct"/>
            <w:tcBorders>
              <w:top w:val="nil"/>
              <w:left w:val="nil"/>
              <w:bottom w:val="nil"/>
              <w:right w:val="nil"/>
            </w:tcBorders>
            <w:noWrap/>
            <w:hideMark/>
          </w:tcPr>
          <w:p w14:paraId="6F061541"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2,0</w:t>
            </w:r>
          </w:p>
        </w:tc>
        <w:tc>
          <w:tcPr>
            <w:tcW w:w="578" w:type="pct"/>
            <w:tcBorders>
              <w:top w:val="nil"/>
              <w:left w:val="nil"/>
              <w:bottom w:val="nil"/>
              <w:right w:val="nil"/>
            </w:tcBorders>
            <w:noWrap/>
            <w:hideMark/>
          </w:tcPr>
          <w:p w14:paraId="576A5094"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1,9</w:t>
            </w:r>
          </w:p>
        </w:tc>
        <w:tc>
          <w:tcPr>
            <w:tcW w:w="578" w:type="pct"/>
            <w:tcBorders>
              <w:top w:val="nil"/>
              <w:left w:val="nil"/>
              <w:bottom w:val="nil"/>
              <w:right w:val="nil"/>
            </w:tcBorders>
            <w:noWrap/>
            <w:hideMark/>
          </w:tcPr>
          <w:p w14:paraId="24A2223F"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2,0</w:t>
            </w:r>
          </w:p>
        </w:tc>
      </w:tr>
      <w:tr w:rsidR="00113630" w:rsidRPr="001B41AD" w14:paraId="2A57B492" w14:textId="77777777" w:rsidTr="00405489">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one" w:sz="0" w:space="0" w:color="auto"/>
              <w:bottom w:val="nil"/>
              <w:right w:val="none" w:sz="0" w:space="0" w:color="auto"/>
            </w:tcBorders>
            <w:shd w:val="clear" w:color="auto" w:fill="E7E6E6" w:themeFill="background2"/>
            <w:noWrap/>
            <w:hideMark/>
          </w:tcPr>
          <w:p w14:paraId="133A410D"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Каматни шок (сценарио 1) </w:t>
            </w:r>
          </w:p>
        </w:tc>
        <w:tc>
          <w:tcPr>
            <w:tcW w:w="578" w:type="pct"/>
            <w:tcBorders>
              <w:top w:val="nil"/>
              <w:left w:val="none" w:sz="0" w:space="0" w:color="auto"/>
              <w:bottom w:val="nil"/>
              <w:right w:val="none" w:sz="0" w:space="0" w:color="auto"/>
            </w:tcBorders>
            <w:shd w:val="clear" w:color="auto" w:fill="E7E6E6" w:themeFill="background2"/>
            <w:noWrap/>
            <w:hideMark/>
          </w:tcPr>
          <w:p w14:paraId="3CDE467F"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2,3</w:t>
            </w:r>
          </w:p>
        </w:tc>
        <w:tc>
          <w:tcPr>
            <w:tcW w:w="578" w:type="pct"/>
            <w:tcBorders>
              <w:top w:val="nil"/>
              <w:left w:val="none" w:sz="0" w:space="0" w:color="auto"/>
              <w:bottom w:val="nil"/>
              <w:right w:val="none" w:sz="0" w:space="0" w:color="auto"/>
            </w:tcBorders>
            <w:shd w:val="clear" w:color="auto" w:fill="E7E6E6" w:themeFill="background2"/>
            <w:noWrap/>
            <w:hideMark/>
          </w:tcPr>
          <w:p w14:paraId="36434782"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2,4</w:t>
            </w:r>
          </w:p>
        </w:tc>
        <w:tc>
          <w:tcPr>
            <w:tcW w:w="578" w:type="pct"/>
            <w:tcBorders>
              <w:top w:val="nil"/>
              <w:left w:val="none" w:sz="0" w:space="0" w:color="auto"/>
              <w:bottom w:val="nil"/>
              <w:right w:val="none" w:sz="0" w:space="0" w:color="auto"/>
            </w:tcBorders>
            <w:shd w:val="clear" w:color="auto" w:fill="E7E6E6" w:themeFill="background2"/>
            <w:noWrap/>
            <w:hideMark/>
          </w:tcPr>
          <w:p w14:paraId="4E1B2A1B"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2,3</w:t>
            </w:r>
          </w:p>
        </w:tc>
        <w:tc>
          <w:tcPr>
            <w:tcW w:w="578" w:type="pct"/>
            <w:tcBorders>
              <w:top w:val="nil"/>
              <w:left w:val="none" w:sz="0" w:space="0" w:color="auto"/>
              <w:bottom w:val="nil"/>
              <w:right w:val="none" w:sz="0" w:space="0" w:color="auto"/>
            </w:tcBorders>
            <w:shd w:val="clear" w:color="auto" w:fill="E7E6E6" w:themeFill="background2"/>
            <w:noWrap/>
            <w:hideMark/>
          </w:tcPr>
          <w:p w14:paraId="032B2C86"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2,4</w:t>
            </w:r>
          </w:p>
        </w:tc>
      </w:tr>
      <w:tr w:rsidR="00113630" w:rsidRPr="001B41AD" w14:paraId="1704D2BE" w14:textId="77777777" w:rsidTr="00405489">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01B71F1C"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noWrap/>
            <w:hideMark/>
          </w:tcPr>
          <w:p w14:paraId="69312606"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2,6</w:t>
            </w:r>
          </w:p>
        </w:tc>
        <w:tc>
          <w:tcPr>
            <w:tcW w:w="578" w:type="pct"/>
            <w:tcBorders>
              <w:top w:val="nil"/>
              <w:left w:val="nil"/>
              <w:bottom w:val="nil"/>
              <w:right w:val="nil"/>
            </w:tcBorders>
            <w:noWrap/>
            <w:hideMark/>
          </w:tcPr>
          <w:p w14:paraId="1D8C9E82"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2,7</w:t>
            </w:r>
          </w:p>
        </w:tc>
        <w:tc>
          <w:tcPr>
            <w:tcW w:w="578" w:type="pct"/>
            <w:tcBorders>
              <w:top w:val="nil"/>
              <w:left w:val="nil"/>
              <w:bottom w:val="nil"/>
              <w:right w:val="nil"/>
            </w:tcBorders>
            <w:noWrap/>
            <w:hideMark/>
          </w:tcPr>
          <w:p w14:paraId="36A9A20A"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2,6</w:t>
            </w:r>
          </w:p>
        </w:tc>
        <w:tc>
          <w:tcPr>
            <w:tcW w:w="578" w:type="pct"/>
            <w:tcBorders>
              <w:top w:val="nil"/>
              <w:left w:val="nil"/>
              <w:bottom w:val="nil"/>
              <w:right w:val="nil"/>
            </w:tcBorders>
            <w:noWrap/>
            <w:hideMark/>
          </w:tcPr>
          <w:p w14:paraId="24BA380B"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2,8</w:t>
            </w:r>
          </w:p>
        </w:tc>
      </w:tr>
      <w:tr w:rsidR="00113630" w:rsidRPr="001B41AD" w14:paraId="5354F1A4" w14:textId="77777777" w:rsidTr="00405489">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one" w:sz="0" w:space="0" w:color="auto"/>
              <w:bottom w:val="nil"/>
              <w:right w:val="none" w:sz="0" w:space="0" w:color="auto"/>
            </w:tcBorders>
            <w:shd w:val="clear" w:color="auto" w:fill="E7E6E6" w:themeFill="background2"/>
            <w:noWrap/>
            <w:hideMark/>
          </w:tcPr>
          <w:p w14:paraId="2F158736"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Комбиновани шок (15% USD и каматни шок1) </w:t>
            </w:r>
          </w:p>
        </w:tc>
        <w:tc>
          <w:tcPr>
            <w:tcW w:w="578" w:type="pct"/>
            <w:tcBorders>
              <w:top w:val="nil"/>
              <w:left w:val="none" w:sz="0" w:space="0" w:color="auto"/>
              <w:bottom w:val="single" w:sz="4" w:space="0" w:color="002060"/>
              <w:right w:val="none" w:sz="0" w:space="0" w:color="auto"/>
            </w:tcBorders>
            <w:shd w:val="clear" w:color="auto" w:fill="E7E6E6" w:themeFill="background2"/>
            <w:noWrap/>
            <w:hideMark/>
          </w:tcPr>
          <w:p w14:paraId="67F0E154"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2,3</w:t>
            </w:r>
          </w:p>
        </w:tc>
        <w:tc>
          <w:tcPr>
            <w:tcW w:w="578" w:type="pct"/>
            <w:tcBorders>
              <w:top w:val="nil"/>
              <w:left w:val="none" w:sz="0" w:space="0" w:color="auto"/>
              <w:bottom w:val="single" w:sz="4" w:space="0" w:color="002060"/>
              <w:right w:val="none" w:sz="0" w:space="0" w:color="auto"/>
            </w:tcBorders>
            <w:shd w:val="clear" w:color="auto" w:fill="E7E6E6" w:themeFill="background2"/>
            <w:noWrap/>
            <w:hideMark/>
          </w:tcPr>
          <w:p w14:paraId="1F0154FE"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2,5</w:t>
            </w:r>
          </w:p>
        </w:tc>
        <w:tc>
          <w:tcPr>
            <w:tcW w:w="578" w:type="pct"/>
            <w:tcBorders>
              <w:top w:val="nil"/>
              <w:left w:val="none" w:sz="0" w:space="0" w:color="auto"/>
              <w:bottom w:val="single" w:sz="4" w:space="0" w:color="002060"/>
              <w:right w:val="none" w:sz="0" w:space="0" w:color="auto"/>
            </w:tcBorders>
            <w:shd w:val="clear" w:color="auto" w:fill="E7E6E6" w:themeFill="background2"/>
            <w:noWrap/>
            <w:hideMark/>
          </w:tcPr>
          <w:p w14:paraId="11266952"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2,3</w:t>
            </w:r>
          </w:p>
        </w:tc>
        <w:tc>
          <w:tcPr>
            <w:tcW w:w="578" w:type="pct"/>
            <w:tcBorders>
              <w:top w:val="nil"/>
              <w:left w:val="none" w:sz="0" w:space="0" w:color="auto"/>
              <w:bottom w:val="single" w:sz="4" w:space="0" w:color="002060"/>
              <w:right w:val="none" w:sz="0" w:space="0" w:color="auto"/>
            </w:tcBorders>
            <w:shd w:val="clear" w:color="auto" w:fill="E7E6E6" w:themeFill="background2"/>
            <w:noWrap/>
            <w:hideMark/>
          </w:tcPr>
          <w:p w14:paraId="09A3287D"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2,4</w:t>
            </w:r>
          </w:p>
        </w:tc>
      </w:tr>
      <w:tr w:rsidR="00113630" w:rsidRPr="001B41AD" w14:paraId="498CC3B2" w14:textId="77777777" w:rsidTr="00405489">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002060"/>
              <w:right w:val="nil"/>
            </w:tcBorders>
            <w:noWrap/>
            <w:hideMark/>
          </w:tcPr>
          <w:p w14:paraId="7CC6FD30"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 Максимални ризик </w:t>
            </w:r>
          </w:p>
        </w:tc>
        <w:tc>
          <w:tcPr>
            <w:tcW w:w="578" w:type="pct"/>
            <w:tcBorders>
              <w:top w:val="single" w:sz="4" w:space="0" w:color="002060"/>
              <w:left w:val="nil"/>
              <w:bottom w:val="single" w:sz="4" w:space="0" w:color="002060"/>
              <w:right w:val="nil"/>
            </w:tcBorders>
            <w:noWrap/>
            <w:hideMark/>
          </w:tcPr>
          <w:p w14:paraId="78EC07C1"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0,68</w:t>
            </w:r>
          </w:p>
        </w:tc>
        <w:tc>
          <w:tcPr>
            <w:tcW w:w="578" w:type="pct"/>
            <w:tcBorders>
              <w:top w:val="single" w:sz="4" w:space="0" w:color="002060"/>
              <w:left w:val="nil"/>
              <w:bottom w:val="single" w:sz="4" w:space="0" w:color="002060"/>
              <w:right w:val="nil"/>
            </w:tcBorders>
            <w:noWrap/>
            <w:hideMark/>
          </w:tcPr>
          <w:p w14:paraId="11F277EB"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0,71</w:t>
            </w:r>
          </w:p>
        </w:tc>
        <w:tc>
          <w:tcPr>
            <w:tcW w:w="578" w:type="pct"/>
            <w:tcBorders>
              <w:top w:val="single" w:sz="4" w:space="0" w:color="002060"/>
              <w:left w:val="nil"/>
              <w:bottom w:val="single" w:sz="4" w:space="0" w:color="002060"/>
              <w:right w:val="nil"/>
            </w:tcBorders>
            <w:noWrap/>
            <w:hideMark/>
          </w:tcPr>
          <w:p w14:paraId="1DEF2F24"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0,71</w:t>
            </w:r>
          </w:p>
        </w:tc>
        <w:tc>
          <w:tcPr>
            <w:tcW w:w="578" w:type="pct"/>
            <w:tcBorders>
              <w:top w:val="single" w:sz="4" w:space="0" w:color="002060"/>
              <w:left w:val="nil"/>
              <w:bottom w:val="single" w:sz="4" w:space="0" w:color="002060"/>
              <w:right w:val="nil"/>
            </w:tcBorders>
            <w:noWrap/>
            <w:hideMark/>
          </w:tcPr>
          <w:p w14:paraId="7BF03777"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0,87</w:t>
            </w:r>
          </w:p>
        </w:tc>
      </w:tr>
    </w:tbl>
    <w:p w14:paraId="383C5A0F" w14:textId="77777777" w:rsidR="00113630" w:rsidRPr="001B41AD" w:rsidRDefault="00113630" w:rsidP="00113630">
      <w:pPr>
        <w:spacing w:after="0" w:line="276" w:lineRule="auto"/>
        <w:jc w:val="left"/>
        <w:rPr>
          <w:rFonts w:ascii="Calibri" w:eastAsia="Calibri" w:hAnsi="Calibri" w:cs="Calibri"/>
          <w:bCs/>
          <w:szCs w:val="72"/>
          <w:lang w:val="sr-Cyrl-CS"/>
        </w:rPr>
      </w:pPr>
    </w:p>
    <w:p w14:paraId="7E57B57B" w14:textId="77777777" w:rsidR="00113630" w:rsidRPr="001B41AD" w:rsidRDefault="00113630" w:rsidP="00113630">
      <w:pPr>
        <w:rPr>
          <w:lang w:val="sr-Cyrl-CS"/>
        </w:rPr>
        <w:sectPr w:rsidR="00113630" w:rsidRPr="001B41AD" w:rsidSect="00405489">
          <w:type w:val="continuous"/>
          <w:pgSz w:w="12240" w:h="15840" w:code="1"/>
          <w:pgMar w:top="1440" w:right="1440" w:bottom="1440" w:left="1440" w:header="720" w:footer="720" w:gutter="0"/>
          <w:cols w:space="720"/>
          <w:titlePg/>
          <w:docGrid w:linePitch="360"/>
        </w:sectPr>
      </w:pPr>
    </w:p>
    <w:p w14:paraId="05DA2D31" w14:textId="77777777" w:rsidR="00113630" w:rsidRPr="001B41AD" w:rsidRDefault="00113630" w:rsidP="00113630">
      <w:pPr>
        <w:spacing w:after="280"/>
        <w:rPr>
          <w:lang w:val="sr-Cyrl-CS"/>
        </w:rPr>
      </w:pPr>
      <w:r w:rsidRPr="001B41AD">
        <w:rPr>
          <w:lang w:val="sr-Cyrl-CS"/>
        </w:rPr>
        <w:t>Наредна табела приказује кретања основних параметара јавног дуга по основу све четири разматране стратегије, што осликава горе поменуте карактеристике сваке стратегије.</w:t>
      </w:r>
    </w:p>
    <w:p w14:paraId="1E046DDF" w14:textId="77777777" w:rsidR="00DA551C" w:rsidRPr="001B41AD" w:rsidRDefault="00DA551C" w:rsidP="00113630">
      <w:pPr>
        <w:spacing w:after="280"/>
        <w:rPr>
          <w:lang w:val="sr-Cyrl-CS"/>
        </w:rPr>
      </w:pPr>
    </w:p>
    <w:p w14:paraId="2AF7B8EA" w14:textId="77777777" w:rsidR="00DA551C" w:rsidRPr="001B41AD" w:rsidRDefault="00DA551C" w:rsidP="00113630">
      <w:pPr>
        <w:spacing w:after="280"/>
        <w:rPr>
          <w:lang w:val="sr-Cyrl-CS"/>
        </w:rPr>
      </w:pPr>
    </w:p>
    <w:p w14:paraId="7C7DA59F" w14:textId="77777777" w:rsidR="00DA551C" w:rsidRPr="001B41AD" w:rsidRDefault="00DA551C" w:rsidP="00113630">
      <w:pPr>
        <w:spacing w:after="280"/>
        <w:rPr>
          <w:lang w:val="sr-Cyrl-CS"/>
        </w:rPr>
      </w:pPr>
    </w:p>
    <w:p w14:paraId="7B47C2F0" w14:textId="77777777" w:rsidR="00DA551C" w:rsidRPr="001B41AD" w:rsidRDefault="00DA551C" w:rsidP="00113630">
      <w:pPr>
        <w:spacing w:after="280"/>
        <w:rPr>
          <w:lang w:val="sr-Cyrl-CS"/>
        </w:rPr>
      </w:pPr>
    </w:p>
    <w:p w14:paraId="0B0E6CE6" w14:textId="77777777" w:rsidR="00DA551C" w:rsidRPr="001B41AD" w:rsidRDefault="00DA551C" w:rsidP="00113630">
      <w:pPr>
        <w:spacing w:after="280"/>
        <w:rPr>
          <w:lang w:val="sr-Cyrl-CS"/>
        </w:rPr>
      </w:pPr>
    </w:p>
    <w:p w14:paraId="437462D6" w14:textId="77777777" w:rsidR="00DA551C" w:rsidRPr="001B41AD" w:rsidRDefault="00DA551C" w:rsidP="00113630">
      <w:pPr>
        <w:spacing w:after="280"/>
        <w:rPr>
          <w:lang w:val="sr-Cyrl-CS"/>
        </w:rPr>
      </w:pPr>
    </w:p>
    <w:p w14:paraId="630076D2" w14:textId="77777777" w:rsidR="00DA551C" w:rsidRPr="001B41AD" w:rsidRDefault="00DA551C" w:rsidP="00113630">
      <w:pPr>
        <w:spacing w:after="280"/>
        <w:rPr>
          <w:lang w:val="sr-Cyrl-CS"/>
        </w:rPr>
      </w:pPr>
    </w:p>
    <w:p w14:paraId="23DB3048" w14:textId="77777777" w:rsidR="00DA551C" w:rsidRPr="001B41AD" w:rsidRDefault="00DA551C" w:rsidP="00113630">
      <w:pPr>
        <w:spacing w:after="280"/>
        <w:rPr>
          <w:lang w:val="sr-Cyrl-CS"/>
        </w:rPr>
      </w:pPr>
    </w:p>
    <w:p w14:paraId="2AD7F367" w14:textId="77777777" w:rsidR="00DA551C" w:rsidRPr="001B41AD" w:rsidRDefault="00DA551C" w:rsidP="00113630">
      <w:pPr>
        <w:spacing w:after="280"/>
        <w:rPr>
          <w:lang w:val="sr-Cyrl-CS"/>
        </w:rPr>
        <w:sectPr w:rsidR="00DA551C" w:rsidRPr="001B41AD" w:rsidSect="00405489">
          <w:type w:val="continuous"/>
          <w:pgSz w:w="12240" w:h="15840" w:code="1"/>
          <w:pgMar w:top="1440" w:right="1440" w:bottom="1440" w:left="1440" w:header="720" w:footer="720" w:gutter="0"/>
          <w:cols w:num="2" w:space="720"/>
          <w:titlePg/>
          <w:docGrid w:linePitch="360"/>
        </w:sectPr>
      </w:pPr>
    </w:p>
    <w:p w14:paraId="39A18791" w14:textId="77777777" w:rsidR="00113630" w:rsidRPr="001B41AD" w:rsidRDefault="00113630" w:rsidP="00113630">
      <w:pPr>
        <w:spacing w:line="256" w:lineRule="auto"/>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lastRenderedPageBreak/>
        <w:t>Табела 3</w:t>
      </w:r>
      <w:r w:rsidR="00BB0049" w:rsidRPr="001B41AD">
        <w:rPr>
          <w:rFonts w:ascii="Calibri" w:eastAsia="Calibri" w:hAnsi="Calibri" w:cs="Times New Roman"/>
          <w:b/>
          <w:color w:val="002060"/>
          <w:lang w:val="sr-Cyrl-CS"/>
        </w:rPr>
        <w:t>5</w:t>
      </w:r>
      <w:r w:rsidRPr="001B41AD">
        <w:rPr>
          <w:rFonts w:ascii="Calibri" w:eastAsia="Calibri" w:hAnsi="Calibri" w:cs="Times New Roman"/>
          <w:b/>
          <w:color w:val="002060"/>
          <w:lang w:val="sr-Cyrl-CS"/>
        </w:rPr>
        <w:t>. Индикатори ризика за алтернативне стратегије на крају 2028. године</w:t>
      </w:r>
    </w:p>
    <w:tbl>
      <w:tblPr>
        <w:tblStyle w:val="LightShading-Accent1222"/>
        <w:tblW w:w="5000" w:type="pct"/>
        <w:tblInd w:w="0" w:type="dxa"/>
        <w:tblLook w:val="04A0" w:firstRow="1" w:lastRow="0" w:firstColumn="1" w:lastColumn="0" w:noHBand="0" w:noVBand="1"/>
      </w:tblPr>
      <w:tblGrid>
        <w:gridCol w:w="2089"/>
        <w:gridCol w:w="3384"/>
        <w:gridCol w:w="1324"/>
        <w:gridCol w:w="641"/>
        <w:gridCol w:w="640"/>
        <w:gridCol w:w="638"/>
        <w:gridCol w:w="644"/>
      </w:tblGrid>
      <w:tr w:rsidR="00113630" w:rsidRPr="001B41AD" w14:paraId="5E64A8F5" w14:textId="77777777" w:rsidTr="00405489">
        <w:trPr>
          <w:cnfStyle w:val="100000000000" w:firstRow="1" w:lastRow="0"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tcBorders>
              <w:top w:val="single" w:sz="4" w:space="0" w:color="002060"/>
              <w:left w:val="none" w:sz="0" w:space="0" w:color="auto"/>
              <w:bottom w:val="nil"/>
              <w:right w:val="none" w:sz="0" w:space="0" w:color="auto"/>
            </w:tcBorders>
            <w:noWrap/>
            <w:hideMark/>
          </w:tcPr>
          <w:p w14:paraId="04DA94A7" w14:textId="77777777" w:rsidR="00113630" w:rsidRPr="001B41AD" w:rsidRDefault="00113630" w:rsidP="00405489">
            <w:pPr>
              <w:spacing w:line="256" w:lineRule="auto"/>
              <w:rPr>
                <w:rFonts w:ascii="Calibri" w:hAnsi="Calibri"/>
                <w:color w:val="002060"/>
                <w:lang w:val="sr-Cyrl-CS"/>
              </w:rPr>
            </w:pPr>
          </w:p>
        </w:tc>
        <w:tc>
          <w:tcPr>
            <w:tcW w:w="1808" w:type="pct"/>
            <w:tcBorders>
              <w:top w:val="single" w:sz="4" w:space="0" w:color="002060"/>
              <w:left w:val="none" w:sz="0" w:space="0" w:color="auto"/>
              <w:bottom w:val="single" w:sz="4" w:space="0" w:color="auto"/>
              <w:right w:val="none" w:sz="0" w:space="0" w:color="auto"/>
            </w:tcBorders>
          </w:tcPr>
          <w:p w14:paraId="50858F60" w14:textId="77777777" w:rsidR="00113630" w:rsidRPr="001B41AD" w:rsidRDefault="00113630" w:rsidP="00405489">
            <w:pP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p>
        </w:tc>
        <w:tc>
          <w:tcPr>
            <w:tcW w:w="707" w:type="pct"/>
            <w:tcBorders>
              <w:top w:val="single" w:sz="4" w:space="0" w:color="002060"/>
              <w:left w:val="none" w:sz="0" w:space="0" w:color="auto"/>
              <w:bottom w:val="single" w:sz="4" w:space="0" w:color="auto"/>
              <w:right w:val="none" w:sz="0" w:space="0" w:color="auto"/>
            </w:tcBorders>
          </w:tcPr>
          <w:p w14:paraId="2EDA455F"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p>
        </w:tc>
        <w:tc>
          <w:tcPr>
            <w:tcW w:w="1369" w:type="pct"/>
            <w:gridSpan w:val="4"/>
            <w:tcBorders>
              <w:top w:val="single" w:sz="4" w:space="0" w:color="002060"/>
              <w:left w:val="none" w:sz="0" w:space="0" w:color="auto"/>
              <w:bottom w:val="single" w:sz="4" w:space="0" w:color="auto"/>
              <w:right w:val="none" w:sz="0" w:space="0" w:color="auto"/>
            </w:tcBorders>
            <w:noWrap/>
            <w:hideMark/>
          </w:tcPr>
          <w:p w14:paraId="06A40BC8" w14:textId="77777777" w:rsidR="00113630" w:rsidRPr="001B41AD" w:rsidRDefault="00113630" w:rsidP="00405489">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C1</w:t>
            </w:r>
            <w:r w:rsidRPr="001B41AD">
              <w:rPr>
                <w:rFonts w:ascii="Calibri" w:hAnsi="Calibri" w:cs="Calibri"/>
                <w:color w:val="002060"/>
                <w:sz w:val="18"/>
                <w:szCs w:val="18"/>
                <w:lang w:val="sr-Cyrl-CS"/>
              </w:rPr>
              <w:tab/>
              <w:t>C2</w:t>
            </w:r>
            <w:r w:rsidRPr="001B41AD">
              <w:rPr>
                <w:rFonts w:ascii="Calibri" w:hAnsi="Calibri" w:cs="Calibri"/>
                <w:color w:val="002060"/>
                <w:sz w:val="18"/>
                <w:szCs w:val="18"/>
                <w:lang w:val="sr-Cyrl-CS"/>
              </w:rPr>
              <w:tab/>
              <w:t>C3</w:t>
            </w:r>
            <w:r w:rsidRPr="001B41AD">
              <w:rPr>
                <w:rFonts w:ascii="Calibri" w:hAnsi="Calibri" w:cs="Calibri"/>
                <w:color w:val="002060"/>
                <w:sz w:val="18"/>
                <w:szCs w:val="18"/>
                <w:lang w:val="sr-Cyrl-CS"/>
              </w:rPr>
              <w:tab/>
              <w:t>C4</w:t>
            </w:r>
          </w:p>
        </w:tc>
      </w:tr>
      <w:tr w:rsidR="00113630" w:rsidRPr="001B41AD" w14:paraId="160B0CAC" w14:textId="77777777" w:rsidTr="00405489">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tcBorders>
              <w:top w:val="nil"/>
              <w:left w:val="none" w:sz="0" w:space="0" w:color="auto"/>
              <w:bottom w:val="nil"/>
              <w:right w:val="none" w:sz="0" w:space="0" w:color="auto"/>
            </w:tcBorders>
            <w:shd w:val="clear" w:color="auto" w:fill="E7E6E6" w:themeFill="background2"/>
            <w:noWrap/>
            <w:hideMark/>
          </w:tcPr>
          <w:p w14:paraId="56B2ACC6"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Номинални дуг (% БДП)</w:t>
            </w:r>
          </w:p>
        </w:tc>
        <w:tc>
          <w:tcPr>
            <w:tcW w:w="1808" w:type="pct"/>
            <w:tcBorders>
              <w:top w:val="single" w:sz="4" w:space="0" w:color="auto"/>
              <w:left w:val="none" w:sz="0" w:space="0" w:color="auto"/>
              <w:bottom w:val="nil"/>
              <w:right w:val="none" w:sz="0" w:space="0" w:color="auto"/>
            </w:tcBorders>
            <w:shd w:val="clear" w:color="auto" w:fill="E7E6E6" w:themeFill="background2"/>
            <w:noWrap/>
            <w:hideMark/>
          </w:tcPr>
          <w:p w14:paraId="1F9B05BE" w14:textId="77777777" w:rsidR="00113630" w:rsidRPr="001B41AD" w:rsidRDefault="00113630" w:rsidP="00405489">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 </w:t>
            </w:r>
          </w:p>
        </w:tc>
        <w:tc>
          <w:tcPr>
            <w:tcW w:w="707" w:type="pct"/>
            <w:tcBorders>
              <w:top w:val="single" w:sz="4" w:space="0" w:color="auto"/>
              <w:left w:val="none" w:sz="0" w:space="0" w:color="auto"/>
              <w:bottom w:val="nil"/>
              <w:right w:val="none" w:sz="0" w:space="0" w:color="auto"/>
            </w:tcBorders>
            <w:shd w:val="clear" w:color="auto" w:fill="E7E6E6" w:themeFill="background2"/>
          </w:tcPr>
          <w:p w14:paraId="19380D63"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single" w:sz="4" w:space="0" w:color="auto"/>
              <w:left w:val="none" w:sz="0" w:space="0" w:color="auto"/>
              <w:bottom w:val="nil"/>
              <w:right w:val="none" w:sz="0" w:space="0" w:color="auto"/>
            </w:tcBorders>
            <w:shd w:val="clear" w:color="auto" w:fill="E7E6E6" w:themeFill="background2"/>
            <w:noWrap/>
            <w:hideMark/>
          </w:tcPr>
          <w:p w14:paraId="16664DC2"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43,6</w:t>
            </w:r>
          </w:p>
        </w:tc>
        <w:tc>
          <w:tcPr>
            <w:tcW w:w="342" w:type="pct"/>
            <w:tcBorders>
              <w:top w:val="single" w:sz="4" w:space="0" w:color="auto"/>
              <w:left w:val="none" w:sz="0" w:space="0" w:color="auto"/>
              <w:bottom w:val="nil"/>
              <w:right w:val="none" w:sz="0" w:space="0" w:color="auto"/>
            </w:tcBorders>
            <w:shd w:val="clear" w:color="auto" w:fill="E7E6E6" w:themeFill="background2"/>
            <w:noWrap/>
            <w:hideMark/>
          </w:tcPr>
          <w:p w14:paraId="6DC1C731"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43,7</w:t>
            </w:r>
          </w:p>
        </w:tc>
        <w:tc>
          <w:tcPr>
            <w:tcW w:w="341" w:type="pct"/>
            <w:tcBorders>
              <w:top w:val="single" w:sz="4" w:space="0" w:color="auto"/>
              <w:left w:val="none" w:sz="0" w:space="0" w:color="auto"/>
              <w:bottom w:val="nil"/>
              <w:right w:val="none" w:sz="0" w:space="0" w:color="auto"/>
            </w:tcBorders>
            <w:shd w:val="clear" w:color="auto" w:fill="E7E6E6" w:themeFill="background2"/>
            <w:noWrap/>
            <w:hideMark/>
          </w:tcPr>
          <w:p w14:paraId="3E039A16"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43,6</w:t>
            </w:r>
          </w:p>
        </w:tc>
        <w:tc>
          <w:tcPr>
            <w:tcW w:w="344" w:type="pct"/>
            <w:tcBorders>
              <w:top w:val="single" w:sz="4" w:space="0" w:color="auto"/>
              <w:left w:val="none" w:sz="0" w:space="0" w:color="auto"/>
              <w:bottom w:val="nil"/>
              <w:right w:val="none" w:sz="0" w:space="0" w:color="auto"/>
            </w:tcBorders>
            <w:shd w:val="clear" w:color="auto" w:fill="E7E6E6" w:themeFill="background2"/>
            <w:noWrap/>
            <w:hideMark/>
          </w:tcPr>
          <w:p w14:paraId="2B3B1E6D"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43,7</w:t>
            </w:r>
          </w:p>
        </w:tc>
      </w:tr>
      <w:tr w:rsidR="00113630" w:rsidRPr="001B41AD" w14:paraId="6E4F5775" w14:textId="77777777" w:rsidTr="00405489">
        <w:trPr>
          <w:trHeight w:val="262"/>
        </w:trPr>
        <w:tc>
          <w:tcPr>
            <w:cnfStyle w:val="001000000000" w:firstRow="0" w:lastRow="0" w:firstColumn="1" w:lastColumn="0" w:oddVBand="0" w:evenVBand="0" w:oddHBand="0" w:evenHBand="0" w:firstRowFirstColumn="0" w:firstRowLastColumn="0" w:lastRowFirstColumn="0" w:lastRowLastColumn="0"/>
            <w:tcW w:w="2924" w:type="pct"/>
            <w:gridSpan w:val="2"/>
            <w:tcBorders>
              <w:top w:val="nil"/>
              <w:left w:val="nil"/>
              <w:bottom w:val="nil"/>
              <w:right w:val="nil"/>
            </w:tcBorders>
            <w:noWrap/>
            <w:hideMark/>
          </w:tcPr>
          <w:p w14:paraId="40F1EA7E"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Примењена каматна стопа (%)</w:t>
            </w:r>
          </w:p>
        </w:tc>
        <w:tc>
          <w:tcPr>
            <w:tcW w:w="707" w:type="pct"/>
            <w:tcBorders>
              <w:top w:val="nil"/>
              <w:left w:val="nil"/>
              <w:bottom w:val="nil"/>
              <w:right w:val="nil"/>
            </w:tcBorders>
          </w:tcPr>
          <w:p w14:paraId="1BBDAC9B"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il"/>
              <w:bottom w:val="nil"/>
              <w:right w:val="nil"/>
            </w:tcBorders>
            <w:noWrap/>
            <w:hideMark/>
          </w:tcPr>
          <w:p w14:paraId="56937F10"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4,6</w:t>
            </w:r>
          </w:p>
        </w:tc>
        <w:tc>
          <w:tcPr>
            <w:tcW w:w="342" w:type="pct"/>
            <w:tcBorders>
              <w:top w:val="nil"/>
              <w:left w:val="nil"/>
              <w:bottom w:val="nil"/>
              <w:right w:val="nil"/>
            </w:tcBorders>
            <w:noWrap/>
            <w:hideMark/>
          </w:tcPr>
          <w:p w14:paraId="737E70F6"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4,8</w:t>
            </w:r>
          </w:p>
        </w:tc>
        <w:tc>
          <w:tcPr>
            <w:tcW w:w="341" w:type="pct"/>
            <w:tcBorders>
              <w:top w:val="nil"/>
              <w:left w:val="nil"/>
              <w:bottom w:val="nil"/>
              <w:right w:val="nil"/>
            </w:tcBorders>
            <w:noWrap/>
            <w:hideMark/>
          </w:tcPr>
          <w:p w14:paraId="54C079A3"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4,6</w:t>
            </w:r>
          </w:p>
        </w:tc>
        <w:tc>
          <w:tcPr>
            <w:tcW w:w="344" w:type="pct"/>
            <w:tcBorders>
              <w:top w:val="nil"/>
              <w:left w:val="nil"/>
              <w:bottom w:val="nil"/>
              <w:right w:val="nil"/>
            </w:tcBorders>
            <w:noWrap/>
            <w:hideMark/>
          </w:tcPr>
          <w:p w14:paraId="77074E2F"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4,8</w:t>
            </w:r>
          </w:p>
        </w:tc>
      </w:tr>
      <w:tr w:rsidR="00113630" w:rsidRPr="001B41AD" w14:paraId="0B9AC725" w14:textId="77777777" w:rsidTr="00405489">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vMerge w:val="restart"/>
            <w:tcBorders>
              <w:top w:val="nil"/>
              <w:left w:val="none" w:sz="0" w:space="0" w:color="auto"/>
              <w:bottom w:val="nil"/>
              <w:right w:val="none" w:sz="0" w:space="0" w:color="auto"/>
            </w:tcBorders>
            <w:shd w:val="clear" w:color="auto" w:fill="E7E6E6" w:themeFill="background2"/>
            <w:noWrap/>
            <w:hideMark/>
          </w:tcPr>
          <w:p w14:paraId="74DB2367"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Ризик</w:t>
            </w:r>
          </w:p>
          <w:p w14:paraId="15EA2905"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рефинансирања</w:t>
            </w:r>
          </w:p>
        </w:tc>
        <w:tc>
          <w:tcPr>
            <w:tcW w:w="1808" w:type="pct"/>
            <w:tcBorders>
              <w:top w:val="nil"/>
              <w:left w:val="none" w:sz="0" w:space="0" w:color="auto"/>
              <w:bottom w:val="nil"/>
              <w:right w:val="none" w:sz="0" w:space="0" w:color="auto"/>
            </w:tcBorders>
            <w:shd w:val="clear" w:color="auto" w:fill="E7E6E6" w:themeFill="background2"/>
            <w:noWrap/>
            <w:hideMark/>
          </w:tcPr>
          <w:p w14:paraId="53346F5F" w14:textId="77777777" w:rsidR="00113630" w:rsidRPr="001B41AD" w:rsidRDefault="00113630" w:rsidP="00405489">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ATM</w:t>
            </w:r>
            <w:r w:rsidRPr="001B41AD">
              <w:rPr>
                <w:rFonts w:ascii="Calibri" w:hAnsi="Calibri" w:cs="Calibri"/>
                <w:color w:val="002060"/>
                <w:sz w:val="18"/>
                <w:szCs w:val="18"/>
                <w:vertAlign w:val="superscript"/>
                <w:lang w:val="sr-Cyrl-CS"/>
              </w:rPr>
              <w:footnoteReference w:id="6"/>
            </w:r>
            <w:r w:rsidRPr="001B41AD">
              <w:rPr>
                <w:rFonts w:ascii="Calibri" w:hAnsi="Calibri" w:cs="Calibri"/>
                <w:color w:val="002060"/>
                <w:sz w:val="18"/>
                <w:szCs w:val="18"/>
                <w:lang w:val="sr-Cyrl-CS"/>
              </w:rPr>
              <w:t xml:space="preserve"> спољни портфолио (у годинама)</w:t>
            </w:r>
          </w:p>
        </w:tc>
        <w:tc>
          <w:tcPr>
            <w:tcW w:w="707" w:type="pct"/>
            <w:tcBorders>
              <w:top w:val="nil"/>
              <w:left w:val="none" w:sz="0" w:space="0" w:color="auto"/>
              <w:bottom w:val="nil"/>
              <w:right w:val="none" w:sz="0" w:space="0" w:color="auto"/>
            </w:tcBorders>
            <w:shd w:val="clear" w:color="auto" w:fill="E7E6E6" w:themeFill="background2"/>
          </w:tcPr>
          <w:p w14:paraId="1DA15F17"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one" w:sz="0" w:space="0" w:color="auto"/>
              <w:bottom w:val="nil"/>
              <w:right w:val="none" w:sz="0" w:space="0" w:color="auto"/>
            </w:tcBorders>
            <w:shd w:val="clear" w:color="auto" w:fill="E7E6E6" w:themeFill="background2"/>
            <w:noWrap/>
            <w:hideMark/>
          </w:tcPr>
          <w:p w14:paraId="52C9A515"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9,6</w:t>
            </w:r>
          </w:p>
        </w:tc>
        <w:tc>
          <w:tcPr>
            <w:tcW w:w="342" w:type="pct"/>
            <w:tcBorders>
              <w:top w:val="nil"/>
              <w:left w:val="none" w:sz="0" w:space="0" w:color="auto"/>
              <w:bottom w:val="nil"/>
              <w:right w:val="none" w:sz="0" w:space="0" w:color="auto"/>
            </w:tcBorders>
            <w:shd w:val="clear" w:color="auto" w:fill="E7E6E6" w:themeFill="background2"/>
            <w:noWrap/>
            <w:hideMark/>
          </w:tcPr>
          <w:p w14:paraId="1CCF0B85"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10,4</w:t>
            </w:r>
          </w:p>
        </w:tc>
        <w:tc>
          <w:tcPr>
            <w:tcW w:w="341" w:type="pct"/>
            <w:tcBorders>
              <w:top w:val="nil"/>
              <w:left w:val="none" w:sz="0" w:space="0" w:color="auto"/>
              <w:bottom w:val="nil"/>
              <w:right w:val="none" w:sz="0" w:space="0" w:color="auto"/>
            </w:tcBorders>
            <w:shd w:val="clear" w:color="auto" w:fill="E7E6E6" w:themeFill="background2"/>
            <w:noWrap/>
            <w:hideMark/>
          </w:tcPr>
          <w:p w14:paraId="4DF9AE94"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10,5</w:t>
            </w:r>
          </w:p>
        </w:tc>
        <w:tc>
          <w:tcPr>
            <w:tcW w:w="344" w:type="pct"/>
            <w:tcBorders>
              <w:top w:val="nil"/>
              <w:left w:val="none" w:sz="0" w:space="0" w:color="auto"/>
              <w:bottom w:val="nil"/>
              <w:right w:val="none" w:sz="0" w:space="0" w:color="auto"/>
            </w:tcBorders>
            <w:shd w:val="clear" w:color="auto" w:fill="E7E6E6" w:themeFill="background2"/>
            <w:noWrap/>
            <w:hideMark/>
          </w:tcPr>
          <w:p w14:paraId="7EAB459E"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7,8</w:t>
            </w:r>
          </w:p>
        </w:tc>
      </w:tr>
      <w:tr w:rsidR="00113630" w:rsidRPr="001B41AD" w14:paraId="4DAAC366" w14:textId="77777777" w:rsidTr="00405489">
        <w:trPr>
          <w:trHeight w:val="262"/>
        </w:trPr>
        <w:tc>
          <w:tcPr>
            <w:cnfStyle w:val="001000000000" w:firstRow="0" w:lastRow="0" w:firstColumn="1" w:lastColumn="0" w:oddVBand="0" w:evenVBand="0" w:oddHBand="0" w:evenHBand="0" w:firstRowFirstColumn="0" w:firstRowLastColumn="0" w:lastRowFirstColumn="0" w:lastRowLastColumn="0"/>
            <w:tcW w:w="1116" w:type="pct"/>
            <w:vMerge/>
            <w:tcBorders>
              <w:top w:val="nil"/>
              <w:left w:val="nil"/>
              <w:bottom w:val="nil"/>
              <w:right w:val="nil"/>
            </w:tcBorders>
            <w:vAlign w:val="center"/>
            <w:hideMark/>
          </w:tcPr>
          <w:p w14:paraId="4BD69CF3" w14:textId="77777777" w:rsidR="00113630" w:rsidRPr="001B41AD" w:rsidRDefault="00113630" w:rsidP="00405489">
            <w:pPr>
              <w:jc w:val="left"/>
              <w:rPr>
                <w:rFonts w:ascii="Calibri" w:hAnsi="Calibri" w:cs="Calibri"/>
                <w:color w:val="002060"/>
                <w:sz w:val="18"/>
                <w:szCs w:val="18"/>
                <w:lang w:val="sr-Cyrl-CS"/>
              </w:rPr>
            </w:pPr>
          </w:p>
        </w:tc>
        <w:tc>
          <w:tcPr>
            <w:tcW w:w="1808" w:type="pct"/>
            <w:tcBorders>
              <w:top w:val="nil"/>
              <w:left w:val="nil"/>
              <w:bottom w:val="nil"/>
              <w:right w:val="nil"/>
            </w:tcBorders>
            <w:noWrap/>
            <w:hideMark/>
          </w:tcPr>
          <w:p w14:paraId="034FED33" w14:textId="77777777" w:rsidR="00113630" w:rsidRPr="001B41AD" w:rsidRDefault="00113630" w:rsidP="00405489">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1B41AD">
              <w:rPr>
                <w:rFonts w:ascii="Calibri" w:hAnsi="Calibri" w:cs="Calibri"/>
                <w:bCs/>
                <w:color w:val="002060"/>
                <w:sz w:val="18"/>
                <w:szCs w:val="18"/>
                <w:lang w:val="sr-Cyrl-CS"/>
              </w:rPr>
              <w:t>ATM домаћи портфолио (у годинама)</w:t>
            </w:r>
          </w:p>
        </w:tc>
        <w:tc>
          <w:tcPr>
            <w:tcW w:w="707" w:type="pct"/>
            <w:tcBorders>
              <w:top w:val="nil"/>
              <w:left w:val="nil"/>
              <w:bottom w:val="nil"/>
              <w:right w:val="nil"/>
            </w:tcBorders>
          </w:tcPr>
          <w:p w14:paraId="2C4B659E"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il"/>
              <w:bottom w:val="nil"/>
              <w:right w:val="nil"/>
            </w:tcBorders>
            <w:noWrap/>
            <w:hideMark/>
          </w:tcPr>
          <w:p w14:paraId="638618B1"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5,7</w:t>
            </w:r>
          </w:p>
        </w:tc>
        <w:tc>
          <w:tcPr>
            <w:tcW w:w="342" w:type="pct"/>
            <w:tcBorders>
              <w:top w:val="nil"/>
              <w:left w:val="nil"/>
              <w:bottom w:val="nil"/>
              <w:right w:val="nil"/>
            </w:tcBorders>
            <w:noWrap/>
            <w:hideMark/>
          </w:tcPr>
          <w:p w14:paraId="2A6E3B48"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4,5</w:t>
            </w:r>
          </w:p>
        </w:tc>
        <w:tc>
          <w:tcPr>
            <w:tcW w:w="341" w:type="pct"/>
            <w:tcBorders>
              <w:top w:val="nil"/>
              <w:left w:val="nil"/>
              <w:bottom w:val="nil"/>
              <w:right w:val="nil"/>
            </w:tcBorders>
            <w:noWrap/>
            <w:hideMark/>
          </w:tcPr>
          <w:p w14:paraId="61E51218"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4,5</w:t>
            </w:r>
          </w:p>
        </w:tc>
        <w:tc>
          <w:tcPr>
            <w:tcW w:w="344" w:type="pct"/>
            <w:tcBorders>
              <w:top w:val="nil"/>
              <w:left w:val="nil"/>
              <w:bottom w:val="nil"/>
              <w:right w:val="nil"/>
            </w:tcBorders>
            <w:noWrap/>
            <w:hideMark/>
          </w:tcPr>
          <w:p w14:paraId="2BF413DD"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6,8</w:t>
            </w:r>
          </w:p>
        </w:tc>
      </w:tr>
      <w:tr w:rsidR="00113630" w:rsidRPr="001B41AD" w14:paraId="31EC468E" w14:textId="77777777" w:rsidTr="00405489">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vMerge/>
            <w:tcBorders>
              <w:top w:val="nil"/>
              <w:left w:val="none" w:sz="0" w:space="0" w:color="auto"/>
              <w:bottom w:val="single" w:sz="4" w:space="0" w:color="002060"/>
              <w:right w:val="none" w:sz="0" w:space="0" w:color="auto"/>
            </w:tcBorders>
            <w:vAlign w:val="center"/>
            <w:hideMark/>
          </w:tcPr>
          <w:p w14:paraId="2B171026" w14:textId="77777777" w:rsidR="00113630" w:rsidRPr="001B41AD" w:rsidRDefault="00113630" w:rsidP="00405489">
            <w:pPr>
              <w:jc w:val="left"/>
              <w:rPr>
                <w:rFonts w:ascii="Calibri" w:hAnsi="Calibri" w:cs="Calibri"/>
                <w:color w:val="002060"/>
                <w:sz w:val="18"/>
                <w:szCs w:val="18"/>
                <w:lang w:val="sr-Cyrl-CS"/>
              </w:rPr>
            </w:pPr>
          </w:p>
        </w:tc>
        <w:tc>
          <w:tcPr>
            <w:tcW w:w="1808" w:type="pct"/>
            <w:tcBorders>
              <w:top w:val="nil"/>
              <w:left w:val="none" w:sz="0" w:space="0" w:color="auto"/>
              <w:bottom w:val="single" w:sz="4" w:space="0" w:color="002060"/>
              <w:right w:val="none" w:sz="0" w:space="0" w:color="auto"/>
            </w:tcBorders>
            <w:shd w:val="clear" w:color="auto" w:fill="E7E6E6" w:themeFill="background2"/>
            <w:noWrap/>
            <w:hideMark/>
          </w:tcPr>
          <w:p w14:paraId="2ED35174" w14:textId="77777777" w:rsidR="00113630" w:rsidRPr="001B41AD" w:rsidRDefault="00113630" w:rsidP="00405489">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ATM укупан портфолио (у годинама)</w:t>
            </w:r>
          </w:p>
        </w:tc>
        <w:tc>
          <w:tcPr>
            <w:tcW w:w="707" w:type="pct"/>
            <w:tcBorders>
              <w:top w:val="nil"/>
              <w:left w:val="none" w:sz="0" w:space="0" w:color="auto"/>
              <w:bottom w:val="single" w:sz="4" w:space="0" w:color="002060"/>
              <w:right w:val="none" w:sz="0" w:space="0" w:color="auto"/>
            </w:tcBorders>
            <w:shd w:val="clear" w:color="auto" w:fill="E7E6E6" w:themeFill="background2"/>
          </w:tcPr>
          <w:p w14:paraId="7BE8AC33"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one" w:sz="0" w:space="0" w:color="auto"/>
              <w:bottom w:val="single" w:sz="4" w:space="0" w:color="002060"/>
              <w:right w:val="none" w:sz="0" w:space="0" w:color="auto"/>
            </w:tcBorders>
            <w:shd w:val="clear" w:color="auto" w:fill="E7E6E6" w:themeFill="background2"/>
            <w:noWrap/>
            <w:hideMark/>
          </w:tcPr>
          <w:p w14:paraId="2823114C"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8,4</w:t>
            </w:r>
          </w:p>
        </w:tc>
        <w:tc>
          <w:tcPr>
            <w:tcW w:w="342" w:type="pct"/>
            <w:tcBorders>
              <w:top w:val="nil"/>
              <w:left w:val="none" w:sz="0" w:space="0" w:color="auto"/>
              <w:bottom w:val="single" w:sz="4" w:space="0" w:color="002060"/>
              <w:right w:val="none" w:sz="0" w:space="0" w:color="auto"/>
            </w:tcBorders>
            <w:shd w:val="clear" w:color="auto" w:fill="E7E6E6" w:themeFill="background2"/>
            <w:noWrap/>
            <w:hideMark/>
          </w:tcPr>
          <w:p w14:paraId="645B5252"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9,6</w:t>
            </w:r>
          </w:p>
        </w:tc>
        <w:tc>
          <w:tcPr>
            <w:tcW w:w="341" w:type="pct"/>
            <w:tcBorders>
              <w:top w:val="nil"/>
              <w:left w:val="none" w:sz="0" w:space="0" w:color="auto"/>
              <w:bottom w:val="single" w:sz="4" w:space="0" w:color="002060"/>
              <w:right w:val="none" w:sz="0" w:space="0" w:color="auto"/>
            </w:tcBorders>
            <w:shd w:val="clear" w:color="auto" w:fill="E7E6E6" w:themeFill="background2"/>
            <w:noWrap/>
            <w:hideMark/>
          </w:tcPr>
          <w:p w14:paraId="1E71F918"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9,6</w:t>
            </w:r>
          </w:p>
        </w:tc>
        <w:tc>
          <w:tcPr>
            <w:tcW w:w="344" w:type="pct"/>
            <w:tcBorders>
              <w:top w:val="nil"/>
              <w:left w:val="none" w:sz="0" w:space="0" w:color="auto"/>
              <w:bottom w:val="single" w:sz="4" w:space="0" w:color="002060"/>
              <w:right w:val="none" w:sz="0" w:space="0" w:color="auto"/>
            </w:tcBorders>
            <w:shd w:val="clear" w:color="auto" w:fill="E7E6E6" w:themeFill="background2"/>
            <w:noWrap/>
            <w:hideMark/>
          </w:tcPr>
          <w:p w14:paraId="156DD760"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7,1</w:t>
            </w:r>
          </w:p>
        </w:tc>
      </w:tr>
      <w:tr w:rsidR="00113630" w:rsidRPr="001B41AD" w14:paraId="1A35C6D0" w14:textId="77777777" w:rsidTr="00405489">
        <w:trPr>
          <w:trHeight w:val="262"/>
        </w:trPr>
        <w:tc>
          <w:tcPr>
            <w:cnfStyle w:val="001000000000" w:firstRow="0" w:lastRow="0" w:firstColumn="1" w:lastColumn="0" w:oddVBand="0" w:evenVBand="0" w:oddHBand="0" w:evenHBand="0" w:firstRowFirstColumn="0" w:firstRowLastColumn="0" w:lastRowFirstColumn="0" w:lastRowLastColumn="0"/>
            <w:tcW w:w="1116" w:type="pct"/>
            <w:vMerge w:val="restart"/>
            <w:tcBorders>
              <w:top w:val="single" w:sz="4" w:space="0" w:color="002060"/>
              <w:left w:val="nil"/>
              <w:bottom w:val="nil"/>
              <w:right w:val="nil"/>
            </w:tcBorders>
            <w:noWrap/>
            <w:hideMark/>
          </w:tcPr>
          <w:p w14:paraId="505B96C4"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Ризик каматних стопа</w:t>
            </w:r>
          </w:p>
        </w:tc>
        <w:tc>
          <w:tcPr>
            <w:tcW w:w="1808" w:type="pct"/>
            <w:tcBorders>
              <w:top w:val="single" w:sz="4" w:space="0" w:color="002060"/>
              <w:left w:val="nil"/>
              <w:bottom w:val="nil"/>
              <w:right w:val="nil"/>
            </w:tcBorders>
            <w:noWrap/>
            <w:hideMark/>
          </w:tcPr>
          <w:p w14:paraId="64B3CD98" w14:textId="77777777" w:rsidR="00113630" w:rsidRPr="001B41AD" w:rsidRDefault="00113630" w:rsidP="00405489">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1B41AD">
              <w:rPr>
                <w:rFonts w:ascii="Calibri" w:hAnsi="Calibri" w:cs="Calibri"/>
                <w:bCs/>
                <w:color w:val="002060"/>
                <w:sz w:val="18"/>
                <w:szCs w:val="18"/>
                <w:lang w:val="sr-Cyrl-CS"/>
              </w:rPr>
              <w:t>АТR</w:t>
            </w:r>
            <w:r w:rsidRPr="001B41AD">
              <w:rPr>
                <w:rFonts w:ascii="Calibri" w:hAnsi="Calibri" w:cs="Calibri"/>
                <w:bCs/>
                <w:color w:val="002060"/>
                <w:sz w:val="18"/>
                <w:szCs w:val="18"/>
                <w:vertAlign w:val="superscript"/>
                <w:lang w:val="sr-Cyrl-CS"/>
              </w:rPr>
              <w:footnoteReference w:id="7"/>
            </w:r>
            <w:r w:rsidRPr="001B41AD">
              <w:rPr>
                <w:rFonts w:ascii="Calibri" w:hAnsi="Calibri" w:cs="Calibri"/>
                <w:bCs/>
                <w:color w:val="002060"/>
                <w:sz w:val="18"/>
                <w:szCs w:val="18"/>
                <w:lang w:val="sr-Cyrl-CS"/>
              </w:rPr>
              <w:t xml:space="preserve"> (у годинама)</w:t>
            </w:r>
          </w:p>
        </w:tc>
        <w:tc>
          <w:tcPr>
            <w:tcW w:w="707" w:type="pct"/>
            <w:tcBorders>
              <w:top w:val="single" w:sz="4" w:space="0" w:color="002060"/>
              <w:left w:val="nil"/>
              <w:bottom w:val="nil"/>
              <w:right w:val="nil"/>
            </w:tcBorders>
          </w:tcPr>
          <w:p w14:paraId="60E32BBD"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single" w:sz="4" w:space="0" w:color="002060"/>
              <w:left w:val="nil"/>
              <w:bottom w:val="nil"/>
              <w:right w:val="nil"/>
            </w:tcBorders>
            <w:noWrap/>
            <w:hideMark/>
          </w:tcPr>
          <w:p w14:paraId="0611E49B"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5,6</w:t>
            </w:r>
          </w:p>
        </w:tc>
        <w:tc>
          <w:tcPr>
            <w:tcW w:w="342" w:type="pct"/>
            <w:tcBorders>
              <w:top w:val="single" w:sz="4" w:space="0" w:color="002060"/>
              <w:left w:val="nil"/>
              <w:bottom w:val="nil"/>
              <w:right w:val="nil"/>
            </w:tcBorders>
            <w:noWrap/>
            <w:hideMark/>
          </w:tcPr>
          <w:p w14:paraId="777BB3D8"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8,0</w:t>
            </w:r>
          </w:p>
        </w:tc>
        <w:tc>
          <w:tcPr>
            <w:tcW w:w="341" w:type="pct"/>
            <w:tcBorders>
              <w:top w:val="single" w:sz="4" w:space="0" w:color="002060"/>
              <w:left w:val="nil"/>
              <w:bottom w:val="nil"/>
              <w:right w:val="nil"/>
            </w:tcBorders>
            <w:noWrap/>
            <w:hideMark/>
          </w:tcPr>
          <w:p w14:paraId="5FAF65BF"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8,0</w:t>
            </w:r>
          </w:p>
        </w:tc>
        <w:tc>
          <w:tcPr>
            <w:tcW w:w="344" w:type="pct"/>
            <w:tcBorders>
              <w:top w:val="single" w:sz="4" w:space="0" w:color="002060"/>
              <w:left w:val="nil"/>
              <w:bottom w:val="nil"/>
              <w:right w:val="nil"/>
            </w:tcBorders>
            <w:noWrap/>
            <w:hideMark/>
          </w:tcPr>
          <w:p w14:paraId="66DF2906"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5,6</w:t>
            </w:r>
          </w:p>
        </w:tc>
      </w:tr>
      <w:tr w:rsidR="00113630" w:rsidRPr="001B41AD" w14:paraId="06EDD51B" w14:textId="77777777" w:rsidTr="00405489">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vMerge/>
            <w:tcBorders>
              <w:top w:val="single" w:sz="4" w:space="0" w:color="002060"/>
              <w:left w:val="none" w:sz="0" w:space="0" w:color="auto"/>
              <w:bottom w:val="nil"/>
              <w:right w:val="none" w:sz="0" w:space="0" w:color="auto"/>
            </w:tcBorders>
            <w:vAlign w:val="center"/>
            <w:hideMark/>
          </w:tcPr>
          <w:p w14:paraId="1C18E82A" w14:textId="77777777" w:rsidR="00113630" w:rsidRPr="001B41AD" w:rsidRDefault="00113630" w:rsidP="00405489">
            <w:pPr>
              <w:jc w:val="left"/>
              <w:rPr>
                <w:rFonts w:ascii="Calibri" w:hAnsi="Calibri" w:cs="Calibri"/>
                <w:color w:val="002060"/>
                <w:sz w:val="18"/>
                <w:szCs w:val="18"/>
                <w:lang w:val="sr-Cyrl-CS"/>
              </w:rPr>
            </w:pPr>
          </w:p>
        </w:tc>
        <w:tc>
          <w:tcPr>
            <w:tcW w:w="1808" w:type="pct"/>
            <w:tcBorders>
              <w:top w:val="nil"/>
              <w:left w:val="none" w:sz="0" w:space="0" w:color="auto"/>
              <w:bottom w:val="nil"/>
              <w:right w:val="none" w:sz="0" w:space="0" w:color="auto"/>
            </w:tcBorders>
            <w:shd w:val="clear" w:color="auto" w:fill="E7E6E6" w:themeFill="background2"/>
            <w:noWrap/>
            <w:hideMark/>
          </w:tcPr>
          <w:p w14:paraId="028F5B7E" w14:textId="77777777" w:rsidR="00113630" w:rsidRPr="001B41AD" w:rsidRDefault="00113630" w:rsidP="00405489">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Рефиксирање (% укупног дуга)</w:t>
            </w:r>
          </w:p>
        </w:tc>
        <w:tc>
          <w:tcPr>
            <w:tcW w:w="707" w:type="pct"/>
            <w:tcBorders>
              <w:top w:val="nil"/>
              <w:left w:val="none" w:sz="0" w:space="0" w:color="auto"/>
              <w:bottom w:val="nil"/>
              <w:right w:val="none" w:sz="0" w:space="0" w:color="auto"/>
            </w:tcBorders>
            <w:shd w:val="clear" w:color="auto" w:fill="E7E6E6" w:themeFill="background2"/>
          </w:tcPr>
          <w:p w14:paraId="50B5A825"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one" w:sz="0" w:space="0" w:color="auto"/>
              <w:bottom w:val="nil"/>
              <w:right w:val="none" w:sz="0" w:space="0" w:color="auto"/>
            </w:tcBorders>
            <w:shd w:val="clear" w:color="auto" w:fill="E7E6E6" w:themeFill="background2"/>
            <w:noWrap/>
            <w:hideMark/>
          </w:tcPr>
          <w:p w14:paraId="64007633"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31,1</w:t>
            </w:r>
          </w:p>
        </w:tc>
        <w:tc>
          <w:tcPr>
            <w:tcW w:w="342" w:type="pct"/>
            <w:tcBorders>
              <w:top w:val="nil"/>
              <w:left w:val="none" w:sz="0" w:space="0" w:color="auto"/>
              <w:bottom w:val="nil"/>
              <w:right w:val="none" w:sz="0" w:space="0" w:color="auto"/>
            </w:tcBorders>
            <w:shd w:val="clear" w:color="auto" w:fill="E7E6E6" w:themeFill="background2"/>
            <w:noWrap/>
            <w:hideMark/>
          </w:tcPr>
          <w:p w14:paraId="00C35C72"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19,1</w:t>
            </w:r>
          </w:p>
        </w:tc>
        <w:tc>
          <w:tcPr>
            <w:tcW w:w="341" w:type="pct"/>
            <w:tcBorders>
              <w:top w:val="nil"/>
              <w:left w:val="none" w:sz="0" w:space="0" w:color="auto"/>
              <w:bottom w:val="nil"/>
              <w:right w:val="none" w:sz="0" w:space="0" w:color="auto"/>
            </w:tcBorders>
            <w:shd w:val="clear" w:color="auto" w:fill="E7E6E6" w:themeFill="background2"/>
            <w:noWrap/>
            <w:hideMark/>
          </w:tcPr>
          <w:p w14:paraId="61BE33B0"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19,2</w:t>
            </w:r>
          </w:p>
        </w:tc>
        <w:tc>
          <w:tcPr>
            <w:tcW w:w="344" w:type="pct"/>
            <w:tcBorders>
              <w:top w:val="nil"/>
              <w:left w:val="none" w:sz="0" w:space="0" w:color="auto"/>
              <w:bottom w:val="nil"/>
              <w:right w:val="none" w:sz="0" w:space="0" w:color="auto"/>
            </w:tcBorders>
            <w:shd w:val="clear" w:color="auto" w:fill="E7E6E6" w:themeFill="background2"/>
            <w:noWrap/>
            <w:hideMark/>
          </w:tcPr>
          <w:p w14:paraId="58D1E292"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19,1</w:t>
            </w:r>
          </w:p>
        </w:tc>
      </w:tr>
      <w:tr w:rsidR="00113630" w:rsidRPr="001B41AD" w14:paraId="7F8B2F65" w14:textId="77777777" w:rsidTr="00405489">
        <w:trPr>
          <w:trHeight w:val="262"/>
        </w:trPr>
        <w:tc>
          <w:tcPr>
            <w:cnfStyle w:val="001000000000" w:firstRow="0" w:lastRow="0" w:firstColumn="1" w:lastColumn="0" w:oddVBand="0" w:evenVBand="0" w:oddHBand="0" w:evenHBand="0" w:firstRowFirstColumn="0" w:firstRowLastColumn="0" w:lastRowFirstColumn="0" w:lastRowLastColumn="0"/>
            <w:tcW w:w="1116" w:type="pct"/>
            <w:vMerge/>
            <w:tcBorders>
              <w:top w:val="single" w:sz="4" w:space="0" w:color="002060"/>
              <w:left w:val="nil"/>
              <w:bottom w:val="nil"/>
              <w:right w:val="nil"/>
            </w:tcBorders>
            <w:vAlign w:val="center"/>
            <w:hideMark/>
          </w:tcPr>
          <w:p w14:paraId="6D152D05" w14:textId="77777777" w:rsidR="00113630" w:rsidRPr="001B41AD" w:rsidRDefault="00113630" w:rsidP="00405489">
            <w:pPr>
              <w:jc w:val="left"/>
              <w:rPr>
                <w:rFonts w:ascii="Calibri" w:hAnsi="Calibri" w:cs="Calibri"/>
                <w:color w:val="002060"/>
                <w:sz w:val="18"/>
                <w:szCs w:val="18"/>
                <w:lang w:val="sr-Cyrl-CS"/>
              </w:rPr>
            </w:pPr>
          </w:p>
        </w:tc>
        <w:tc>
          <w:tcPr>
            <w:tcW w:w="1808" w:type="pct"/>
            <w:tcBorders>
              <w:top w:val="nil"/>
              <w:left w:val="nil"/>
              <w:bottom w:val="nil"/>
              <w:right w:val="nil"/>
            </w:tcBorders>
            <w:noWrap/>
            <w:hideMark/>
          </w:tcPr>
          <w:p w14:paraId="606D0C34" w14:textId="77777777" w:rsidR="00113630" w:rsidRPr="001B41AD" w:rsidRDefault="00113630" w:rsidP="00405489">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1B41AD">
              <w:rPr>
                <w:rFonts w:ascii="Calibri" w:hAnsi="Calibri" w:cs="Calibri"/>
                <w:bCs/>
                <w:color w:val="002060"/>
                <w:sz w:val="18"/>
                <w:szCs w:val="18"/>
                <w:lang w:val="sr-Cyrl-CS"/>
              </w:rPr>
              <w:t>Дуг по фиксним стопама (% укупног дуга)</w:t>
            </w:r>
          </w:p>
        </w:tc>
        <w:tc>
          <w:tcPr>
            <w:tcW w:w="707" w:type="pct"/>
            <w:tcBorders>
              <w:top w:val="nil"/>
              <w:left w:val="nil"/>
              <w:bottom w:val="nil"/>
              <w:right w:val="nil"/>
            </w:tcBorders>
          </w:tcPr>
          <w:p w14:paraId="527A1C9A"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il"/>
              <w:bottom w:val="nil"/>
              <w:right w:val="nil"/>
            </w:tcBorders>
            <w:noWrap/>
            <w:hideMark/>
          </w:tcPr>
          <w:p w14:paraId="31A8277F"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73,8</w:t>
            </w:r>
          </w:p>
        </w:tc>
        <w:tc>
          <w:tcPr>
            <w:tcW w:w="342" w:type="pct"/>
            <w:tcBorders>
              <w:top w:val="nil"/>
              <w:left w:val="nil"/>
              <w:bottom w:val="nil"/>
              <w:right w:val="nil"/>
            </w:tcBorders>
            <w:noWrap/>
            <w:hideMark/>
          </w:tcPr>
          <w:p w14:paraId="1B000E07"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85,7</w:t>
            </w:r>
          </w:p>
        </w:tc>
        <w:tc>
          <w:tcPr>
            <w:tcW w:w="341" w:type="pct"/>
            <w:tcBorders>
              <w:top w:val="nil"/>
              <w:left w:val="nil"/>
              <w:bottom w:val="nil"/>
              <w:right w:val="nil"/>
            </w:tcBorders>
            <w:noWrap/>
            <w:hideMark/>
          </w:tcPr>
          <w:p w14:paraId="6C26E2AE"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85,7</w:t>
            </w:r>
          </w:p>
        </w:tc>
        <w:tc>
          <w:tcPr>
            <w:tcW w:w="344" w:type="pct"/>
            <w:tcBorders>
              <w:top w:val="nil"/>
              <w:left w:val="nil"/>
              <w:bottom w:val="nil"/>
              <w:right w:val="nil"/>
            </w:tcBorders>
            <w:noWrap/>
            <w:hideMark/>
          </w:tcPr>
          <w:p w14:paraId="2AD319A2" w14:textId="77777777" w:rsidR="00113630" w:rsidRPr="001B41AD" w:rsidRDefault="00113630" w:rsidP="00405489">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85,7</w:t>
            </w:r>
          </w:p>
        </w:tc>
      </w:tr>
      <w:tr w:rsidR="00113630" w:rsidRPr="001B41AD" w14:paraId="2B1BFA09" w14:textId="77777777" w:rsidTr="00405489">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tcBorders>
              <w:top w:val="nil"/>
              <w:left w:val="none" w:sz="0" w:space="0" w:color="auto"/>
              <w:bottom w:val="single" w:sz="4" w:space="0" w:color="002060"/>
              <w:right w:val="none" w:sz="0" w:space="0" w:color="auto"/>
            </w:tcBorders>
            <w:shd w:val="clear" w:color="auto" w:fill="E7E6E6" w:themeFill="background2"/>
            <w:noWrap/>
            <w:hideMark/>
          </w:tcPr>
          <w:p w14:paraId="19A623D7" w14:textId="77777777" w:rsidR="00113630" w:rsidRPr="001B41AD" w:rsidRDefault="00113630" w:rsidP="00405489">
            <w:pPr>
              <w:spacing w:line="240" w:lineRule="auto"/>
              <w:rPr>
                <w:rFonts w:ascii="Calibri" w:hAnsi="Calibri" w:cs="Calibri"/>
                <w:color w:val="002060"/>
                <w:sz w:val="18"/>
                <w:szCs w:val="18"/>
                <w:lang w:val="sr-Cyrl-CS"/>
              </w:rPr>
            </w:pPr>
            <w:r w:rsidRPr="001B41AD">
              <w:rPr>
                <w:rFonts w:ascii="Calibri" w:hAnsi="Calibri" w:cs="Calibri"/>
                <w:color w:val="002060"/>
                <w:sz w:val="18"/>
                <w:szCs w:val="18"/>
                <w:lang w:val="sr-Cyrl-CS"/>
              </w:rPr>
              <w:t>Ризик девизног курса</w:t>
            </w:r>
          </w:p>
        </w:tc>
        <w:tc>
          <w:tcPr>
            <w:tcW w:w="1808" w:type="pct"/>
            <w:tcBorders>
              <w:top w:val="nil"/>
              <w:left w:val="none" w:sz="0" w:space="0" w:color="auto"/>
              <w:bottom w:val="single" w:sz="4" w:space="0" w:color="002060"/>
              <w:right w:val="none" w:sz="0" w:space="0" w:color="auto"/>
            </w:tcBorders>
            <w:shd w:val="clear" w:color="auto" w:fill="E7E6E6" w:themeFill="background2"/>
            <w:noWrap/>
            <w:hideMark/>
          </w:tcPr>
          <w:p w14:paraId="15B9A32F" w14:textId="77777777" w:rsidR="00113630" w:rsidRPr="001B41AD" w:rsidRDefault="00113630" w:rsidP="00405489">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1B41AD">
              <w:rPr>
                <w:rFonts w:ascii="Calibri" w:hAnsi="Calibri" w:cs="Calibri"/>
                <w:color w:val="002060"/>
                <w:sz w:val="18"/>
                <w:szCs w:val="18"/>
                <w:lang w:val="sr-Cyrl-CS"/>
              </w:rPr>
              <w:t>Ино-валутни дуг (% укупног дуга)</w:t>
            </w:r>
          </w:p>
        </w:tc>
        <w:tc>
          <w:tcPr>
            <w:tcW w:w="707" w:type="pct"/>
            <w:tcBorders>
              <w:top w:val="nil"/>
              <w:left w:val="none" w:sz="0" w:space="0" w:color="auto"/>
              <w:bottom w:val="single" w:sz="4" w:space="0" w:color="002060"/>
              <w:right w:val="none" w:sz="0" w:space="0" w:color="auto"/>
            </w:tcBorders>
            <w:shd w:val="clear" w:color="auto" w:fill="E7E6E6" w:themeFill="background2"/>
          </w:tcPr>
          <w:p w14:paraId="0DB5FEC5"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one" w:sz="0" w:space="0" w:color="auto"/>
              <w:bottom w:val="single" w:sz="4" w:space="0" w:color="002060"/>
              <w:right w:val="none" w:sz="0" w:space="0" w:color="auto"/>
            </w:tcBorders>
            <w:shd w:val="clear" w:color="auto" w:fill="E7E6E6" w:themeFill="background2"/>
            <w:noWrap/>
            <w:hideMark/>
          </w:tcPr>
          <w:p w14:paraId="19FB83FD"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69,0</w:t>
            </w:r>
          </w:p>
        </w:tc>
        <w:tc>
          <w:tcPr>
            <w:tcW w:w="342" w:type="pct"/>
            <w:tcBorders>
              <w:top w:val="nil"/>
              <w:left w:val="none" w:sz="0" w:space="0" w:color="auto"/>
              <w:bottom w:val="single" w:sz="4" w:space="0" w:color="002060"/>
              <w:right w:val="none" w:sz="0" w:space="0" w:color="auto"/>
            </w:tcBorders>
            <w:shd w:val="clear" w:color="auto" w:fill="E7E6E6" w:themeFill="background2"/>
            <w:noWrap/>
            <w:hideMark/>
          </w:tcPr>
          <w:p w14:paraId="61035221"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85,5</w:t>
            </w:r>
          </w:p>
        </w:tc>
        <w:tc>
          <w:tcPr>
            <w:tcW w:w="341" w:type="pct"/>
            <w:tcBorders>
              <w:top w:val="nil"/>
              <w:left w:val="none" w:sz="0" w:space="0" w:color="auto"/>
              <w:bottom w:val="single" w:sz="4" w:space="0" w:color="002060"/>
              <w:right w:val="none" w:sz="0" w:space="0" w:color="auto"/>
            </w:tcBorders>
            <w:shd w:val="clear" w:color="auto" w:fill="E7E6E6" w:themeFill="background2"/>
            <w:noWrap/>
            <w:hideMark/>
          </w:tcPr>
          <w:p w14:paraId="5772B84B"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85,5</w:t>
            </w:r>
          </w:p>
        </w:tc>
        <w:tc>
          <w:tcPr>
            <w:tcW w:w="344" w:type="pct"/>
            <w:tcBorders>
              <w:top w:val="nil"/>
              <w:left w:val="none" w:sz="0" w:space="0" w:color="auto"/>
              <w:bottom w:val="single" w:sz="4" w:space="0" w:color="002060"/>
              <w:right w:val="none" w:sz="0" w:space="0" w:color="auto"/>
            </w:tcBorders>
            <w:shd w:val="clear" w:color="auto" w:fill="E7E6E6" w:themeFill="background2"/>
            <w:noWrap/>
            <w:hideMark/>
          </w:tcPr>
          <w:p w14:paraId="6714FC32" w14:textId="77777777" w:rsidR="00113630" w:rsidRPr="001B41AD" w:rsidRDefault="00113630" w:rsidP="00405489">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1B41AD">
              <w:rPr>
                <w:rFonts w:ascii="Calibri" w:hAnsi="Calibri" w:cs="Calibri"/>
                <w:b/>
                <w:bCs/>
                <w:color w:val="002060"/>
                <w:sz w:val="18"/>
                <w:szCs w:val="18"/>
                <w:lang w:val="sr-Cyrl-CS"/>
              </w:rPr>
              <w:t>36,9</w:t>
            </w:r>
          </w:p>
        </w:tc>
      </w:tr>
    </w:tbl>
    <w:p w14:paraId="6B53E603" w14:textId="77777777" w:rsidR="00113630" w:rsidRPr="001B41AD" w:rsidRDefault="00113630" w:rsidP="00113630">
      <w:pPr>
        <w:rPr>
          <w:rFonts w:ascii="Calibri" w:hAnsi="Calibri"/>
          <w:color w:val="2F5496" w:themeColor="accent1" w:themeShade="BF"/>
          <w:sz w:val="22"/>
          <w:lang w:val="sr-Cyrl-CS"/>
        </w:rPr>
        <w:sectPr w:rsidR="00113630" w:rsidRPr="001B41AD" w:rsidSect="00405489">
          <w:type w:val="continuous"/>
          <w:pgSz w:w="12240" w:h="15840" w:code="1"/>
          <w:pgMar w:top="1440" w:right="1440" w:bottom="1440" w:left="1440" w:header="720" w:footer="720" w:gutter="0"/>
          <w:cols w:space="720"/>
          <w:titlePg/>
          <w:docGrid w:linePitch="360"/>
        </w:sectPr>
      </w:pPr>
    </w:p>
    <w:p w14:paraId="0CABEA84" w14:textId="77777777" w:rsidR="00113630" w:rsidRPr="001B41AD" w:rsidRDefault="00113630" w:rsidP="00113630">
      <w:pPr>
        <w:spacing w:line="256" w:lineRule="auto"/>
        <w:rPr>
          <w:rFonts w:ascii="Calibri" w:hAnsi="Calibri"/>
          <w:color w:val="2F5496" w:themeColor="accent1" w:themeShade="BF"/>
          <w:sz w:val="22"/>
          <w:lang w:val="sr-Cyrl-CS"/>
        </w:rPr>
        <w:sectPr w:rsidR="00113630" w:rsidRPr="001B41AD" w:rsidSect="00405489">
          <w:type w:val="continuous"/>
          <w:pgSz w:w="12240" w:h="15840" w:code="1"/>
          <w:pgMar w:top="1440" w:right="1440" w:bottom="1440" w:left="1440" w:header="720" w:footer="720" w:gutter="0"/>
          <w:cols w:space="720"/>
          <w:titlePg/>
          <w:docGrid w:linePitch="360"/>
        </w:sectPr>
      </w:pPr>
    </w:p>
    <w:p w14:paraId="3A50934F"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r w:rsidRPr="001B41AD">
        <w:rPr>
          <w:rFonts w:ascii="Calibri" w:eastAsia="Calibri" w:hAnsi="Calibri" w:cs="Times New Roman"/>
          <w:b/>
          <w:color w:val="2F5496" w:themeColor="accent1" w:themeShade="BF"/>
          <w:sz w:val="22"/>
          <w:lang w:val="sr-Cyrl-CS"/>
        </w:rPr>
        <w:t>Стрес-тест анализа</w:t>
      </w:r>
    </w:p>
    <w:p w14:paraId="403010DF"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На основу планираног макроекономског оквира, а у случају изостанка утицаја могућих ризика, јавни дуг централног нивоа власти би на крају 2028. године требало да буде на нивоу од 43,6% БДП. </w:t>
      </w:r>
    </w:p>
    <w:p w14:paraId="0F040651" w14:textId="77777777" w:rsidR="00113630" w:rsidRPr="001B41AD" w:rsidRDefault="00113630" w:rsidP="00113630">
      <w:pPr>
        <w:rPr>
          <w:rFonts w:ascii="Calibri" w:eastAsia="Calibri" w:hAnsi="Calibri" w:cs="Calibri"/>
          <w:bCs/>
          <w:szCs w:val="72"/>
          <w:lang w:val="sr-Cyrl-CS"/>
        </w:rPr>
      </w:pPr>
    </w:p>
    <w:p w14:paraId="287319F5" w14:textId="77777777" w:rsidR="00113630" w:rsidRPr="001B41AD" w:rsidRDefault="00113630" w:rsidP="00113630">
      <w:pPr>
        <w:rPr>
          <w:rFonts w:ascii="Calibri" w:eastAsia="Calibri" w:hAnsi="Calibri" w:cs="Calibri"/>
          <w:bCs/>
          <w:szCs w:val="72"/>
          <w:lang w:val="sr-Cyrl-CS"/>
        </w:rPr>
      </w:pPr>
    </w:p>
    <w:p w14:paraId="62B79F3F"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Основни фактори који утичу на стабилизацију рација јавни дуг/БДП су раст БДП, позитивни примарни резултат и курс динара према ино-валутама.</w:t>
      </w:r>
    </w:p>
    <w:p w14:paraId="39652C86" w14:textId="77777777" w:rsidR="00113630" w:rsidRPr="001B41AD" w:rsidRDefault="00113630" w:rsidP="00113630">
      <w:pPr>
        <w:rPr>
          <w:lang w:val="sr-Cyrl-CS"/>
        </w:rPr>
        <w:sectPr w:rsidR="00113630" w:rsidRPr="001B41AD" w:rsidSect="00405489">
          <w:type w:val="continuous"/>
          <w:pgSz w:w="12240" w:h="15840" w:code="1"/>
          <w:pgMar w:top="1440" w:right="1440" w:bottom="1440" w:left="1440" w:header="720" w:footer="720" w:gutter="0"/>
          <w:cols w:num="2" w:space="720"/>
          <w:titlePg/>
          <w:docGrid w:linePitch="360"/>
        </w:sectPr>
      </w:pPr>
    </w:p>
    <w:p w14:paraId="7969D516" w14:textId="77777777" w:rsidR="00113630" w:rsidRPr="001B41AD" w:rsidRDefault="00113630" w:rsidP="00113630">
      <w:pPr>
        <w:jc w:val="center"/>
        <w:rPr>
          <w:rFonts w:ascii="Calibri" w:eastAsia="Calibri" w:hAnsi="Calibri" w:cs="Times New Roman"/>
          <w:b/>
          <w:color w:val="002060"/>
          <w:lang w:val="sr-Cyrl-CS"/>
        </w:rPr>
      </w:pPr>
      <w:r w:rsidRPr="001B41AD">
        <w:rPr>
          <w:rFonts w:ascii="Calibri" w:eastAsia="Calibri" w:hAnsi="Calibri" w:cs="Times New Roman"/>
          <w:b/>
          <w:color w:val="002060"/>
          <w:lang w:val="sr-Cyrl-CS"/>
        </w:rPr>
        <w:t>Табела 3</w:t>
      </w:r>
      <w:r w:rsidR="00BB0049" w:rsidRPr="001B41AD">
        <w:rPr>
          <w:rFonts w:ascii="Calibri" w:eastAsia="Calibri" w:hAnsi="Calibri" w:cs="Times New Roman"/>
          <w:b/>
          <w:color w:val="002060"/>
          <w:lang w:val="sr-Cyrl-CS"/>
        </w:rPr>
        <w:t>6</w:t>
      </w:r>
      <w:r w:rsidRPr="001B41AD">
        <w:rPr>
          <w:rFonts w:ascii="Calibri" w:eastAsia="Calibri" w:hAnsi="Calibri" w:cs="Times New Roman"/>
          <w:b/>
          <w:color w:val="002060"/>
          <w:lang w:val="sr-Cyrl-CS"/>
        </w:rPr>
        <w:t xml:space="preserve">. Доприноси основних макроекономских варијабли на промену рација </w:t>
      </w:r>
      <w:r w:rsidRPr="001B41AD">
        <w:rPr>
          <w:rFonts w:ascii="Calibri" w:eastAsia="Calibri" w:hAnsi="Calibri" w:cs="Times New Roman"/>
          <w:b/>
          <w:color w:val="002060"/>
          <w:lang w:val="sr-Cyrl-CS"/>
        </w:rPr>
        <w:br w:type="textWrapping" w:clear="all"/>
        <w:t>јавни дуг (централног нивоа државе) – БДП, у %</w:t>
      </w:r>
    </w:p>
    <w:tbl>
      <w:tblPr>
        <w:tblStyle w:val="LightShading-Accent1222"/>
        <w:tblW w:w="5000" w:type="pct"/>
        <w:tblInd w:w="0" w:type="dxa"/>
        <w:tblLook w:val="0420" w:firstRow="1" w:lastRow="0" w:firstColumn="0" w:lastColumn="0" w:noHBand="0" w:noVBand="1"/>
      </w:tblPr>
      <w:tblGrid>
        <w:gridCol w:w="3824"/>
        <w:gridCol w:w="921"/>
        <w:gridCol w:w="923"/>
        <w:gridCol w:w="923"/>
        <w:gridCol w:w="923"/>
        <w:gridCol w:w="923"/>
        <w:gridCol w:w="923"/>
      </w:tblGrid>
      <w:tr w:rsidR="00113630" w:rsidRPr="001B41AD" w14:paraId="5D19CF02" w14:textId="77777777" w:rsidTr="00405489">
        <w:trPr>
          <w:cnfStyle w:val="100000000000" w:firstRow="1" w:lastRow="0" w:firstColumn="0" w:lastColumn="0" w:oddVBand="0" w:evenVBand="0" w:oddHBand="0" w:evenHBand="0" w:firstRowFirstColumn="0" w:firstRowLastColumn="0" w:lastRowFirstColumn="0" w:lastRowLastColumn="0"/>
          <w:trHeight w:val="265"/>
        </w:trPr>
        <w:tc>
          <w:tcPr>
            <w:tcW w:w="2043" w:type="pct"/>
            <w:tcBorders>
              <w:top w:val="single" w:sz="4" w:space="0" w:color="002060"/>
              <w:left w:val="none" w:sz="0" w:space="0" w:color="auto"/>
              <w:bottom w:val="single" w:sz="8" w:space="0" w:color="FFFFFF" w:themeColor="background1"/>
              <w:right w:val="none" w:sz="0" w:space="0" w:color="auto"/>
            </w:tcBorders>
            <w:noWrap/>
            <w:hideMark/>
          </w:tcPr>
          <w:p w14:paraId="6C20A6F9" w14:textId="77777777" w:rsidR="00113630" w:rsidRPr="001B41AD" w:rsidRDefault="00113630" w:rsidP="00405489">
            <w:pPr>
              <w:jc w:val="center"/>
              <w:rPr>
                <w:rFonts w:ascii="Calibri" w:hAnsi="Calibri" w:cs="Calibri"/>
                <w:color w:val="002060"/>
                <w:sz w:val="18"/>
                <w:szCs w:val="18"/>
                <w:lang w:val="sr-Cyrl-CS"/>
              </w:rPr>
            </w:pPr>
            <w:r w:rsidRPr="001B41AD">
              <w:rPr>
                <w:rFonts w:ascii="Calibri" w:hAnsi="Calibri" w:cs="Calibri"/>
                <w:color w:val="002060"/>
                <w:sz w:val="18"/>
                <w:szCs w:val="18"/>
                <w:lang w:val="sr-Cyrl-CS"/>
              </w:rPr>
              <w:t> </w:t>
            </w:r>
          </w:p>
        </w:tc>
        <w:tc>
          <w:tcPr>
            <w:tcW w:w="492" w:type="pct"/>
            <w:tcBorders>
              <w:top w:val="single" w:sz="4" w:space="0" w:color="002060"/>
              <w:left w:val="none" w:sz="0" w:space="0" w:color="auto"/>
              <w:bottom w:val="single" w:sz="4" w:space="0" w:color="002060"/>
              <w:right w:val="none" w:sz="0" w:space="0" w:color="auto"/>
            </w:tcBorders>
            <w:hideMark/>
          </w:tcPr>
          <w:p w14:paraId="3BB29392" w14:textId="77777777" w:rsidR="00113630" w:rsidRPr="001B41AD" w:rsidRDefault="00113630" w:rsidP="00405489">
            <w:pPr>
              <w:jc w:val="center"/>
              <w:rPr>
                <w:rFonts w:ascii="Calibri" w:hAnsi="Calibri" w:cs="Calibri"/>
                <w:color w:val="002060"/>
                <w:sz w:val="18"/>
                <w:szCs w:val="18"/>
                <w:lang w:val="sr-Cyrl-CS"/>
              </w:rPr>
            </w:pPr>
            <w:r w:rsidRPr="001B41AD">
              <w:rPr>
                <w:rFonts w:ascii="Calibri" w:hAnsi="Calibri" w:cs="Calibri"/>
                <w:color w:val="002060"/>
                <w:sz w:val="18"/>
                <w:szCs w:val="18"/>
                <w:lang w:val="sr-Cyrl-CS"/>
              </w:rPr>
              <w:t xml:space="preserve">2023 </w:t>
            </w:r>
          </w:p>
        </w:tc>
        <w:tc>
          <w:tcPr>
            <w:tcW w:w="493" w:type="pct"/>
            <w:tcBorders>
              <w:top w:val="single" w:sz="4" w:space="0" w:color="002060"/>
              <w:left w:val="none" w:sz="0" w:space="0" w:color="auto"/>
              <w:bottom w:val="single" w:sz="4" w:space="0" w:color="002060"/>
              <w:right w:val="none" w:sz="0" w:space="0" w:color="auto"/>
            </w:tcBorders>
            <w:hideMark/>
          </w:tcPr>
          <w:p w14:paraId="4CD41E48" w14:textId="77777777" w:rsidR="00113630" w:rsidRPr="001B41AD" w:rsidRDefault="00113630" w:rsidP="00405489">
            <w:pPr>
              <w:jc w:val="center"/>
              <w:rPr>
                <w:rFonts w:ascii="Calibri" w:hAnsi="Calibri" w:cs="Calibri"/>
                <w:color w:val="002060"/>
                <w:sz w:val="18"/>
                <w:szCs w:val="18"/>
                <w:lang w:val="sr-Cyrl-CS"/>
              </w:rPr>
            </w:pPr>
            <w:r w:rsidRPr="001B41AD">
              <w:rPr>
                <w:rFonts w:ascii="Calibri" w:hAnsi="Calibri" w:cs="Calibri"/>
                <w:color w:val="002060"/>
                <w:sz w:val="18"/>
                <w:szCs w:val="18"/>
                <w:lang w:val="sr-Cyrl-CS"/>
              </w:rPr>
              <w:t>2024</w:t>
            </w:r>
          </w:p>
        </w:tc>
        <w:tc>
          <w:tcPr>
            <w:tcW w:w="493" w:type="pct"/>
            <w:tcBorders>
              <w:top w:val="single" w:sz="4" w:space="0" w:color="002060"/>
              <w:left w:val="none" w:sz="0" w:space="0" w:color="auto"/>
              <w:bottom w:val="single" w:sz="4" w:space="0" w:color="002060"/>
              <w:right w:val="none" w:sz="0" w:space="0" w:color="auto"/>
            </w:tcBorders>
            <w:noWrap/>
            <w:hideMark/>
          </w:tcPr>
          <w:p w14:paraId="009A8C9F" w14:textId="77777777" w:rsidR="00113630" w:rsidRPr="001B41AD" w:rsidRDefault="00113630" w:rsidP="00405489">
            <w:pPr>
              <w:jc w:val="center"/>
              <w:rPr>
                <w:rFonts w:ascii="Calibri" w:hAnsi="Calibri" w:cs="Calibri"/>
                <w:color w:val="002060"/>
                <w:sz w:val="18"/>
                <w:szCs w:val="18"/>
                <w:lang w:val="sr-Cyrl-CS"/>
              </w:rPr>
            </w:pPr>
            <w:r w:rsidRPr="001B41AD">
              <w:rPr>
                <w:rFonts w:ascii="Calibri" w:hAnsi="Calibri" w:cs="Calibri"/>
                <w:color w:val="002060"/>
                <w:sz w:val="18"/>
                <w:szCs w:val="18"/>
                <w:lang w:val="sr-Cyrl-CS"/>
              </w:rPr>
              <w:t>2025 п</w:t>
            </w:r>
          </w:p>
        </w:tc>
        <w:tc>
          <w:tcPr>
            <w:tcW w:w="493" w:type="pct"/>
            <w:tcBorders>
              <w:top w:val="single" w:sz="4" w:space="0" w:color="002060"/>
              <w:left w:val="none" w:sz="0" w:space="0" w:color="auto"/>
              <w:bottom w:val="single" w:sz="4" w:space="0" w:color="002060"/>
              <w:right w:val="none" w:sz="0" w:space="0" w:color="auto"/>
            </w:tcBorders>
            <w:noWrap/>
            <w:hideMark/>
          </w:tcPr>
          <w:p w14:paraId="441168C8" w14:textId="77777777" w:rsidR="00113630" w:rsidRPr="001B41AD" w:rsidRDefault="00113630" w:rsidP="00405489">
            <w:pPr>
              <w:jc w:val="center"/>
              <w:rPr>
                <w:rFonts w:ascii="Calibri" w:hAnsi="Calibri" w:cs="Calibri"/>
                <w:color w:val="002060"/>
                <w:sz w:val="18"/>
                <w:szCs w:val="18"/>
                <w:lang w:val="sr-Cyrl-CS"/>
              </w:rPr>
            </w:pPr>
            <w:r w:rsidRPr="001B41AD">
              <w:rPr>
                <w:rFonts w:ascii="Calibri" w:hAnsi="Calibri" w:cs="Calibri"/>
                <w:color w:val="002060"/>
                <w:sz w:val="18"/>
                <w:szCs w:val="18"/>
                <w:lang w:val="sr-Cyrl-CS"/>
              </w:rPr>
              <w:t>2026 п</w:t>
            </w:r>
          </w:p>
        </w:tc>
        <w:tc>
          <w:tcPr>
            <w:tcW w:w="493" w:type="pct"/>
            <w:tcBorders>
              <w:top w:val="single" w:sz="4" w:space="0" w:color="002060"/>
              <w:left w:val="none" w:sz="0" w:space="0" w:color="auto"/>
              <w:bottom w:val="single" w:sz="4" w:space="0" w:color="002060"/>
              <w:right w:val="none" w:sz="0" w:space="0" w:color="auto"/>
            </w:tcBorders>
            <w:noWrap/>
            <w:hideMark/>
          </w:tcPr>
          <w:p w14:paraId="6AEDA343" w14:textId="77777777" w:rsidR="00113630" w:rsidRPr="001B41AD" w:rsidRDefault="00113630" w:rsidP="00405489">
            <w:pPr>
              <w:jc w:val="center"/>
              <w:rPr>
                <w:rFonts w:ascii="Calibri" w:hAnsi="Calibri" w:cs="Calibri"/>
                <w:color w:val="002060"/>
                <w:sz w:val="18"/>
                <w:szCs w:val="18"/>
                <w:lang w:val="sr-Cyrl-CS"/>
              </w:rPr>
            </w:pPr>
            <w:r w:rsidRPr="001B41AD">
              <w:rPr>
                <w:rFonts w:ascii="Calibri" w:hAnsi="Calibri" w:cs="Calibri"/>
                <w:color w:val="002060"/>
                <w:sz w:val="18"/>
                <w:szCs w:val="18"/>
                <w:lang w:val="sr-Cyrl-CS"/>
              </w:rPr>
              <w:t>2027 п</w:t>
            </w:r>
          </w:p>
        </w:tc>
        <w:tc>
          <w:tcPr>
            <w:tcW w:w="493" w:type="pct"/>
            <w:tcBorders>
              <w:top w:val="single" w:sz="4" w:space="0" w:color="002060"/>
              <w:left w:val="none" w:sz="0" w:space="0" w:color="auto"/>
              <w:bottom w:val="single" w:sz="4" w:space="0" w:color="002060"/>
              <w:right w:val="none" w:sz="0" w:space="0" w:color="auto"/>
            </w:tcBorders>
            <w:noWrap/>
            <w:hideMark/>
          </w:tcPr>
          <w:p w14:paraId="399D2824" w14:textId="77777777" w:rsidR="00113630" w:rsidRPr="001B41AD" w:rsidRDefault="00113630" w:rsidP="00405489">
            <w:pPr>
              <w:jc w:val="center"/>
              <w:rPr>
                <w:rFonts w:ascii="Calibri" w:hAnsi="Calibri" w:cs="Calibri"/>
                <w:color w:val="002060"/>
                <w:sz w:val="18"/>
                <w:szCs w:val="18"/>
                <w:lang w:val="sr-Cyrl-CS"/>
              </w:rPr>
            </w:pPr>
            <w:r w:rsidRPr="001B41AD">
              <w:rPr>
                <w:rFonts w:ascii="Calibri" w:hAnsi="Calibri" w:cs="Calibri"/>
                <w:color w:val="002060"/>
                <w:sz w:val="18"/>
                <w:szCs w:val="18"/>
                <w:lang w:val="sr-Cyrl-CS"/>
              </w:rPr>
              <w:t>2028 п</w:t>
            </w:r>
          </w:p>
        </w:tc>
      </w:tr>
      <w:tr w:rsidR="00113630" w:rsidRPr="001B41AD" w14:paraId="1EFB1863" w14:textId="77777777" w:rsidTr="00405489">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single" w:sz="8" w:space="0" w:color="FFFFFF" w:themeColor="background1"/>
              <w:left w:val="none" w:sz="0" w:space="0" w:color="auto"/>
              <w:bottom w:val="nil"/>
              <w:right w:val="none" w:sz="0" w:space="0" w:color="auto"/>
            </w:tcBorders>
            <w:shd w:val="clear" w:color="auto" w:fill="E7E6E6" w:themeFill="background2"/>
            <w:noWrap/>
            <w:hideMark/>
          </w:tcPr>
          <w:p w14:paraId="42276913"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Дуг централне државе/БДП</w:t>
            </w:r>
          </w:p>
        </w:tc>
        <w:tc>
          <w:tcPr>
            <w:tcW w:w="492" w:type="pct"/>
            <w:tcBorders>
              <w:top w:val="single" w:sz="4" w:space="0" w:color="002060"/>
              <w:left w:val="none" w:sz="0" w:space="0" w:color="auto"/>
              <w:bottom w:val="nil"/>
              <w:right w:val="none" w:sz="0" w:space="0" w:color="auto"/>
            </w:tcBorders>
            <w:shd w:val="clear" w:color="auto" w:fill="E7E6E6" w:themeFill="background2"/>
            <w:hideMark/>
          </w:tcPr>
          <w:p w14:paraId="7CF6E693"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48,0</w:t>
            </w:r>
          </w:p>
        </w:tc>
        <w:tc>
          <w:tcPr>
            <w:tcW w:w="493" w:type="pct"/>
            <w:tcBorders>
              <w:top w:val="single" w:sz="4" w:space="0" w:color="002060"/>
              <w:left w:val="none" w:sz="0" w:space="0" w:color="auto"/>
              <w:bottom w:val="nil"/>
              <w:right w:val="none" w:sz="0" w:space="0" w:color="auto"/>
            </w:tcBorders>
            <w:shd w:val="clear" w:color="auto" w:fill="E7E6E6" w:themeFill="background2"/>
            <w:hideMark/>
          </w:tcPr>
          <w:p w14:paraId="26F88C17"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46,7</w:t>
            </w:r>
          </w:p>
        </w:tc>
        <w:tc>
          <w:tcPr>
            <w:tcW w:w="493" w:type="pct"/>
            <w:tcBorders>
              <w:top w:val="single" w:sz="4" w:space="0" w:color="002060"/>
              <w:left w:val="none" w:sz="0" w:space="0" w:color="auto"/>
              <w:bottom w:val="nil"/>
              <w:right w:val="none" w:sz="0" w:space="0" w:color="auto"/>
            </w:tcBorders>
            <w:shd w:val="clear" w:color="auto" w:fill="E7E6E6" w:themeFill="background2"/>
            <w:noWrap/>
            <w:hideMark/>
          </w:tcPr>
          <w:p w14:paraId="28231D68"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44,6</w:t>
            </w:r>
          </w:p>
        </w:tc>
        <w:tc>
          <w:tcPr>
            <w:tcW w:w="493" w:type="pct"/>
            <w:tcBorders>
              <w:top w:val="single" w:sz="4" w:space="0" w:color="002060"/>
              <w:left w:val="none" w:sz="0" w:space="0" w:color="auto"/>
              <w:bottom w:val="nil"/>
              <w:right w:val="none" w:sz="0" w:space="0" w:color="auto"/>
            </w:tcBorders>
            <w:shd w:val="clear" w:color="auto" w:fill="E7E6E6" w:themeFill="background2"/>
            <w:noWrap/>
            <w:hideMark/>
          </w:tcPr>
          <w:p w14:paraId="662BEA75"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44,0</w:t>
            </w:r>
          </w:p>
        </w:tc>
        <w:tc>
          <w:tcPr>
            <w:tcW w:w="493" w:type="pct"/>
            <w:tcBorders>
              <w:top w:val="single" w:sz="4" w:space="0" w:color="002060"/>
              <w:left w:val="none" w:sz="0" w:space="0" w:color="auto"/>
              <w:bottom w:val="nil"/>
              <w:right w:val="none" w:sz="0" w:space="0" w:color="auto"/>
            </w:tcBorders>
            <w:shd w:val="clear" w:color="auto" w:fill="E7E6E6" w:themeFill="background2"/>
            <w:noWrap/>
            <w:hideMark/>
          </w:tcPr>
          <w:p w14:paraId="3DCE75E0"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43,8</w:t>
            </w:r>
          </w:p>
        </w:tc>
        <w:tc>
          <w:tcPr>
            <w:tcW w:w="493" w:type="pct"/>
            <w:tcBorders>
              <w:top w:val="single" w:sz="4" w:space="0" w:color="002060"/>
              <w:left w:val="none" w:sz="0" w:space="0" w:color="auto"/>
              <w:bottom w:val="nil"/>
              <w:right w:val="none" w:sz="0" w:space="0" w:color="auto"/>
            </w:tcBorders>
            <w:shd w:val="clear" w:color="auto" w:fill="E7E6E6" w:themeFill="background2"/>
            <w:noWrap/>
            <w:hideMark/>
          </w:tcPr>
          <w:p w14:paraId="348CF761"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43,6</w:t>
            </w:r>
          </w:p>
        </w:tc>
      </w:tr>
      <w:tr w:rsidR="00113630" w:rsidRPr="001B41AD" w14:paraId="70BC363C" w14:textId="77777777" w:rsidTr="00405489">
        <w:trPr>
          <w:trHeight w:val="265"/>
        </w:trPr>
        <w:tc>
          <w:tcPr>
            <w:tcW w:w="2043" w:type="pct"/>
            <w:tcBorders>
              <w:top w:val="nil"/>
              <w:left w:val="nil"/>
              <w:bottom w:val="nil"/>
              <w:right w:val="nil"/>
            </w:tcBorders>
            <w:noWrap/>
            <w:hideMark/>
          </w:tcPr>
          <w:p w14:paraId="21E340C5"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Промена у односу на претходну год. у % БДП</w:t>
            </w:r>
          </w:p>
        </w:tc>
        <w:tc>
          <w:tcPr>
            <w:tcW w:w="492" w:type="pct"/>
            <w:tcBorders>
              <w:top w:val="nil"/>
              <w:left w:val="nil"/>
              <w:bottom w:val="nil"/>
              <w:right w:val="nil"/>
            </w:tcBorders>
            <w:hideMark/>
          </w:tcPr>
          <w:p w14:paraId="26387EE3"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-4,4</w:t>
            </w:r>
          </w:p>
        </w:tc>
        <w:tc>
          <w:tcPr>
            <w:tcW w:w="493" w:type="pct"/>
            <w:tcBorders>
              <w:top w:val="nil"/>
              <w:left w:val="nil"/>
              <w:bottom w:val="nil"/>
              <w:right w:val="nil"/>
            </w:tcBorders>
            <w:hideMark/>
          </w:tcPr>
          <w:p w14:paraId="6068A294"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-1,3</w:t>
            </w:r>
          </w:p>
        </w:tc>
        <w:tc>
          <w:tcPr>
            <w:tcW w:w="493" w:type="pct"/>
            <w:tcBorders>
              <w:top w:val="nil"/>
              <w:left w:val="nil"/>
              <w:bottom w:val="nil"/>
              <w:right w:val="nil"/>
            </w:tcBorders>
            <w:noWrap/>
            <w:hideMark/>
          </w:tcPr>
          <w:p w14:paraId="2931F8FC"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-2,1</w:t>
            </w:r>
          </w:p>
        </w:tc>
        <w:tc>
          <w:tcPr>
            <w:tcW w:w="493" w:type="pct"/>
            <w:tcBorders>
              <w:top w:val="nil"/>
              <w:left w:val="nil"/>
              <w:bottom w:val="nil"/>
              <w:right w:val="nil"/>
            </w:tcBorders>
            <w:noWrap/>
            <w:hideMark/>
          </w:tcPr>
          <w:p w14:paraId="7D29A0A1"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-0,6</w:t>
            </w:r>
          </w:p>
        </w:tc>
        <w:tc>
          <w:tcPr>
            <w:tcW w:w="493" w:type="pct"/>
            <w:tcBorders>
              <w:top w:val="nil"/>
              <w:left w:val="nil"/>
              <w:bottom w:val="nil"/>
              <w:right w:val="nil"/>
            </w:tcBorders>
            <w:noWrap/>
            <w:hideMark/>
          </w:tcPr>
          <w:p w14:paraId="41042C76"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-0,2</w:t>
            </w:r>
          </w:p>
        </w:tc>
        <w:tc>
          <w:tcPr>
            <w:tcW w:w="493" w:type="pct"/>
            <w:tcBorders>
              <w:top w:val="nil"/>
              <w:left w:val="nil"/>
              <w:bottom w:val="nil"/>
              <w:right w:val="nil"/>
            </w:tcBorders>
            <w:noWrap/>
            <w:hideMark/>
          </w:tcPr>
          <w:p w14:paraId="582A7AF7"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-0,2</w:t>
            </w:r>
          </w:p>
        </w:tc>
      </w:tr>
      <w:tr w:rsidR="00113630" w:rsidRPr="001B41AD" w14:paraId="16B47D8E" w14:textId="77777777" w:rsidTr="00405489">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nil"/>
              <w:left w:val="none" w:sz="0" w:space="0" w:color="auto"/>
              <w:bottom w:val="nil"/>
              <w:right w:val="none" w:sz="0" w:space="0" w:color="auto"/>
            </w:tcBorders>
            <w:shd w:val="clear" w:color="auto" w:fill="E7E6E6" w:themeFill="background2"/>
            <w:noWrap/>
            <w:hideMark/>
          </w:tcPr>
          <w:p w14:paraId="7F799A33"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Допринос примарног фискалног резултата</w:t>
            </w:r>
          </w:p>
        </w:tc>
        <w:tc>
          <w:tcPr>
            <w:tcW w:w="492" w:type="pct"/>
            <w:tcBorders>
              <w:top w:val="nil"/>
              <w:left w:val="none" w:sz="0" w:space="0" w:color="auto"/>
              <w:bottom w:val="nil"/>
              <w:right w:val="none" w:sz="0" w:space="0" w:color="auto"/>
            </w:tcBorders>
            <w:shd w:val="clear" w:color="auto" w:fill="E7E6E6" w:themeFill="background2"/>
            <w:hideMark/>
          </w:tcPr>
          <w:p w14:paraId="771D80D9"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0,3</w:t>
            </w:r>
          </w:p>
        </w:tc>
        <w:tc>
          <w:tcPr>
            <w:tcW w:w="493" w:type="pct"/>
            <w:tcBorders>
              <w:top w:val="nil"/>
              <w:left w:val="none" w:sz="0" w:space="0" w:color="auto"/>
              <w:bottom w:val="nil"/>
              <w:right w:val="none" w:sz="0" w:space="0" w:color="auto"/>
            </w:tcBorders>
            <w:shd w:val="clear" w:color="auto" w:fill="E7E6E6" w:themeFill="background2"/>
            <w:hideMark/>
          </w:tcPr>
          <w:p w14:paraId="41E4FB72"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0,4</w:t>
            </w:r>
          </w:p>
        </w:tc>
        <w:tc>
          <w:tcPr>
            <w:tcW w:w="493" w:type="pct"/>
            <w:tcBorders>
              <w:top w:val="nil"/>
              <w:left w:val="none" w:sz="0" w:space="0" w:color="auto"/>
              <w:bottom w:val="nil"/>
              <w:right w:val="none" w:sz="0" w:space="0" w:color="auto"/>
            </w:tcBorders>
            <w:shd w:val="clear" w:color="auto" w:fill="E7E6E6" w:themeFill="background2"/>
            <w:noWrap/>
            <w:hideMark/>
          </w:tcPr>
          <w:p w14:paraId="088F0C93"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1,1</w:t>
            </w:r>
          </w:p>
        </w:tc>
        <w:tc>
          <w:tcPr>
            <w:tcW w:w="493" w:type="pct"/>
            <w:tcBorders>
              <w:top w:val="nil"/>
              <w:left w:val="none" w:sz="0" w:space="0" w:color="auto"/>
              <w:bottom w:val="nil"/>
              <w:right w:val="none" w:sz="0" w:space="0" w:color="auto"/>
            </w:tcBorders>
            <w:shd w:val="clear" w:color="auto" w:fill="E7E6E6" w:themeFill="background2"/>
            <w:noWrap/>
            <w:hideMark/>
          </w:tcPr>
          <w:p w14:paraId="72E213CE"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1,1</w:t>
            </w:r>
          </w:p>
        </w:tc>
        <w:tc>
          <w:tcPr>
            <w:tcW w:w="493" w:type="pct"/>
            <w:tcBorders>
              <w:top w:val="nil"/>
              <w:left w:val="none" w:sz="0" w:space="0" w:color="auto"/>
              <w:bottom w:val="nil"/>
              <w:right w:val="none" w:sz="0" w:space="0" w:color="auto"/>
            </w:tcBorders>
            <w:shd w:val="clear" w:color="auto" w:fill="E7E6E6" w:themeFill="background2"/>
            <w:noWrap/>
            <w:hideMark/>
          </w:tcPr>
          <w:p w14:paraId="661EACB6"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1,2</w:t>
            </w:r>
          </w:p>
        </w:tc>
        <w:tc>
          <w:tcPr>
            <w:tcW w:w="493" w:type="pct"/>
            <w:tcBorders>
              <w:top w:val="nil"/>
              <w:left w:val="none" w:sz="0" w:space="0" w:color="auto"/>
              <w:bottom w:val="nil"/>
              <w:right w:val="none" w:sz="0" w:space="0" w:color="auto"/>
            </w:tcBorders>
            <w:shd w:val="clear" w:color="auto" w:fill="E7E6E6" w:themeFill="background2"/>
            <w:noWrap/>
            <w:hideMark/>
          </w:tcPr>
          <w:p w14:paraId="41D4AB18"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0,6</w:t>
            </w:r>
          </w:p>
        </w:tc>
      </w:tr>
      <w:tr w:rsidR="00113630" w:rsidRPr="001B41AD" w14:paraId="133E4B57" w14:textId="77777777" w:rsidTr="00405489">
        <w:trPr>
          <w:trHeight w:val="265"/>
        </w:trPr>
        <w:tc>
          <w:tcPr>
            <w:tcW w:w="2043" w:type="pct"/>
            <w:tcBorders>
              <w:top w:val="nil"/>
              <w:left w:val="nil"/>
              <w:bottom w:val="nil"/>
              <w:right w:val="nil"/>
            </w:tcBorders>
            <w:noWrap/>
            <w:hideMark/>
          </w:tcPr>
          <w:p w14:paraId="25416F27"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Допринос камата</w:t>
            </w:r>
          </w:p>
        </w:tc>
        <w:tc>
          <w:tcPr>
            <w:tcW w:w="492" w:type="pct"/>
            <w:tcBorders>
              <w:top w:val="nil"/>
              <w:left w:val="nil"/>
              <w:bottom w:val="nil"/>
              <w:right w:val="nil"/>
            </w:tcBorders>
            <w:hideMark/>
          </w:tcPr>
          <w:p w14:paraId="5A51F858"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1,7</w:t>
            </w:r>
          </w:p>
        </w:tc>
        <w:tc>
          <w:tcPr>
            <w:tcW w:w="493" w:type="pct"/>
            <w:tcBorders>
              <w:top w:val="nil"/>
              <w:left w:val="nil"/>
              <w:bottom w:val="nil"/>
              <w:right w:val="nil"/>
            </w:tcBorders>
            <w:hideMark/>
          </w:tcPr>
          <w:p w14:paraId="15B12542"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1,8</w:t>
            </w:r>
          </w:p>
        </w:tc>
        <w:tc>
          <w:tcPr>
            <w:tcW w:w="493" w:type="pct"/>
            <w:tcBorders>
              <w:top w:val="nil"/>
              <w:left w:val="nil"/>
              <w:bottom w:val="nil"/>
              <w:right w:val="nil"/>
            </w:tcBorders>
            <w:noWrap/>
            <w:hideMark/>
          </w:tcPr>
          <w:p w14:paraId="47EF0DEC"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1,9</w:t>
            </w:r>
          </w:p>
        </w:tc>
        <w:tc>
          <w:tcPr>
            <w:tcW w:w="493" w:type="pct"/>
            <w:tcBorders>
              <w:top w:val="nil"/>
              <w:left w:val="nil"/>
              <w:bottom w:val="nil"/>
              <w:right w:val="nil"/>
            </w:tcBorders>
            <w:noWrap/>
            <w:hideMark/>
          </w:tcPr>
          <w:p w14:paraId="38F5F25F"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1,9</w:t>
            </w:r>
          </w:p>
        </w:tc>
        <w:tc>
          <w:tcPr>
            <w:tcW w:w="493" w:type="pct"/>
            <w:tcBorders>
              <w:top w:val="nil"/>
              <w:left w:val="nil"/>
              <w:bottom w:val="nil"/>
              <w:right w:val="nil"/>
            </w:tcBorders>
            <w:noWrap/>
            <w:hideMark/>
          </w:tcPr>
          <w:p w14:paraId="4E6005F8"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1,9</w:t>
            </w:r>
          </w:p>
        </w:tc>
        <w:tc>
          <w:tcPr>
            <w:tcW w:w="493" w:type="pct"/>
            <w:tcBorders>
              <w:top w:val="nil"/>
              <w:left w:val="nil"/>
              <w:bottom w:val="nil"/>
              <w:right w:val="nil"/>
            </w:tcBorders>
            <w:noWrap/>
            <w:hideMark/>
          </w:tcPr>
          <w:p w14:paraId="54D1E4AB"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1,9</w:t>
            </w:r>
          </w:p>
        </w:tc>
      </w:tr>
      <w:tr w:rsidR="00113630" w:rsidRPr="001B41AD" w14:paraId="29D9B0F4" w14:textId="77777777" w:rsidTr="00405489">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nil"/>
              <w:left w:val="none" w:sz="0" w:space="0" w:color="auto"/>
              <w:bottom w:val="nil"/>
              <w:right w:val="none" w:sz="0" w:space="0" w:color="auto"/>
            </w:tcBorders>
            <w:shd w:val="clear" w:color="auto" w:fill="E7E6E6" w:themeFill="background2"/>
            <w:hideMark/>
          </w:tcPr>
          <w:p w14:paraId="57DD0C90"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Допринос раста номиналног БДП</w:t>
            </w:r>
          </w:p>
        </w:tc>
        <w:tc>
          <w:tcPr>
            <w:tcW w:w="492" w:type="pct"/>
            <w:tcBorders>
              <w:top w:val="nil"/>
              <w:left w:val="none" w:sz="0" w:space="0" w:color="auto"/>
              <w:bottom w:val="nil"/>
              <w:right w:val="none" w:sz="0" w:space="0" w:color="auto"/>
            </w:tcBorders>
            <w:shd w:val="clear" w:color="auto" w:fill="E7E6E6" w:themeFill="background2"/>
            <w:hideMark/>
          </w:tcPr>
          <w:p w14:paraId="5637E6D9"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-8,1</w:t>
            </w:r>
          </w:p>
        </w:tc>
        <w:tc>
          <w:tcPr>
            <w:tcW w:w="493" w:type="pct"/>
            <w:tcBorders>
              <w:top w:val="nil"/>
              <w:left w:val="none" w:sz="0" w:space="0" w:color="auto"/>
              <w:bottom w:val="nil"/>
              <w:right w:val="none" w:sz="0" w:space="0" w:color="auto"/>
            </w:tcBorders>
            <w:shd w:val="clear" w:color="auto" w:fill="E7E6E6" w:themeFill="background2"/>
            <w:hideMark/>
          </w:tcPr>
          <w:p w14:paraId="399FFA4F"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-4,6</w:t>
            </w:r>
          </w:p>
        </w:tc>
        <w:tc>
          <w:tcPr>
            <w:tcW w:w="493" w:type="pct"/>
            <w:tcBorders>
              <w:top w:val="nil"/>
              <w:left w:val="none" w:sz="0" w:space="0" w:color="auto"/>
              <w:bottom w:val="nil"/>
              <w:right w:val="none" w:sz="0" w:space="0" w:color="auto"/>
            </w:tcBorders>
            <w:shd w:val="clear" w:color="auto" w:fill="E7E6E6" w:themeFill="background2"/>
            <w:noWrap/>
            <w:hideMark/>
          </w:tcPr>
          <w:p w14:paraId="49527C9E"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-2,8</w:t>
            </w:r>
          </w:p>
        </w:tc>
        <w:tc>
          <w:tcPr>
            <w:tcW w:w="493" w:type="pct"/>
            <w:tcBorders>
              <w:top w:val="nil"/>
              <w:left w:val="none" w:sz="0" w:space="0" w:color="auto"/>
              <w:bottom w:val="nil"/>
              <w:right w:val="none" w:sz="0" w:space="0" w:color="auto"/>
            </w:tcBorders>
            <w:shd w:val="clear" w:color="auto" w:fill="E7E6E6" w:themeFill="background2"/>
            <w:noWrap/>
            <w:hideMark/>
          </w:tcPr>
          <w:p w14:paraId="7C83A405"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-2,8</w:t>
            </w:r>
          </w:p>
        </w:tc>
        <w:tc>
          <w:tcPr>
            <w:tcW w:w="493" w:type="pct"/>
            <w:tcBorders>
              <w:top w:val="nil"/>
              <w:left w:val="none" w:sz="0" w:space="0" w:color="auto"/>
              <w:bottom w:val="nil"/>
              <w:right w:val="none" w:sz="0" w:space="0" w:color="auto"/>
            </w:tcBorders>
            <w:shd w:val="clear" w:color="auto" w:fill="E7E6E6" w:themeFill="background2"/>
            <w:noWrap/>
            <w:hideMark/>
          </w:tcPr>
          <w:p w14:paraId="61383FDC"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-3,5</w:t>
            </w:r>
          </w:p>
        </w:tc>
        <w:tc>
          <w:tcPr>
            <w:tcW w:w="493" w:type="pct"/>
            <w:tcBorders>
              <w:top w:val="nil"/>
              <w:left w:val="none" w:sz="0" w:space="0" w:color="auto"/>
              <w:bottom w:val="nil"/>
              <w:right w:val="none" w:sz="0" w:space="0" w:color="auto"/>
            </w:tcBorders>
            <w:shd w:val="clear" w:color="auto" w:fill="E7E6E6" w:themeFill="background2"/>
            <w:noWrap/>
            <w:hideMark/>
          </w:tcPr>
          <w:p w14:paraId="45F6D86D"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-2,6</w:t>
            </w:r>
          </w:p>
        </w:tc>
      </w:tr>
      <w:tr w:rsidR="00113630" w:rsidRPr="001B41AD" w14:paraId="41399230" w14:textId="77777777" w:rsidTr="00405489">
        <w:trPr>
          <w:trHeight w:val="265"/>
        </w:trPr>
        <w:tc>
          <w:tcPr>
            <w:tcW w:w="2043" w:type="pct"/>
            <w:tcBorders>
              <w:top w:val="nil"/>
              <w:left w:val="nil"/>
              <w:bottom w:val="single" w:sz="4" w:space="0" w:color="002060"/>
              <w:right w:val="nil"/>
            </w:tcBorders>
            <w:hideMark/>
          </w:tcPr>
          <w:p w14:paraId="1F6654F0" w14:textId="77777777" w:rsidR="00113630" w:rsidRPr="001B41AD" w:rsidRDefault="00113630" w:rsidP="00405489">
            <w:pPr>
              <w:spacing w:line="240" w:lineRule="auto"/>
              <w:rPr>
                <w:rFonts w:ascii="Calibri" w:hAnsi="Calibri" w:cs="Calibri"/>
                <w:bCs/>
                <w:color w:val="002060"/>
                <w:sz w:val="18"/>
                <w:szCs w:val="18"/>
                <w:lang w:val="sr-Cyrl-CS"/>
              </w:rPr>
            </w:pPr>
            <w:r w:rsidRPr="001B41AD">
              <w:rPr>
                <w:rFonts w:ascii="Calibri" w:hAnsi="Calibri" w:cs="Calibri"/>
                <w:bCs/>
                <w:color w:val="002060"/>
                <w:sz w:val="18"/>
                <w:szCs w:val="18"/>
                <w:lang w:val="sr-Cyrl-CS"/>
              </w:rPr>
              <w:t>Допринос осталих фактора</w:t>
            </w:r>
          </w:p>
        </w:tc>
        <w:tc>
          <w:tcPr>
            <w:tcW w:w="492" w:type="pct"/>
            <w:tcBorders>
              <w:top w:val="nil"/>
              <w:left w:val="nil"/>
              <w:bottom w:val="single" w:sz="4" w:space="0" w:color="002060"/>
              <w:right w:val="nil"/>
            </w:tcBorders>
            <w:hideMark/>
          </w:tcPr>
          <w:p w14:paraId="33D53BED"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1,7</w:t>
            </w:r>
          </w:p>
        </w:tc>
        <w:tc>
          <w:tcPr>
            <w:tcW w:w="493" w:type="pct"/>
            <w:tcBorders>
              <w:top w:val="nil"/>
              <w:left w:val="nil"/>
              <w:bottom w:val="single" w:sz="4" w:space="0" w:color="002060"/>
              <w:right w:val="nil"/>
            </w:tcBorders>
            <w:hideMark/>
          </w:tcPr>
          <w:p w14:paraId="1668CA8B"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1,1</w:t>
            </w:r>
          </w:p>
        </w:tc>
        <w:tc>
          <w:tcPr>
            <w:tcW w:w="493" w:type="pct"/>
            <w:tcBorders>
              <w:top w:val="nil"/>
              <w:left w:val="nil"/>
              <w:bottom w:val="single" w:sz="4" w:space="0" w:color="002060"/>
              <w:right w:val="nil"/>
            </w:tcBorders>
            <w:noWrap/>
            <w:hideMark/>
          </w:tcPr>
          <w:p w14:paraId="4D2EE8FF"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-2,3</w:t>
            </w:r>
          </w:p>
        </w:tc>
        <w:tc>
          <w:tcPr>
            <w:tcW w:w="493" w:type="pct"/>
            <w:tcBorders>
              <w:top w:val="nil"/>
              <w:left w:val="nil"/>
              <w:bottom w:val="single" w:sz="4" w:space="0" w:color="002060"/>
              <w:right w:val="nil"/>
            </w:tcBorders>
            <w:noWrap/>
            <w:hideMark/>
          </w:tcPr>
          <w:p w14:paraId="1BAD68D0"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-0,8</w:t>
            </w:r>
          </w:p>
        </w:tc>
        <w:tc>
          <w:tcPr>
            <w:tcW w:w="493" w:type="pct"/>
            <w:tcBorders>
              <w:top w:val="nil"/>
              <w:left w:val="nil"/>
              <w:bottom w:val="single" w:sz="4" w:space="0" w:color="002060"/>
              <w:right w:val="nil"/>
            </w:tcBorders>
            <w:noWrap/>
            <w:hideMark/>
          </w:tcPr>
          <w:p w14:paraId="669AB5CC"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0,2</w:t>
            </w:r>
          </w:p>
        </w:tc>
        <w:tc>
          <w:tcPr>
            <w:tcW w:w="493" w:type="pct"/>
            <w:tcBorders>
              <w:top w:val="nil"/>
              <w:left w:val="nil"/>
              <w:bottom w:val="single" w:sz="4" w:space="0" w:color="002060"/>
              <w:right w:val="nil"/>
            </w:tcBorders>
            <w:noWrap/>
            <w:hideMark/>
          </w:tcPr>
          <w:p w14:paraId="583D42D4" w14:textId="77777777" w:rsidR="00113630" w:rsidRPr="001B41AD" w:rsidRDefault="00113630" w:rsidP="00405489">
            <w:pPr>
              <w:spacing w:line="240" w:lineRule="auto"/>
              <w:jc w:val="center"/>
              <w:rPr>
                <w:rFonts w:ascii="Calibri" w:hAnsi="Calibri" w:cs="Calibri"/>
                <w:bCs/>
                <w:color w:val="002060"/>
                <w:sz w:val="18"/>
                <w:szCs w:val="18"/>
                <w:lang w:val="sr-Cyrl-CS"/>
              </w:rPr>
            </w:pPr>
            <w:r w:rsidRPr="001B41AD">
              <w:rPr>
                <w:rFonts w:ascii="Calibri" w:hAnsi="Calibri" w:cs="Calibri"/>
                <w:bCs/>
                <w:color w:val="002060"/>
                <w:sz w:val="18"/>
                <w:szCs w:val="18"/>
                <w:lang w:val="sr-Cyrl-CS"/>
              </w:rPr>
              <w:t>0,0</w:t>
            </w:r>
          </w:p>
        </w:tc>
      </w:tr>
    </w:tbl>
    <w:p w14:paraId="58AA06BD" w14:textId="77777777" w:rsidR="00113630" w:rsidRPr="001B41AD" w:rsidRDefault="00113630" w:rsidP="00113630">
      <w:pPr>
        <w:rPr>
          <w:lang w:val="sr-Cyrl-CS"/>
        </w:rPr>
      </w:pPr>
    </w:p>
    <w:p w14:paraId="0DD16F8F" w14:textId="77777777" w:rsidR="00113630" w:rsidRPr="001B41AD" w:rsidRDefault="00113630" w:rsidP="00113630">
      <w:pPr>
        <w:spacing w:line="256" w:lineRule="auto"/>
        <w:jc w:val="center"/>
        <w:rPr>
          <w:rFonts w:ascii="Calibri" w:eastAsia="Calibri" w:hAnsi="Calibri" w:cs="Times New Roman"/>
          <w:b/>
          <w:color w:val="002060"/>
          <w:lang w:val="sr-Cyrl-CS"/>
        </w:rPr>
        <w:sectPr w:rsidR="00113630" w:rsidRPr="001B41AD" w:rsidSect="00405489">
          <w:type w:val="continuous"/>
          <w:pgSz w:w="12240" w:h="15840" w:code="1"/>
          <w:pgMar w:top="1440" w:right="1440" w:bottom="1440" w:left="1440" w:header="720" w:footer="720" w:gutter="0"/>
          <w:cols w:space="720"/>
          <w:titlePg/>
          <w:docGrid w:linePitch="360"/>
        </w:sectPr>
      </w:pPr>
    </w:p>
    <w:p w14:paraId="36B16DD5" w14:textId="77777777" w:rsidR="00DA551C" w:rsidRPr="001B41AD" w:rsidRDefault="00DA551C" w:rsidP="00113630">
      <w:pPr>
        <w:rPr>
          <w:rFonts w:ascii="Calibri" w:eastAsia="Calibri" w:hAnsi="Calibri" w:cs="Times New Roman"/>
          <w:b/>
          <w:color w:val="002060"/>
          <w:lang w:val="sr-Cyrl-CS"/>
        </w:rPr>
      </w:pPr>
    </w:p>
    <w:p w14:paraId="4FCF56A6" w14:textId="77777777" w:rsidR="00DA551C" w:rsidRPr="001B41AD" w:rsidRDefault="00DA551C" w:rsidP="00113630">
      <w:pPr>
        <w:rPr>
          <w:rFonts w:ascii="Calibri" w:eastAsia="Calibri" w:hAnsi="Calibri" w:cs="Times New Roman"/>
          <w:b/>
          <w:color w:val="002060"/>
          <w:lang w:val="sr-Cyrl-CS"/>
        </w:rPr>
      </w:pPr>
    </w:p>
    <w:p w14:paraId="603C0913" w14:textId="77777777" w:rsidR="00DA551C" w:rsidRPr="001B41AD" w:rsidRDefault="00DA551C" w:rsidP="00113630">
      <w:pPr>
        <w:rPr>
          <w:rFonts w:ascii="Calibri" w:eastAsia="Calibri" w:hAnsi="Calibri" w:cs="Times New Roman"/>
          <w:b/>
          <w:color w:val="002060"/>
          <w:lang w:val="sr-Cyrl-CS"/>
        </w:rPr>
      </w:pPr>
    </w:p>
    <w:p w14:paraId="7A3517E2" w14:textId="77777777" w:rsidR="00DA551C" w:rsidRPr="001B41AD" w:rsidRDefault="00DA551C" w:rsidP="00113630">
      <w:pPr>
        <w:rPr>
          <w:rFonts w:ascii="Calibri" w:eastAsia="Calibri" w:hAnsi="Calibri" w:cs="Times New Roman"/>
          <w:b/>
          <w:color w:val="002060"/>
          <w:lang w:val="sr-Cyrl-CS"/>
        </w:rPr>
      </w:pPr>
    </w:p>
    <w:p w14:paraId="61E22E36" w14:textId="77777777" w:rsidR="00DA551C" w:rsidRPr="001B41AD" w:rsidRDefault="00DA551C" w:rsidP="00113630">
      <w:pPr>
        <w:rPr>
          <w:rFonts w:ascii="Calibri" w:eastAsia="Calibri" w:hAnsi="Calibri" w:cs="Times New Roman"/>
          <w:b/>
          <w:color w:val="002060"/>
          <w:lang w:val="sr-Cyrl-CS"/>
        </w:rPr>
      </w:pPr>
    </w:p>
    <w:p w14:paraId="3D13CA39" w14:textId="77777777" w:rsidR="00DA551C" w:rsidRPr="001B41AD" w:rsidRDefault="00DA551C" w:rsidP="00113630">
      <w:pPr>
        <w:rPr>
          <w:rFonts w:ascii="Calibri" w:eastAsia="Calibri" w:hAnsi="Calibri" w:cs="Times New Roman"/>
          <w:b/>
          <w:color w:val="002060"/>
          <w:lang w:val="sr-Cyrl-CS"/>
        </w:rPr>
      </w:pPr>
    </w:p>
    <w:p w14:paraId="3B41C92B" w14:textId="77777777" w:rsidR="00DA551C" w:rsidRPr="001B41AD" w:rsidRDefault="00DA551C" w:rsidP="00113630">
      <w:pPr>
        <w:rPr>
          <w:rFonts w:ascii="Calibri" w:eastAsia="Calibri" w:hAnsi="Calibri" w:cs="Times New Roman"/>
          <w:b/>
          <w:color w:val="002060"/>
          <w:lang w:val="sr-Cyrl-CS"/>
        </w:rPr>
      </w:pPr>
    </w:p>
    <w:p w14:paraId="65CF5601" w14:textId="77777777" w:rsidR="00DA551C" w:rsidRPr="001B41AD" w:rsidRDefault="00DA551C" w:rsidP="00113630">
      <w:pPr>
        <w:rPr>
          <w:rFonts w:ascii="Calibri" w:eastAsia="Calibri" w:hAnsi="Calibri" w:cs="Times New Roman"/>
          <w:b/>
          <w:color w:val="002060"/>
          <w:lang w:val="sr-Cyrl-CS"/>
        </w:rPr>
      </w:pPr>
    </w:p>
    <w:p w14:paraId="5E2346F8" w14:textId="77777777" w:rsidR="00DA551C" w:rsidRPr="001B41AD" w:rsidRDefault="00DA551C" w:rsidP="00113630">
      <w:pPr>
        <w:rPr>
          <w:rFonts w:ascii="Calibri" w:eastAsia="Calibri" w:hAnsi="Calibri" w:cs="Times New Roman"/>
          <w:b/>
          <w:color w:val="002060"/>
          <w:lang w:val="sr-Cyrl-CS"/>
        </w:rPr>
      </w:pPr>
    </w:p>
    <w:p w14:paraId="0A66736F" w14:textId="77777777" w:rsidR="00DA551C" w:rsidRPr="001B41AD" w:rsidRDefault="00DA551C" w:rsidP="00113630">
      <w:pPr>
        <w:rPr>
          <w:rFonts w:ascii="Calibri" w:eastAsia="Calibri" w:hAnsi="Calibri" w:cs="Times New Roman"/>
          <w:b/>
          <w:color w:val="002060"/>
          <w:lang w:val="sr-Cyrl-CS"/>
        </w:rPr>
      </w:pPr>
    </w:p>
    <w:p w14:paraId="17672CEA" w14:textId="77777777" w:rsidR="00DA551C" w:rsidRPr="001B41AD" w:rsidRDefault="00DA551C" w:rsidP="00113630">
      <w:pPr>
        <w:rPr>
          <w:rFonts w:ascii="Calibri" w:eastAsia="Calibri" w:hAnsi="Calibri" w:cs="Times New Roman"/>
          <w:b/>
          <w:color w:val="002060"/>
          <w:lang w:val="sr-Cyrl-CS"/>
        </w:rPr>
      </w:pPr>
    </w:p>
    <w:p w14:paraId="6C32BA56" w14:textId="77777777" w:rsidR="00DA551C" w:rsidRPr="001B41AD" w:rsidRDefault="00DA551C" w:rsidP="00113630">
      <w:pPr>
        <w:rPr>
          <w:rFonts w:ascii="Calibri" w:eastAsia="Calibri" w:hAnsi="Calibri" w:cs="Times New Roman"/>
          <w:b/>
          <w:color w:val="002060"/>
          <w:lang w:val="sr-Cyrl-CS"/>
        </w:rPr>
      </w:pPr>
    </w:p>
    <w:p w14:paraId="71237152" w14:textId="77777777" w:rsidR="00DA551C" w:rsidRPr="001B41AD" w:rsidRDefault="00DA551C" w:rsidP="00113630">
      <w:pPr>
        <w:rPr>
          <w:rFonts w:ascii="Calibri" w:eastAsia="Calibri" w:hAnsi="Calibri" w:cs="Times New Roman"/>
          <w:b/>
          <w:color w:val="002060"/>
          <w:lang w:val="sr-Cyrl-CS"/>
        </w:rPr>
      </w:pPr>
    </w:p>
    <w:p w14:paraId="77BF4F32" w14:textId="77777777" w:rsidR="00113630" w:rsidRPr="001B41AD" w:rsidRDefault="00113630" w:rsidP="00113630">
      <w:pPr>
        <w:rPr>
          <w:rFonts w:ascii="Calibri" w:eastAsia="Calibri" w:hAnsi="Calibri" w:cs="Times New Roman"/>
          <w:b/>
          <w:color w:val="2F5496" w:themeColor="accent1" w:themeShade="BF"/>
          <w:lang w:val="sr-Cyrl-CS"/>
        </w:rPr>
      </w:pPr>
      <w:r w:rsidRPr="001B41AD">
        <w:rPr>
          <w:rFonts w:ascii="Calibri" w:eastAsia="Calibri" w:hAnsi="Calibri" w:cs="Times New Roman"/>
          <w:b/>
          <w:color w:val="2F5496" w:themeColor="accent1" w:themeShade="BF"/>
          <w:lang w:val="sr-Cyrl-CS"/>
        </w:rPr>
        <w:lastRenderedPageBreak/>
        <w:t>Утицај промене курса динара према корпи валута из портфолија јавног дуга централног нивоа државе на промену рација јавни дуг – БДП</w:t>
      </w:r>
    </w:p>
    <w:p w14:paraId="014E2D79" w14:textId="77777777" w:rsidR="00113630" w:rsidRPr="001B41AD" w:rsidRDefault="00113630" w:rsidP="00113630">
      <w:pPr>
        <w:rPr>
          <w:lang w:val="sr-Cyrl-CS"/>
        </w:rPr>
      </w:pPr>
      <w:r w:rsidRPr="001B41AD">
        <w:rPr>
          <w:noProof/>
        </w:rPr>
        <w:drawing>
          <wp:inline distT="0" distB="0" distL="0" distR="0" wp14:anchorId="230F57CA" wp14:editId="1EA7A0C0">
            <wp:extent cx="2743200" cy="2162175"/>
            <wp:effectExtent l="0" t="0" r="0" b="0"/>
            <wp:docPr id="2044971059" name="Chart 1">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2F333B9F"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На графикону је представљено кретање рација јавног дуга централног нивоа државе и БДП у зависности од промене курса динара према одређеној корпи валута. Приказана је основна пројекција са алтернативним сценаријима у зависности од апрецијације, односно депрецијације курса динара у распону од 10% апрецијације до 10% депрецијације динара у односу на корпу валута. Применом наведених сценарија може се видети да би се рацио за 2028. годину кретао у распону од 40,2% до 47%, док би за основни сценарио био на нивоу од 43,6%.</w:t>
      </w:r>
    </w:p>
    <w:p w14:paraId="5B83133C" w14:textId="77777777" w:rsidR="00113630" w:rsidRPr="001B41AD" w:rsidRDefault="00113630" w:rsidP="00113630">
      <w:pPr>
        <w:rPr>
          <w:rFonts w:ascii="Calibri" w:eastAsia="Calibri" w:hAnsi="Calibri" w:cs="Calibri"/>
          <w:bCs/>
          <w:spacing w:val="-2"/>
          <w:szCs w:val="72"/>
          <w:lang w:val="sr-Cyrl-CS"/>
        </w:rPr>
      </w:pPr>
      <w:r w:rsidRPr="001B41AD">
        <w:rPr>
          <w:rFonts w:ascii="Calibri" w:eastAsia="Calibri" w:hAnsi="Calibri" w:cs="Calibri"/>
          <w:bCs/>
          <w:spacing w:val="-2"/>
          <w:szCs w:val="72"/>
          <w:lang w:val="sr-Cyrl-CS"/>
        </w:rPr>
        <w:t>Главни ризици за остварење Стратегије, поред горе наведених фактора који су квантификовани, су и стабилност макроекономске ситуације у Републици Србији, потребе за додатним задуживањем како би се регулисали дугови на другим нивоима власти, јавном сектору и финансијском сектору Републике Србије и активирање датих гаранција.</w:t>
      </w:r>
    </w:p>
    <w:p w14:paraId="4E85CD49"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Важно је напоменути да смањењу јавног дуга у односу на БДП доприноси и адекватна контрола издавања гаранција и унапређење процеса приоритизације инвестиционих пројеката, који се финансирају из кредитних линија мултилатералних и билатералних кредитора.</w:t>
      </w:r>
    </w:p>
    <w:p w14:paraId="7E213BA3"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r w:rsidRPr="001B41AD">
        <w:rPr>
          <w:rFonts w:ascii="Calibri" w:eastAsia="Calibri" w:hAnsi="Calibri" w:cs="Times New Roman"/>
          <w:b/>
          <w:color w:val="2F5496" w:themeColor="accent1" w:themeShade="BF"/>
          <w:sz w:val="22"/>
          <w:lang w:val="sr-Cyrl-CS"/>
        </w:rPr>
        <w:t>Дугорочни стратешки оквир за управљање јавним дугом</w:t>
      </w:r>
    </w:p>
    <w:p w14:paraId="5BF9DF6A"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Основни стратешки циљеви којима је потребно тежити у наредном дугорочном периоду, како би се минимизирали ризици повећања задужености и трошкова сервисирања јавног дуга су:</w:t>
      </w:r>
    </w:p>
    <w:p w14:paraId="1BFCC173" w14:textId="77777777" w:rsidR="00113630" w:rsidRPr="001B41AD" w:rsidRDefault="00113630" w:rsidP="00204810">
      <w:pPr>
        <w:numPr>
          <w:ilvl w:val="0"/>
          <w:numId w:val="3"/>
        </w:numPr>
        <w:ind w:left="142" w:hanging="142"/>
        <w:contextualSpacing/>
        <w:rPr>
          <w:rFonts w:ascii="Calibri" w:eastAsia="Calibri" w:hAnsi="Calibri" w:cs="Calibri"/>
          <w:bCs/>
          <w:szCs w:val="72"/>
          <w:lang w:val="sr-Cyrl-CS"/>
        </w:rPr>
      </w:pPr>
      <w:r w:rsidRPr="001B41AD">
        <w:rPr>
          <w:rFonts w:ascii="Calibri" w:eastAsia="Calibri" w:hAnsi="Calibri" w:cs="Calibri"/>
          <w:bCs/>
          <w:szCs w:val="72"/>
          <w:lang w:val="sr-Cyrl-CS"/>
        </w:rPr>
        <w:t>да учешће дуга деноминованог у динарима износи најмање 30% укупног јавног дуга на средњи рок;</w:t>
      </w:r>
    </w:p>
    <w:p w14:paraId="4A960762" w14:textId="77777777" w:rsidR="00113630" w:rsidRPr="001B41AD" w:rsidRDefault="00113630" w:rsidP="00204810">
      <w:pPr>
        <w:numPr>
          <w:ilvl w:val="0"/>
          <w:numId w:val="3"/>
        </w:numPr>
        <w:ind w:left="142" w:hanging="142"/>
        <w:contextualSpacing/>
        <w:rPr>
          <w:rFonts w:ascii="Calibri" w:eastAsia="Calibri" w:hAnsi="Calibri" w:cs="Calibri"/>
          <w:bCs/>
          <w:szCs w:val="72"/>
          <w:lang w:val="sr-Cyrl-CS"/>
        </w:rPr>
      </w:pPr>
      <w:r w:rsidRPr="001B41AD">
        <w:rPr>
          <w:rFonts w:ascii="Calibri" w:eastAsia="Calibri" w:hAnsi="Calibri" w:cs="Calibri"/>
          <w:bCs/>
          <w:szCs w:val="72"/>
          <w:lang w:val="sr-Cyrl-CS"/>
        </w:rPr>
        <w:t>да учешће дуга деноминованог у еврима у јавном дугу износи најмање 65% дуга у ино-валути, укључујући будућа задуживања и трансакције;</w:t>
      </w:r>
    </w:p>
    <w:p w14:paraId="78A613B0" w14:textId="77777777" w:rsidR="00113630" w:rsidRPr="001B41AD" w:rsidRDefault="00113630" w:rsidP="00204810">
      <w:pPr>
        <w:numPr>
          <w:ilvl w:val="0"/>
          <w:numId w:val="3"/>
        </w:numPr>
        <w:ind w:left="142" w:hanging="142"/>
        <w:contextualSpacing/>
        <w:rPr>
          <w:rFonts w:ascii="Calibri" w:eastAsia="Calibri" w:hAnsi="Calibri" w:cs="Calibri"/>
          <w:bCs/>
          <w:szCs w:val="72"/>
          <w:lang w:val="sr-Cyrl-CS"/>
        </w:rPr>
      </w:pPr>
      <w:r w:rsidRPr="001B41AD">
        <w:rPr>
          <w:rFonts w:ascii="Calibri" w:eastAsia="Calibri" w:hAnsi="Calibri" w:cs="Calibri"/>
          <w:bCs/>
          <w:szCs w:val="72"/>
          <w:lang w:val="sr-Cyrl-CS"/>
        </w:rPr>
        <w:t>да се учешће дуга са варијабилним каматним стопама креће у интервалу од 25% ± 5% у средњорочном периоду;</w:t>
      </w:r>
    </w:p>
    <w:p w14:paraId="164E4605" w14:textId="77777777" w:rsidR="00113630" w:rsidRPr="001B41AD" w:rsidRDefault="00113630" w:rsidP="00204810">
      <w:pPr>
        <w:numPr>
          <w:ilvl w:val="0"/>
          <w:numId w:val="3"/>
        </w:numPr>
        <w:ind w:left="142" w:hanging="142"/>
        <w:contextualSpacing/>
        <w:rPr>
          <w:rFonts w:ascii="Calibri" w:eastAsia="Calibri" w:hAnsi="Calibri" w:cs="Calibri"/>
          <w:bCs/>
          <w:szCs w:val="72"/>
          <w:lang w:val="sr-Cyrl-CS"/>
        </w:rPr>
      </w:pPr>
      <w:r w:rsidRPr="001B41AD">
        <w:rPr>
          <w:rFonts w:ascii="Calibri" w:eastAsia="Calibri" w:hAnsi="Calibri" w:cs="Calibri"/>
          <w:bCs/>
          <w:szCs w:val="72"/>
          <w:lang w:val="sr-Cyrl-CS"/>
        </w:rPr>
        <w:t>да просечно време до промене каматне стопе (АТR) буде одржавано на нивоу од минимум 5,0 година, у складу са горе наведеном мером постепеног смањивања учешћа дуга са варијабилним каматним стопама;</w:t>
      </w:r>
    </w:p>
    <w:p w14:paraId="53E0E3B0" w14:textId="77777777" w:rsidR="00113630" w:rsidRPr="001B41AD" w:rsidRDefault="00113630" w:rsidP="00204810">
      <w:pPr>
        <w:numPr>
          <w:ilvl w:val="0"/>
          <w:numId w:val="3"/>
        </w:numPr>
        <w:ind w:left="142" w:hanging="142"/>
        <w:contextualSpacing/>
        <w:rPr>
          <w:rFonts w:ascii="Calibri" w:eastAsia="Calibri" w:hAnsi="Calibri" w:cs="Calibri"/>
          <w:bCs/>
          <w:szCs w:val="72"/>
          <w:lang w:val="sr-Cyrl-CS"/>
        </w:rPr>
      </w:pPr>
      <w:r w:rsidRPr="001B41AD">
        <w:rPr>
          <w:rFonts w:ascii="Calibri" w:eastAsia="Calibri" w:hAnsi="Calibri" w:cs="Calibri"/>
          <w:bCs/>
          <w:szCs w:val="72"/>
          <w:lang w:val="sr-Cyrl-CS"/>
        </w:rPr>
        <w:t>да просечна пондерисана каматна стопа (WAIR) на јавни дуг у домаћој валути не прелази 6,00%;</w:t>
      </w:r>
    </w:p>
    <w:p w14:paraId="758BC7C7" w14:textId="77777777" w:rsidR="00113630" w:rsidRPr="001B41AD" w:rsidRDefault="00113630" w:rsidP="00204810">
      <w:pPr>
        <w:numPr>
          <w:ilvl w:val="0"/>
          <w:numId w:val="3"/>
        </w:numPr>
        <w:ind w:left="142" w:hanging="142"/>
        <w:contextualSpacing/>
        <w:rPr>
          <w:rFonts w:ascii="Calibri" w:eastAsia="Calibri" w:hAnsi="Calibri" w:cs="Calibri"/>
          <w:bCs/>
          <w:szCs w:val="72"/>
          <w:lang w:val="sr-Cyrl-CS"/>
        </w:rPr>
      </w:pPr>
      <w:r w:rsidRPr="001B41AD">
        <w:rPr>
          <w:rFonts w:ascii="Calibri" w:eastAsia="Calibri" w:hAnsi="Calibri" w:cs="Calibri"/>
          <w:bCs/>
          <w:szCs w:val="72"/>
          <w:lang w:val="sr-Cyrl-CS"/>
        </w:rPr>
        <w:t>да учешће краткорочног дуга (чије је доспеће до годину дана) износи до 20% укупног јавног дуга;</w:t>
      </w:r>
    </w:p>
    <w:p w14:paraId="0E7C0C44" w14:textId="77777777" w:rsidR="00113630" w:rsidRPr="001B41AD" w:rsidRDefault="00113630" w:rsidP="00204810">
      <w:pPr>
        <w:numPr>
          <w:ilvl w:val="0"/>
          <w:numId w:val="3"/>
        </w:numPr>
        <w:ind w:left="142" w:hanging="142"/>
        <w:contextualSpacing/>
        <w:rPr>
          <w:rFonts w:ascii="Calibri" w:eastAsia="Calibri" w:hAnsi="Calibri" w:cs="Calibri"/>
          <w:bCs/>
          <w:szCs w:val="72"/>
          <w:lang w:val="sr-Cyrl-CS"/>
        </w:rPr>
      </w:pPr>
      <w:r w:rsidRPr="001B41AD">
        <w:rPr>
          <w:rFonts w:ascii="Calibri" w:eastAsia="Calibri" w:hAnsi="Calibri" w:cs="Calibri"/>
          <w:bCs/>
          <w:szCs w:val="72"/>
          <w:lang w:val="sr-Cyrl-CS"/>
        </w:rPr>
        <w:t>да просечно време до доспећа (АТМ) унутрашњег дуга буде на нивоу од најмање пет година на средњи рок;</w:t>
      </w:r>
    </w:p>
    <w:p w14:paraId="47EF40A1" w14:textId="77777777" w:rsidR="00113630" w:rsidRPr="001B41AD" w:rsidRDefault="00113630" w:rsidP="00204810">
      <w:pPr>
        <w:numPr>
          <w:ilvl w:val="0"/>
          <w:numId w:val="3"/>
        </w:numPr>
        <w:ind w:left="142" w:hanging="142"/>
        <w:rPr>
          <w:rFonts w:ascii="Calibri" w:eastAsia="Calibri" w:hAnsi="Calibri" w:cs="Calibri"/>
          <w:bCs/>
          <w:szCs w:val="72"/>
          <w:lang w:val="sr-Cyrl-CS"/>
        </w:rPr>
        <w:sectPr w:rsidR="00113630" w:rsidRPr="001B41AD" w:rsidSect="00405489">
          <w:type w:val="continuous"/>
          <w:pgSz w:w="12240" w:h="15840" w:code="1"/>
          <w:pgMar w:top="1440" w:right="1440" w:bottom="1440" w:left="1440" w:header="720" w:footer="720" w:gutter="0"/>
          <w:cols w:num="2" w:space="720"/>
          <w:titlePg/>
          <w:docGrid w:linePitch="360"/>
        </w:sectPr>
      </w:pPr>
      <w:r w:rsidRPr="001B41AD">
        <w:rPr>
          <w:rFonts w:ascii="Calibri" w:eastAsia="Calibri" w:hAnsi="Calibri" w:cs="Calibri"/>
          <w:bCs/>
          <w:szCs w:val="72"/>
          <w:lang w:val="sr-Cyrl-CS"/>
        </w:rPr>
        <w:t>да се просечно време до доспећа (АТМ) спољног дуга одржава на нивоу од 8,0 ± 0,5 година у истом временском хоризонт</w:t>
      </w:r>
      <w:r w:rsidR="00DA551C" w:rsidRPr="001B41AD">
        <w:rPr>
          <w:rFonts w:ascii="Calibri" w:eastAsia="Calibri" w:hAnsi="Calibri" w:cs="Calibri"/>
          <w:bCs/>
          <w:szCs w:val="72"/>
          <w:lang w:val="sr-Cyrl-CS"/>
        </w:rPr>
        <w:t>у</w:t>
      </w:r>
      <w:r w:rsidRPr="001B41AD">
        <w:rPr>
          <w:rFonts w:ascii="Calibri" w:eastAsia="Calibri" w:hAnsi="Calibri" w:cs="Calibri"/>
          <w:bCs/>
          <w:szCs w:val="72"/>
          <w:lang w:val="sr-Cyrl-CS"/>
        </w:rPr>
        <w:t>.</w:t>
      </w:r>
    </w:p>
    <w:p w14:paraId="408F359B" w14:textId="77777777" w:rsidR="00113630" w:rsidRPr="001B41AD" w:rsidRDefault="00113630" w:rsidP="00113630">
      <w:pPr>
        <w:rPr>
          <w:rFonts w:ascii="Calibri" w:eastAsia="Calibri" w:hAnsi="Calibri" w:cs="Times New Roman"/>
          <w:b/>
          <w:color w:val="002060"/>
          <w:spacing w:val="-2"/>
          <w:lang w:val="sr-Cyrl-CS"/>
        </w:rPr>
      </w:pPr>
    </w:p>
    <w:p w14:paraId="51086256" w14:textId="77777777" w:rsidR="00DA551C" w:rsidRPr="001B41AD" w:rsidRDefault="00DA551C" w:rsidP="00113630">
      <w:pPr>
        <w:rPr>
          <w:rFonts w:ascii="Calibri" w:eastAsia="Calibri" w:hAnsi="Calibri" w:cs="Times New Roman"/>
          <w:b/>
          <w:color w:val="002060"/>
          <w:spacing w:val="-2"/>
          <w:lang w:val="sr-Cyrl-CS"/>
        </w:rPr>
      </w:pPr>
    </w:p>
    <w:p w14:paraId="49B14DB7" w14:textId="77777777" w:rsidR="00DA551C" w:rsidRPr="001B41AD" w:rsidRDefault="00DA551C" w:rsidP="00113630">
      <w:pPr>
        <w:rPr>
          <w:rFonts w:ascii="Calibri" w:eastAsia="Calibri" w:hAnsi="Calibri" w:cs="Times New Roman"/>
          <w:b/>
          <w:color w:val="002060"/>
          <w:spacing w:val="-2"/>
          <w:lang w:val="sr-Cyrl-CS"/>
        </w:rPr>
      </w:pPr>
    </w:p>
    <w:p w14:paraId="31FF4278" w14:textId="77777777" w:rsidR="00DA551C" w:rsidRPr="001B41AD" w:rsidRDefault="00DA551C" w:rsidP="00113630">
      <w:pPr>
        <w:rPr>
          <w:rFonts w:ascii="Calibri" w:eastAsia="Calibri" w:hAnsi="Calibri" w:cs="Times New Roman"/>
          <w:b/>
          <w:color w:val="002060"/>
          <w:spacing w:val="-2"/>
          <w:lang w:val="sr-Cyrl-CS"/>
        </w:rPr>
      </w:pPr>
    </w:p>
    <w:p w14:paraId="28A5B908" w14:textId="77777777" w:rsidR="00DA551C" w:rsidRPr="001B41AD" w:rsidRDefault="00DA551C" w:rsidP="00113630">
      <w:pPr>
        <w:rPr>
          <w:rFonts w:ascii="Calibri" w:eastAsia="Calibri" w:hAnsi="Calibri" w:cs="Times New Roman"/>
          <w:b/>
          <w:color w:val="002060"/>
          <w:spacing w:val="-2"/>
          <w:lang w:val="sr-Cyrl-CS"/>
        </w:rPr>
      </w:pPr>
    </w:p>
    <w:p w14:paraId="78B82DA9" w14:textId="77777777" w:rsidR="00DA551C" w:rsidRPr="001B41AD" w:rsidRDefault="00DA551C" w:rsidP="00113630">
      <w:pPr>
        <w:rPr>
          <w:rFonts w:ascii="Calibri" w:eastAsia="Calibri" w:hAnsi="Calibri" w:cs="Times New Roman"/>
          <w:b/>
          <w:color w:val="002060"/>
          <w:spacing w:val="-2"/>
          <w:lang w:val="sr-Cyrl-CS"/>
        </w:rPr>
      </w:pPr>
    </w:p>
    <w:p w14:paraId="4CBCB0B8" w14:textId="77777777" w:rsidR="00DA551C" w:rsidRPr="001B41AD" w:rsidRDefault="00DA551C" w:rsidP="00113630">
      <w:pPr>
        <w:rPr>
          <w:rFonts w:ascii="Calibri" w:eastAsia="Calibri" w:hAnsi="Calibri" w:cs="Times New Roman"/>
          <w:b/>
          <w:color w:val="002060"/>
          <w:spacing w:val="-2"/>
          <w:lang w:val="sr-Cyrl-CS"/>
        </w:rPr>
      </w:pPr>
    </w:p>
    <w:p w14:paraId="7DD4544A" w14:textId="77777777" w:rsidR="00DA551C" w:rsidRPr="001B41AD" w:rsidRDefault="00DA551C" w:rsidP="00113630">
      <w:pPr>
        <w:rPr>
          <w:rFonts w:ascii="Calibri" w:eastAsia="Calibri" w:hAnsi="Calibri" w:cs="Times New Roman"/>
          <w:b/>
          <w:color w:val="002060"/>
          <w:spacing w:val="-2"/>
          <w:lang w:val="sr-Cyrl-CS"/>
        </w:rPr>
      </w:pPr>
    </w:p>
    <w:p w14:paraId="55B285BB" w14:textId="77777777" w:rsidR="00DA551C" w:rsidRPr="001B41AD" w:rsidRDefault="00DA551C" w:rsidP="00113630">
      <w:pPr>
        <w:rPr>
          <w:rFonts w:ascii="Calibri" w:eastAsia="Calibri" w:hAnsi="Calibri" w:cs="Times New Roman"/>
          <w:b/>
          <w:color w:val="002060"/>
          <w:spacing w:val="-2"/>
          <w:lang w:val="sr-Cyrl-CS"/>
        </w:rPr>
      </w:pPr>
    </w:p>
    <w:p w14:paraId="3CC131AC" w14:textId="77777777" w:rsidR="00DA551C" w:rsidRPr="001B41AD" w:rsidRDefault="00DA551C" w:rsidP="00113630">
      <w:pPr>
        <w:rPr>
          <w:rFonts w:ascii="Calibri" w:eastAsia="Calibri" w:hAnsi="Calibri" w:cs="Times New Roman"/>
          <w:b/>
          <w:color w:val="002060"/>
          <w:spacing w:val="-2"/>
          <w:lang w:val="sr-Cyrl-CS"/>
        </w:rPr>
      </w:pPr>
    </w:p>
    <w:p w14:paraId="5A9B6C0C" w14:textId="77777777" w:rsidR="00DA551C" w:rsidRPr="001B41AD" w:rsidRDefault="00DA551C" w:rsidP="00113630">
      <w:pPr>
        <w:rPr>
          <w:rFonts w:ascii="Calibri" w:eastAsia="Calibri" w:hAnsi="Calibri" w:cs="Times New Roman"/>
          <w:b/>
          <w:color w:val="002060"/>
          <w:spacing w:val="-2"/>
          <w:lang w:val="sr-Cyrl-CS"/>
        </w:rPr>
      </w:pPr>
    </w:p>
    <w:p w14:paraId="178CFD07" w14:textId="77777777" w:rsidR="00113630" w:rsidRPr="001B41AD" w:rsidRDefault="00113630" w:rsidP="00113630">
      <w:pPr>
        <w:jc w:val="center"/>
        <w:rPr>
          <w:lang w:val="sr-Cyrl-CS"/>
        </w:rPr>
      </w:pPr>
      <w:r w:rsidRPr="001B41AD">
        <w:rPr>
          <w:rFonts w:ascii="Calibri" w:eastAsia="Calibri" w:hAnsi="Calibri" w:cs="Times New Roman"/>
          <w:b/>
          <w:color w:val="002060"/>
          <w:spacing w:val="-2"/>
          <w:lang w:val="sr-Cyrl-CS"/>
        </w:rPr>
        <w:lastRenderedPageBreak/>
        <w:t xml:space="preserve">Кретање приноса до доспећа динарских </w:t>
      </w:r>
      <w:r w:rsidRPr="001B41AD">
        <w:rPr>
          <w:rFonts w:ascii="Calibri" w:eastAsia="Calibri" w:hAnsi="Calibri" w:cs="Calibri"/>
          <w:b/>
          <w:bCs/>
          <w:color w:val="002060"/>
          <w:spacing w:val="-2"/>
          <w:szCs w:val="72"/>
          <w:lang w:val="sr-Cyrl-CS"/>
        </w:rPr>
        <w:t>„</w:t>
      </w:r>
      <w:r w:rsidRPr="001B41AD">
        <w:rPr>
          <w:rFonts w:ascii="Calibri" w:eastAsia="Calibri" w:hAnsi="Calibri" w:cs="Times New Roman"/>
          <w:b/>
          <w:color w:val="002060"/>
          <w:spacing w:val="-2"/>
          <w:lang w:val="sr-Cyrl-CS"/>
        </w:rPr>
        <w:t>бенчмарк” емисија укључених у GBI-EM Global Diversified Index на секундарном трговању</w:t>
      </w:r>
    </w:p>
    <w:p w14:paraId="16D3A1E7" w14:textId="77777777" w:rsidR="00113630" w:rsidRPr="001B41AD" w:rsidRDefault="00113630" w:rsidP="00113630">
      <w:pPr>
        <w:spacing w:after="240" w:line="256" w:lineRule="auto"/>
        <w:rPr>
          <w:rFonts w:ascii="Calibri" w:eastAsia="Calibri" w:hAnsi="Calibri" w:cs="Times New Roman"/>
          <w:b/>
          <w:color w:val="002060"/>
          <w:spacing w:val="-2"/>
          <w:lang w:val="sr-Cyrl-CS"/>
        </w:rPr>
      </w:pPr>
      <w:r w:rsidRPr="001B41AD">
        <w:rPr>
          <w:rFonts w:ascii="Calibri" w:eastAsia="Calibri" w:hAnsi="Calibri" w:cs="Times New Roman"/>
          <w:b/>
          <w:noProof/>
          <w:color w:val="002060"/>
          <w:spacing w:val="-2"/>
        </w:rPr>
        <w:drawing>
          <wp:inline distT="0" distB="0" distL="0" distR="0" wp14:anchorId="1FCE9A5A" wp14:editId="540435CD">
            <wp:extent cx="2697228" cy="1571625"/>
            <wp:effectExtent l="0" t="0" r="8255" b="0"/>
            <wp:docPr id="629799082" name="Picture 21" descr="A graph showing the number of the company's data&#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9799082" name="Picture 21" descr="A graph showing the number of the company's data&#10;&#10;AI-generated content may be incorrect."/>
                    <pic:cNvPicPr preferRelativeResize="0">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697228" cy="1571625"/>
                    </a:xfrm>
                    <a:prstGeom prst="rect">
                      <a:avLst/>
                    </a:prstGeom>
                    <a:noFill/>
                  </pic:spPr>
                </pic:pic>
              </a:graphicData>
            </a:graphic>
          </wp:inline>
        </w:drawing>
      </w:r>
    </w:p>
    <w:p w14:paraId="4FF6E2C6" w14:textId="77777777" w:rsidR="00113630" w:rsidRPr="001B41AD" w:rsidRDefault="00113630" w:rsidP="00113630">
      <w:pPr>
        <w:spacing w:after="40" w:line="256" w:lineRule="auto"/>
        <w:jc w:val="center"/>
        <w:rPr>
          <w:rFonts w:ascii="Calibri" w:eastAsia="Calibri" w:hAnsi="Calibri" w:cs="Times New Roman"/>
          <w:b/>
          <w:color w:val="002060"/>
          <w:spacing w:val="-2"/>
          <w:lang w:val="sr-Cyrl-CS"/>
        </w:rPr>
      </w:pPr>
      <w:r w:rsidRPr="001B41AD">
        <w:rPr>
          <w:rFonts w:ascii="Calibri" w:eastAsia="Calibri" w:hAnsi="Calibri" w:cs="Times New Roman"/>
          <w:b/>
          <w:bCs/>
          <w:color w:val="002060"/>
          <w:lang w:val="sr-Cyrl-CS"/>
        </w:rPr>
        <w:t xml:space="preserve">Просечно време до доспећа (АТМ) државних хартија од вредности емитованих на домаћем финансијском тржишту у периоду </w:t>
      </w:r>
      <w:r w:rsidRPr="001B41AD">
        <w:rPr>
          <w:rFonts w:ascii="Calibri" w:eastAsia="Calibri" w:hAnsi="Calibri" w:cs="Times New Roman"/>
          <w:b/>
          <w:bCs/>
          <w:color w:val="002060"/>
          <w:lang w:val="sr-Cyrl-CS"/>
        </w:rPr>
        <w:br w:type="textWrapping" w:clear="all"/>
        <w:t xml:space="preserve">31. август 2018. – </w:t>
      </w:r>
      <w:r w:rsidRPr="001B41AD">
        <w:rPr>
          <w:rFonts w:ascii="Calibri" w:eastAsia="Calibri" w:hAnsi="Calibri" w:cs="Times New Roman"/>
          <w:b/>
          <w:color w:val="002060"/>
          <w:spacing w:val="-2"/>
          <w:lang w:val="sr-Cyrl-CS"/>
        </w:rPr>
        <w:t>31. август 2025. године</w:t>
      </w:r>
      <w:r w:rsidRPr="001B41AD">
        <w:rPr>
          <w:lang w:val="sr-Cyrl-CS"/>
        </w:rPr>
        <w:t xml:space="preserve"> </w:t>
      </w:r>
      <w:r w:rsidRPr="001B41AD">
        <w:rPr>
          <w:noProof/>
        </w:rPr>
        <w:drawing>
          <wp:inline distT="0" distB="0" distL="0" distR="0" wp14:anchorId="4090E1C6" wp14:editId="11323CC7">
            <wp:extent cx="2336165" cy="1400175"/>
            <wp:effectExtent l="0" t="0" r="6985" b="9525"/>
            <wp:docPr id="574902231" name="Picture 22" descr="A graph of blue and orange line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7322752" name="Picture 22" descr="A graph of blue and orange lines&#10;&#10;AI-generated content may be incorrect."/>
                    <pic:cNvPicPr preferRelativeResize="0">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366607" cy="1418420"/>
                    </a:xfrm>
                    <a:prstGeom prst="rect">
                      <a:avLst/>
                    </a:prstGeom>
                    <a:noFill/>
                  </pic:spPr>
                </pic:pic>
              </a:graphicData>
            </a:graphic>
          </wp:inline>
        </w:drawing>
      </w:r>
    </w:p>
    <w:p w14:paraId="4D66A730"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p>
    <w:p w14:paraId="7628AD6F" w14:textId="77777777" w:rsidR="00113630" w:rsidRPr="001B41AD" w:rsidRDefault="00113630" w:rsidP="00113630">
      <w:pPr>
        <w:spacing w:line="256" w:lineRule="auto"/>
        <w:rPr>
          <w:rFonts w:ascii="Calibri" w:eastAsia="Calibri" w:hAnsi="Calibri" w:cs="Times New Roman"/>
          <w:b/>
          <w:color w:val="2F5496" w:themeColor="accent1" w:themeShade="BF"/>
          <w:sz w:val="22"/>
          <w:lang w:val="sr-Cyrl-CS"/>
        </w:rPr>
      </w:pPr>
      <w:r w:rsidRPr="001B41AD">
        <w:rPr>
          <w:rFonts w:ascii="Calibri" w:eastAsia="Calibri" w:hAnsi="Calibri" w:cs="Times New Roman"/>
          <w:b/>
          <w:color w:val="2F5496" w:themeColor="accent1" w:themeShade="BF"/>
          <w:sz w:val="22"/>
          <w:lang w:val="sr-Cyrl-CS"/>
        </w:rPr>
        <w:t>Мере за унапређење тржишта динарских хартија од вредности у периоду 2025–2028. године</w:t>
      </w:r>
    </w:p>
    <w:p w14:paraId="119262BA"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Тржиште државних хартија од вредности, у периоду од 2012. године до августа 2025. године, карактерише испуњавање зацртаних стратешких циљева, првенствено у погледу инструмената финансирања, као и у развоју и одржавању стабилности диверсификоване базе инвеститора. Преласком са краткорочних извора финансирања који се везују за период до 2010. године, на средњорочне и дугорочне инструменте финансирања, уз константно смањење трошкова задуживања, утиче се на смањење ризика рефинансирања, као једног од примарних ризика у процесу управљања јавним дугом. На крају 2013. године учешће дугорочних динарских инструмената по оригиналној рочности од три и више година износило је 38,3% у стању динарских </w:t>
      </w:r>
      <w:r w:rsidRPr="001B41AD">
        <w:rPr>
          <w:rFonts w:ascii="Calibri" w:eastAsia="Calibri" w:hAnsi="Calibri" w:cs="Calibri"/>
          <w:bCs/>
          <w:szCs w:val="72"/>
          <w:lang w:val="sr-Cyrl-CS"/>
        </w:rPr>
        <w:t>хартија од вредности, док је на крају августа 2025. године износило 100,0%.</w:t>
      </w:r>
    </w:p>
    <w:p w14:paraId="37E24686"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Транспарентност у раду и извештавању, као и присутност на међународном тржишту капитала, утичу на информисаност, а тиме и на заинтересованост нерезидената да инвестирају капитал у дужничке инструменте, првенствено у државне динарске дугорочне хартије од вредности, чиме се остварује раст стабилне базе инвеститора. Услед успешне реализације „бенчмарк</w:t>
      </w:r>
      <w:r w:rsidRPr="001B41AD">
        <w:rPr>
          <w:rFonts w:eastAsia="MS PGothic" w:cstheme="minorHAnsi"/>
          <w:szCs w:val="20"/>
          <w:lang w:val="sr-Cyrl-CS" w:eastAsia="ja-JP"/>
        </w:rPr>
        <w:t>”</w:t>
      </w:r>
      <w:r w:rsidRPr="001B41AD">
        <w:rPr>
          <w:rFonts w:ascii="Calibri" w:eastAsia="Calibri" w:hAnsi="Calibri" w:cs="Calibri"/>
          <w:bCs/>
          <w:szCs w:val="72"/>
          <w:lang w:val="sr-Cyrl-CS"/>
        </w:rPr>
        <w:t xml:space="preserve"> емисија током 2014. и 2015. године, са истом праксом је настављено током 2016. године. У фебруару и јулу 2016. године емитоване су „бенчмарк</w:t>
      </w:r>
      <w:r w:rsidRPr="001B41AD">
        <w:rPr>
          <w:rFonts w:eastAsia="MS PGothic" w:cstheme="minorHAnsi"/>
          <w:szCs w:val="20"/>
          <w:lang w:val="sr-Cyrl-CS" w:eastAsia="ja-JP"/>
        </w:rPr>
        <w:t>”</w:t>
      </w:r>
      <w:r w:rsidRPr="001B41AD">
        <w:rPr>
          <w:rFonts w:ascii="Calibri" w:eastAsia="Calibri" w:hAnsi="Calibri" w:cs="Calibri"/>
          <w:bCs/>
          <w:szCs w:val="72"/>
          <w:lang w:val="sr-Cyrl-CS"/>
        </w:rPr>
        <w:t xml:space="preserve"> трогодишња и седмогодишња обвезница обима емисије по 110,0 млрд динара. У априлу 2017. године емитована је трогодишња „бенчмарк</w:t>
      </w:r>
      <w:r w:rsidRPr="001B41AD">
        <w:rPr>
          <w:rFonts w:eastAsia="MS PGothic" w:cstheme="minorHAnsi"/>
          <w:szCs w:val="20"/>
          <w:lang w:val="sr-Cyrl-CS" w:eastAsia="ja-JP"/>
        </w:rPr>
        <w:t>”</w:t>
      </w:r>
      <w:r w:rsidRPr="001B41AD">
        <w:rPr>
          <w:rFonts w:ascii="Calibri" w:eastAsia="Calibri" w:hAnsi="Calibri" w:cs="Calibri"/>
          <w:bCs/>
          <w:szCs w:val="72"/>
          <w:lang w:val="sr-Cyrl-CS"/>
        </w:rPr>
        <w:t xml:space="preserve"> обвезница обима емисије у износу од 110,0 млрд динара. У јануару и фебруару 2018. године емитоване су „бенчмарк</w:t>
      </w:r>
      <w:r w:rsidRPr="001B41AD">
        <w:rPr>
          <w:rFonts w:eastAsia="MS PGothic" w:cstheme="minorHAnsi"/>
          <w:szCs w:val="20"/>
          <w:lang w:val="sr-Cyrl-CS" w:eastAsia="ja-JP"/>
        </w:rPr>
        <w:t>”</w:t>
      </w:r>
      <w:r w:rsidRPr="001B41AD">
        <w:rPr>
          <w:rFonts w:ascii="Calibri" w:eastAsia="Calibri" w:hAnsi="Calibri" w:cs="Calibri"/>
          <w:bCs/>
          <w:szCs w:val="72"/>
          <w:lang w:val="sr-Cyrl-CS"/>
        </w:rPr>
        <w:t xml:space="preserve"> петогодишња и десетогодишња обвезница обима емисије по 110,0 млрд динара. У јануару 2019. године емитоване су „бенчмарк</w:t>
      </w:r>
      <w:r w:rsidRPr="001B41AD">
        <w:rPr>
          <w:rFonts w:eastAsia="MS PGothic" w:cstheme="minorHAnsi"/>
          <w:szCs w:val="20"/>
          <w:lang w:val="sr-Cyrl-CS" w:eastAsia="ja-JP"/>
        </w:rPr>
        <w:t>”</w:t>
      </w:r>
      <w:r w:rsidRPr="001B41AD">
        <w:rPr>
          <w:rFonts w:ascii="Calibri" w:eastAsia="Calibri" w:hAnsi="Calibri" w:cs="Calibri"/>
          <w:bCs/>
          <w:szCs w:val="72"/>
          <w:lang w:val="sr-Cyrl-CS"/>
        </w:rPr>
        <w:t xml:space="preserve"> трогодишња и седмогодишња обвезница обима емисије 100,0 и 150,0 млрд динара. </w:t>
      </w:r>
      <w:r w:rsidRPr="001B41AD">
        <w:rPr>
          <w:rFonts w:ascii="Calibri" w:eastAsia="Calibri" w:hAnsi="Calibri" w:cs="Calibri"/>
          <w:bCs/>
          <w:spacing w:val="-2"/>
          <w:szCs w:val="72"/>
          <w:lang w:val="sr-Cyrl-CS"/>
        </w:rPr>
        <w:t>У јануару и фебруару 2020. године по први пут су емитоване петоипогодишње и дванаестоипогодишње обвезнице са полугодишњим купоном. Изменама Уредбе о општим условима за емисију и продају државних хартија од вредности на примарном тржишту („Службени гласник РС”, бр. 100/14, 78/17, 66/18, 78/18 и 140/20), омогућено је повећање обима раније емитованих обвезница, па је петоипогодишњим обвезницама (првобитно емитованим 28.01.2020. године) и дванаестоипогодишњим обвезницама (првобитно емитованим 18.02.2020. године) 2021. године повећан обим емисије за по 50 млрд динара, док је десетогодишњим обвезницама (првобитно емитованим 06.02.2018. године) повећан за 10 млрд динара. Током 2022. године извршено је повећање обима емисија десетогодишњим обвезницама (првобитно емитованим 06.02.2018. године) за 25 млрд динара.</w:t>
      </w:r>
    </w:p>
    <w:p w14:paraId="7EB84B0F"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Овим емисијама знатно је повећан обим секундарног трговања овим инструментима, што је допринело и паду извршних стопа приноса на реотварањима поменутих емисија. Учешће </w:t>
      </w:r>
      <w:r w:rsidRPr="001B41AD">
        <w:rPr>
          <w:rFonts w:ascii="Calibri" w:eastAsia="Calibri" w:hAnsi="Calibri" w:cs="Calibri"/>
          <w:bCs/>
          <w:szCs w:val="72"/>
          <w:lang w:val="sr-Cyrl-CS"/>
        </w:rPr>
        <w:lastRenderedPageBreak/>
        <w:t>страних инвеститора у динарским хартијама од вредности, на крају августа 2025. године износило је 14,6%.</w:t>
      </w:r>
    </w:p>
    <w:p w14:paraId="7F246A1E"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30. јуна 2021. године три динарске бенчмарк обвезнице укључене су у J.P. Morgan индекс државних обвезница земаља у развоју (GBI-EM </w:t>
      </w:r>
      <w:r w:rsidRPr="001B41AD">
        <w:rPr>
          <w:rFonts w:ascii="Calibri" w:eastAsia="Calibri" w:hAnsi="Calibri" w:cs="Calibri"/>
          <w:bCs/>
          <w:i/>
          <w:szCs w:val="72"/>
          <w:lang w:val="sr-Cyrl-CS"/>
        </w:rPr>
        <w:t>Global Diversified Index</w:t>
      </w:r>
      <w:r w:rsidRPr="001B41AD">
        <w:rPr>
          <w:rFonts w:ascii="Calibri" w:eastAsia="Calibri" w:hAnsi="Calibri" w:cs="Calibri"/>
          <w:bCs/>
          <w:szCs w:val="72"/>
          <w:lang w:val="sr-Cyrl-CS"/>
        </w:rPr>
        <w:t>), са датумом доспећа 11. јануар 2026. године (RSMFRSD89592), 8. фебруар 2028. године (RSMFRSD55940) и 20. август 2032. године (RSMFRSD86176). 5. марта 2024. године у J.P. Morgan индекс државних обвезница земаља у развоју (GBI-EM Global Diversified Index), укључена је динарска бенчмарк обвезница са датумом доспећа 26. октобар 2031. године (RSMFRSD58761). 31. марта 2025. године у J.P. Morgan индекс државних обвезница земаља у развоју (GBI-EM Global Diversified Index), укључена је нова динарска бенчмарк обвезница са датумом доспећа 27. јул 2035. године (RSMFRSD34101).</w:t>
      </w:r>
    </w:p>
    <w:p w14:paraId="330801DA"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У 2023. години од динарских хартија емитоване су двогодишње динарске обвезнице. Десетогодишњим динарским обвезницама је повећан обим емисије за 18,4 млрд динара и дванаестоипоогодишњим за 50 млрд динара. У октобру 2023. године емитована је нова осмогодишња динарска обвезница, са обимом емисије 110 милијарди динара. Од евро деноминованих хартија емитоване су двогодишње обвезнице.</w:t>
      </w:r>
    </w:p>
    <w:p w14:paraId="553BD2E6"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У 2024. години повећан је обим емисије обвезнице рочности 8 година за 40 милијарди динара</w:t>
      </w:r>
      <w:r w:rsidRPr="001B41AD">
        <w:rPr>
          <w:lang w:val="sr-Cyrl-CS"/>
        </w:rPr>
        <w:t xml:space="preserve"> (</w:t>
      </w:r>
      <w:r w:rsidRPr="001B41AD">
        <w:rPr>
          <w:rFonts w:ascii="Calibri" w:eastAsia="Calibri" w:hAnsi="Calibri" w:cs="Calibri"/>
          <w:bCs/>
          <w:szCs w:val="72"/>
          <w:lang w:val="sr-Cyrl-CS"/>
        </w:rPr>
        <w:t>првобитно емитованe 24.10.2023. године).</w:t>
      </w:r>
      <w:r w:rsidRPr="001B41AD">
        <w:rPr>
          <w:lang w:val="sr-Cyrl-CS"/>
        </w:rPr>
        <w:t xml:space="preserve"> </w:t>
      </w:r>
      <w:r w:rsidRPr="001B41AD">
        <w:rPr>
          <w:rFonts w:ascii="Calibri" w:eastAsia="Calibri" w:hAnsi="Calibri" w:cs="Calibri"/>
          <w:bCs/>
          <w:szCs w:val="72"/>
          <w:lang w:val="sr-Cyrl-CS"/>
        </w:rPr>
        <w:t>Од евро деноминованих хартија емитоване су трогодишње обвезнице.</w:t>
      </w:r>
    </w:p>
    <w:p w14:paraId="73169F10"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У јануару 2025. године емитована је нова десетипогодишња динарска обвезница, са обимом емисије 120 милијарди динара. Обим емисије обвезнице рочности 10,5 година повећан је у фебруару за 60 милијарди динара</w:t>
      </w:r>
      <w:r w:rsidRPr="001B41AD">
        <w:rPr>
          <w:lang w:val="sr-Cyrl-CS"/>
        </w:rPr>
        <w:t xml:space="preserve"> (</w:t>
      </w:r>
      <w:r w:rsidRPr="001B41AD">
        <w:rPr>
          <w:rFonts w:ascii="Calibri" w:eastAsia="Calibri" w:hAnsi="Calibri" w:cs="Calibri"/>
          <w:bCs/>
          <w:szCs w:val="72"/>
          <w:lang w:val="sr-Cyrl-CS"/>
        </w:rPr>
        <w:t>првобитно емитованe 23.01.2025. године).</w:t>
      </w:r>
      <w:r w:rsidRPr="001B41AD">
        <w:rPr>
          <w:lang w:val="sr-Cyrl-CS"/>
        </w:rPr>
        <w:t xml:space="preserve"> </w:t>
      </w:r>
      <w:r w:rsidRPr="001B41AD">
        <w:rPr>
          <w:rFonts w:ascii="Calibri" w:eastAsia="Calibri" w:hAnsi="Calibri" w:cs="Calibri"/>
          <w:bCs/>
          <w:szCs w:val="72"/>
          <w:lang w:val="sr-Cyrl-CS"/>
        </w:rPr>
        <w:t>Од евро деноминованих хартија емитоване су дванаестогодишње обвезнице.</w:t>
      </w:r>
    </w:p>
    <w:p w14:paraId="45E11D07"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У периоду за који се доноси ова Стратегија очекује се унапређење ефикасности примарног тржишта путем приступа I-link платформи, као механизма за </w:t>
      </w:r>
      <w:r w:rsidRPr="001B41AD">
        <w:rPr>
          <w:rFonts w:ascii="Calibri" w:eastAsia="Calibri" w:hAnsi="Calibri" w:cs="Calibri"/>
          <w:bCs/>
          <w:szCs w:val="72"/>
          <w:lang w:val="sr-Cyrl-CS"/>
        </w:rPr>
        <w:t>салдирање државних хартија од вредности који директно, у дужем року, доприноси смањењу трошкова задуживања, као и смањењу ризика рефинансирања. Увођење система продаје државних хартија од вредности на домаћем финансијском тржишту уз могућност салдирања путем платформe страног правног лица, које обавља послове клиринга и салдирања, пружиће добру основу за унапређење тржишне ефикасности секундарног тржишта државних хартија од вредности. Развојем секундарног тржишта, временом ће се успоставити концепт тржишне ефикасности у процесу вредновања државних хартија од вредности. Увођењем „бенчмарк</w:t>
      </w:r>
      <w:r w:rsidRPr="001B41AD">
        <w:rPr>
          <w:rFonts w:eastAsia="MS PGothic" w:cstheme="minorHAnsi"/>
          <w:szCs w:val="20"/>
          <w:lang w:val="sr-Cyrl-CS" w:eastAsia="ja-JP"/>
        </w:rPr>
        <w:t>”</w:t>
      </w:r>
      <w:r w:rsidRPr="001B41AD">
        <w:rPr>
          <w:rFonts w:ascii="Calibri" w:eastAsia="Calibri" w:hAnsi="Calibri" w:cs="Calibri"/>
          <w:bCs/>
          <w:szCs w:val="72"/>
          <w:lang w:val="sr-Cyrl-CS"/>
        </w:rPr>
        <w:t xml:space="preserve"> емисија обвезница остварен је позитиван ефекат на обим и континуитет секундарног трговања, као и на унапређење тржишне ефикасности у поступку продаје државних хартија на примарном тржишту.</w:t>
      </w:r>
    </w:p>
    <w:p w14:paraId="682364E4"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Као водеће факторе који утичу на криву приноса државних хартија од вредности потребно је издвојити фискални резултат, очекивану стопу инфлације и девизни курс. Као посебну групу фактора потребно је издвојити макроекономска кретања и очекивања, као и промене на међународном финансијском тржишту, које се рефлектују на премију ризика земље.</w:t>
      </w:r>
    </w:p>
    <w:p w14:paraId="30E26661"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На крају 2012. године просечна рочност динарских хартија од вредности износила је 394 дана (1,1 годину), на крају 2013. године 469 дана (1,3 године), на крају 2014. године 645 дана (1,8 годину), на крају 2015. године 749 дана (2,1 годину), на крају 2016. године 789 дана (2,2 године), на крају 2017. године 864 дана (2,4 године), на крају 2018. године 1.188 дана (3,3 године), на крају 2019. године 1.403 дана (3,8 година), на крају 2020. године 1.429 дана (3,9 година), на крају 2021. године 1.377 дана (3,8 године), на крају 2022. године 1.220 дана (3,3 године),</w:t>
      </w:r>
      <w:r w:rsidRPr="001B41AD">
        <w:rPr>
          <w:rFonts w:ascii="Calibri" w:eastAsia="Calibri" w:hAnsi="Calibri" w:cs="Calibri"/>
          <w:bCs/>
          <w:color w:val="auto"/>
          <w:szCs w:val="72"/>
          <w:lang w:val="sr-Cyrl-CS"/>
        </w:rPr>
        <w:t xml:space="preserve"> </w:t>
      </w:r>
      <w:r w:rsidRPr="001B41AD">
        <w:rPr>
          <w:rFonts w:ascii="Calibri" w:eastAsia="Calibri" w:hAnsi="Calibri" w:cs="Calibri"/>
          <w:bCs/>
          <w:szCs w:val="72"/>
          <w:lang w:val="sr-Cyrl-CS"/>
        </w:rPr>
        <w:t>на крају 2023. године 1.427 дана (3,9 године), на крају 2024. године 1.382 дана (3,8 године), а на крају августа 2025. године 1.892 дана (5,2 године).</w:t>
      </w:r>
    </w:p>
    <w:p w14:paraId="787E7220"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Развој домаћег тржишта државних хартија од вредности од стране Републике Србије потпомогнут је следећим мерама:</w:t>
      </w:r>
    </w:p>
    <w:p w14:paraId="25ED1C21" w14:textId="77777777" w:rsidR="00113630" w:rsidRPr="001B41AD" w:rsidRDefault="00113630" w:rsidP="00204810">
      <w:pPr>
        <w:numPr>
          <w:ilvl w:val="0"/>
          <w:numId w:val="12"/>
        </w:numPr>
        <w:ind w:left="0" w:hanging="142"/>
        <w:rPr>
          <w:rFonts w:ascii="Calibri" w:eastAsia="Calibri" w:hAnsi="Calibri" w:cs="Calibri"/>
          <w:bCs/>
          <w:szCs w:val="72"/>
          <w:lang w:val="sr-Cyrl-CS"/>
        </w:rPr>
      </w:pPr>
      <w:r w:rsidRPr="001B41AD">
        <w:rPr>
          <w:rFonts w:ascii="Calibri" w:eastAsia="Calibri" w:hAnsi="Calibri" w:cs="Calibri"/>
          <w:bCs/>
          <w:szCs w:val="72"/>
          <w:lang w:val="sr-Cyrl-CS"/>
        </w:rPr>
        <w:lastRenderedPageBreak/>
        <w:t xml:space="preserve">Обвезнице Републике Србије укључене су у </w:t>
      </w:r>
      <w:r w:rsidRPr="001B41AD">
        <w:rPr>
          <w:rFonts w:ascii="Calibri" w:eastAsia="Calibri" w:hAnsi="Calibri" w:cs="Calibri"/>
          <w:bCs/>
          <w:iCs/>
          <w:szCs w:val="72"/>
          <w:lang w:val="sr-Cyrl-CS"/>
        </w:rPr>
        <w:t>Ј.P. Morgan</w:t>
      </w:r>
      <w:r w:rsidRPr="001B41AD">
        <w:rPr>
          <w:rFonts w:ascii="Calibri" w:eastAsia="Calibri" w:hAnsi="Calibri" w:cs="Calibri"/>
          <w:bCs/>
          <w:szCs w:val="72"/>
          <w:lang w:val="sr-Cyrl-CS"/>
        </w:rPr>
        <w:t xml:space="preserve"> глобални индекс</w:t>
      </w:r>
      <w:r w:rsidRPr="001B41AD">
        <w:rPr>
          <w:lang w:val="sr-Cyrl-CS"/>
        </w:rPr>
        <w:t xml:space="preserve"> </w:t>
      </w:r>
      <w:r w:rsidRPr="001B41AD">
        <w:rPr>
          <w:rFonts w:ascii="Calibri" w:eastAsia="Calibri" w:hAnsi="Calibri" w:cs="Calibri"/>
          <w:bCs/>
          <w:szCs w:val="72"/>
          <w:lang w:val="sr-Cyrl-CS"/>
        </w:rPr>
        <w:t>државних обвезница у локалним валутама земаља у развоју (</w:t>
      </w:r>
      <w:r w:rsidRPr="001B41AD">
        <w:rPr>
          <w:rFonts w:ascii="Calibri" w:eastAsia="Calibri" w:hAnsi="Calibri" w:cs="Calibri"/>
          <w:bCs/>
          <w:i/>
          <w:szCs w:val="72"/>
          <w:lang w:val="sr-Cyrl-CS"/>
        </w:rPr>
        <w:t>GBI-EM</w:t>
      </w:r>
      <w:r w:rsidRPr="001B41AD">
        <w:rPr>
          <w:rFonts w:ascii="Calibri" w:eastAsia="Calibri" w:hAnsi="Calibri" w:cs="Calibri"/>
          <w:bCs/>
          <w:szCs w:val="72"/>
          <w:lang w:val="sr-Cyrl-CS"/>
        </w:rPr>
        <w:t xml:space="preserve"> </w:t>
      </w:r>
      <w:r w:rsidRPr="001B41AD">
        <w:rPr>
          <w:rFonts w:ascii="Calibri" w:eastAsia="Calibri" w:hAnsi="Calibri" w:cs="Calibri"/>
          <w:bCs/>
          <w:i/>
          <w:iCs/>
          <w:szCs w:val="72"/>
          <w:lang w:val="sr-Cyrl-CS"/>
        </w:rPr>
        <w:t>Global Diversified Index</w:t>
      </w:r>
      <w:r w:rsidRPr="001B41AD">
        <w:rPr>
          <w:rFonts w:ascii="Calibri" w:eastAsia="Calibri" w:hAnsi="Calibri" w:cs="Calibri"/>
          <w:bCs/>
          <w:szCs w:val="72"/>
          <w:lang w:val="sr-Cyrl-CS"/>
        </w:rPr>
        <w:t>) што би требало значајно да повећа базу инвеститора и додатно поспеши секундарно трговање, што ће даље допринети смањењу трошкова задуживања путем емисија динарских државних хартија од вредности;</w:t>
      </w:r>
    </w:p>
    <w:p w14:paraId="145CE40D" w14:textId="77777777" w:rsidR="00113630" w:rsidRPr="001B41AD" w:rsidRDefault="00113630" w:rsidP="00204810">
      <w:pPr>
        <w:numPr>
          <w:ilvl w:val="0"/>
          <w:numId w:val="12"/>
        </w:numPr>
        <w:ind w:left="0" w:hanging="142"/>
        <w:rPr>
          <w:rFonts w:ascii="Calibri" w:eastAsia="Calibri" w:hAnsi="Calibri" w:cs="Calibri"/>
          <w:bCs/>
          <w:szCs w:val="72"/>
          <w:lang w:val="sr-Cyrl-CS"/>
        </w:rPr>
      </w:pPr>
      <w:r w:rsidRPr="001B41AD">
        <w:rPr>
          <w:rFonts w:ascii="Calibri" w:eastAsia="Calibri" w:hAnsi="Calibri" w:cs="Calibri"/>
          <w:bCs/>
          <w:szCs w:val="72"/>
          <w:lang w:val="sr-Cyrl-CS"/>
        </w:rPr>
        <w:t>У циљу креирања што веће базе инвеститора и развоја секундарног тржишта хартија од вредности емитованих на домаћем тржишту, креиран је једнак порески третман домаћих и страних инвеститора крајем 2011. године, и у наредном периоду тежиће се уклањању свих евентуалних препрека за слободан проток капитала;</w:t>
      </w:r>
    </w:p>
    <w:p w14:paraId="4AA573D4" w14:textId="77777777" w:rsidR="00113630" w:rsidRPr="001B41AD" w:rsidRDefault="00113630" w:rsidP="00204810">
      <w:pPr>
        <w:numPr>
          <w:ilvl w:val="0"/>
          <w:numId w:val="12"/>
        </w:numPr>
        <w:ind w:left="0" w:hanging="142"/>
        <w:rPr>
          <w:rFonts w:ascii="Calibri" w:eastAsia="Calibri" w:hAnsi="Calibri" w:cs="Calibri"/>
          <w:bCs/>
          <w:szCs w:val="72"/>
          <w:lang w:val="sr-Cyrl-CS"/>
        </w:rPr>
      </w:pPr>
      <w:r w:rsidRPr="001B41AD">
        <w:rPr>
          <w:rFonts w:ascii="Calibri" w:eastAsia="Calibri" w:hAnsi="Calibri" w:cs="Calibri"/>
          <w:bCs/>
          <w:szCs w:val="72"/>
          <w:lang w:val="sr-Cyrl-CS"/>
        </w:rPr>
        <w:t>Предузете су активности на омогућавању салдирања државних хартија од вредности на иностраном тржишту. Изменама и допунама Закона о јавном дугу из децембра 2019. године, омогућено је да клиринг и салдирање државних хартија од вредности емитованих на домаћем тржишту, поред Централног регистра врши и друго страно правно лице које обавља послове клиринга и салдирања.</w:t>
      </w:r>
    </w:p>
    <w:p w14:paraId="48597331" w14:textId="77777777" w:rsidR="00113630" w:rsidRPr="001B41AD" w:rsidRDefault="00113630" w:rsidP="00113630">
      <w:pPr>
        <w:rPr>
          <w:rFonts w:ascii="Calibri" w:eastAsia="Calibri" w:hAnsi="Calibri" w:cs="Calibri"/>
          <w:bCs/>
          <w:szCs w:val="72"/>
          <w:lang w:val="sr-Cyrl-CS"/>
        </w:rPr>
      </w:pPr>
      <w:r w:rsidRPr="001B41AD">
        <w:rPr>
          <w:rFonts w:ascii="Calibri" w:eastAsia="Calibri" w:hAnsi="Calibri" w:cs="Calibri"/>
          <w:bCs/>
          <w:szCs w:val="72"/>
          <w:lang w:val="sr-Cyrl-CS"/>
        </w:rPr>
        <w:t xml:space="preserve">Током 2023. и 2024. године активно се радило на усаглашавању законске регулативе и ИТ </w:t>
      </w:r>
      <w:r w:rsidRPr="001B41AD">
        <w:rPr>
          <w:rFonts w:ascii="Calibri" w:eastAsia="Calibri" w:hAnsi="Calibri" w:cs="Calibri"/>
          <w:bCs/>
          <w:szCs w:val="72"/>
          <w:lang w:val="sr-Cyrl-CS"/>
        </w:rPr>
        <w:t>инфраструктуре за успостављање међународног линка (i-Link) између Централног регистра, депоа и клиринга хартија од вредности и Euroclear банке, што је настављено и у 2025. години како би се отпочело салдирање државних бенчмарк обвезница преко Euroclear провајдера пост трговинских трансакција. Основне предности приступања Euroclear систему су ширење базе инвеститора кроз лакшу доступност домаћих хартија од вредности страним инвеститорима, што даље смањује трошкове у редукованом ланцу учесника куповине хартија од вредности, а тиме и пад приноса на хартије и ниже трошкове задуживања емитента. Такође, повећава се ликвидност секундарног тржишта ширењем базе инвеститора.</w:t>
      </w:r>
    </w:p>
    <w:p w14:paraId="2AA4FD36" w14:textId="77777777" w:rsidR="00113630" w:rsidRPr="001B41AD" w:rsidRDefault="00113630" w:rsidP="00113630">
      <w:pPr>
        <w:rPr>
          <w:rFonts w:ascii="Calibri" w:eastAsia="Calibri" w:hAnsi="Calibri" w:cs="Calibri"/>
          <w:bCs/>
          <w:szCs w:val="72"/>
          <w:lang w:val="sr-Cyrl-CS"/>
        </w:rPr>
      </w:pPr>
    </w:p>
    <w:p w14:paraId="1692D55D" w14:textId="77777777" w:rsidR="00113630" w:rsidRPr="001B41AD" w:rsidRDefault="00113630" w:rsidP="00113630">
      <w:pPr>
        <w:rPr>
          <w:rFonts w:ascii="Calibri" w:eastAsia="Calibri" w:hAnsi="Calibri" w:cs="Calibri"/>
          <w:bCs/>
          <w:szCs w:val="72"/>
          <w:lang w:val="sr-Cyrl-CS"/>
        </w:rPr>
      </w:pPr>
    </w:p>
    <w:p w14:paraId="1A1014F9" w14:textId="77777777" w:rsidR="00113630" w:rsidRPr="001B41AD" w:rsidRDefault="00113630" w:rsidP="00113630">
      <w:pPr>
        <w:rPr>
          <w:rFonts w:ascii="Calibri" w:eastAsia="Calibri" w:hAnsi="Calibri" w:cs="Calibri"/>
          <w:bCs/>
          <w:szCs w:val="72"/>
          <w:lang w:val="sr-Cyrl-CS"/>
        </w:rPr>
      </w:pPr>
    </w:p>
    <w:p w14:paraId="7601532B" w14:textId="77777777" w:rsidR="00113630" w:rsidRPr="001B41AD" w:rsidRDefault="00113630" w:rsidP="00113630">
      <w:pPr>
        <w:rPr>
          <w:rFonts w:ascii="Calibri" w:eastAsia="Calibri" w:hAnsi="Calibri" w:cs="Calibri"/>
          <w:bCs/>
          <w:szCs w:val="72"/>
          <w:lang w:val="sr-Cyrl-CS"/>
        </w:rPr>
      </w:pPr>
    </w:p>
    <w:p w14:paraId="2BE09A19" w14:textId="77777777" w:rsidR="00113630" w:rsidRPr="001B41AD" w:rsidRDefault="00113630" w:rsidP="00113630">
      <w:pPr>
        <w:rPr>
          <w:rFonts w:ascii="Calibri" w:eastAsia="Calibri" w:hAnsi="Calibri" w:cs="Calibri"/>
          <w:bCs/>
          <w:szCs w:val="72"/>
          <w:lang w:val="sr-Cyrl-CS"/>
        </w:rPr>
      </w:pPr>
    </w:p>
    <w:p w14:paraId="62848620" w14:textId="77777777" w:rsidR="00113630" w:rsidRPr="001B41AD" w:rsidRDefault="00113630" w:rsidP="00113630">
      <w:pPr>
        <w:rPr>
          <w:rFonts w:ascii="Calibri" w:eastAsia="Calibri" w:hAnsi="Calibri" w:cs="Calibri"/>
          <w:bCs/>
          <w:szCs w:val="72"/>
          <w:lang w:val="sr-Cyrl-CS"/>
        </w:rPr>
      </w:pPr>
    </w:p>
    <w:p w14:paraId="111A59B0" w14:textId="77777777" w:rsidR="00113630" w:rsidRPr="001B41AD" w:rsidRDefault="00113630" w:rsidP="00113630">
      <w:pPr>
        <w:rPr>
          <w:rFonts w:ascii="Calibri" w:eastAsia="Calibri" w:hAnsi="Calibri" w:cs="Calibri"/>
          <w:bCs/>
          <w:szCs w:val="72"/>
          <w:lang w:val="sr-Cyrl-CS"/>
        </w:rPr>
      </w:pPr>
    </w:p>
    <w:p w14:paraId="3AEF632B" w14:textId="77777777" w:rsidR="00113630" w:rsidRPr="001B41AD" w:rsidRDefault="00113630" w:rsidP="00113630">
      <w:pPr>
        <w:rPr>
          <w:rFonts w:cstheme="minorHAnsi"/>
          <w:bCs/>
          <w:color w:val="4472C4" w:themeColor="accent1"/>
          <w:szCs w:val="72"/>
          <w:lang w:val="sr-Cyrl-CS"/>
        </w:rPr>
        <w:sectPr w:rsidR="00113630" w:rsidRPr="001B41AD" w:rsidSect="00405489">
          <w:footerReference w:type="default" r:id="rId202"/>
          <w:type w:val="continuous"/>
          <w:pgSz w:w="12240" w:h="15840" w:code="1"/>
          <w:pgMar w:top="1440" w:right="1440" w:bottom="1440" w:left="1440" w:header="720" w:footer="720" w:gutter="0"/>
          <w:cols w:num="2" w:space="720"/>
          <w:titlePg/>
          <w:docGrid w:linePitch="360"/>
        </w:sectPr>
      </w:pPr>
    </w:p>
    <w:p w14:paraId="0CBC453C" w14:textId="77777777" w:rsidR="00113630" w:rsidRPr="001B41AD" w:rsidRDefault="00113630" w:rsidP="001203B2">
      <w:pPr>
        <w:pStyle w:val="Heading1"/>
        <w:spacing w:before="0" w:after="240"/>
        <w:rPr>
          <w:rFonts w:asciiTheme="minorHAnsi" w:hAnsiTheme="minorHAnsi" w:cstheme="minorHAnsi"/>
          <w:b/>
          <w:sz w:val="26"/>
          <w:szCs w:val="26"/>
          <w:lang w:val="sr-Cyrl-CS"/>
        </w:rPr>
      </w:pPr>
      <w:bookmarkStart w:id="63" w:name="_Toc529801854"/>
      <w:bookmarkStart w:id="64" w:name="_Toc86923729"/>
      <w:bookmarkStart w:id="65" w:name="_Toc135994508"/>
      <w:bookmarkStart w:id="66" w:name="_Toc146277922"/>
      <w:bookmarkStart w:id="67" w:name="_Toc148431275"/>
      <w:bookmarkStart w:id="68" w:name="_Toc181190974"/>
      <w:bookmarkStart w:id="69" w:name="_Toc181271509"/>
    </w:p>
    <w:p w14:paraId="2DB8D5C1" w14:textId="77777777" w:rsidR="00DA551C" w:rsidRPr="001B41AD" w:rsidRDefault="00DA551C" w:rsidP="00DA551C">
      <w:pPr>
        <w:rPr>
          <w:lang w:val="sr-Cyrl-CS"/>
        </w:rPr>
      </w:pPr>
    </w:p>
    <w:p w14:paraId="26ED277B" w14:textId="77777777" w:rsidR="00DA551C" w:rsidRPr="001B41AD" w:rsidRDefault="00DA551C" w:rsidP="00DA551C">
      <w:pPr>
        <w:rPr>
          <w:lang w:val="sr-Cyrl-CS"/>
        </w:rPr>
      </w:pPr>
    </w:p>
    <w:p w14:paraId="73104F68" w14:textId="77777777" w:rsidR="00DA551C" w:rsidRPr="001B41AD" w:rsidRDefault="00DA551C" w:rsidP="00DA551C">
      <w:pPr>
        <w:rPr>
          <w:lang w:val="sr-Cyrl-CS"/>
        </w:rPr>
      </w:pPr>
    </w:p>
    <w:p w14:paraId="53C32BB0" w14:textId="77777777" w:rsidR="00DA551C" w:rsidRPr="001B41AD" w:rsidRDefault="00DA551C" w:rsidP="00DA551C">
      <w:pPr>
        <w:rPr>
          <w:lang w:val="sr-Cyrl-CS"/>
        </w:rPr>
      </w:pPr>
    </w:p>
    <w:p w14:paraId="016FCFCA" w14:textId="77777777" w:rsidR="00DA551C" w:rsidRPr="001B41AD" w:rsidRDefault="00DA551C" w:rsidP="00DA551C">
      <w:pPr>
        <w:rPr>
          <w:lang w:val="sr-Cyrl-CS"/>
        </w:rPr>
      </w:pPr>
    </w:p>
    <w:p w14:paraId="39832B7C" w14:textId="77777777" w:rsidR="00DA551C" w:rsidRPr="001B41AD" w:rsidRDefault="00DA551C" w:rsidP="00DA551C">
      <w:pPr>
        <w:rPr>
          <w:lang w:val="sr-Cyrl-CS"/>
        </w:rPr>
      </w:pPr>
    </w:p>
    <w:p w14:paraId="7828093D" w14:textId="77777777" w:rsidR="00DA551C" w:rsidRPr="001B41AD" w:rsidRDefault="00DA551C" w:rsidP="00DA551C">
      <w:pPr>
        <w:rPr>
          <w:lang w:val="sr-Cyrl-CS"/>
        </w:rPr>
      </w:pPr>
    </w:p>
    <w:p w14:paraId="32F7629F" w14:textId="77777777" w:rsidR="00DA551C" w:rsidRPr="001B41AD" w:rsidRDefault="00DA551C" w:rsidP="00DA551C">
      <w:pPr>
        <w:rPr>
          <w:lang w:val="sr-Cyrl-CS"/>
        </w:rPr>
      </w:pPr>
    </w:p>
    <w:p w14:paraId="578F322C" w14:textId="77777777" w:rsidR="00DA551C" w:rsidRPr="001B41AD" w:rsidRDefault="00DA551C" w:rsidP="00DA551C">
      <w:pPr>
        <w:rPr>
          <w:lang w:val="sr-Cyrl-CS"/>
        </w:rPr>
      </w:pPr>
    </w:p>
    <w:p w14:paraId="2B84959B" w14:textId="77777777" w:rsidR="00DA551C" w:rsidRPr="001B41AD" w:rsidRDefault="00DA551C" w:rsidP="00DA551C">
      <w:pPr>
        <w:rPr>
          <w:lang w:val="sr-Cyrl-CS"/>
        </w:rPr>
      </w:pPr>
    </w:p>
    <w:p w14:paraId="186C2A10" w14:textId="77777777" w:rsidR="00DA551C" w:rsidRPr="001B41AD" w:rsidRDefault="00DA551C" w:rsidP="00DA551C">
      <w:pPr>
        <w:rPr>
          <w:lang w:val="sr-Cyrl-CS"/>
        </w:rPr>
      </w:pPr>
    </w:p>
    <w:p w14:paraId="0896579F" w14:textId="77777777" w:rsidR="00DA551C" w:rsidRPr="001B41AD" w:rsidRDefault="00DA551C" w:rsidP="00DA551C">
      <w:pPr>
        <w:rPr>
          <w:lang w:val="sr-Cyrl-CS"/>
        </w:rPr>
      </w:pPr>
    </w:p>
    <w:p w14:paraId="0AAC1DE5" w14:textId="77777777" w:rsidR="00DA551C" w:rsidRPr="001B41AD" w:rsidRDefault="00DA551C" w:rsidP="00DA551C">
      <w:pPr>
        <w:rPr>
          <w:lang w:val="sr-Cyrl-CS"/>
        </w:rPr>
      </w:pPr>
    </w:p>
    <w:p w14:paraId="08039756" w14:textId="77777777" w:rsidR="00DA551C" w:rsidRPr="001B41AD" w:rsidRDefault="00DA551C" w:rsidP="00DA551C">
      <w:pPr>
        <w:rPr>
          <w:lang w:val="sr-Cyrl-CS"/>
        </w:rPr>
      </w:pPr>
    </w:p>
    <w:p w14:paraId="0CD17A1D" w14:textId="77777777" w:rsidR="00DA551C" w:rsidRPr="001B41AD" w:rsidRDefault="00DA551C" w:rsidP="00DA551C">
      <w:pPr>
        <w:rPr>
          <w:lang w:val="sr-Cyrl-CS"/>
        </w:rPr>
      </w:pPr>
    </w:p>
    <w:p w14:paraId="5B466308" w14:textId="77777777" w:rsidR="00DA551C" w:rsidRPr="001B41AD" w:rsidRDefault="00DA551C" w:rsidP="00DA551C">
      <w:pPr>
        <w:rPr>
          <w:lang w:val="sr-Cyrl-CS"/>
        </w:rPr>
      </w:pPr>
    </w:p>
    <w:p w14:paraId="36520219" w14:textId="77777777" w:rsidR="00DA551C" w:rsidRPr="001B41AD" w:rsidRDefault="00DA551C" w:rsidP="00DA551C">
      <w:pPr>
        <w:rPr>
          <w:lang w:val="sr-Cyrl-CS"/>
        </w:rPr>
        <w:sectPr w:rsidR="00DA551C" w:rsidRPr="001B41AD" w:rsidSect="00B63247">
          <w:headerReference w:type="even" r:id="rId203"/>
          <w:footerReference w:type="even" r:id="rId204"/>
          <w:footerReference w:type="default" r:id="rId205"/>
          <w:headerReference w:type="first" r:id="rId206"/>
          <w:type w:val="continuous"/>
          <w:pgSz w:w="12240" w:h="15840" w:code="1"/>
          <w:pgMar w:top="0" w:right="1440" w:bottom="0" w:left="1440" w:header="720" w:footer="720" w:gutter="0"/>
          <w:cols w:num="2" w:space="720"/>
          <w:docGrid w:linePitch="360"/>
        </w:sectPr>
      </w:pPr>
    </w:p>
    <w:p w14:paraId="03274AE8" w14:textId="77777777" w:rsidR="001A6EF6" w:rsidRPr="001B41AD" w:rsidRDefault="001A6EF6" w:rsidP="001203B2">
      <w:pPr>
        <w:pStyle w:val="Heading1"/>
        <w:spacing w:before="0" w:after="240"/>
        <w:rPr>
          <w:rFonts w:asciiTheme="minorHAnsi" w:hAnsiTheme="minorHAnsi" w:cstheme="minorHAnsi"/>
          <w:b/>
          <w:sz w:val="26"/>
          <w:szCs w:val="26"/>
          <w:lang w:val="sr-Cyrl-CS"/>
        </w:rPr>
      </w:pPr>
    </w:p>
    <w:p w14:paraId="1571673F" w14:textId="77777777" w:rsidR="00113630" w:rsidRPr="001B41AD" w:rsidRDefault="00113630" w:rsidP="00113630">
      <w:pPr>
        <w:pStyle w:val="Heading1"/>
        <w:spacing w:before="0" w:after="240"/>
        <w:jc w:val="center"/>
        <w:rPr>
          <w:rFonts w:asciiTheme="minorHAnsi" w:hAnsiTheme="minorHAnsi" w:cstheme="minorHAnsi"/>
          <w:b/>
          <w:sz w:val="26"/>
          <w:szCs w:val="26"/>
          <w:lang w:val="sr-Cyrl-CS"/>
        </w:rPr>
      </w:pPr>
      <w:bookmarkStart w:id="70" w:name="_Toc212642476"/>
      <w:r w:rsidRPr="001B41AD">
        <w:rPr>
          <w:rFonts w:asciiTheme="minorHAnsi" w:hAnsiTheme="minorHAnsi" w:cstheme="minorHAnsi"/>
          <w:b/>
          <w:sz w:val="26"/>
          <w:szCs w:val="26"/>
          <w:lang w:val="sr-Cyrl-CS"/>
        </w:rPr>
        <w:t>IV ЗАВРШНЕ ОДРЕДБЕ</w:t>
      </w:r>
      <w:bookmarkEnd w:id="63"/>
      <w:bookmarkEnd w:id="64"/>
      <w:bookmarkEnd w:id="65"/>
      <w:bookmarkEnd w:id="66"/>
      <w:bookmarkEnd w:id="67"/>
      <w:bookmarkEnd w:id="68"/>
      <w:bookmarkEnd w:id="69"/>
      <w:bookmarkEnd w:id="70"/>
    </w:p>
    <w:p w14:paraId="3A92A1DF" w14:textId="77777777" w:rsidR="00113630" w:rsidRPr="001B41AD" w:rsidRDefault="00113630" w:rsidP="00113630">
      <w:pPr>
        <w:rPr>
          <w:lang w:val="sr-Cyrl-CS"/>
        </w:rPr>
      </w:pPr>
    </w:p>
    <w:p w14:paraId="2658CB85" w14:textId="02A78370" w:rsidR="00AD5E6E" w:rsidRPr="001B41AD" w:rsidRDefault="00AD5E6E" w:rsidP="00AD5E6E">
      <w:pPr>
        <w:spacing w:after="80"/>
        <w:ind w:firstLine="720"/>
        <w:rPr>
          <w:rFonts w:ascii="Calibri" w:eastAsia="Calibri" w:hAnsi="Calibri" w:cs="Calibri"/>
          <w:bCs/>
          <w:szCs w:val="72"/>
          <w:lang w:val="sr-Cyrl-CS"/>
        </w:rPr>
      </w:pPr>
      <w:r w:rsidRPr="001B41AD">
        <w:rPr>
          <w:rFonts w:ascii="Calibri" w:eastAsia="Calibri" w:hAnsi="Calibri" w:cs="Calibri"/>
          <w:bCs/>
          <w:szCs w:val="72"/>
          <w:lang w:val="sr-Cyrl-CS"/>
        </w:rPr>
        <w:t xml:space="preserve">Саставни део </w:t>
      </w:r>
      <w:r w:rsidR="00772333" w:rsidRPr="001B41AD">
        <w:rPr>
          <w:rFonts w:ascii="Calibri" w:eastAsia="Calibri" w:hAnsi="Calibri" w:cs="Calibri"/>
          <w:bCs/>
          <w:szCs w:val="72"/>
          <w:lang w:val="sr-Cyrl-CS"/>
        </w:rPr>
        <w:t xml:space="preserve">ове ревидиране Фискалне </w:t>
      </w:r>
      <w:r w:rsidRPr="001B41AD">
        <w:rPr>
          <w:rFonts w:ascii="Calibri" w:eastAsia="Calibri" w:hAnsi="Calibri" w:cs="Calibri"/>
          <w:bCs/>
          <w:szCs w:val="72"/>
          <w:lang w:val="sr-Cyrl-CS"/>
        </w:rPr>
        <w:t>стратегије чине Прилог 1 – Пројекција основних макроекономских индикатора, Прилог 2 – Фискални оквир сектора државе у 2026. години</w:t>
      </w:r>
      <w:r w:rsidR="00881466" w:rsidRPr="001B41AD">
        <w:rPr>
          <w:rFonts w:ascii="Calibri" w:eastAsia="Calibri" w:hAnsi="Calibri" w:cs="Calibri"/>
          <w:bCs/>
          <w:szCs w:val="72"/>
          <w:lang w:val="sr-Cyrl-CS"/>
        </w:rPr>
        <w:t>, Прилог 3 – Укупни приходи, расходи</w:t>
      </w:r>
      <w:r w:rsidRPr="001B41AD">
        <w:rPr>
          <w:rFonts w:ascii="Calibri" w:eastAsia="Calibri" w:hAnsi="Calibri" w:cs="Calibri"/>
          <w:bCs/>
          <w:szCs w:val="72"/>
          <w:lang w:val="sr-Cyrl-CS"/>
        </w:rPr>
        <w:t xml:space="preserve"> и</w:t>
      </w:r>
      <w:r w:rsidR="00881466" w:rsidRPr="001B41AD">
        <w:rPr>
          <w:rFonts w:ascii="Calibri" w:eastAsia="Calibri" w:hAnsi="Calibri" w:cs="Calibri"/>
          <w:bCs/>
          <w:szCs w:val="72"/>
          <w:lang w:val="sr-Cyrl-CS"/>
        </w:rPr>
        <w:t xml:space="preserve"> резултат, у периоду од 2024 – 2028. године, </w:t>
      </w:r>
      <w:r w:rsidR="00772333" w:rsidRPr="001B41AD">
        <w:rPr>
          <w:rFonts w:ascii="Calibri" w:eastAsia="Calibri" w:hAnsi="Calibri" w:cs="Calibri"/>
          <w:bCs/>
          <w:szCs w:val="72"/>
          <w:lang w:val="sr-Cyrl-CS"/>
        </w:rPr>
        <w:t xml:space="preserve">у </w:t>
      </w:r>
      <w:r w:rsidR="00881466" w:rsidRPr="001B41AD">
        <w:rPr>
          <w:rFonts w:ascii="Calibri" w:eastAsia="Calibri" w:hAnsi="Calibri" w:cs="Calibri"/>
          <w:bCs/>
          <w:szCs w:val="72"/>
          <w:lang w:val="sr-Cyrl-CS"/>
        </w:rPr>
        <w:t>млрд динара и</w:t>
      </w:r>
      <w:r w:rsidRPr="001B41AD">
        <w:rPr>
          <w:rFonts w:ascii="Calibri" w:eastAsia="Calibri" w:hAnsi="Calibri" w:cs="Calibri"/>
          <w:bCs/>
          <w:szCs w:val="72"/>
          <w:lang w:val="sr-Cyrl-CS"/>
        </w:rPr>
        <w:t xml:space="preserve"> Прилог </w:t>
      </w:r>
      <w:r w:rsidR="00881466" w:rsidRPr="001B41AD">
        <w:rPr>
          <w:rFonts w:ascii="Calibri" w:eastAsia="Calibri" w:hAnsi="Calibri" w:cs="Calibri"/>
          <w:bCs/>
          <w:szCs w:val="72"/>
          <w:lang w:val="sr-Cyrl-CS"/>
        </w:rPr>
        <w:t>4</w:t>
      </w:r>
      <w:r w:rsidRPr="001B41AD">
        <w:rPr>
          <w:rFonts w:ascii="Calibri" w:eastAsia="Calibri" w:hAnsi="Calibri" w:cs="Calibri"/>
          <w:bCs/>
          <w:szCs w:val="72"/>
          <w:lang w:val="sr-Cyrl-CS"/>
        </w:rPr>
        <w:t xml:space="preserve"> – Преглед инвестиционих пројеката у републичком буџету </w:t>
      </w:r>
      <w:r w:rsidR="00772333" w:rsidRPr="001B41AD">
        <w:rPr>
          <w:rFonts w:ascii="Calibri" w:eastAsia="Calibri" w:hAnsi="Calibri" w:cs="Calibri"/>
          <w:bCs/>
          <w:szCs w:val="72"/>
          <w:lang w:val="sr-Cyrl-CS"/>
        </w:rPr>
        <w:t>(</w:t>
      </w:r>
      <w:r w:rsidRPr="001B41AD">
        <w:rPr>
          <w:rFonts w:ascii="Calibri" w:eastAsia="Calibri" w:hAnsi="Calibri" w:cs="Calibri"/>
          <w:bCs/>
          <w:szCs w:val="72"/>
          <w:lang w:val="sr-Cyrl-CS"/>
        </w:rPr>
        <w:t xml:space="preserve">издаци за нефинансијску имовину изнад 20 милиона евра), који су одштампани уз ову </w:t>
      </w:r>
      <w:r w:rsidRPr="001B41AD">
        <w:rPr>
          <w:rFonts w:cstheme="minorHAnsi"/>
          <w:bCs/>
          <w:szCs w:val="72"/>
          <w:lang w:val="sr-Cyrl-CS"/>
        </w:rPr>
        <w:t>ф</w:t>
      </w:r>
      <w:r w:rsidRPr="001B41AD">
        <w:rPr>
          <w:rFonts w:ascii="Calibri" w:eastAsia="Calibri" w:hAnsi="Calibri" w:cs="Calibri"/>
          <w:bCs/>
          <w:szCs w:val="72"/>
          <w:lang w:val="sr-Cyrl-CS"/>
        </w:rPr>
        <w:t>искалну стратегију.</w:t>
      </w:r>
    </w:p>
    <w:p w14:paraId="3784692F" w14:textId="6C1DE978" w:rsidR="00AD5E6E" w:rsidRPr="001B41AD" w:rsidRDefault="00AD5E6E" w:rsidP="00AD5E6E">
      <w:pPr>
        <w:spacing w:after="80"/>
        <w:ind w:firstLine="720"/>
        <w:rPr>
          <w:rFonts w:ascii="Calibri" w:eastAsia="Calibri" w:hAnsi="Calibri" w:cs="Calibri"/>
          <w:bCs/>
          <w:szCs w:val="72"/>
          <w:lang w:val="sr-Cyrl-CS"/>
        </w:rPr>
      </w:pPr>
      <w:r w:rsidRPr="001B41AD">
        <w:rPr>
          <w:rFonts w:ascii="Calibri" w:eastAsia="Calibri" w:hAnsi="Calibri" w:cs="Calibri"/>
          <w:bCs/>
          <w:szCs w:val="72"/>
          <w:lang w:val="sr-Cyrl-CS"/>
        </w:rPr>
        <w:t xml:space="preserve">Ову </w:t>
      </w:r>
      <w:r w:rsidR="00772333" w:rsidRPr="001B41AD">
        <w:rPr>
          <w:rFonts w:ascii="Calibri" w:eastAsia="Calibri" w:hAnsi="Calibri" w:cs="Calibri"/>
          <w:bCs/>
          <w:szCs w:val="72"/>
          <w:lang w:val="sr-Cyrl-CS"/>
        </w:rPr>
        <w:t xml:space="preserve">ревидирану Фискалну </w:t>
      </w:r>
      <w:r w:rsidR="00772333" w:rsidRPr="001B41AD">
        <w:rPr>
          <w:rFonts w:cstheme="minorHAnsi"/>
          <w:bCs/>
          <w:szCs w:val="72"/>
          <w:lang w:val="sr-Cyrl-CS"/>
        </w:rPr>
        <w:t>стратегију</w:t>
      </w:r>
      <w:r w:rsidR="00772333" w:rsidRPr="001B41AD">
        <w:rPr>
          <w:rFonts w:ascii="Calibri" w:eastAsia="Calibri" w:hAnsi="Calibri" w:cs="Calibri"/>
          <w:bCs/>
          <w:szCs w:val="72"/>
          <w:lang w:val="sr-Cyrl-CS"/>
        </w:rPr>
        <w:t xml:space="preserve"> </w:t>
      </w:r>
      <w:r w:rsidRPr="001B41AD">
        <w:rPr>
          <w:rFonts w:ascii="Calibri" w:eastAsia="Calibri" w:hAnsi="Calibri" w:cs="Calibri"/>
          <w:bCs/>
          <w:szCs w:val="72"/>
          <w:lang w:val="sr-Cyrl-CS"/>
        </w:rPr>
        <w:t>доставити одбору Народне скупштине надлежном за финансије, републички буџет и контролу трошења јавних средстава и Министарству финансија.</w:t>
      </w:r>
    </w:p>
    <w:p w14:paraId="6DC40EEE" w14:textId="447A7A9C" w:rsidR="00AD5E6E" w:rsidRPr="001B41AD" w:rsidRDefault="00772333" w:rsidP="00AD5E6E">
      <w:pPr>
        <w:ind w:firstLine="720"/>
        <w:rPr>
          <w:lang w:val="sr-Cyrl-CS"/>
        </w:rPr>
      </w:pPr>
      <w:r w:rsidRPr="001B41AD">
        <w:rPr>
          <w:rFonts w:cstheme="minorHAnsi"/>
          <w:bCs/>
          <w:szCs w:val="72"/>
          <w:lang w:val="sr-Cyrl-CS"/>
        </w:rPr>
        <w:t>Ову ревидирану Фискалну стратегију објавити у „Службеном гласнику Републике Србије” и на интернет страници Владе и Министарства финансија</w:t>
      </w:r>
      <w:r w:rsidR="00AD5E6E" w:rsidRPr="001B41AD">
        <w:rPr>
          <w:rFonts w:cstheme="minorHAnsi"/>
          <w:bCs/>
          <w:szCs w:val="72"/>
          <w:lang w:val="sr-Cyrl-CS"/>
        </w:rPr>
        <w:t>.</w:t>
      </w:r>
    </w:p>
    <w:p w14:paraId="157DBF05" w14:textId="77777777" w:rsidR="00AD5E6E" w:rsidRPr="001B41AD" w:rsidRDefault="00AD5E6E" w:rsidP="00AD5E6E">
      <w:pPr>
        <w:spacing w:after="0"/>
        <w:jc w:val="right"/>
        <w:rPr>
          <w:rFonts w:cstheme="minorHAnsi"/>
          <w:bCs/>
          <w:color w:val="FF0000"/>
          <w:szCs w:val="72"/>
          <w:lang w:val="sr-Cyrl-CS"/>
        </w:rPr>
      </w:pPr>
    </w:p>
    <w:p w14:paraId="1415CE5A" w14:textId="77777777" w:rsidR="00AD5E6E" w:rsidRPr="001B41AD" w:rsidRDefault="00AD5E6E" w:rsidP="00AD5E6E">
      <w:pPr>
        <w:spacing w:after="0"/>
        <w:jc w:val="right"/>
        <w:rPr>
          <w:rFonts w:cstheme="minorHAnsi"/>
          <w:bCs/>
          <w:color w:val="FF0000"/>
          <w:szCs w:val="72"/>
          <w:lang w:val="sr-Cyrl-CS"/>
        </w:rPr>
      </w:pPr>
    </w:p>
    <w:p w14:paraId="239A1AA1" w14:textId="262074CC" w:rsidR="00AD5E6E" w:rsidRPr="001B41AD" w:rsidRDefault="00AD5E6E" w:rsidP="00AD5E6E">
      <w:pPr>
        <w:tabs>
          <w:tab w:val="left" w:pos="1189"/>
        </w:tabs>
        <w:spacing w:after="0"/>
        <w:rPr>
          <w:rFonts w:ascii="Calibri" w:hAnsi="Calibri" w:cs="Calibri"/>
          <w:bCs/>
          <w:color w:val="FF0000"/>
          <w:szCs w:val="72"/>
          <w:lang w:val="sr-Cyrl-CS"/>
        </w:rPr>
      </w:pPr>
      <w:r w:rsidRPr="001B41AD">
        <w:rPr>
          <w:rFonts w:ascii="Calibri" w:eastAsia="Calibri" w:hAnsi="Calibri" w:cs="Calibri"/>
          <w:bCs/>
          <w:szCs w:val="72"/>
          <w:lang w:val="sr-Cyrl-CS"/>
        </w:rPr>
        <w:t>05 Број:</w:t>
      </w:r>
      <w:r w:rsidRPr="001B41AD">
        <w:rPr>
          <w:rFonts w:ascii="Calibri" w:hAnsi="Calibri" w:cs="Calibri"/>
          <w:bCs/>
          <w:color w:val="FF0000"/>
          <w:szCs w:val="72"/>
          <w:lang w:val="sr-Cyrl-CS"/>
        </w:rPr>
        <w:t xml:space="preserve"> </w:t>
      </w:r>
      <w:r w:rsidR="00624F3A" w:rsidRPr="00624F3A">
        <w:rPr>
          <w:rFonts w:ascii="Calibri" w:hAnsi="Calibri" w:cs="Calibri"/>
          <w:bCs/>
          <w:color w:val="auto"/>
          <w:szCs w:val="72"/>
          <w:lang w:val="sr-Cyrl-CS"/>
        </w:rPr>
        <w:t>400-12128/2025</w:t>
      </w:r>
    </w:p>
    <w:p w14:paraId="69FC5459" w14:textId="4127DDE6" w:rsidR="00AD5E6E" w:rsidRPr="001B41AD" w:rsidRDefault="00AD5E6E" w:rsidP="00AD5E6E">
      <w:pPr>
        <w:spacing w:after="0"/>
        <w:rPr>
          <w:rFonts w:cstheme="minorHAnsi"/>
          <w:bCs/>
          <w:color w:val="FF0000"/>
          <w:szCs w:val="72"/>
          <w:lang w:val="sr-Cyrl-CS"/>
        </w:rPr>
      </w:pPr>
      <w:r w:rsidRPr="001B41AD">
        <w:rPr>
          <w:rFonts w:ascii="Calibri" w:eastAsia="Calibri" w:hAnsi="Calibri" w:cs="Calibri"/>
          <w:bCs/>
          <w:szCs w:val="72"/>
          <w:lang w:val="sr-Cyrl-CS"/>
        </w:rPr>
        <w:t xml:space="preserve">У Београду, </w:t>
      </w:r>
      <w:r w:rsidR="00624F3A">
        <w:rPr>
          <w:rFonts w:ascii="Calibri" w:eastAsia="Calibri" w:hAnsi="Calibri" w:cs="Calibri"/>
          <w:bCs/>
          <w:szCs w:val="72"/>
          <w:lang w:val="sr-Cyrl-CS"/>
        </w:rPr>
        <w:t xml:space="preserve">6. </w:t>
      </w:r>
      <w:r w:rsidR="00D461DA" w:rsidRPr="001B41AD">
        <w:rPr>
          <w:rFonts w:ascii="Calibri" w:eastAsia="Calibri" w:hAnsi="Calibri" w:cs="Calibri"/>
          <w:bCs/>
          <w:szCs w:val="72"/>
          <w:lang w:val="sr-Cyrl-CS"/>
        </w:rPr>
        <w:t>новембр</w:t>
      </w:r>
      <w:r w:rsidR="00772333" w:rsidRPr="001B41AD">
        <w:rPr>
          <w:rFonts w:ascii="Calibri" w:eastAsia="Calibri" w:hAnsi="Calibri" w:cs="Calibri"/>
          <w:bCs/>
          <w:szCs w:val="72"/>
          <w:lang w:val="sr-Cyrl-CS"/>
        </w:rPr>
        <w:t>а</w:t>
      </w:r>
      <w:r w:rsidRPr="001B41AD">
        <w:rPr>
          <w:rFonts w:ascii="Calibri" w:eastAsia="Calibri" w:hAnsi="Calibri" w:cs="Calibri"/>
          <w:bCs/>
          <w:szCs w:val="72"/>
          <w:lang w:val="sr-Cyrl-CS"/>
        </w:rPr>
        <w:t xml:space="preserve"> 2025. године</w:t>
      </w:r>
    </w:p>
    <w:p w14:paraId="103CCD93" w14:textId="77777777" w:rsidR="00AD5E6E" w:rsidRPr="001B41AD" w:rsidRDefault="00AD5E6E" w:rsidP="00AD5E6E">
      <w:pPr>
        <w:spacing w:after="0"/>
        <w:rPr>
          <w:rFonts w:cstheme="minorHAnsi"/>
          <w:bCs/>
          <w:color w:val="FF0000"/>
          <w:szCs w:val="72"/>
          <w:lang w:val="sr-Cyrl-CS"/>
        </w:rPr>
      </w:pPr>
    </w:p>
    <w:p w14:paraId="07A741D2" w14:textId="77777777" w:rsidR="00AD5E6E" w:rsidRPr="001B41AD" w:rsidRDefault="00AD5E6E" w:rsidP="00AD5E6E">
      <w:pPr>
        <w:spacing w:after="0"/>
        <w:jc w:val="center"/>
        <w:rPr>
          <w:rFonts w:ascii="Calibri" w:eastAsia="Calibri" w:hAnsi="Calibri" w:cs="Calibri"/>
          <w:bCs/>
          <w:szCs w:val="72"/>
          <w:lang w:val="sr-Cyrl-CS"/>
        </w:rPr>
      </w:pPr>
      <w:r w:rsidRPr="001B41AD">
        <w:rPr>
          <w:rFonts w:ascii="Calibri" w:eastAsia="Calibri" w:hAnsi="Calibri" w:cs="Calibri"/>
          <w:bCs/>
          <w:szCs w:val="72"/>
          <w:lang w:val="sr-Cyrl-CS"/>
        </w:rPr>
        <w:t>В Л А Д А</w:t>
      </w:r>
    </w:p>
    <w:p w14:paraId="3694B85B" w14:textId="77777777" w:rsidR="00AD5E6E" w:rsidRPr="001B41AD" w:rsidRDefault="00AD5E6E" w:rsidP="00AD5E6E">
      <w:pPr>
        <w:spacing w:after="0"/>
        <w:jc w:val="right"/>
        <w:rPr>
          <w:rFonts w:ascii="Calibri" w:eastAsia="Calibri" w:hAnsi="Calibri" w:cs="Calibri"/>
          <w:bCs/>
          <w:szCs w:val="72"/>
          <w:lang w:val="sr-Cyrl-CS"/>
        </w:rPr>
      </w:pPr>
    </w:p>
    <w:p w14:paraId="02715534" w14:textId="2D07AE3D" w:rsidR="00AD5E6E" w:rsidRPr="001B41AD" w:rsidRDefault="00AD5E6E" w:rsidP="00AD5E6E">
      <w:pPr>
        <w:spacing w:after="0"/>
        <w:jc w:val="center"/>
        <w:rPr>
          <w:rFonts w:ascii="Calibri" w:eastAsia="Calibri" w:hAnsi="Calibri" w:cs="Calibri"/>
          <w:bCs/>
          <w:szCs w:val="72"/>
          <w:lang w:val="sr-Cyrl-CS"/>
        </w:rPr>
      </w:pPr>
      <w:r w:rsidRPr="001B41AD">
        <w:rPr>
          <w:rFonts w:ascii="Calibri" w:eastAsia="Calibri" w:hAnsi="Calibri" w:cs="Calibri"/>
          <w:bCs/>
          <w:szCs w:val="72"/>
          <w:lang w:val="sr-Cyrl-CS"/>
        </w:rPr>
        <w:t xml:space="preserve">                                                                                                                 </w:t>
      </w:r>
      <w:r w:rsidR="007C3075" w:rsidRPr="001B41AD">
        <w:rPr>
          <w:rFonts w:ascii="Calibri" w:eastAsia="Calibri" w:hAnsi="Calibri" w:cs="Calibri"/>
          <w:bCs/>
          <w:szCs w:val="72"/>
          <w:lang w:val="sr-Cyrl-CS"/>
        </w:rPr>
        <w:t xml:space="preserve">               </w:t>
      </w:r>
      <w:r w:rsidR="009A4173" w:rsidRPr="001B41AD">
        <w:rPr>
          <w:rFonts w:ascii="Calibri" w:eastAsia="Calibri" w:hAnsi="Calibri" w:cs="Calibri"/>
          <w:bCs/>
          <w:szCs w:val="72"/>
          <w:lang w:val="sr-Cyrl-CS"/>
        </w:rPr>
        <w:t>ПРВИ ПОТ</w:t>
      </w:r>
      <w:r w:rsidRPr="001B41AD">
        <w:rPr>
          <w:rFonts w:ascii="Calibri" w:eastAsia="Calibri" w:hAnsi="Calibri" w:cs="Calibri"/>
          <w:bCs/>
          <w:szCs w:val="72"/>
          <w:lang w:val="sr-Cyrl-CS"/>
        </w:rPr>
        <w:t>ПРЕДСЕДНИК</w:t>
      </w:r>
      <w:r w:rsidR="009A4173" w:rsidRPr="001B41AD">
        <w:rPr>
          <w:rFonts w:ascii="Calibri" w:eastAsia="Calibri" w:hAnsi="Calibri" w:cs="Calibri"/>
          <w:bCs/>
          <w:szCs w:val="72"/>
          <w:lang w:val="sr-Cyrl-CS"/>
        </w:rPr>
        <w:t xml:space="preserve"> ВЛАДЕ</w:t>
      </w:r>
    </w:p>
    <w:p w14:paraId="50DE4CB5" w14:textId="77777777" w:rsidR="00AD5E6E" w:rsidRPr="001B41AD" w:rsidRDefault="00AD5E6E" w:rsidP="00AD5E6E">
      <w:pPr>
        <w:spacing w:after="0"/>
        <w:rPr>
          <w:rFonts w:ascii="Calibri" w:eastAsia="Calibri" w:hAnsi="Calibri" w:cs="Calibri"/>
          <w:bCs/>
          <w:szCs w:val="72"/>
          <w:lang w:val="sr-Cyrl-CS"/>
        </w:rPr>
      </w:pPr>
    </w:p>
    <w:p w14:paraId="7B31AB05" w14:textId="2A245354" w:rsidR="00113630" w:rsidRPr="001B41AD" w:rsidRDefault="00AD5E6E" w:rsidP="00AD5E6E">
      <w:pPr>
        <w:rPr>
          <w:lang w:val="sr-Cyrl-CS"/>
        </w:rPr>
        <w:sectPr w:rsidR="00113630" w:rsidRPr="001B41AD" w:rsidSect="00113630">
          <w:type w:val="continuous"/>
          <w:pgSz w:w="12240" w:h="15840" w:code="1"/>
          <w:pgMar w:top="0" w:right="1440" w:bottom="0" w:left="1440" w:header="720" w:footer="720" w:gutter="0"/>
          <w:cols w:space="720"/>
          <w:docGrid w:linePitch="360"/>
        </w:sectPr>
      </w:pPr>
      <w:r w:rsidRPr="001B41AD">
        <w:rPr>
          <w:rFonts w:ascii="Calibri" w:eastAsia="Calibri" w:hAnsi="Calibri" w:cs="Calibri"/>
          <w:bCs/>
          <w:szCs w:val="72"/>
          <w:lang w:val="sr-Cyrl-CS"/>
        </w:rPr>
        <w:t xml:space="preserve">                                                                                                                   </w:t>
      </w:r>
      <w:r w:rsidR="007B1C39" w:rsidRPr="001B41AD">
        <w:rPr>
          <w:rFonts w:ascii="Calibri" w:eastAsia="Calibri" w:hAnsi="Calibri" w:cs="Calibri"/>
          <w:bCs/>
          <w:szCs w:val="72"/>
          <w:lang w:val="sr-Cyrl-CS"/>
        </w:rPr>
        <w:t xml:space="preserve">                              </w:t>
      </w:r>
      <w:r w:rsidR="007C3075" w:rsidRPr="001B41AD">
        <w:rPr>
          <w:rFonts w:ascii="Calibri" w:eastAsia="Calibri" w:hAnsi="Calibri" w:cs="Calibri"/>
          <w:bCs/>
          <w:szCs w:val="72"/>
          <w:lang w:val="sr-Cyrl-CS"/>
        </w:rPr>
        <w:t xml:space="preserve"> </w:t>
      </w:r>
      <w:r w:rsidR="00772333" w:rsidRPr="001B41AD">
        <w:rPr>
          <w:rFonts w:ascii="Calibri" w:eastAsia="Calibri" w:hAnsi="Calibri" w:cs="Calibri"/>
          <w:bCs/>
          <w:szCs w:val="72"/>
          <w:lang w:val="sr-Cyrl-CS"/>
        </w:rPr>
        <w:t xml:space="preserve">  </w:t>
      </w:r>
      <w:r w:rsidR="009A4173" w:rsidRPr="001B41AD">
        <w:rPr>
          <w:rFonts w:ascii="Calibri" w:eastAsia="Calibri" w:hAnsi="Calibri" w:cs="Calibri"/>
          <w:bCs/>
          <w:szCs w:val="72"/>
          <w:lang w:val="sr-Cyrl-CS"/>
        </w:rPr>
        <w:t xml:space="preserve">       Синиша Мали</w:t>
      </w:r>
      <w:r w:rsidR="00D461DA" w:rsidRPr="001B41AD">
        <w:rPr>
          <w:rFonts w:ascii="Calibri" w:eastAsia="Calibri" w:hAnsi="Calibri" w:cs="Calibri"/>
          <w:bCs/>
          <w:szCs w:val="72"/>
          <w:lang w:val="sr-Cyrl-CS"/>
        </w:rPr>
        <w:t xml:space="preserve"> </w:t>
      </w:r>
      <w:r w:rsidR="007B1C39" w:rsidRPr="001B41AD">
        <w:rPr>
          <w:rFonts w:ascii="Calibri" w:eastAsia="Calibri" w:hAnsi="Calibri" w:cs="Calibri"/>
          <w:bCs/>
          <w:szCs w:val="72"/>
          <w:lang w:val="sr-Cyrl-CS"/>
        </w:rPr>
        <w:t xml:space="preserve"> </w:t>
      </w:r>
    </w:p>
    <w:p w14:paraId="3B7AEBE8" w14:textId="77777777" w:rsidR="00C06F41" w:rsidRPr="001B41AD" w:rsidRDefault="00C06F41" w:rsidP="00C06F41">
      <w:pPr>
        <w:pStyle w:val="Heading1"/>
        <w:spacing w:after="160"/>
        <w:rPr>
          <w:rFonts w:asciiTheme="minorHAnsi" w:hAnsiTheme="minorHAnsi" w:cstheme="minorHAnsi"/>
          <w:color w:val="002060"/>
          <w:sz w:val="24"/>
          <w:szCs w:val="26"/>
          <w:lang w:val="sr-Cyrl-CS"/>
        </w:rPr>
      </w:pPr>
      <w:bookmarkStart w:id="71" w:name="_Toc171062490"/>
      <w:bookmarkStart w:id="72" w:name="_Toc212642477"/>
      <w:bookmarkStart w:id="73" w:name="_Toc146277923"/>
      <w:bookmarkStart w:id="74" w:name="_Toc148431276"/>
      <w:bookmarkStart w:id="75" w:name="_Toc119654152"/>
      <w:bookmarkStart w:id="76" w:name="_Toc135994509"/>
      <w:bookmarkStart w:id="77" w:name="_Toc86923730"/>
      <w:bookmarkStart w:id="78" w:name="_Toc23342474"/>
      <w:bookmarkStart w:id="79" w:name="_Toc530635112"/>
      <w:r w:rsidRPr="001B41AD">
        <w:rPr>
          <w:rFonts w:asciiTheme="minorHAnsi" w:hAnsiTheme="minorHAnsi" w:cstheme="minorHAnsi"/>
          <w:color w:val="002060"/>
          <w:sz w:val="24"/>
          <w:szCs w:val="26"/>
          <w:lang w:val="sr-Cyrl-CS"/>
        </w:rPr>
        <w:lastRenderedPageBreak/>
        <w:t>Прилог 1 – Пројекција основних макроекономских индикатора</w:t>
      </w:r>
      <w:bookmarkEnd w:id="71"/>
      <w:bookmarkEnd w:id="72"/>
    </w:p>
    <w:tbl>
      <w:tblPr>
        <w:tblStyle w:val="TableGrid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1129"/>
        <w:gridCol w:w="1131"/>
        <w:gridCol w:w="1129"/>
        <w:gridCol w:w="1123"/>
      </w:tblGrid>
      <w:tr w:rsidR="00C06F41" w:rsidRPr="001B41AD" w14:paraId="2A8FDDB0" w14:textId="77777777" w:rsidTr="00436957">
        <w:trPr>
          <w:trHeight w:val="551"/>
          <w:jc w:val="center"/>
        </w:trPr>
        <w:tc>
          <w:tcPr>
            <w:tcW w:w="2590" w:type="pct"/>
            <w:tcBorders>
              <w:top w:val="single" w:sz="4" w:space="0" w:color="002060"/>
              <w:bottom w:val="single" w:sz="4" w:space="0" w:color="002060"/>
            </w:tcBorders>
            <w:vAlign w:val="center"/>
            <w:hideMark/>
          </w:tcPr>
          <w:p w14:paraId="75B8FE51" w14:textId="77777777" w:rsidR="00C06F41" w:rsidRPr="001B41AD" w:rsidRDefault="00C06F41" w:rsidP="00436957">
            <w:pPr>
              <w:rPr>
                <w:rFonts w:eastAsia="Calibri" w:cstheme="minorHAnsi"/>
                <w:iCs/>
                <w:color w:val="002060"/>
                <w:sz w:val="18"/>
                <w:szCs w:val="18"/>
                <w:lang w:val="sr-Cyrl-CS"/>
              </w:rPr>
            </w:pPr>
          </w:p>
        </w:tc>
        <w:tc>
          <w:tcPr>
            <w:tcW w:w="603" w:type="pct"/>
            <w:tcBorders>
              <w:top w:val="single" w:sz="4" w:space="0" w:color="002060"/>
              <w:bottom w:val="single" w:sz="4" w:space="0" w:color="002060"/>
            </w:tcBorders>
            <w:noWrap/>
            <w:vAlign w:val="center"/>
          </w:tcPr>
          <w:p w14:paraId="55015DDD" w14:textId="77777777" w:rsidR="00C06F41" w:rsidRPr="001B41AD" w:rsidRDefault="00C06F41" w:rsidP="00436957">
            <w:pPr>
              <w:jc w:val="center"/>
              <w:rPr>
                <w:rFonts w:eastAsia="Calibri" w:cstheme="minorHAnsi"/>
                <w:iCs/>
                <w:color w:val="002060"/>
                <w:szCs w:val="18"/>
                <w:lang w:val="sr-Cyrl-CS"/>
              </w:rPr>
            </w:pPr>
            <w:r w:rsidRPr="001B41AD">
              <w:rPr>
                <w:rFonts w:eastAsia="Calibri" w:cstheme="minorHAnsi"/>
                <w:iCs/>
                <w:color w:val="002060"/>
                <w:szCs w:val="18"/>
                <w:lang w:val="sr-Cyrl-CS"/>
              </w:rPr>
              <w:t>2025</w:t>
            </w:r>
          </w:p>
        </w:tc>
        <w:tc>
          <w:tcPr>
            <w:tcW w:w="604" w:type="pct"/>
            <w:tcBorders>
              <w:top w:val="single" w:sz="4" w:space="0" w:color="002060"/>
              <w:bottom w:val="single" w:sz="4" w:space="0" w:color="002060"/>
            </w:tcBorders>
            <w:noWrap/>
            <w:vAlign w:val="center"/>
            <w:hideMark/>
          </w:tcPr>
          <w:p w14:paraId="307ACB9E" w14:textId="77777777" w:rsidR="00C06F41" w:rsidRPr="001B41AD" w:rsidRDefault="00C06F41" w:rsidP="00436957">
            <w:pPr>
              <w:jc w:val="center"/>
              <w:rPr>
                <w:rFonts w:eastAsia="Calibri" w:cstheme="minorHAnsi"/>
                <w:iCs/>
                <w:color w:val="002060"/>
                <w:sz w:val="18"/>
                <w:szCs w:val="18"/>
                <w:lang w:val="sr-Cyrl-CS"/>
              </w:rPr>
            </w:pPr>
            <w:r w:rsidRPr="001B41AD">
              <w:rPr>
                <w:color w:val="002060"/>
                <w:lang w:val="sr-Cyrl-CS"/>
              </w:rPr>
              <w:t>2026</w:t>
            </w:r>
          </w:p>
        </w:tc>
        <w:tc>
          <w:tcPr>
            <w:tcW w:w="603" w:type="pct"/>
            <w:tcBorders>
              <w:top w:val="single" w:sz="4" w:space="0" w:color="002060"/>
              <w:bottom w:val="single" w:sz="4" w:space="0" w:color="002060"/>
            </w:tcBorders>
            <w:noWrap/>
            <w:vAlign w:val="center"/>
            <w:hideMark/>
          </w:tcPr>
          <w:p w14:paraId="71E22830" w14:textId="77777777" w:rsidR="00C06F41" w:rsidRPr="001B41AD" w:rsidRDefault="00C06F41" w:rsidP="00436957">
            <w:pPr>
              <w:jc w:val="center"/>
              <w:rPr>
                <w:rFonts w:eastAsia="Calibri" w:cstheme="minorHAnsi"/>
                <w:iCs/>
                <w:color w:val="002060"/>
                <w:sz w:val="18"/>
                <w:szCs w:val="18"/>
                <w:lang w:val="sr-Cyrl-CS"/>
              </w:rPr>
            </w:pPr>
            <w:r w:rsidRPr="001B41AD">
              <w:rPr>
                <w:color w:val="002060"/>
                <w:lang w:val="sr-Cyrl-CS"/>
              </w:rPr>
              <w:t>2027</w:t>
            </w:r>
          </w:p>
        </w:tc>
        <w:tc>
          <w:tcPr>
            <w:tcW w:w="600" w:type="pct"/>
            <w:tcBorders>
              <w:top w:val="single" w:sz="4" w:space="0" w:color="002060"/>
              <w:bottom w:val="single" w:sz="4" w:space="0" w:color="002060"/>
            </w:tcBorders>
            <w:noWrap/>
            <w:vAlign w:val="center"/>
            <w:hideMark/>
          </w:tcPr>
          <w:p w14:paraId="0C2CB7B2" w14:textId="77777777" w:rsidR="00C06F41" w:rsidRPr="001B41AD" w:rsidRDefault="00C06F41" w:rsidP="00436957">
            <w:pPr>
              <w:jc w:val="center"/>
              <w:rPr>
                <w:rFonts w:eastAsia="Calibri" w:cstheme="minorHAnsi"/>
                <w:iCs/>
                <w:color w:val="002060"/>
                <w:sz w:val="18"/>
                <w:szCs w:val="18"/>
                <w:lang w:val="sr-Cyrl-CS"/>
              </w:rPr>
            </w:pPr>
            <w:r w:rsidRPr="001B41AD">
              <w:rPr>
                <w:color w:val="002060"/>
                <w:lang w:val="sr-Cyrl-CS"/>
              </w:rPr>
              <w:t>2028</w:t>
            </w:r>
          </w:p>
        </w:tc>
      </w:tr>
      <w:tr w:rsidR="00C06F41" w:rsidRPr="001B41AD" w14:paraId="1BAE844B" w14:textId="77777777" w:rsidTr="00436957">
        <w:trPr>
          <w:trHeight w:val="281"/>
          <w:jc w:val="center"/>
        </w:trPr>
        <w:tc>
          <w:tcPr>
            <w:tcW w:w="2590" w:type="pct"/>
            <w:tcBorders>
              <w:top w:val="single" w:sz="4" w:space="0" w:color="002060"/>
            </w:tcBorders>
            <w:noWrap/>
            <w:vAlign w:val="center"/>
            <w:hideMark/>
          </w:tcPr>
          <w:p w14:paraId="6C38815A" w14:textId="77777777" w:rsidR="00C06F41" w:rsidRPr="001B41AD" w:rsidRDefault="00C06F41" w:rsidP="00436957">
            <w:pPr>
              <w:jc w:val="left"/>
              <w:rPr>
                <w:rFonts w:eastAsia="Calibri" w:cstheme="minorHAnsi"/>
                <w:color w:val="002060"/>
                <w:sz w:val="18"/>
                <w:szCs w:val="18"/>
                <w:lang w:val="sr-Cyrl-CS"/>
              </w:rPr>
            </w:pPr>
            <w:r w:rsidRPr="001B41AD">
              <w:rPr>
                <w:rFonts w:eastAsia="Calibri" w:cstheme="minorHAnsi"/>
                <w:color w:val="002060"/>
                <w:sz w:val="18"/>
                <w:szCs w:val="18"/>
                <w:lang w:val="sr-Cyrl-CS"/>
              </w:rPr>
              <w:t>Стопа реалног раста БДП, %</w:t>
            </w:r>
          </w:p>
        </w:tc>
        <w:tc>
          <w:tcPr>
            <w:tcW w:w="603" w:type="pct"/>
            <w:tcBorders>
              <w:top w:val="nil"/>
              <w:left w:val="nil"/>
              <w:bottom w:val="nil"/>
              <w:right w:val="nil"/>
            </w:tcBorders>
            <w:noWrap/>
            <w:vAlign w:val="center"/>
          </w:tcPr>
          <w:p w14:paraId="4EC7406C" w14:textId="77777777" w:rsidR="00C06F41" w:rsidRPr="001B41AD" w:rsidRDefault="00C06F41" w:rsidP="00436957">
            <w:pPr>
              <w:jc w:val="center"/>
              <w:rPr>
                <w:rFonts w:cstheme="minorHAnsi"/>
                <w:color w:val="002060"/>
                <w:sz w:val="18"/>
                <w:szCs w:val="18"/>
                <w:lang w:val="sr-Cyrl-CS"/>
              </w:rPr>
            </w:pPr>
            <w:r w:rsidRPr="001B41AD">
              <w:rPr>
                <w:rFonts w:cstheme="minorHAnsi"/>
                <w:color w:val="002060"/>
                <w:sz w:val="18"/>
                <w:szCs w:val="18"/>
                <w:lang w:val="sr-Cyrl-CS"/>
              </w:rPr>
              <w:t>2,3</w:t>
            </w:r>
          </w:p>
        </w:tc>
        <w:tc>
          <w:tcPr>
            <w:tcW w:w="604" w:type="pct"/>
            <w:tcBorders>
              <w:top w:val="nil"/>
              <w:left w:val="nil"/>
              <w:bottom w:val="nil"/>
              <w:right w:val="nil"/>
            </w:tcBorders>
            <w:noWrap/>
            <w:vAlign w:val="center"/>
          </w:tcPr>
          <w:p w14:paraId="4CFF4A46" w14:textId="77777777" w:rsidR="00C06F41" w:rsidRPr="001B41AD" w:rsidRDefault="00C06F41" w:rsidP="00436957">
            <w:pPr>
              <w:jc w:val="center"/>
              <w:rPr>
                <w:rFonts w:cstheme="minorHAnsi"/>
                <w:color w:val="002060"/>
                <w:sz w:val="18"/>
                <w:szCs w:val="18"/>
                <w:lang w:val="sr-Cyrl-CS"/>
              </w:rPr>
            </w:pPr>
            <w:r w:rsidRPr="001B41AD">
              <w:rPr>
                <w:rFonts w:cstheme="minorHAnsi"/>
                <w:color w:val="002060"/>
                <w:sz w:val="18"/>
                <w:szCs w:val="18"/>
                <w:lang w:val="sr-Cyrl-CS"/>
              </w:rPr>
              <w:t>3,0</w:t>
            </w:r>
          </w:p>
        </w:tc>
        <w:tc>
          <w:tcPr>
            <w:tcW w:w="603" w:type="pct"/>
            <w:tcBorders>
              <w:top w:val="nil"/>
              <w:left w:val="nil"/>
              <w:bottom w:val="nil"/>
              <w:right w:val="nil"/>
            </w:tcBorders>
            <w:noWrap/>
            <w:vAlign w:val="center"/>
          </w:tcPr>
          <w:p w14:paraId="78D12D80" w14:textId="77777777" w:rsidR="00C06F41" w:rsidRPr="001B41AD" w:rsidRDefault="00C06F41" w:rsidP="00436957">
            <w:pPr>
              <w:jc w:val="center"/>
              <w:rPr>
                <w:rFonts w:cstheme="minorHAnsi"/>
                <w:color w:val="002060"/>
                <w:sz w:val="18"/>
                <w:szCs w:val="18"/>
                <w:lang w:val="sr-Cyrl-CS"/>
              </w:rPr>
            </w:pPr>
            <w:r w:rsidRPr="001B41AD">
              <w:rPr>
                <w:rFonts w:cstheme="minorHAnsi"/>
                <w:color w:val="002060"/>
                <w:sz w:val="18"/>
                <w:szCs w:val="18"/>
                <w:lang w:val="sr-Cyrl-CS"/>
              </w:rPr>
              <w:t>5,0</w:t>
            </w:r>
          </w:p>
        </w:tc>
        <w:tc>
          <w:tcPr>
            <w:tcW w:w="600" w:type="pct"/>
            <w:tcBorders>
              <w:top w:val="nil"/>
              <w:left w:val="nil"/>
              <w:bottom w:val="nil"/>
              <w:right w:val="nil"/>
            </w:tcBorders>
            <w:noWrap/>
            <w:vAlign w:val="center"/>
          </w:tcPr>
          <w:p w14:paraId="0BCB920C" w14:textId="77777777" w:rsidR="00C06F41" w:rsidRPr="001B41AD" w:rsidRDefault="00C06F41" w:rsidP="00436957">
            <w:pPr>
              <w:jc w:val="center"/>
              <w:rPr>
                <w:rFonts w:cstheme="minorHAnsi"/>
                <w:color w:val="002060"/>
                <w:sz w:val="18"/>
                <w:szCs w:val="18"/>
                <w:lang w:val="sr-Cyrl-CS"/>
              </w:rPr>
            </w:pPr>
            <w:r w:rsidRPr="001B41AD">
              <w:rPr>
                <w:rFonts w:cstheme="minorHAnsi"/>
                <w:color w:val="002060"/>
                <w:sz w:val="18"/>
                <w:szCs w:val="18"/>
                <w:lang w:val="sr-Cyrl-CS"/>
              </w:rPr>
              <w:t>3,5</w:t>
            </w:r>
          </w:p>
        </w:tc>
      </w:tr>
      <w:tr w:rsidR="00C06F41" w:rsidRPr="001B41AD" w14:paraId="400DB296" w14:textId="77777777" w:rsidTr="00436957">
        <w:trPr>
          <w:trHeight w:val="281"/>
          <w:jc w:val="center"/>
        </w:trPr>
        <w:tc>
          <w:tcPr>
            <w:tcW w:w="2590" w:type="pct"/>
            <w:noWrap/>
            <w:vAlign w:val="center"/>
            <w:hideMark/>
          </w:tcPr>
          <w:p w14:paraId="1115F1FD" w14:textId="77777777" w:rsidR="00C06F41" w:rsidRPr="001B41AD" w:rsidRDefault="00C06F41" w:rsidP="00436957">
            <w:pPr>
              <w:jc w:val="left"/>
              <w:rPr>
                <w:rFonts w:eastAsia="Calibri" w:cstheme="minorHAnsi"/>
                <w:bCs/>
                <w:color w:val="002060"/>
                <w:sz w:val="18"/>
                <w:szCs w:val="18"/>
                <w:lang w:val="sr-Cyrl-CS"/>
              </w:rPr>
            </w:pPr>
            <w:r w:rsidRPr="001B41AD">
              <w:rPr>
                <w:rFonts w:eastAsia="Calibri" w:cstheme="minorHAnsi"/>
                <w:color w:val="002060"/>
                <w:sz w:val="18"/>
                <w:szCs w:val="18"/>
                <w:lang w:val="sr-Cyrl-CS"/>
              </w:rPr>
              <w:t>БДП у текућим тржишним ценама (у млрд динара)</w:t>
            </w:r>
          </w:p>
        </w:tc>
        <w:tc>
          <w:tcPr>
            <w:tcW w:w="603" w:type="pct"/>
            <w:tcBorders>
              <w:top w:val="nil"/>
              <w:left w:val="nil"/>
              <w:bottom w:val="nil"/>
              <w:right w:val="nil"/>
            </w:tcBorders>
            <w:noWrap/>
            <w:vAlign w:val="center"/>
          </w:tcPr>
          <w:p w14:paraId="11F127FE" w14:textId="77777777" w:rsidR="00C06F41" w:rsidRPr="001B41AD" w:rsidRDefault="00C06F41" w:rsidP="00436957">
            <w:pPr>
              <w:jc w:val="center"/>
              <w:rPr>
                <w:rFonts w:cstheme="minorHAnsi"/>
                <w:color w:val="002060"/>
                <w:sz w:val="18"/>
                <w:szCs w:val="18"/>
                <w:lang w:val="sr-Cyrl-CS"/>
              </w:rPr>
            </w:pPr>
            <w:r w:rsidRPr="001B41AD">
              <w:rPr>
                <w:rFonts w:cstheme="minorHAnsi"/>
                <w:color w:val="002060"/>
                <w:sz w:val="18"/>
                <w:szCs w:val="18"/>
                <w:lang w:val="sr-Cyrl-CS"/>
              </w:rPr>
              <w:t>10.377,9</w:t>
            </w:r>
          </w:p>
        </w:tc>
        <w:tc>
          <w:tcPr>
            <w:tcW w:w="604" w:type="pct"/>
            <w:tcBorders>
              <w:top w:val="nil"/>
              <w:left w:val="nil"/>
              <w:bottom w:val="nil"/>
              <w:right w:val="nil"/>
            </w:tcBorders>
            <w:noWrap/>
            <w:vAlign w:val="center"/>
          </w:tcPr>
          <w:p w14:paraId="6B97EDC6" w14:textId="77777777" w:rsidR="00C06F41" w:rsidRPr="001B41AD" w:rsidRDefault="00C06F41" w:rsidP="00436957">
            <w:pPr>
              <w:jc w:val="center"/>
              <w:rPr>
                <w:rFonts w:cstheme="minorHAnsi"/>
                <w:color w:val="002060"/>
                <w:sz w:val="18"/>
                <w:szCs w:val="18"/>
                <w:lang w:val="sr-Cyrl-CS"/>
              </w:rPr>
            </w:pPr>
            <w:r w:rsidRPr="001B41AD">
              <w:rPr>
                <w:rFonts w:cstheme="minorHAnsi"/>
                <w:color w:val="002060"/>
                <w:sz w:val="18"/>
                <w:szCs w:val="18"/>
                <w:lang w:val="sr-Cyrl-CS"/>
              </w:rPr>
              <w:t>11.085,1</w:t>
            </w:r>
          </w:p>
        </w:tc>
        <w:tc>
          <w:tcPr>
            <w:tcW w:w="603" w:type="pct"/>
            <w:tcBorders>
              <w:top w:val="nil"/>
              <w:left w:val="nil"/>
              <w:bottom w:val="nil"/>
              <w:right w:val="nil"/>
            </w:tcBorders>
            <w:noWrap/>
            <w:vAlign w:val="center"/>
          </w:tcPr>
          <w:p w14:paraId="3E89AF1A" w14:textId="77777777" w:rsidR="00C06F41" w:rsidRPr="001B41AD" w:rsidRDefault="00C06F41" w:rsidP="00436957">
            <w:pPr>
              <w:jc w:val="center"/>
              <w:rPr>
                <w:rFonts w:cstheme="minorHAnsi"/>
                <w:color w:val="002060"/>
                <w:sz w:val="18"/>
                <w:szCs w:val="18"/>
                <w:lang w:val="sr-Cyrl-CS"/>
              </w:rPr>
            </w:pPr>
            <w:r w:rsidRPr="001B41AD">
              <w:rPr>
                <w:rFonts w:cstheme="minorHAnsi"/>
                <w:color w:val="002060"/>
                <w:sz w:val="18"/>
                <w:szCs w:val="18"/>
                <w:lang w:val="sr-Cyrl-CS"/>
              </w:rPr>
              <w:t>12.034,3</w:t>
            </w:r>
          </w:p>
        </w:tc>
        <w:tc>
          <w:tcPr>
            <w:tcW w:w="600" w:type="pct"/>
            <w:tcBorders>
              <w:top w:val="nil"/>
              <w:left w:val="nil"/>
              <w:bottom w:val="nil"/>
              <w:right w:val="nil"/>
            </w:tcBorders>
            <w:noWrap/>
            <w:vAlign w:val="center"/>
          </w:tcPr>
          <w:p w14:paraId="430F611F" w14:textId="77777777" w:rsidR="00C06F41" w:rsidRPr="001B41AD" w:rsidRDefault="00C06F41" w:rsidP="00436957">
            <w:pPr>
              <w:jc w:val="center"/>
              <w:rPr>
                <w:rFonts w:cstheme="minorHAnsi"/>
                <w:color w:val="002060"/>
                <w:sz w:val="18"/>
                <w:szCs w:val="18"/>
                <w:lang w:val="sr-Cyrl-CS"/>
              </w:rPr>
            </w:pPr>
            <w:r w:rsidRPr="001B41AD">
              <w:rPr>
                <w:rFonts w:cstheme="minorHAnsi"/>
                <w:color w:val="002060"/>
                <w:sz w:val="18"/>
                <w:szCs w:val="18"/>
                <w:lang w:val="sr-Cyrl-CS"/>
              </w:rPr>
              <w:t>12.807,2</w:t>
            </w:r>
          </w:p>
        </w:tc>
      </w:tr>
      <w:tr w:rsidR="00C06F41" w:rsidRPr="001B41AD" w14:paraId="7836332A" w14:textId="77777777" w:rsidTr="00436957">
        <w:trPr>
          <w:trHeight w:val="281"/>
          <w:jc w:val="center"/>
        </w:trPr>
        <w:tc>
          <w:tcPr>
            <w:tcW w:w="2590" w:type="pct"/>
            <w:shd w:val="clear" w:color="auto" w:fill="E7E6E6" w:themeFill="background2"/>
            <w:noWrap/>
            <w:vAlign w:val="center"/>
            <w:hideMark/>
          </w:tcPr>
          <w:p w14:paraId="6888F38A" w14:textId="77777777" w:rsidR="00C06F41" w:rsidRPr="001B41AD" w:rsidRDefault="00C06F41" w:rsidP="00436957">
            <w:pPr>
              <w:jc w:val="left"/>
              <w:rPr>
                <w:rFonts w:eastAsia="Calibri" w:cstheme="minorHAnsi"/>
                <w:bCs/>
                <w:color w:val="002060"/>
                <w:sz w:val="18"/>
                <w:szCs w:val="18"/>
                <w:lang w:val="sr-Cyrl-CS"/>
              </w:rPr>
            </w:pPr>
            <w:r w:rsidRPr="001B41AD">
              <w:rPr>
                <w:rFonts w:eastAsia="Calibri" w:cstheme="minorHAnsi"/>
                <w:iCs/>
                <w:color w:val="002060"/>
                <w:sz w:val="18"/>
                <w:szCs w:val="18"/>
                <w:lang w:val="sr-Cyrl-CS"/>
              </w:rPr>
              <w:t xml:space="preserve">Извори раста: процентне промене у </w:t>
            </w:r>
            <w:r w:rsidRPr="001B41AD">
              <w:rPr>
                <w:rFonts w:eastAsia="Calibri" w:cstheme="minorHAnsi"/>
                <w:bCs/>
                <w:iCs/>
                <w:color w:val="002060"/>
                <w:sz w:val="18"/>
                <w:szCs w:val="18"/>
                <w:lang w:val="sr-Cyrl-CS"/>
              </w:rPr>
              <w:t>сталним</w:t>
            </w:r>
            <w:r w:rsidRPr="001B41AD">
              <w:rPr>
                <w:rFonts w:eastAsia="Calibri" w:cstheme="minorHAnsi"/>
                <w:iCs/>
                <w:color w:val="002060"/>
                <w:sz w:val="18"/>
                <w:szCs w:val="18"/>
                <w:lang w:val="sr-Cyrl-CS"/>
              </w:rPr>
              <w:t xml:space="preserve"> ценама</w:t>
            </w:r>
          </w:p>
        </w:tc>
        <w:tc>
          <w:tcPr>
            <w:tcW w:w="603" w:type="pct"/>
            <w:tcBorders>
              <w:top w:val="nil"/>
              <w:left w:val="nil"/>
              <w:bottom w:val="nil"/>
              <w:right w:val="nil"/>
            </w:tcBorders>
            <w:shd w:val="clear" w:color="000000" w:fill="E7E6E6"/>
            <w:vAlign w:val="center"/>
          </w:tcPr>
          <w:p w14:paraId="68F3E72C" w14:textId="77777777" w:rsidR="00C06F41" w:rsidRPr="001B41AD" w:rsidRDefault="00C06F41" w:rsidP="00436957">
            <w:pPr>
              <w:jc w:val="center"/>
              <w:rPr>
                <w:rFonts w:eastAsia="Calibri" w:cstheme="minorHAnsi"/>
                <w:bCs/>
                <w:color w:val="002060"/>
                <w:sz w:val="18"/>
                <w:szCs w:val="18"/>
                <w:lang w:val="sr-Cyrl-CS"/>
              </w:rPr>
            </w:pPr>
          </w:p>
        </w:tc>
        <w:tc>
          <w:tcPr>
            <w:tcW w:w="604" w:type="pct"/>
            <w:tcBorders>
              <w:top w:val="nil"/>
              <w:left w:val="nil"/>
              <w:bottom w:val="nil"/>
              <w:right w:val="nil"/>
            </w:tcBorders>
            <w:shd w:val="clear" w:color="000000" w:fill="E7E6E6"/>
            <w:vAlign w:val="center"/>
          </w:tcPr>
          <w:p w14:paraId="6FF86E5B" w14:textId="77777777" w:rsidR="00C06F41" w:rsidRPr="001B41AD" w:rsidRDefault="00C06F41" w:rsidP="00436957">
            <w:pPr>
              <w:jc w:val="center"/>
              <w:rPr>
                <w:rFonts w:eastAsia="Calibri" w:cstheme="minorHAnsi"/>
                <w:bCs/>
                <w:color w:val="002060"/>
                <w:sz w:val="18"/>
                <w:szCs w:val="18"/>
                <w:lang w:val="sr-Cyrl-CS"/>
              </w:rPr>
            </w:pPr>
          </w:p>
        </w:tc>
        <w:tc>
          <w:tcPr>
            <w:tcW w:w="603" w:type="pct"/>
            <w:tcBorders>
              <w:top w:val="nil"/>
              <w:left w:val="nil"/>
              <w:bottom w:val="nil"/>
              <w:right w:val="nil"/>
            </w:tcBorders>
            <w:shd w:val="clear" w:color="000000" w:fill="E7E6E6"/>
            <w:vAlign w:val="center"/>
          </w:tcPr>
          <w:p w14:paraId="28AE7E10" w14:textId="77777777" w:rsidR="00C06F41" w:rsidRPr="001B41AD" w:rsidRDefault="00C06F41" w:rsidP="00436957">
            <w:pPr>
              <w:jc w:val="center"/>
              <w:rPr>
                <w:rFonts w:eastAsia="Calibri" w:cstheme="minorHAnsi"/>
                <w:bCs/>
                <w:color w:val="002060"/>
                <w:sz w:val="18"/>
                <w:szCs w:val="18"/>
                <w:lang w:val="sr-Cyrl-CS"/>
              </w:rPr>
            </w:pPr>
          </w:p>
        </w:tc>
        <w:tc>
          <w:tcPr>
            <w:tcW w:w="600" w:type="pct"/>
            <w:tcBorders>
              <w:top w:val="nil"/>
              <w:left w:val="nil"/>
              <w:bottom w:val="nil"/>
              <w:right w:val="nil"/>
            </w:tcBorders>
            <w:shd w:val="clear" w:color="000000" w:fill="E7E6E6"/>
            <w:vAlign w:val="center"/>
          </w:tcPr>
          <w:p w14:paraId="4926FFF5" w14:textId="77777777" w:rsidR="00C06F41" w:rsidRPr="001B41AD" w:rsidRDefault="00C06F41" w:rsidP="00436957">
            <w:pPr>
              <w:jc w:val="center"/>
              <w:rPr>
                <w:rFonts w:eastAsia="Calibri" w:cstheme="minorHAnsi"/>
                <w:bCs/>
                <w:color w:val="002060"/>
                <w:sz w:val="18"/>
                <w:szCs w:val="18"/>
                <w:lang w:val="sr-Cyrl-CS"/>
              </w:rPr>
            </w:pPr>
          </w:p>
        </w:tc>
      </w:tr>
      <w:tr w:rsidR="00C06F41" w:rsidRPr="001B41AD" w14:paraId="355BAE78" w14:textId="77777777" w:rsidTr="00436957">
        <w:trPr>
          <w:trHeight w:val="281"/>
          <w:jc w:val="center"/>
        </w:trPr>
        <w:tc>
          <w:tcPr>
            <w:tcW w:w="2590" w:type="pct"/>
            <w:noWrap/>
            <w:vAlign w:val="center"/>
            <w:hideMark/>
          </w:tcPr>
          <w:p w14:paraId="5255D84E"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Лична потрошња</w:t>
            </w:r>
          </w:p>
        </w:tc>
        <w:tc>
          <w:tcPr>
            <w:tcW w:w="603" w:type="pct"/>
            <w:tcBorders>
              <w:top w:val="nil"/>
              <w:left w:val="nil"/>
              <w:bottom w:val="nil"/>
              <w:right w:val="nil"/>
            </w:tcBorders>
            <w:noWrap/>
            <w:vAlign w:val="center"/>
          </w:tcPr>
          <w:p w14:paraId="42580087" w14:textId="77777777" w:rsidR="00C06F41" w:rsidRPr="001B41AD" w:rsidRDefault="00C06F41" w:rsidP="00436957">
            <w:pPr>
              <w:jc w:val="center"/>
              <w:rPr>
                <w:color w:val="002060"/>
                <w:sz w:val="18"/>
                <w:lang w:val="sr-Cyrl-CS"/>
              </w:rPr>
            </w:pPr>
            <w:r w:rsidRPr="001B41AD">
              <w:rPr>
                <w:color w:val="002060"/>
                <w:sz w:val="18"/>
                <w:lang w:val="sr-Cyrl-CS"/>
              </w:rPr>
              <w:t>2,8</w:t>
            </w:r>
          </w:p>
        </w:tc>
        <w:tc>
          <w:tcPr>
            <w:tcW w:w="604" w:type="pct"/>
            <w:tcBorders>
              <w:top w:val="nil"/>
              <w:left w:val="nil"/>
              <w:bottom w:val="nil"/>
              <w:right w:val="nil"/>
            </w:tcBorders>
            <w:noWrap/>
            <w:vAlign w:val="center"/>
          </w:tcPr>
          <w:p w14:paraId="45190CDD" w14:textId="77777777" w:rsidR="00C06F41" w:rsidRPr="001B41AD" w:rsidRDefault="00C06F41" w:rsidP="00436957">
            <w:pPr>
              <w:jc w:val="center"/>
              <w:rPr>
                <w:color w:val="002060"/>
                <w:sz w:val="18"/>
                <w:lang w:val="sr-Cyrl-CS"/>
              </w:rPr>
            </w:pPr>
            <w:r w:rsidRPr="001B41AD">
              <w:rPr>
                <w:color w:val="002060"/>
                <w:sz w:val="18"/>
                <w:lang w:val="sr-Cyrl-CS"/>
              </w:rPr>
              <w:t>4,6</w:t>
            </w:r>
          </w:p>
        </w:tc>
        <w:tc>
          <w:tcPr>
            <w:tcW w:w="603" w:type="pct"/>
            <w:tcBorders>
              <w:top w:val="nil"/>
              <w:left w:val="nil"/>
              <w:bottom w:val="nil"/>
              <w:right w:val="nil"/>
            </w:tcBorders>
            <w:noWrap/>
            <w:vAlign w:val="center"/>
          </w:tcPr>
          <w:p w14:paraId="6D0F619C" w14:textId="77777777" w:rsidR="00C06F41" w:rsidRPr="001B41AD" w:rsidRDefault="00C06F41" w:rsidP="00436957">
            <w:pPr>
              <w:jc w:val="center"/>
              <w:rPr>
                <w:color w:val="002060"/>
                <w:sz w:val="18"/>
                <w:lang w:val="sr-Cyrl-CS"/>
              </w:rPr>
            </w:pPr>
            <w:r w:rsidRPr="001B41AD">
              <w:rPr>
                <w:color w:val="002060"/>
                <w:sz w:val="18"/>
                <w:lang w:val="sr-Cyrl-CS"/>
              </w:rPr>
              <w:t>3,5</w:t>
            </w:r>
          </w:p>
        </w:tc>
        <w:tc>
          <w:tcPr>
            <w:tcW w:w="600" w:type="pct"/>
            <w:tcBorders>
              <w:top w:val="nil"/>
              <w:left w:val="nil"/>
              <w:bottom w:val="nil"/>
              <w:right w:val="nil"/>
            </w:tcBorders>
            <w:noWrap/>
            <w:vAlign w:val="center"/>
          </w:tcPr>
          <w:p w14:paraId="02208A06" w14:textId="77777777" w:rsidR="00C06F41" w:rsidRPr="001B41AD" w:rsidRDefault="00C06F41" w:rsidP="00436957">
            <w:pPr>
              <w:jc w:val="center"/>
              <w:rPr>
                <w:color w:val="002060"/>
                <w:sz w:val="18"/>
                <w:lang w:val="sr-Cyrl-CS"/>
              </w:rPr>
            </w:pPr>
            <w:r w:rsidRPr="001B41AD">
              <w:rPr>
                <w:color w:val="002060"/>
                <w:sz w:val="18"/>
                <w:lang w:val="sr-Cyrl-CS"/>
              </w:rPr>
              <w:t>3,4</w:t>
            </w:r>
          </w:p>
        </w:tc>
      </w:tr>
      <w:tr w:rsidR="00C06F41" w:rsidRPr="001B41AD" w14:paraId="0B6D70A5" w14:textId="77777777" w:rsidTr="00436957">
        <w:trPr>
          <w:trHeight w:val="281"/>
          <w:jc w:val="center"/>
        </w:trPr>
        <w:tc>
          <w:tcPr>
            <w:tcW w:w="2590" w:type="pct"/>
            <w:noWrap/>
            <w:vAlign w:val="center"/>
            <w:hideMark/>
          </w:tcPr>
          <w:p w14:paraId="19410478"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Државна потрошња</w:t>
            </w:r>
          </w:p>
        </w:tc>
        <w:tc>
          <w:tcPr>
            <w:tcW w:w="603" w:type="pct"/>
            <w:tcBorders>
              <w:top w:val="nil"/>
              <w:left w:val="nil"/>
              <w:bottom w:val="nil"/>
              <w:right w:val="nil"/>
            </w:tcBorders>
            <w:noWrap/>
            <w:vAlign w:val="center"/>
          </w:tcPr>
          <w:p w14:paraId="6E553606" w14:textId="77777777" w:rsidR="00C06F41" w:rsidRPr="001B41AD" w:rsidRDefault="00C06F41" w:rsidP="00436957">
            <w:pPr>
              <w:jc w:val="center"/>
              <w:rPr>
                <w:color w:val="002060"/>
                <w:sz w:val="18"/>
                <w:lang w:val="sr-Cyrl-CS"/>
              </w:rPr>
            </w:pPr>
            <w:r w:rsidRPr="001B41AD">
              <w:rPr>
                <w:color w:val="002060"/>
                <w:sz w:val="18"/>
                <w:lang w:val="sr-Cyrl-CS"/>
              </w:rPr>
              <w:t>2,6</w:t>
            </w:r>
          </w:p>
        </w:tc>
        <w:tc>
          <w:tcPr>
            <w:tcW w:w="604" w:type="pct"/>
            <w:tcBorders>
              <w:top w:val="nil"/>
              <w:left w:val="nil"/>
              <w:bottom w:val="nil"/>
              <w:right w:val="nil"/>
            </w:tcBorders>
            <w:noWrap/>
            <w:vAlign w:val="center"/>
          </w:tcPr>
          <w:p w14:paraId="56067A7E" w14:textId="77777777" w:rsidR="00C06F41" w:rsidRPr="001B41AD" w:rsidRDefault="00C06F41" w:rsidP="00436957">
            <w:pPr>
              <w:jc w:val="center"/>
              <w:rPr>
                <w:color w:val="002060"/>
                <w:sz w:val="18"/>
                <w:lang w:val="sr-Cyrl-CS"/>
              </w:rPr>
            </w:pPr>
            <w:r w:rsidRPr="001B41AD">
              <w:rPr>
                <w:color w:val="002060"/>
                <w:sz w:val="18"/>
                <w:lang w:val="sr-Cyrl-CS"/>
              </w:rPr>
              <w:t>2,9</w:t>
            </w:r>
          </w:p>
        </w:tc>
        <w:tc>
          <w:tcPr>
            <w:tcW w:w="603" w:type="pct"/>
            <w:tcBorders>
              <w:top w:val="nil"/>
              <w:left w:val="nil"/>
              <w:bottom w:val="nil"/>
              <w:right w:val="nil"/>
            </w:tcBorders>
            <w:noWrap/>
            <w:vAlign w:val="center"/>
          </w:tcPr>
          <w:p w14:paraId="5196066B" w14:textId="77777777" w:rsidR="00C06F41" w:rsidRPr="001B41AD" w:rsidRDefault="00C06F41" w:rsidP="00436957">
            <w:pPr>
              <w:jc w:val="center"/>
              <w:rPr>
                <w:color w:val="002060"/>
                <w:sz w:val="18"/>
                <w:lang w:val="sr-Cyrl-CS"/>
              </w:rPr>
            </w:pPr>
            <w:r w:rsidRPr="001B41AD">
              <w:rPr>
                <w:color w:val="002060"/>
                <w:sz w:val="18"/>
                <w:lang w:val="sr-Cyrl-CS"/>
              </w:rPr>
              <w:t>2,0</w:t>
            </w:r>
          </w:p>
        </w:tc>
        <w:tc>
          <w:tcPr>
            <w:tcW w:w="600" w:type="pct"/>
            <w:tcBorders>
              <w:top w:val="nil"/>
              <w:left w:val="nil"/>
              <w:bottom w:val="nil"/>
              <w:right w:val="nil"/>
            </w:tcBorders>
            <w:noWrap/>
            <w:vAlign w:val="center"/>
          </w:tcPr>
          <w:p w14:paraId="03811E20" w14:textId="77777777" w:rsidR="00C06F41" w:rsidRPr="001B41AD" w:rsidRDefault="00C06F41" w:rsidP="00436957">
            <w:pPr>
              <w:jc w:val="center"/>
              <w:rPr>
                <w:color w:val="002060"/>
                <w:sz w:val="18"/>
                <w:lang w:val="sr-Cyrl-CS"/>
              </w:rPr>
            </w:pPr>
            <w:r w:rsidRPr="001B41AD">
              <w:rPr>
                <w:color w:val="002060"/>
                <w:sz w:val="18"/>
                <w:lang w:val="sr-Cyrl-CS"/>
              </w:rPr>
              <w:t>2,4</w:t>
            </w:r>
          </w:p>
        </w:tc>
      </w:tr>
      <w:tr w:rsidR="00C06F41" w:rsidRPr="001B41AD" w14:paraId="5CB9E8D7" w14:textId="77777777" w:rsidTr="00436957">
        <w:trPr>
          <w:trHeight w:val="281"/>
          <w:jc w:val="center"/>
        </w:trPr>
        <w:tc>
          <w:tcPr>
            <w:tcW w:w="2590" w:type="pct"/>
            <w:noWrap/>
            <w:vAlign w:val="center"/>
            <w:hideMark/>
          </w:tcPr>
          <w:p w14:paraId="00871435"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Инвестиције у основна средства</w:t>
            </w:r>
          </w:p>
        </w:tc>
        <w:tc>
          <w:tcPr>
            <w:tcW w:w="603" w:type="pct"/>
            <w:tcBorders>
              <w:top w:val="nil"/>
              <w:left w:val="nil"/>
              <w:bottom w:val="nil"/>
              <w:right w:val="nil"/>
            </w:tcBorders>
            <w:noWrap/>
            <w:vAlign w:val="center"/>
          </w:tcPr>
          <w:p w14:paraId="591ED373" w14:textId="77777777" w:rsidR="00C06F41" w:rsidRPr="001B41AD" w:rsidRDefault="00C06F41" w:rsidP="00436957">
            <w:pPr>
              <w:jc w:val="center"/>
              <w:rPr>
                <w:color w:val="002060"/>
                <w:sz w:val="18"/>
                <w:lang w:val="sr-Cyrl-CS"/>
              </w:rPr>
            </w:pPr>
            <w:r w:rsidRPr="001B41AD">
              <w:rPr>
                <w:color w:val="002060"/>
                <w:sz w:val="18"/>
                <w:lang w:val="sr-Cyrl-CS"/>
              </w:rPr>
              <w:t>1,6</w:t>
            </w:r>
          </w:p>
        </w:tc>
        <w:tc>
          <w:tcPr>
            <w:tcW w:w="604" w:type="pct"/>
            <w:tcBorders>
              <w:top w:val="nil"/>
              <w:left w:val="nil"/>
              <w:bottom w:val="nil"/>
              <w:right w:val="nil"/>
            </w:tcBorders>
            <w:noWrap/>
            <w:vAlign w:val="center"/>
          </w:tcPr>
          <w:p w14:paraId="0EA2C457" w14:textId="77777777" w:rsidR="00C06F41" w:rsidRPr="001B41AD" w:rsidRDefault="00C06F41" w:rsidP="00436957">
            <w:pPr>
              <w:jc w:val="center"/>
              <w:rPr>
                <w:color w:val="002060"/>
                <w:sz w:val="18"/>
                <w:lang w:val="sr-Cyrl-CS"/>
              </w:rPr>
            </w:pPr>
            <w:r w:rsidRPr="001B41AD">
              <w:rPr>
                <w:color w:val="002060"/>
                <w:sz w:val="18"/>
                <w:lang w:val="sr-Cyrl-CS"/>
              </w:rPr>
              <w:t>6,9</w:t>
            </w:r>
          </w:p>
        </w:tc>
        <w:tc>
          <w:tcPr>
            <w:tcW w:w="603" w:type="pct"/>
            <w:tcBorders>
              <w:top w:val="nil"/>
              <w:left w:val="nil"/>
              <w:bottom w:val="nil"/>
              <w:right w:val="nil"/>
            </w:tcBorders>
            <w:noWrap/>
            <w:vAlign w:val="center"/>
          </w:tcPr>
          <w:p w14:paraId="1552E937" w14:textId="77777777" w:rsidR="00C06F41" w:rsidRPr="001B41AD" w:rsidRDefault="00C06F41" w:rsidP="00436957">
            <w:pPr>
              <w:jc w:val="center"/>
              <w:rPr>
                <w:color w:val="002060"/>
                <w:sz w:val="18"/>
                <w:lang w:val="sr-Cyrl-CS"/>
              </w:rPr>
            </w:pPr>
            <w:r w:rsidRPr="001B41AD">
              <w:rPr>
                <w:color w:val="002060"/>
                <w:sz w:val="18"/>
                <w:lang w:val="sr-Cyrl-CS"/>
              </w:rPr>
              <w:t>5,9</w:t>
            </w:r>
          </w:p>
        </w:tc>
        <w:tc>
          <w:tcPr>
            <w:tcW w:w="600" w:type="pct"/>
            <w:tcBorders>
              <w:top w:val="nil"/>
              <w:left w:val="nil"/>
              <w:bottom w:val="nil"/>
              <w:right w:val="nil"/>
            </w:tcBorders>
            <w:noWrap/>
            <w:vAlign w:val="center"/>
          </w:tcPr>
          <w:p w14:paraId="28C9B1E2" w14:textId="77777777" w:rsidR="00C06F41" w:rsidRPr="001B41AD" w:rsidRDefault="00C06F41" w:rsidP="00436957">
            <w:pPr>
              <w:jc w:val="center"/>
              <w:rPr>
                <w:color w:val="002060"/>
                <w:sz w:val="18"/>
                <w:lang w:val="sr-Cyrl-CS"/>
              </w:rPr>
            </w:pPr>
            <w:r w:rsidRPr="001B41AD">
              <w:rPr>
                <w:color w:val="002060"/>
                <w:sz w:val="18"/>
                <w:lang w:val="sr-Cyrl-CS"/>
              </w:rPr>
              <w:t>4,5</w:t>
            </w:r>
          </w:p>
        </w:tc>
      </w:tr>
      <w:tr w:rsidR="00C06F41" w:rsidRPr="001B41AD" w14:paraId="2FD0D9DC" w14:textId="77777777" w:rsidTr="00436957">
        <w:trPr>
          <w:trHeight w:val="281"/>
          <w:jc w:val="center"/>
        </w:trPr>
        <w:tc>
          <w:tcPr>
            <w:tcW w:w="2590" w:type="pct"/>
            <w:noWrap/>
            <w:vAlign w:val="center"/>
            <w:hideMark/>
          </w:tcPr>
          <w:p w14:paraId="632673B8"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Извоз робе и услуга</w:t>
            </w:r>
          </w:p>
        </w:tc>
        <w:tc>
          <w:tcPr>
            <w:tcW w:w="603" w:type="pct"/>
            <w:tcBorders>
              <w:top w:val="nil"/>
              <w:left w:val="nil"/>
              <w:bottom w:val="nil"/>
              <w:right w:val="nil"/>
            </w:tcBorders>
            <w:noWrap/>
            <w:vAlign w:val="center"/>
          </w:tcPr>
          <w:p w14:paraId="55323E19" w14:textId="77777777" w:rsidR="00C06F41" w:rsidRPr="001B41AD" w:rsidRDefault="00C06F41" w:rsidP="00436957">
            <w:pPr>
              <w:jc w:val="center"/>
              <w:rPr>
                <w:color w:val="002060"/>
                <w:sz w:val="18"/>
                <w:lang w:val="sr-Cyrl-CS"/>
              </w:rPr>
            </w:pPr>
            <w:r w:rsidRPr="001B41AD">
              <w:rPr>
                <w:color w:val="002060"/>
                <w:sz w:val="18"/>
                <w:lang w:val="sr-Cyrl-CS"/>
              </w:rPr>
              <w:t>4,3</w:t>
            </w:r>
          </w:p>
        </w:tc>
        <w:tc>
          <w:tcPr>
            <w:tcW w:w="604" w:type="pct"/>
            <w:tcBorders>
              <w:top w:val="nil"/>
              <w:left w:val="nil"/>
              <w:bottom w:val="nil"/>
              <w:right w:val="nil"/>
            </w:tcBorders>
            <w:noWrap/>
            <w:vAlign w:val="center"/>
          </w:tcPr>
          <w:p w14:paraId="03852046" w14:textId="77777777" w:rsidR="00C06F41" w:rsidRPr="001B41AD" w:rsidRDefault="00C06F41" w:rsidP="00436957">
            <w:pPr>
              <w:jc w:val="center"/>
              <w:rPr>
                <w:color w:val="002060"/>
                <w:sz w:val="18"/>
                <w:lang w:val="sr-Cyrl-CS"/>
              </w:rPr>
            </w:pPr>
            <w:r w:rsidRPr="001B41AD">
              <w:rPr>
                <w:color w:val="002060"/>
                <w:sz w:val="18"/>
                <w:lang w:val="sr-Cyrl-CS"/>
              </w:rPr>
              <w:t>4,7</w:t>
            </w:r>
          </w:p>
        </w:tc>
        <w:tc>
          <w:tcPr>
            <w:tcW w:w="603" w:type="pct"/>
            <w:tcBorders>
              <w:top w:val="nil"/>
              <w:left w:val="nil"/>
              <w:bottom w:val="nil"/>
              <w:right w:val="nil"/>
            </w:tcBorders>
            <w:noWrap/>
            <w:vAlign w:val="center"/>
          </w:tcPr>
          <w:p w14:paraId="2533D315" w14:textId="77777777" w:rsidR="00C06F41" w:rsidRPr="001B41AD" w:rsidRDefault="00C06F41" w:rsidP="00436957">
            <w:pPr>
              <w:jc w:val="center"/>
              <w:rPr>
                <w:color w:val="002060"/>
                <w:sz w:val="18"/>
                <w:lang w:val="sr-Cyrl-CS"/>
              </w:rPr>
            </w:pPr>
            <w:r w:rsidRPr="001B41AD">
              <w:rPr>
                <w:color w:val="002060"/>
                <w:sz w:val="18"/>
                <w:lang w:val="sr-Cyrl-CS"/>
              </w:rPr>
              <w:t>8,4</w:t>
            </w:r>
          </w:p>
        </w:tc>
        <w:tc>
          <w:tcPr>
            <w:tcW w:w="600" w:type="pct"/>
            <w:tcBorders>
              <w:top w:val="nil"/>
              <w:left w:val="nil"/>
              <w:bottom w:val="nil"/>
              <w:right w:val="nil"/>
            </w:tcBorders>
            <w:noWrap/>
            <w:vAlign w:val="center"/>
          </w:tcPr>
          <w:p w14:paraId="50358234" w14:textId="77777777" w:rsidR="00C06F41" w:rsidRPr="001B41AD" w:rsidRDefault="00C06F41" w:rsidP="00436957">
            <w:pPr>
              <w:jc w:val="center"/>
              <w:rPr>
                <w:color w:val="002060"/>
                <w:sz w:val="18"/>
                <w:lang w:val="sr-Cyrl-CS"/>
              </w:rPr>
            </w:pPr>
            <w:r w:rsidRPr="001B41AD">
              <w:rPr>
                <w:color w:val="002060"/>
                <w:sz w:val="18"/>
                <w:lang w:val="sr-Cyrl-CS"/>
              </w:rPr>
              <w:t>5,6</w:t>
            </w:r>
          </w:p>
        </w:tc>
      </w:tr>
      <w:tr w:rsidR="00C06F41" w:rsidRPr="001B41AD" w14:paraId="0718AE36" w14:textId="77777777" w:rsidTr="00436957">
        <w:trPr>
          <w:trHeight w:val="281"/>
          <w:jc w:val="center"/>
        </w:trPr>
        <w:tc>
          <w:tcPr>
            <w:tcW w:w="2590" w:type="pct"/>
            <w:noWrap/>
            <w:vAlign w:val="center"/>
          </w:tcPr>
          <w:p w14:paraId="7A42A602"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bCs/>
                <w:color w:val="002060"/>
                <w:sz w:val="18"/>
                <w:szCs w:val="18"/>
                <w:lang w:val="sr-Cyrl-CS"/>
              </w:rPr>
              <w:t>Увоз робе и услуга</w:t>
            </w:r>
          </w:p>
        </w:tc>
        <w:tc>
          <w:tcPr>
            <w:tcW w:w="603" w:type="pct"/>
            <w:tcBorders>
              <w:top w:val="nil"/>
              <w:left w:val="nil"/>
              <w:bottom w:val="nil"/>
              <w:right w:val="nil"/>
            </w:tcBorders>
            <w:noWrap/>
            <w:vAlign w:val="center"/>
          </w:tcPr>
          <w:p w14:paraId="69E799CD" w14:textId="77777777" w:rsidR="00C06F41" w:rsidRPr="001B41AD" w:rsidRDefault="00C06F41" w:rsidP="00436957">
            <w:pPr>
              <w:jc w:val="center"/>
              <w:rPr>
                <w:color w:val="002060"/>
                <w:sz w:val="18"/>
                <w:lang w:val="sr-Cyrl-CS"/>
              </w:rPr>
            </w:pPr>
            <w:r w:rsidRPr="001B41AD">
              <w:rPr>
                <w:color w:val="002060"/>
                <w:sz w:val="18"/>
                <w:lang w:val="sr-Cyrl-CS"/>
              </w:rPr>
              <w:t>5,5</w:t>
            </w:r>
          </w:p>
        </w:tc>
        <w:tc>
          <w:tcPr>
            <w:tcW w:w="604" w:type="pct"/>
            <w:tcBorders>
              <w:top w:val="nil"/>
              <w:left w:val="nil"/>
              <w:bottom w:val="nil"/>
              <w:right w:val="nil"/>
            </w:tcBorders>
            <w:noWrap/>
            <w:vAlign w:val="center"/>
          </w:tcPr>
          <w:p w14:paraId="75045012" w14:textId="77777777" w:rsidR="00C06F41" w:rsidRPr="001B41AD" w:rsidRDefault="00C06F41" w:rsidP="00436957">
            <w:pPr>
              <w:jc w:val="center"/>
              <w:rPr>
                <w:color w:val="002060"/>
                <w:sz w:val="18"/>
                <w:lang w:val="sr-Cyrl-CS"/>
              </w:rPr>
            </w:pPr>
            <w:r w:rsidRPr="001B41AD">
              <w:rPr>
                <w:color w:val="002060"/>
                <w:sz w:val="18"/>
                <w:lang w:val="sr-Cyrl-CS"/>
              </w:rPr>
              <w:t>6,5</w:t>
            </w:r>
          </w:p>
        </w:tc>
        <w:tc>
          <w:tcPr>
            <w:tcW w:w="603" w:type="pct"/>
            <w:tcBorders>
              <w:top w:val="nil"/>
              <w:left w:val="nil"/>
              <w:bottom w:val="nil"/>
              <w:right w:val="nil"/>
            </w:tcBorders>
            <w:noWrap/>
            <w:vAlign w:val="center"/>
          </w:tcPr>
          <w:p w14:paraId="4180B362" w14:textId="77777777" w:rsidR="00C06F41" w:rsidRPr="001B41AD" w:rsidRDefault="00C06F41" w:rsidP="00436957">
            <w:pPr>
              <w:jc w:val="center"/>
              <w:rPr>
                <w:color w:val="002060"/>
                <w:sz w:val="18"/>
                <w:lang w:val="sr-Cyrl-CS"/>
              </w:rPr>
            </w:pPr>
            <w:r w:rsidRPr="001B41AD">
              <w:rPr>
                <w:color w:val="002060"/>
                <w:sz w:val="18"/>
                <w:lang w:val="sr-Cyrl-CS"/>
              </w:rPr>
              <w:t>6,0</w:t>
            </w:r>
          </w:p>
        </w:tc>
        <w:tc>
          <w:tcPr>
            <w:tcW w:w="600" w:type="pct"/>
            <w:tcBorders>
              <w:top w:val="nil"/>
              <w:left w:val="nil"/>
              <w:bottom w:val="nil"/>
              <w:right w:val="nil"/>
            </w:tcBorders>
            <w:noWrap/>
            <w:vAlign w:val="center"/>
          </w:tcPr>
          <w:p w14:paraId="016E7F5C" w14:textId="77777777" w:rsidR="00C06F41" w:rsidRPr="001B41AD" w:rsidRDefault="00C06F41" w:rsidP="00436957">
            <w:pPr>
              <w:jc w:val="center"/>
              <w:rPr>
                <w:color w:val="002060"/>
                <w:sz w:val="18"/>
                <w:lang w:val="sr-Cyrl-CS"/>
              </w:rPr>
            </w:pPr>
            <w:r w:rsidRPr="001B41AD">
              <w:rPr>
                <w:color w:val="002060"/>
                <w:sz w:val="18"/>
                <w:lang w:val="sr-Cyrl-CS"/>
              </w:rPr>
              <w:t>5,5</w:t>
            </w:r>
          </w:p>
        </w:tc>
      </w:tr>
      <w:tr w:rsidR="00C06F41" w:rsidRPr="001B41AD" w14:paraId="45E9DE3F" w14:textId="77777777" w:rsidTr="00436957">
        <w:trPr>
          <w:trHeight w:val="281"/>
          <w:jc w:val="center"/>
        </w:trPr>
        <w:tc>
          <w:tcPr>
            <w:tcW w:w="2590" w:type="pct"/>
            <w:shd w:val="clear" w:color="auto" w:fill="E7E6E6" w:themeFill="background2"/>
            <w:noWrap/>
            <w:vAlign w:val="center"/>
            <w:hideMark/>
          </w:tcPr>
          <w:p w14:paraId="58E01386" w14:textId="77777777" w:rsidR="00C06F41" w:rsidRPr="001B41AD" w:rsidRDefault="00C06F41" w:rsidP="00436957">
            <w:pPr>
              <w:jc w:val="left"/>
              <w:rPr>
                <w:rFonts w:eastAsia="Calibri" w:cstheme="minorHAnsi"/>
                <w:bCs/>
                <w:iCs/>
                <w:color w:val="002060"/>
                <w:sz w:val="18"/>
                <w:szCs w:val="18"/>
                <w:lang w:val="sr-Cyrl-CS"/>
              </w:rPr>
            </w:pPr>
            <w:r w:rsidRPr="001B41AD">
              <w:rPr>
                <w:rFonts w:eastAsia="Calibri" w:cstheme="minorHAnsi"/>
                <w:iCs/>
                <w:color w:val="002060"/>
                <w:sz w:val="18"/>
                <w:szCs w:val="18"/>
                <w:lang w:val="sr-Cyrl-CS"/>
              </w:rPr>
              <w:t>Допринос расту БДП</w:t>
            </w:r>
            <w:r w:rsidRPr="001B41AD">
              <w:rPr>
                <w:rFonts w:eastAsia="Calibri" w:cstheme="minorHAnsi"/>
                <w:bCs/>
                <w:iCs/>
                <w:color w:val="002060"/>
                <w:sz w:val="18"/>
                <w:szCs w:val="18"/>
                <w:lang w:val="sr-Cyrl-CS"/>
              </w:rPr>
              <w:t>, процентни поени</w:t>
            </w:r>
          </w:p>
        </w:tc>
        <w:tc>
          <w:tcPr>
            <w:tcW w:w="603" w:type="pct"/>
            <w:tcBorders>
              <w:top w:val="nil"/>
              <w:left w:val="nil"/>
              <w:bottom w:val="nil"/>
              <w:right w:val="nil"/>
            </w:tcBorders>
            <w:shd w:val="clear" w:color="000000" w:fill="E7E6E6"/>
            <w:noWrap/>
            <w:vAlign w:val="center"/>
          </w:tcPr>
          <w:p w14:paraId="2759F314" w14:textId="77777777" w:rsidR="00C06F41" w:rsidRPr="001B41AD" w:rsidRDefault="00C06F41" w:rsidP="00436957">
            <w:pPr>
              <w:jc w:val="center"/>
              <w:rPr>
                <w:rFonts w:eastAsia="Calibri" w:cstheme="minorHAnsi"/>
                <w:iCs/>
                <w:color w:val="002060"/>
                <w:sz w:val="18"/>
                <w:szCs w:val="18"/>
                <w:lang w:val="sr-Cyrl-CS"/>
              </w:rPr>
            </w:pPr>
          </w:p>
        </w:tc>
        <w:tc>
          <w:tcPr>
            <w:tcW w:w="604" w:type="pct"/>
            <w:tcBorders>
              <w:top w:val="nil"/>
              <w:left w:val="nil"/>
              <w:bottom w:val="nil"/>
              <w:right w:val="nil"/>
            </w:tcBorders>
            <w:shd w:val="clear" w:color="000000" w:fill="E7E6E6"/>
            <w:noWrap/>
            <w:vAlign w:val="center"/>
          </w:tcPr>
          <w:p w14:paraId="40CF1DEF" w14:textId="77777777" w:rsidR="00C06F41" w:rsidRPr="001B41AD" w:rsidRDefault="00C06F41" w:rsidP="00436957">
            <w:pPr>
              <w:jc w:val="center"/>
              <w:rPr>
                <w:rFonts w:eastAsia="Calibri" w:cstheme="minorHAnsi"/>
                <w:color w:val="002060"/>
                <w:sz w:val="18"/>
                <w:szCs w:val="18"/>
                <w:lang w:val="sr-Cyrl-CS"/>
              </w:rPr>
            </w:pPr>
          </w:p>
        </w:tc>
        <w:tc>
          <w:tcPr>
            <w:tcW w:w="603" w:type="pct"/>
            <w:tcBorders>
              <w:top w:val="nil"/>
              <w:left w:val="nil"/>
              <w:bottom w:val="nil"/>
              <w:right w:val="nil"/>
            </w:tcBorders>
            <w:shd w:val="clear" w:color="000000" w:fill="E7E6E6"/>
            <w:noWrap/>
            <w:vAlign w:val="center"/>
          </w:tcPr>
          <w:p w14:paraId="64BC213B" w14:textId="77777777" w:rsidR="00C06F41" w:rsidRPr="001B41AD" w:rsidRDefault="00C06F41" w:rsidP="00436957">
            <w:pPr>
              <w:jc w:val="center"/>
              <w:rPr>
                <w:rFonts w:eastAsia="Calibri" w:cstheme="minorHAnsi"/>
                <w:color w:val="002060"/>
                <w:sz w:val="18"/>
                <w:szCs w:val="18"/>
                <w:lang w:val="sr-Cyrl-CS"/>
              </w:rPr>
            </w:pPr>
          </w:p>
        </w:tc>
        <w:tc>
          <w:tcPr>
            <w:tcW w:w="600" w:type="pct"/>
            <w:tcBorders>
              <w:top w:val="nil"/>
              <w:left w:val="nil"/>
              <w:bottom w:val="nil"/>
              <w:right w:val="nil"/>
            </w:tcBorders>
            <w:shd w:val="clear" w:color="000000" w:fill="E7E6E6"/>
            <w:noWrap/>
            <w:vAlign w:val="center"/>
          </w:tcPr>
          <w:p w14:paraId="2053B23F" w14:textId="77777777" w:rsidR="00C06F41" w:rsidRPr="001B41AD" w:rsidRDefault="00C06F41" w:rsidP="00436957">
            <w:pPr>
              <w:jc w:val="center"/>
              <w:rPr>
                <w:rFonts w:eastAsia="Calibri" w:cstheme="minorHAnsi"/>
                <w:color w:val="002060"/>
                <w:sz w:val="18"/>
                <w:szCs w:val="18"/>
                <w:lang w:val="sr-Cyrl-CS"/>
              </w:rPr>
            </w:pPr>
          </w:p>
        </w:tc>
      </w:tr>
      <w:tr w:rsidR="00C06F41" w:rsidRPr="001B41AD" w14:paraId="36D3E039" w14:textId="77777777" w:rsidTr="00436957">
        <w:trPr>
          <w:trHeight w:val="281"/>
          <w:jc w:val="center"/>
        </w:trPr>
        <w:tc>
          <w:tcPr>
            <w:tcW w:w="2590" w:type="pct"/>
            <w:noWrap/>
            <w:vAlign w:val="center"/>
            <w:hideMark/>
          </w:tcPr>
          <w:p w14:paraId="37FFFC0A"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Домаћа тражња</w:t>
            </w:r>
          </w:p>
        </w:tc>
        <w:tc>
          <w:tcPr>
            <w:tcW w:w="603" w:type="pct"/>
            <w:tcBorders>
              <w:top w:val="nil"/>
              <w:left w:val="nil"/>
              <w:bottom w:val="nil"/>
              <w:right w:val="nil"/>
            </w:tcBorders>
            <w:noWrap/>
            <w:vAlign w:val="center"/>
          </w:tcPr>
          <w:p w14:paraId="7274EDB6" w14:textId="77777777" w:rsidR="00C06F41" w:rsidRPr="001B41AD" w:rsidRDefault="00C06F41" w:rsidP="00436957">
            <w:pPr>
              <w:jc w:val="center"/>
              <w:rPr>
                <w:color w:val="002060"/>
                <w:sz w:val="18"/>
                <w:lang w:val="sr-Cyrl-CS"/>
              </w:rPr>
            </w:pPr>
            <w:r w:rsidRPr="001B41AD">
              <w:rPr>
                <w:color w:val="002060"/>
                <w:sz w:val="18"/>
                <w:lang w:val="sr-Cyrl-CS"/>
              </w:rPr>
              <w:t>3,4</w:t>
            </w:r>
          </w:p>
        </w:tc>
        <w:tc>
          <w:tcPr>
            <w:tcW w:w="604" w:type="pct"/>
            <w:tcBorders>
              <w:top w:val="nil"/>
              <w:left w:val="nil"/>
              <w:bottom w:val="nil"/>
              <w:right w:val="nil"/>
            </w:tcBorders>
            <w:noWrap/>
            <w:vAlign w:val="center"/>
          </w:tcPr>
          <w:p w14:paraId="0AD05668" w14:textId="77777777" w:rsidR="00C06F41" w:rsidRPr="001B41AD" w:rsidRDefault="00C06F41" w:rsidP="00436957">
            <w:pPr>
              <w:jc w:val="center"/>
              <w:rPr>
                <w:color w:val="002060"/>
                <w:sz w:val="18"/>
                <w:lang w:val="sr-Cyrl-CS"/>
              </w:rPr>
            </w:pPr>
            <w:r w:rsidRPr="001B41AD">
              <w:rPr>
                <w:color w:val="002060"/>
                <w:sz w:val="18"/>
                <w:lang w:val="sr-Cyrl-CS"/>
              </w:rPr>
              <w:t>4,6</w:t>
            </w:r>
          </w:p>
        </w:tc>
        <w:tc>
          <w:tcPr>
            <w:tcW w:w="603" w:type="pct"/>
            <w:tcBorders>
              <w:top w:val="nil"/>
              <w:left w:val="nil"/>
              <w:bottom w:val="nil"/>
              <w:right w:val="nil"/>
            </w:tcBorders>
            <w:noWrap/>
            <w:vAlign w:val="center"/>
          </w:tcPr>
          <w:p w14:paraId="758F8DD9" w14:textId="77777777" w:rsidR="00C06F41" w:rsidRPr="001B41AD" w:rsidRDefault="00C06F41" w:rsidP="00436957">
            <w:pPr>
              <w:jc w:val="center"/>
              <w:rPr>
                <w:color w:val="002060"/>
                <w:sz w:val="18"/>
                <w:lang w:val="sr-Cyrl-CS"/>
              </w:rPr>
            </w:pPr>
            <w:r w:rsidRPr="001B41AD">
              <w:rPr>
                <w:color w:val="002060"/>
                <w:sz w:val="18"/>
                <w:lang w:val="sr-Cyrl-CS"/>
              </w:rPr>
              <w:t>4,1</w:t>
            </w:r>
          </w:p>
        </w:tc>
        <w:tc>
          <w:tcPr>
            <w:tcW w:w="600" w:type="pct"/>
            <w:tcBorders>
              <w:top w:val="nil"/>
              <w:left w:val="nil"/>
              <w:bottom w:val="nil"/>
              <w:right w:val="nil"/>
            </w:tcBorders>
            <w:noWrap/>
            <w:vAlign w:val="center"/>
          </w:tcPr>
          <w:p w14:paraId="1F41B545" w14:textId="77777777" w:rsidR="00C06F41" w:rsidRPr="001B41AD" w:rsidRDefault="00C06F41" w:rsidP="00436957">
            <w:pPr>
              <w:jc w:val="center"/>
              <w:rPr>
                <w:color w:val="002060"/>
                <w:sz w:val="18"/>
                <w:lang w:val="sr-Cyrl-CS"/>
              </w:rPr>
            </w:pPr>
            <w:r w:rsidRPr="001B41AD">
              <w:rPr>
                <w:color w:val="002060"/>
                <w:sz w:val="18"/>
                <w:lang w:val="sr-Cyrl-CS"/>
              </w:rPr>
              <w:t>3,8</w:t>
            </w:r>
          </w:p>
        </w:tc>
      </w:tr>
      <w:tr w:rsidR="00C06F41" w:rsidRPr="001B41AD" w14:paraId="54C553BA" w14:textId="77777777" w:rsidTr="00436957">
        <w:trPr>
          <w:trHeight w:val="281"/>
          <w:jc w:val="center"/>
        </w:trPr>
        <w:tc>
          <w:tcPr>
            <w:tcW w:w="2590" w:type="pct"/>
            <w:noWrap/>
            <w:vAlign w:val="center"/>
            <w:hideMark/>
          </w:tcPr>
          <w:p w14:paraId="794DC179"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Лична потрошња</w:t>
            </w:r>
          </w:p>
        </w:tc>
        <w:tc>
          <w:tcPr>
            <w:tcW w:w="603" w:type="pct"/>
            <w:tcBorders>
              <w:top w:val="nil"/>
              <w:left w:val="nil"/>
              <w:bottom w:val="nil"/>
              <w:right w:val="nil"/>
            </w:tcBorders>
            <w:noWrap/>
            <w:vAlign w:val="center"/>
          </w:tcPr>
          <w:p w14:paraId="370425D6" w14:textId="77777777" w:rsidR="00C06F41" w:rsidRPr="001B41AD" w:rsidRDefault="00C06F41" w:rsidP="00436957">
            <w:pPr>
              <w:jc w:val="center"/>
              <w:rPr>
                <w:color w:val="002060"/>
                <w:sz w:val="18"/>
                <w:lang w:val="sr-Cyrl-CS"/>
              </w:rPr>
            </w:pPr>
            <w:r w:rsidRPr="001B41AD">
              <w:rPr>
                <w:color w:val="002060"/>
                <w:sz w:val="18"/>
                <w:lang w:val="sr-Cyrl-CS"/>
              </w:rPr>
              <w:t>1,8</w:t>
            </w:r>
          </w:p>
        </w:tc>
        <w:tc>
          <w:tcPr>
            <w:tcW w:w="604" w:type="pct"/>
            <w:tcBorders>
              <w:top w:val="nil"/>
              <w:left w:val="nil"/>
              <w:bottom w:val="nil"/>
              <w:right w:val="nil"/>
            </w:tcBorders>
            <w:noWrap/>
            <w:vAlign w:val="center"/>
          </w:tcPr>
          <w:p w14:paraId="352C455B" w14:textId="77777777" w:rsidR="00C06F41" w:rsidRPr="001B41AD" w:rsidRDefault="00C06F41" w:rsidP="00436957">
            <w:pPr>
              <w:jc w:val="center"/>
              <w:rPr>
                <w:color w:val="002060"/>
                <w:sz w:val="18"/>
                <w:lang w:val="sr-Cyrl-CS"/>
              </w:rPr>
            </w:pPr>
            <w:r w:rsidRPr="001B41AD">
              <w:rPr>
                <w:color w:val="002060"/>
                <w:sz w:val="18"/>
                <w:lang w:val="sr-Cyrl-CS"/>
              </w:rPr>
              <w:t>2,9</w:t>
            </w:r>
          </w:p>
        </w:tc>
        <w:tc>
          <w:tcPr>
            <w:tcW w:w="603" w:type="pct"/>
            <w:tcBorders>
              <w:top w:val="nil"/>
              <w:left w:val="nil"/>
              <w:bottom w:val="nil"/>
              <w:right w:val="nil"/>
            </w:tcBorders>
            <w:noWrap/>
            <w:vAlign w:val="center"/>
          </w:tcPr>
          <w:p w14:paraId="7E6D79E3" w14:textId="77777777" w:rsidR="00C06F41" w:rsidRPr="001B41AD" w:rsidRDefault="00C06F41" w:rsidP="00436957">
            <w:pPr>
              <w:jc w:val="center"/>
              <w:rPr>
                <w:color w:val="002060"/>
                <w:sz w:val="18"/>
                <w:lang w:val="sr-Cyrl-CS"/>
              </w:rPr>
            </w:pPr>
            <w:r w:rsidRPr="001B41AD">
              <w:rPr>
                <w:color w:val="002060"/>
                <w:sz w:val="18"/>
                <w:lang w:val="sr-Cyrl-CS"/>
              </w:rPr>
              <w:t>2,2</w:t>
            </w:r>
          </w:p>
        </w:tc>
        <w:tc>
          <w:tcPr>
            <w:tcW w:w="600" w:type="pct"/>
            <w:tcBorders>
              <w:top w:val="nil"/>
              <w:left w:val="nil"/>
              <w:bottom w:val="nil"/>
              <w:right w:val="nil"/>
            </w:tcBorders>
            <w:noWrap/>
            <w:vAlign w:val="center"/>
          </w:tcPr>
          <w:p w14:paraId="48EA04C2" w14:textId="77777777" w:rsidR="00C06F41" w:rsidRPr="001B41AD" w:rsidRDefault="00C06F41" w:rsidP="00436957">
            <w:pPr>
              <w:jc w:val="center"/>
              <w:rPr>
                <w:color w:val="002060"/>
                <w:sz w:val="18"/>
                <w:lang w:val="sr-Cyrl-CS"/>
              </w:rPr>
            </w:pPr>
            <w:r w:rsidRPr="001B41AD">
              <w:rPr>
                <w:color w:val="002060"/>
                <w:sz w:val="18"/>
                <w:lang w:val="sr-Cyrl-CS"/>
              </w:rPr>
              <w:t>2,2</w:t>
            </w:r>
          </w:p>
        </w:tc>
      </w:tr>
      <w:tr w:rsidR="00C06F41" w:rsidRPr="001B41AD" w14:paraId="21D22636" w14:textId="77777777" w:rsidTr="00436957">
        <w:trPr>
          <w:trHeight w:val="281"/>
          <w:jc w:val="center"/>
        </w:trPr>
        <w:tc>
          <w:tcPr>
            <w:tcW w:w="2590" w:type="pct"/>
            <w:noWrap/>
            <w:vAlign w:val="center"/>
            <w:hideMark/>
          </w:tcPr>
          <w:p w14:paraId="3129EAD3"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Државна потрошња</w:t>
            </w:r>
          </w:p>
        </w:tc>
        <w:tc>
          <w:tcPr>
            <w:tcW w:w="603" w:type="pct"/>
            <w:tcBorders>
              <w:top w:val="nil"/>
              <w:left w:val="nil"/>
              <w:bottom w:val="nil"/>
              <w:right w:val="nil"/>
            </w:tcBorders>
            <w:noWrap/>
            <w:vAlign w:val="center"/>
          </w:tcPr>
          <w:p w14:paraId="30227BD7" w14:textId="77777777" w:rsidR="00C06F41" w:rsidRPr="001B41AD" w:rsidRDefault="00C06F41" w:rsidP="00436957">
            <w:pPr>
              <w:jc w:val="center"/>
              <w:rPr>
                <w:color w:val="002060"/>
                <w:sz w:val="18"/>
                <w:lang w:val="sr-Cyrl-CS"/>
              </w:rPr>
            </w:pPr>
            <w:r w:rsidRPr="001B41AD">
              <w:rPr>
                <w:color w:val="002060"/>
                <w:sz w:val="18"/>
                <w:lang w:val="sr-Cyrl-CS"/>
              </w:rPr>
              <w:t>0,5</w:t>
            </w:r>
          </w:p>
        </w:tc>
        <w:tc>
          <w:tcPr>
            <w:tcW w:w="604" w:type="pct"/>
            <w:tcBorders>
              <w:top w:val="nil"/>
              <w:left w:val="nil"/>
              <w:bottom w:val="nil"/>
              <w:right w:val="nil"/>
            </w:tcBorders>
            <w:noWrap/>
            <w:vAlign w:val="center"/>
          </w:tcPr>
          <w:p w14:paraId="35F5C31E" w14:textId="77777777" w:rsidR="00C06F41" w:rsidRPr="001B41AD" w:rsidRDefault="00C06F41" w:rsidP="00436957">
            <w:pPr>
              <w:jc w:val="center"/>
              <w:rPr>
                <w:color w:val="002060"/>
                <w:sz w:val="18"/>
                <w:lang w:val="sr-Cyrl-CS"/>
              </w:rPr>
            </w:pPr>
            <w:r w:rsidRPr="001B41AD">
              <w:rPr>
                <w:color w:val="002060"/>
                <w:sz w:val="18"/>
                <w:lang w:val="sr-Cyrl-CS"/>
              </w:rPr>
              <w:t>0,5</w:t>
            </w:r>
          </w:p>
        </w:tc>
        <w:tc>
          <w:tcPr>
            <w:tcW w:w="603" w:type="pct"/>
            <w:tcBorders>
              <w:top w:val="nil"/>
              <w:left w:val="nil"/>
              <w:bottom w:val="nil"/>
              <w:right w:val="nil"/>
            </w:tcBorders>
            <w:noWrap/>
            <w:vAlign w:val="center"/>
          </w:tcPr>
          <w:p w14:paraId="304B31D6" w14:textId="77777777" w:rsidR="00C06F41" w:rsidRPr="001B41AD" w:rsidRDefault="00C06F41" w:rsidP="00436957">
            <w:pPr>
              <w:jc w:val="center"/>
              <w:rPr>
                <w:color w:val="002060"/>
                <w:sz w:val="18"/>
                <w:lang w:val="sr-Cyrl-CS"/>
              </w:rPr>
            </w:pPr>
            <w:r w:rsidRPr="001B41AD">
              <w:rPr>
                <w:color w:val="002060"/>
                <w:sz w:val="18"/>
                <w:lang w:val="sr-Cyrl-CS"/>
              </w:rPr>
              <w:t>0,3</w:t>
            </w:r>
          </w:p>
        </w:tc>
        <w:tc>
          <w:tcPr>
            <w:tcW w:w="600" w:type="pct"/>
            <w:tcBorders>
              <w:top w:val="nil"/>
              <w:left w:val="nil"/>
              <w:bottom w:val="nil"/>
              <w:right w:val="nil"/>
            </w:tcBorders>
            <w:noWrap/>
            <w:vAlign w:val="center"/>
          </w:tcPr>
          <w:p w14:paraId="4FC3B3B6" w14:textId="77777777" w:rsidR="00C06F41" w:rsidRPr="001B41AD" w:rsidRDefault="00C06F41" w:rsidP="00436957">
            <w:pPr>
              <w:jc w:val="center"/>
              <w:rPr>
                <w:color w:val="002060"/>
                <w:sz w:val="18"/>
                <w:lang w:val="sr-Cyrl-CS"/>
              </w:rPr>
            </w:pPr>
            <w:r w:rsidRPr="001B41AD">
              <w:rPr>
                <w:color w:val="002060"/>
                <w:sz w:val="18"/>
                <w:lang w:val="sr-Cyrl-CS"/>
              </w:rPr>
              <w:t>0,4</w:t>
            </w:r>
          </w:p>
        </w:tc>
      </w:tr>
      <w:tr w:rsidR="00C06F41" w:rsidRPr="001B41AD" w14:paraId="637964A0" w14:textId="77777777" w:rsidTr="00436957">
        <w:trPr>
          <w:trHeight w:val="281"/>
          <w:jc w:val="center"/>
        </w:trPr>
        <w:tc>
          <w:tcPr>
            <w:tcW w:w="2590" w:type="pct"/>
            <w:vAlign w:val="center"/>
          </w:tcPr>
          <w:p w14:paraId="161097F9"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Инвестиције у основна средства</w:t>
            </w:r>
          </w:p>
        </w:tc>
        <w:tc>
          <w:tcPr>
            <w:tcW w:w="603" w:type="pct"/>
            <w:tcBorders>
              <w:top w:val="nil"/>
              <w:left w:val="nil"/>
              <w:bottom w:val="nil"/>
              <w:right w:val="nil"/>
            </w:tcBorders>
            <w:noWrap/>
            <w:vAlign w:val="center"/>
          </w:tcPr>
          <w:p w14:paraId="15A2E155" w14:textId="77777777" w:rsidR="00C06F41" w:rsidRPr="001B41AD" w:rsidRDefault="00C06F41" w:rsidP="00436957">
            <w:pPr>
              <w:jc w:val="center"/>
              <w:rPr>
                <w:color w:val="002060"/>
                <w:sz w:val="18"/>
                <w:lang w:val="sr-Cyrl-CS"/>
              </w:rPr>
            </w:pPr>
            <w:r w:rsidRPr="001B41AD">
              <w:rPr>
                <w:color w:val="002060"/>
                <w:sz w:val="18"/>
                <w:lang w:val="sr-Cyrl-CS"/>
              </w:rPr>
              <w:t>0,4</w:t>
            </w:r>
          </w:p>
        </w:tc>
        <w:tc>
          <w:tcPr>
            <w:tcW w:w="604" w:type="pct"/>
            <w:tcBorders>
              <w:top w:val="nil"/>
              <w:left w:val="nil"/>
              <w:bottom w:val="nil"/>
              <w:right w:val="nil"/>
            </w:tcBorders>
            <w:noWrap/>
            <w:vAlign w:val="center"/>
          </w:tcPr>
          <w:p w14:paraId="24AB445C" w14:textId="77777777" w:rsidR="00C06F41" w:rsidRPr="001B41AD" w:rsidRDefault="00C06F41" w:rsidP="00436957">
            <w:pPr>
              <w:jc w:val="center"/>
              <w:rPr>
                <w:color w:val="002060"/>
                <w:sz w:val="18"/>
                <w:lang w:val="sr-Cyrl-CS"/>
              </w:rPr>
            </w:pPr>
            <w:r w:rsidRPr="001B41AD">
              <w:rPr>
                <w:color w:val="002060"/>
                <w:sz w:val="18"/>
                <w:lang w:val="sr-Cyrl-CS"/>
              </w:rPr>
              <w:t>1,7</w:t>
            </w:r>
          </w:p>
        </w:tc>
        <w:tc>
          <w:tcPr>
            <w:tcW w:w="603" w:type="pct"/>
            <w:tcBorders>
              <w:top w:val="nil"/>
              <w:left w:val="nil"/>
              <w:bottom w:val="nil"/>
              <w:right w:val="nil"/>
            </w:tcBorders>
            <w:noWrap/>
            <w:vAlign w:val="center"/>
          </w:tcPr>
          <w:p w14:paraId="596A4607" w14:textId="77777777" w:rsidR="00C06F41" w:rsidRPr="001B41AD" w:rsidRDefault="00C06F41" w:rsidP="00436957">
            <w:pPr>
              <w:jc w:val="center"/>
              <w:rPr>
                <w:color w:val="002060"/>
                <w:sz w:val="18"/>
                <w:lang w:val="sr-Cyrl-CS"/>
              </w:rPr>
            </w:pPr>
            <w:r w:rsidRPr="001B41AD">
              <w:rPr>
                <w:color w:val="002060"/>
                <w:sz w:val="18"/>
                <w:lang w:val="sr-Cyrl-CS"/>
              </w:rPr>
              <w:t>1,5</w:t>
            </w:r>
          </w:p>
        </w:tc>
        <w:tc>
          <w:tcPr>
            <w:tcW w:w="600" w:type="pct"/>
            <w:tcBorders>
              <w:top w:val="nil"/>
              <w:left w:val="nil"/>
              <w:bottom w:val="nil"/>
              <w:right w:val="nil"/>
            </w:tcBorders>
            <w:noWrap/>
            <w:vAlign w:val="center"/>
          </w:tcPr>
          <w:p w14:paraId="5D0D54C1" w14:textId="77777777" w:rsidR="00C06F41" w:rsidRPr="001B41AD" w:rsidRDefault="00C06F41" w:rsidP="00436957">
            <w:pPr>
              <w:jc w:val="center"/>
              <w:rPr>
                <w:color w:val="002060"/>
                <w:sz w:val="18"/>
                <w:lang w:val="sr-Cyrl-CS"/>
              </w:rPr>
            </w:pPr>
            <w:r w:rsidRPr="001B41AD">
              <w:rPr>
                <w:color w:val="002060"/>
                <w:sz w:val="18"/>
                <w:lang w:val="sr-Cyrl-CS"/>
              </w:rPr>
              <w:t>1,2</w:t>
            </w:r>
          </w:p>
        </w:tc>
      </w:tr>
      <w:tr w:rsidR="00C06F41" w:rsidRPr="001B41AD" w14:paraId="7360B835" w14:textId="77777777" w:rsidTr="00436957">
        <w:trPr>
          <w:trHeight w:val="281"/>
          <w:jc w:val="center"/>
        </w:trPr>
        <w:tc>
          <w:tcPr>
            <w:tcW w:w="2590" w:type="pct"/>
            <w:vAlign w:val="center"/>
            <w:hideMark/>
          </w:tcPr>
          <w:p w14:paraId="43163946"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Промена у залихама</w:t>
            </w:r>
          </w:p>
        </w:tc>
        <w:tc>
          <w:tcPr>
            <w:tcW w:w="603" w:type="pct"/>
            <w:tcBorders>
              <w:top w:val="nil"/>
              <w:left w:val="nil"/>
              <w:bottom w:val="nil"/>
              <w:right w:val="nil"/>
            </w:tcBorders>
            <w:noWrap/>
            <w:vAlign w:val="center"/>
          </w:tcPr>
          <w:p w14:paraId="46A00287" w14:textId="77777777" w:rsidR="00C06F41" w:rsidRPr="001B41AD" w:rsidRDefault="00C06F41" w:rsidP="00436957">
            <w:pPr>
              <w:jc w:val="center"/>
              <w:rPr>
                <w:color w:val="002060"/>
                <w:sz w:val="18"/>
                <w:lang w:val="sr-Cyrl-CS"/>
              </w:rPr>
            </w:pPr>
            <w:r w:rsidRPr="001B41AD">
              <w:rPr>
                <w:color w:val="002060"/>
                <w:sz w:val="18"/>
                <w:lang w:val="sr-Cyrl-CS"/>
              </w:rPr>
              <w:t>0,7</w:t>
            </w:r>
          </w:p>
        </w:tc>
        <w:tc>
          <w:tcPr>
            <w:tcW w:w="604" w:type="pct"/>
            <w:tcBorders>
              <w:top w:val="nil"/>
              <w:left w:val="nil"/>
              <w:bottom w:val="nil"/>
              <w:right w:val="nil"/>
            </w:tcBorders>
            <w:noWrap/>
            <w:vAlign w:val="center"/>
          </w:tcPr>
          <w:p w14:paraId="038DD58E" w14:textId="77777777" w:rsidR="00C06F41" w:rsidRPr="001B41AD" w:rsidRDefault="00C06F41" w:rsidP="00436957">
            <w:pPr>
              <w:jc w:val="center"/>
              <w:rPr>
                <w:color w:val="002060"/>
                <w:sz w:val="18"/>
                <w:lang w:val="sr-Cyrl-CS"/>
              </w:rPr>
            </w:pPr>
            <w:r w:rsidRPr="001B41AD">
              <w:rPr>
                <w:color w:val="002060"/>
                <w:sz w:val="18"/>
                <w:lang w:val="sr-Cyrl-CS"/>
              </w:rPr>
              <w:t>-0,5</w:t>
            </w:r>
          </w:p>
        </w:tc>
        <w:tc>
          <w:tcPr>
            <w:tcW w:w="603" w:type="pct"/>
            <w:tcBorders>
              <w:top w:val="nil"/>
              <w:left w:val="nil"/>
              <w:bottom w:val="nil"/>
              <w:right w:val="nil"/>
            </w:tcBorders>
            <w:noWrap/>
            <w:vAlign w:val="center"/>
          </w:tcPr>
          <w:p w14:paraId="73465A43" w14:textId="77777777" w:rsidR="00C06F41" w:rsidRPr="001B41AD" w:rsidRDefault="00C06F41" w:rsidP="00436957">
            <w:pPr>
              <w:jc w:val="center"/>
              <w:rPr>
                <w:color w:val="002060"/>
                <w:sz w:val="18"/>
                <w:lang w:val="sr-Cyrl-CS"/>
              </w:rPr>
            </w:pPr>
            <w:r w:rsidRPr="001B41AD">
              <w:rPr>
                <w:color w:val="002060"/>
                <w:sz w:val="18"/>
                <w:lang w:val="sr-Cyrl-CS"/>
              </w:rPr>
              <w:t>0,0</w:t>
            </w:r>
          </w:p>
        </w:tc>
        <w:tc>
          <w:tcPr>
            <w:tcW w:w="600" w:type="pct"/>
            <w:tcBorders>
              <w:top w:val="nil"/>
              <w:left w:val="nil"/>
              <w:bottom w:val="nil"/>
              <w:right w:val="nil"/>
            </w:tcBorders>
            <w:noWrap/>
            <w:vAlign w:val="center"/>
          </w:tcPr>
          <w:p w14:paraId="6D01A696" w14:textId="77777777" w:rsidR="00C06F41" w:rsidRPr="001B41AD" w:rsidRDefault="00C06F41" w:rsidP="00436957">
            <w:pPr>
              <w:jc w:val="center"/>
              <w:rPr>
                <w:color w:val="002060"/>
                <w:sz w:val="18"/>
                <w:lang w:val="sr-Cyrl-CS"/>
              </w:rPr>
            </w:pPr>
            <w:r w:rsidRPr="001B41AD">
              <w:rPr>
                <w:color w:val="002060"/>
                <w:sz w:val="18"/>
                <w:lang w:val="sr-Cyrl-CS"/>
              </w:rPr>
              <w:t>0,0</w:t>
            </w:r>
          </w:p>
        </w:tc>
      </w:tr>
      <w:tr w:rsidR="00C06F41" w:rsidRPr="001B41AD" w14:paraId="390339ED" w14:textId="77777777" w:rsidTr="00436957">
        <w:trPr>
          <w:trHeight w:val="281"/>
          <w:jc w:val="center"/>
        </w:trPr>
        <w:tc>
          <w:tcPr>
            <w:tcW w:w="2590" w:type="pct"/>
            <w:noWrap/>
            <w:vAlign w:val="center"/>
            <w:hideMark/>
          </w:tcPr>
          <w:p w14:paraId="6087C2DC"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Нето извоз робе и услуга</w:t>
            </w:r>
          </w:p>
        </w:tc>
        <w:tc>
          <w:tcPr>
            <w:tcW w:w="603" w:type="pct"/>
            <w:tcBorders>
              <w:top w:val="nil"/>
              <w:left w:val="nil"/>
              <w:bottom w:val="nil"/>
              <w:right w:val="nil"/>
            </w:tcBorders>
            <w:noWrap/>
            <w:vAlign w:val="center"/>
          </w:tcPr>
          <w:p w14:paraId="534B6AA1" w14:textId="77777777" w:rsidR="00C06F41" w:rsidRPr="001B41AD" w:rsidRDefault="00C06F41" w:rsidP="00436957">
            <w:pPr>
              <w:jc w:val="center"/>
              <w:rPr>
                <w:color w:val="002060"/>
                <w:sz w:val="18"/>
                <w:lang w:val="sr-Cyrl-CS"/>
              </w:rPr>
            </w:pPr>
            <w:r w:rsidRPr="001B41AD">
              <w:rPr>
                <w:color w:val="002060"/>
                <w:sz w:val="18"/>
                <w:lang w:val="sr-Cyrl-CS"/>
              </w:rPr>
              <w:t>-1,1</w:t>
            </w:r>
          </w:p>
        </w:tc>
        <w:tc>
          <w:tcPr>
            <w:tcW w:w="604" w:type="pct"/>
            <w:tcBorders>
              <w:top w:val="nil"/>
              <w:left w:val="nil"/>
              <w:bottom w:val="nil"/>
              <w:right w:val="nil"/>
            </w:tcBorders>
            <w:noWrap/>
            <w:vAlign w:val="center"/>
          </w:tcPr>
          <w:p w14:paraId="0F46943C" w14:textId="77777777" w:rsidR="00C06F41" w:rsidRPr="001B41AD" w:rsidRDefault="00C06F41" w:rsidP="00436957">
            <w:pPr>
              <w:jc w:val="center"/>
              <w:rPr>
                <w:color w:val="002060"/>
                <w:sz w:val="18"/>
                <w:lang w:val="sr-Cyrl-CS"/>
              </w:rPr>
            </w:pPr>
            <w:r w:rsidRPr="001B41AD">
              <w:rPr>
                <w:color w:val="002060"/>
                <w:sz w:val="18"/>
                <w:lang w:val="sr-Cyrl-CS"/>
              </w:rPr>
              <w:t>-1,6</w:t>
            </w:r>
          </w:p>
        </w:tc>
        <w:tc>
          <w:tcPr>
            <w:tcW w:w="603" w:type="pct"/>
            <w:tcBorders>
              <w:top w:val="nil"/>
              <w:left w:val="nil"/>
              <w:bottom w:val="nil"/>
              <w:right w:val="nil"/>
            </w:tcBorders>
            <w:noWrap/>
            <w:vAlign w:val="center"/>
          </w:tcPr>
          <w:p w14:paraId="21B16AEF" w14:textId="77777777" w:rsidR="00C06F41" w:rsidRPr="001B41AD" w:rsidRDefault="00C06F41" w:rsidP="00436957">
            <w:pPr>
              <w:jc w:val="center"/>
              <w:rPr>
                <w:color w:val="002060"/>
                <w:sz w:val="18"/>
                <w:lang w:val="sr-Cyrl-CS"/>
              </w:rPr>
            </w:pPr>
            <w:r w:rsidRPr="001B41AD">
              <w:rPr>
                <w:color w:val="002060"/>
                <w:sz w:val="18"/>
                <w:lang w:val="sr-Cyrl-CS"/>
              </w:rPr>
              <w:t>1,0</w:t>
            </w:r>
          </w:p>
        </w:tc>
        <w:tc>
          <w:tcPr>
            <w:tcW w:w="600" w:type="pct"/>
            <w:tcBorders>
              <w:top w:val="nil"/>
              <w:left w:val="nil"/>
              <w:bottom w:val="nil"/>
              <w:right w:val="nil"/>
            </w:tcBorders>
            <w:noWrap/>
            <w:vAlign w:val="center"/>
          </w:tcPr>
          <w:p w14:paraId="2E6021F3" w14:textId="77777777" w:rsidR="00C06F41" w:rsidRPr="001B41AD" w:rsidRDefault="00C06F41" w:rsidP="00436957">
            <w:pPr>
              <w:jc w:val="center"/>
              <w:rPr>
                <w:color w:val="002060"/>
                <w:sz w:val="18"/>
                <w:lang w:val="sr-Cyrl-CS"/>
              </w:rPr>
            </w:pPr>
            <w:r w:rsidRPr="001B41AD">
              <w:rPr>
                <w:color w:val="002060"/>
                <w:sz w:val="18"/>
                <w:lang w:val="sr-Cyrl-CS"/>
              </w:rPr>
              <w:t>-0,4</w:t>
            </w:r>
          </w:p>
        </w:tc>
      </w:tr>
      <w:tr w:rsidR="00C06F41" w:rsidRPr="001B41AD" w14:paraId="76DAB558" w14:textId="77777777" w:rsidTr="00436957">
        <w:trPr>
          <w:trHeight w:val="281"/>
          <w:jc w:val="center"/>
        </w:trPr>
        <w:tc>
          <w:tcPr>
            <w:tcW w:w="2590" w:type="pct"/>
            <w:shd w:val="clear" w:color="auto" w:fill="E7E6E6" w:themeFill="background2"/>
            <w:noWrap/>
            <w:vAlign w:val="center"/>
            <w:hideMark/>
          </w:tcPr>
          <w:p w14:paraId="4BD1F9FC" w14:textId="77777777" w:rsidR="00C06F41" w:rsidRPr="001B41AD" w:rsidRDefault="00C06F41" w:rsidP="00436957">
            <w:pPr>
              <w:jc w:val="left"/>
              <w:rPr>
                <w:rFonts w:eastAsia="Calibri" w:cstheme="minorHAnsi"/>
                <w:bCs/>
                <w:color w:val="002060"/>
                <w:sz w:val="18"/>
                <w:szCs w:val="18"/>
                <w:lang w:val="sr-Cyrl-CS"/>
              </w:rPr>
            </w:pPr>
            <w:r w:rsidRPr="001B41AD">
              <w:rPr>
                <w:rFonts w:eastAsia="Calibri" w:cstheme="minorHAnsi"/>
                <w:iCs/>
                <w:color w:val="002060"/>
                <w:sz w:val="18"/>
                <w:szCs w:val="18"/>
                <w:lang w:val="sr-Cyrl-CS"/>
              </w:rPr>
              <w:t>Раст БДВ по секторима и нето пореза, %</w:t>
            </w:r>
          </w:p>
        </w:tc>
        <w:tc>
          <w:tcPr>
            <w:tcW w:w="603" w:type="pct"/>
            <w:tcBorders>
              <w:top w:val="nil"/>
              <w:left w:val="nil"/>
              <w:bottom w:val="nil"/>
              <w:right w:val="nil"/>
            </w:tcBorders>
            <w:shd w:val="clear" w:color="000000" w:fill="E7E6E6"/>
            <w:vAlign w:val="center"/>
          </w:tcPr>
          <w:p w14:paraId="51701DED" w14:textId="77777777" w:rsidR="00C06F41" w:rsidRPr="001B41AD" w:rsidRDefault="00C06F41" w:rsidP="00436957">
            <w:pPr>
              <w:jc w:val="center"/>
              <w:rPr>
                <w:rFonts w:eastAsia="Calibri" w:cstheme="minorHAnsi"/>
                <w:bCs/>
                <w:color w:val="002060"/>
                <w:sz w:val="18"/>
                <w:szCs w:val="18"/>
                <w:lang w:val="sr-Cyrl-CS"/>
              </w:rPr>
            </w:pPr>
          </w:p>
        </w:tc>
        <w:tc>
          <w:tcPr>
            <w:tcW w:w="604" w:type="pct"/>
            <w:tcBorders>
              <w:top w:val="nil"/>
              <w:left w:val="nil"/>
              <w:bottom w:val="nil"/>
              <w:right w:val="nil"/>
            </w:tcBorders>
            <w:shd w:val="clear" w:color="000000" w:fill="E7E6E6"/>
            <w:vAlign w:val="center"/>
          </w:tcPr>
          <w:p w14:paraId="5538DDB8" w14:textId="77777777" w:rsidR="00C06F41" w:rsidRPr="001B41AD" w:rsidRDefault="00C06F41" w:rsidP="00436957">
            <w:pPr>
              <w:jc w:val="center"/>
              <w:rPr>
                <w:rFonts w:eastAsia="Calibri" w:cstheme="minorHAnsi"/>
                <w:bCs/>
                <w:color w:val="002060"/>
                <w:sz w:val="18"/>
                <w:szCs w:val="18"/>
                <w:lang w:val="sr-Cyrl-CS"/>
              </w:rPr>
            </w:pPr>
          </w:p>
        </w:tc>
        <w:tc>
          <w:tcPr>
            <w:tcW w:w="603" w:type="pct"/>
            <w:tcBorders>
              <w:top w:val="nil"/>
              <w:left w:val="nil"/>
              <w:bottom w:val="nil"/>
              <w:right w:val="nil"/>
            </w:tcBorders>
            <w:shd w:val="clear" w:color="000000" w:fill="E7E6E6"/>
            <w:vAlign w:val="center"/>
          </w:tcPr>
          <w:p w14:paraId="019EC6C5" w14:textId="77777777" w:rsidR="00C06F41" w:rsidRPr="001B41AD" w:rsidRDefault="00C06F41" w:rsidP="00436957">
            <w:pPr>
              <w:jc w:val="center"/>
              <w:rPr>
                <w:rFonts w:eastAsia="Calibri" w:cstheme="minorHAnsi"/>
                <w:bCs/>
                <w:color w:val="002060"/>
                <w:sz w:val="18"/>
                <w:szCs w:val="18"/>
                <w:lang w:val="sr-Cyrl-CS"/>
              </w:rPr>
            </w:pPr>
          </w:p>
        </w:tc>
        <w:tc>
          <w:tcPr>
            <w:tcW w:w="600" w:type="pct"/>
            <w:tcBorders>
              <w:top w:val="nil"/>
              <w:left w:val="nil"/>
              <w:bottom w:val="nil"/>
              <w:right w:val="nil"/>
            </w:tcBorders>
            <w:shd w:val="clear" w:color="000000" w:fill="E7E6E6"/>
            <w:vAlign w:val="center"/>
          </w:tcPr>
          <w:p w14:paraId="433C2EC3" w14:textId="77777777" w:rsidR="00C06F41" w:rsidRPr="001B41AD" w:rsidRDefault="00C06F41" w:rsidP="00436957">
            <w:pPr>
              <w:jc w:val="center"/>
              <w:rPr>
                <w:rFonts w:eastAsia="Calibri" w:cstheme="minorHAnsi"/>
                <w:bCs/>
                <w:color w:val="002060"/>
                <w:sz w:val="18"/>
                <w:szCs w:val="18"/>
                <w:lang w:val="sr-Cyrl-CS"/>
              </w:rPr>
            </w:pPr>
          </w:p>
        </w:tc>
      </w:tr>
      <w:tr w:rsidR="00C06F41" w:rsidRPr="001B41AD" w14:paraId="35792D71" w14:textId="77777777" w:rsidTr="00436957">
        <w:trPr>
          <w:trHeight w:val="281"/>
          <w:jc w:val="center"/>
        </w:trPr>
        <w:tc>
          <w:tcPr>
            <w:tcW w:w="2590" w:type="pct"/>
            <w:noWrap/>
            <w:vAlign w:val="center"/>
            <w:hideMark/>
          </w:tcPr>
          <w:p w14:paraId="3F6BF9B7"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Пољопривреда</w:t>
            </w:r>
          </w:p>
        </w:tc>
        <w:tc>
          <w:tcPr>
            <w:tcW w:w="603" w:type="pct"/>
            <w:tcBorders>
              <w:top w:val="nil"/>
              <w:left w:val="nil"/>
              <w:bottom w:val="nil"/>
              <w:right w:val="nil"/>
            </w:tcBorders>
            <w:noWrap/>
            <w:vAlign w:val="center"/>
          </w:tcPr>
          <w:p w14:paraId="2C57A7FD" w14:textId="77777777" w:rsidR="00C06F41" w:rsidRPr="001B41AD" w:rsidRDefault="00C06F41" w:rsidP="00436957">
            <w:pPr>
              <w:jc w:val="center"/>
              <w:rPr>
                <w:color w:val="002060"/>
                <w:sz w:val="18"/>
                <w:lang w:val="sr-Cyrl-CS"/>
              </w:rPr>
            </w:pPr>
            <w:r w:rsidRPr="001B41AD">
              <w:rPr>
                <w:color w:val="002060"/>
                <w:sz w:val="18"/>
                <w:lang w:val="sr-Cyrl-CS"/>
              </w:rPr>
              <w:t>2,0</w:t>
            </w:r>
          </w:p>
        </w:tc>
        <w:tc>
          <w:tcPr>
            <w:tcW w:w="604" w:type="pct"/>
            <w:tcBorders>
              <w:top w:val="nil"/>
              <w:left w:val="nil"/>
              <w:bottom w:val="nil"/>
              <w:right w:val="nil"/>
            </w:tcBorders>
            <w:noWrap/>
            <w:vAlign w:val="center"/>
          </w:tcPr>
          <w:p w14:paraId="39D46BD4" w14:textId="77777777" w:rsidR="00C06F41" w:rsidRPr="001B41AD" w:rsidRDefault="00C06F41" w:rsidP="00436957">
            <w:pPr>
              <w:jc w:val="center"/>
              <w:rPr>
                <w:color w:val="002060"/>
                <w:sz w:val="18"/>
                <w:lang w:val="sr-Cyrl-CS"/>
              </w:rPr>
            </w:pPr>
            <w:r w:rsidRPr="001B41AD">
              <w:rPr>
                <w:color w:val="002060"/>
                <w:sz w:val="18"/>
                <w:lang w:val="sr-Cyrl-CS"/>
              </w:rPr>
              <w:t>3,1</w:t>
            </w:r>
          </w:p>
        </w:tc>
        <w:tc>
          <w:tcPr>
            <w:tcW w:w="603" w:type="pct"/>
            <w:tcBorders>
              <w:top w:val="nil"/>
              <w:left w:val="nil"/>
              <w:bottom w:val="nil"/>
              <w:right w:val="nil"/>
            </w:tcBorders>
            <w:noWrap/>
            <w:vAlign w:val="center"/>
          </w:tcPr>
          <w:p w14:paraId="25397278" w14:textId="77777777" w:rsidR="00C06F41" w:rsidRPr="001B41AD" w:rsidRDefault="00C06F41" w:rsidP="00436957">
            <w:pPr>
              <w:jc w:val="center"/>
              <w:rPr>
                <w:color w:val="002060"/>
                <w:sz w:val="18"/>
                <w:lang w:val="sr-Cyrl-CS"/>
              </w:rPr>
            </w:pPr>
            <w:r w:rsidRPr="001B41AD">
              <w:rPr>
                <w:color w:val="002060"/>
                <w:sz w:val="18"/>
                <w:lang w:val="sr-Cyrl-CS"/>
              </w:rPr>
              <w:t>0,0</w:t>
            </w:r>
          </w:p>
        </w:tc>
        <w:tc>
          <w:tcPr>
            <w:tcW w:w="600" w:type="pct"/>
            <w:tcBorders>
              <w:top w:val="nil"/>
              <w:left w:val="nil"/>
              <w:bottom w:val="nil"/>
              <w:right w:val="nil"/>
            </w:tcBorders>
            <w:noWrap/>
            <w:vAlign w:val="center"/>
          </w:tcPr>
          <w:p w14:paraId="27E91FE4" w14:textId="77777777" w:rsidR="00C06F41" w:rsidRPr="001B41AD" w:rsidRDefault="00C06F41" w:rsidP="00436957">
            <w:pPr>
              <w:jc w:val="center"/>
              <w:rPr>
                <w:color w:val="002060"/>
                <w:sz w:val="18"/>
                <w:lang w:val="sr-Cyrl-CS"/>
              </w:rPr>
            </w:pPr>
            <w:r w:rsidRPr="001B41AD">
              <w:rPr>
                <w:color w:val="002060"/>
                <w:sz w:val="18"/>
                <w:lang w:val="sr-Cyrl-CS"/>
              </w:rPr>
              <w:t>0,0</w:t>
            </w:r>
          </w:p>
        </w:tc>
      </w:tr>
      <w:tr w:rsidR="00C06F41" w:rsidRPr="001B41AD" w14:paraId="285E41E3" w14:textId="77777777" w:rsidTr="00436957">
        <w:trPr>
          <w:trHeight w:val="281"/>
          <w:jc w:val="center"/>
        </w:trPr>
        <w:tc>
          <w:tcPr>
            <w:tcW w:w="2590" w:type="pct"/>
            <w:noWrap/>
            <w:vAlign w:val="center"/>
            <w:hideMark/>
          </w:tcPr>
          <w:p w14:paraId="04D12A10"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Индустрија</w:t>
            </w:r>
          </w:p>
        </w:tc>
        <w:tc>
          <w:tcPr>
            <w:tcW w:w="603" w:type="pct"/>
            <w:tcBorders>
              <w:top w:val="nil"/>
              <w:left w:val="nil"/>
              <w:bottom w:val="nil"/>
              <w:right w:val="nil"/>
            </w:tcBorders>
            <w:noWrap/>
            <w:vAlign w:val="center"/>
          </w:tcPr>
          <w:p w14:paraId="67474B67" w14:textId="77777777" w:rsidR="00C06F41" w:rsidRPr="001B41AD" w:rsidRDefault="00C06F41" w:rsidP="00436957">
            <w:pPr>
              <w:jc w:val="center"/>
              <w:rPr>
                <w:color w:val="002060"/>
                <w:sz w:val="18"/>
                <w:lang w:val="sr-Cyrl-CS"/>
              </w:rPr>
            </w:pPr>
            <w:r w:rsidRPr="001B41AD">
              <w:rPr>
                <w:color w:val="002060"/>
                <w:sz w:val="18"/>
                <w:lang w:val="sr-Cyrl-CS"/>
              </w:rPr>
              <w:t>2,8</w:t>
            </w:r>
          </w:p>
        </w:tc>
        <w:tc>
          <w:tcPr>
            <w:tcW w:w="604" w:type="pct"/>
            <w:tcBorders>
              <w:top w:val="nil"/>
              <w:left w:val="nil"/>
              <w:bottom w:val="nil"/>
              <w:right w:val="nil"/>
            </w:tcBorders>
            <w:noWrap/>
            <w:vAlign w:val="center"/>
          </w:tcPr>
          <w:p w14:paraId="352492F9" w14:textId="77777777" w:rsidR="00C06F41" w:rsidRPr="001B41AD" w:rsidRDefault="00C06F41" w:rsidP="00436957">
            <w:pPr>
              <w:jc w:val="center"/>
              <w:rPr>
                <w:color w:val="002060"/>
                <w:sz w:val="18"/>
                <w:lang w:val="sr-Cyrl-CS"/>
              </w:rPr>
            </w:pPr>
            <w:r w:rsidRPr="001B41AD">
              <w:rPr>
                <w:color w:val="002060"/>
                <w:sz w:val="18"/>
                <w:lang w:val="sr-Cyrl-CS"/>
              </w:rPr>
              <w:t>0,4</w:t>
            </w:r>
          </w:p>
        </w:tc>
        <w:tc>
          <w:tcPr>
            <w:tcW w:w="603" w:type="pct"/>
            <w:tcBorders>
              <w:top w:val="nil"/>
              <w:left w:val="nil"/>
              <w:bottom w:val="nil"/>
              <w:right w:val="nil"/>
            </w:tcBorders>
            <w:noWrap/>
            <w:vAlign w:val="center"/>
          </w:tcPr>
          <w:p w14:paraId="57272B27" w14:textId="77777777" w:rsidR="00C06F41" w:rsidRPr="001B41AD" w:rsidRDefault="00C06F41" w:rsidP="00436957">
            <w:pPr>
              <w:jc w:val="center"/>
              <w:rPr>
                <w:color w:val="002060"/>
                <w:sz w:val="18"/>
                <w:lang w:val="sr-Cyrl-CS"/>
              </w:rPr>
            </w:pPr>
            <w:r w:rsidRPr="001B41AD">
              <w:rPr>
                <w:color w:val="002060"/>
                <w:sz w:val="18"/>
                <w:lang w:val="sr-Cyrl-CS"/>
              </w:rPr>
              <w:t>3,9</w:t>
            </w:r>
          </w:p>
        </w:tc>
        <w:tc>
          <w:tcPr>
            <w:tcW w:w="600" w:type="pct"/>
            <w:tcBorders>
              <w:top w:val="nil"/>
              <w:left w:val="nil"/>
              <w:bottom w:val="nil"/>
              <w:right w:val="nil"/>
            </w:tcBorders>
            <w:noWrap/>
            <w:vAlign w:val="center"/>
          </w:tcPr>
          <w:p w14:paraId="14AF6910" w14:textId="77777777" w:rsidR="00C06F41" w:rsidRPr="001B41AD" w:rsidRDefault="00C06F41" w:rsidP="00436957">
            <w:pPr>
              <w:jc w:val="center"/>
              <w:rPr>
                <w:color w:val="002060"/>
                <w:sz w:val="18"/>
                <w:lang w:val="sr-Cyrl-CS"/>
              </w:rPr>
            </w:pPr>
            <w:r w:rsidRPr="001B41AD">
              <w:rPr>
                <w:color w:val="002060"/>
                <w:sz w:val="18"/>
                <w:lang w:val="sr-Cyrl-CS"/>
              </w:rPr>
              <w:t>4,7</w:t>
            </w:r>
          </w:p>
        </w:tc>
      </w:tr>
      <w:tr w:rsidR="00C06F41" w:rsidRPr="001B41AD" w14:paraId="17F944E4" w14:textId="77777777" w:rsidTr="00436957">
        <w:trPr>
          <w:trHeight w:val="281"/>
          <w:jc w:val="center"/>
        </w:trPr>
        <w:tc>
          <w:tcPr>
            <w:tcW w:w="2590" w:type="pct"/>
            <w:noWrap/>
            <w:vAlign w:val="center"/>
            <w:hideMark/>
          </w:tcPr>
          <w:p w14:paraId="43126859"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Грађевинарство</w:t>
            </w:r>
          </w:p>
        </w:tc>
        <w:tc>
          <w:tcPr>
            <w:tcW w:w="603" w:type="pct"/>
            <w:tcBorders>
              <w:top w:val="nil"/>
              <w:left w:val="nil"/>
              <w:bottom w:val="nil"/>
              <w:right w:val="nil"/>
            </w:tcBorders>
            <w:noWrap/>
            <w:vAlign w:val="center"/>
          </w:tcPr>
          <w:p w14:paraId="3439F1BA" w14:textId="77777777" w:rsidR="00C06F41" w:rsidRPr="001B41AD" w:rsidRDefault="00C06F41" w:rsidP="00436957">
            <w:pPr>
              <w:jc w:val="center"/>
              <w:rPr>
                <w:color w:val="002060"/>
                <w:sz w:val="18"/>
                <w:lang w:val="sr-Cyrl-CS"/>
              </w:rPr>
            </w:pPr>
            <w:r w:rsidRPr="001B41AD">
              <w:rPr>
                <w:color w:val="002060"/>
                <w:sz w:val="18"/>
                <w:lang w:val="sr-Cyrl-CS"/>
              </w:rPr>
              <w:t>-5,1</w:t>
            </w:r>
          </w:p>
        </w:tc>
        <w:tc>
          <w:tcPr>
            <w:tcW w:w="604" w:type="pct"/>
            <w:tcBorders>
              <w:top w:val="nil"/>
              <w:left w:val="nil"/>
              <w:bottom w:val="nil"/>
              <w:right w:val="nil"/>
            </w:tcBorders>
            <w:noWrap/>
            <w:vAlign w:val="center"/>
          </w:tcPr>
          <w:p w14:paraId="2DFB4CC8" w14:textId="77777777" w:rsidR="00C06F41" w:rsidRPr="001B41AD" w:rsidRDefault="00C06F41" w:rsidP="00436957">
            <w:pPr>
              <w:jc w:val="center"/>
              <w:rPr>
                <w:color w:val="002060"/>
                <w:sz w:val="18"/>
                <w:lang w:val="sr-Cyrl-CS"/>
              </w:rPr>
            </w:pPr>
            <w:r w:rsidRPr="001B41AD">
              <w:rPr>
                <w:color w:val="002060"/>
                <w:sz w:val="18"/>
                <w:lang w:val="sr-Cyrl-CS"/>
              </w:rPr>
              <w:t>8,5</w:t>
            </w:r>
          </w:p>
        </w:tc>
        <w:tc>
          <w:tcPr>
            <w:tcW w:w="603" w:type="pct"/>
            <w:tcBorders>
              <w:top w:val="nil"/>
              <w:left w:val="nil"/>
              <w:bottom w:val="nil"/>
              <w:right w:val="nil"/>
            </w:tcBorders>
            <w:noWrap/>
            <w:vAlign w:val="center"/>
          </w:tcPr>
          <w:p w14:paraId="1CBD50D3" w14:textId="77777777" w:rsidR="00C06F41" w:rsidRPr="001B41AD" w:rsidRDefault="00C06F41" w:rsidP="00436957">
            <w:pPr>
              <w:jc w:val="center"/>
              <w:rPr>
                <w:color w:val="002060"/>
                <w:sz w:val="18"/>
                <w:lang w:val="sr-Cyrl-CS"/>
              </w:rPr>
            </w:pPr>
            <w:r w:rsidRPr="001B41AD">
              <w:rPr>
                <w:color w:val="002060"/>
                <w:sz w:val="18"/>
                <w:lang w:val="sr-Cyrl-CS"/>
              </w:rPr>
              <w:t>4,9</w:t>
            </w:r>
          </w:p>
        </w:tc>
        <w:tc>
          <w:tcPr>
            <w:tcW w:w="600" w:type="pct"/>
            <w:tcBorders>
              <w:top w:val="nil"/>
              <w:left w:val="nil"/>
              <w:bottom w:val="nil"/>
              <w:right w:val="nil"/>
            </w:tcBorders>
            <w:noWrap/>
            <w:vAlign w:val="center"/>
          </w:tcPr>
          <w:p w14:paraId="25D28306" w14:textId="77777777" w:rsidR="00C06F41" w:rsidRPr="001B41AD" w:rsidRDefault="00C06F41" w:rsidP="00436957">
            <w:pPr>
              <w:jc w:val="center"/>
              <w:rPr>
                <w:color w:val="002060"/>
                <w:sz w:val="18"/>
                <w:lang w:val="sr-Cyrl-CS"/>
              </w:rPr>
            </w:pPr>
            <w:r w:rsidRPr="001B41AD">
              <w:rPr>
                <w:color w:val="002060"/>
                <w:sz w:val="18"/>
                <w:lang w:val="sr-Cyrl-CS"/>
              </w:rPr>
              <w:t>2,6</w:t>
            </w:r>
          </w:p>
        </w:tc>
      </w:tr>
      <w:tr w:rsidR="00C06F41" w:rsidRPr="001B41AD" w14:paraId="71DED239" w14:textId="77777777" w:rsidTr="00436957">
        <w:trPr>
          <w:trHeight w:val="281"/>
          <w:jc w:val="center"/>
        </w:trPr>
        <w:tc>
          <w:tcPr>
            <w:tcW w:w="2590" w:type="pct"/>
            <w:noWrap/>
            <w:vAlign w:val="center"/>
            <w:hideMark/>
          </w:tcPr>
          <w:p w14:paraId="50D48BC9"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Услуге</w:t>
            </w:r>
          </w:p>
        </w:tc>
        <w:tc>
          <w:tcPr>
            <w:tcW w:w="603" w:type="pct"/>
            <w:tcBorders>
              <w:top w:val="nil"/>
              <w:left w:val="nil"/>
              <w:bottom w:val="nil"/>
              <w:right w:val="nil"/>
            </w:tcBorders>
            <w:noWrap/>
            <w:vAlign w:val="center"/>
          </w:tcPr>
          <w:p w14:paraId="05037743" w14:textId="77777777" w:rsidR="00C06F41" w:rsidRPr="001B41AD" w:rsidRDefault="00C06F41" w:rsidP="00436957">
            <w:pPr>
              <w:jc w:val="center"/>
              <w:rPr>
                <w:color w:val="002060"/>
                <w:sz w:val="18"/>
                <w:lang w:val="sr-Cyrl-CS"/>
              </w:rPr>
            </w:pPr>
            <w:r w:rsidRPr="001B41AD">
              <w:rPr>
                <w:color w:val="002060"/>
                <w:sz w:val="18"/>
                <w:lang w:val="sr-Cyrl-CS"/>
              </w:rPr>
              <w:t>2,8</w:t>
            </w:r>
          </w:p>
        </w:tc>
        <w:tc>
          <w:tcPr>
            <w:tcW w:w="604" w:type="pct"/>
            <w:tcBorders>
              <w:top w:val="nil"/>
              <w:left w:val="nil"/>
              <w:bottom w:val="nil"/>
              <w:right w:val="nil"/>
            </w:tcBorders>
            <w:noWrap/>
            <w:vAlign w:val="center"/>
          </w:tcPr>
          <w:p w14:paraId="710305A0" w14:textId="77777777" w:rsidR="00C06F41" w:rsidRPr="001B41AD" w:rsidRDefault="00C06F41" w:rsidP="00436957">
            <w:pPr>
              <w:jc w:val="center"/>
              <w:rPr>
                <w:color w:val="002060"/>
                <w:sz w:val="18"/>
                <w:lang w:val="sr-Cyrl-CS"/>
              </w:rPr>
            </w:pPr>
            <w:r w:rsidRPr="001B41AD">
              <w:rPr>
                <w:color w:val="002060"/>
                <w:sz w:val="18"/>
                <w:lang w:val="sr-Cyrl-CS"/>
              </w:rPr>
              <w:t>3,5</w:t>
            </w:r>
          </w:p>
        </w:tc>
        <w:tc>
          <w:tcPr>
            <w:tcW w:w="603" w:type="pct"/>
            <w:tcBorders>
              <w:top w:val="nil"/>
              <w:left w:val="nil"/>
              <w:bottom w:val="nil"/>
              <w:right w:val="nil"/>
            </w:tcBorders>
            <w:noWrap/>
            <w:vAlign w:val="center"/>
          </w:tcPr>
          <w:p w14:paraId="1BFBC57C" w14:textId="77777777" w:rsidR="00C06F41" w:rsidRPr="001B41AD" w:rsidRDefault="00C06F41" w:rsidP="00436957">
            <w:pPr>
              <w:jc w:val="center"/>
              <w:rPr>
                <w:color w:val="002060"/>
                <w:sz w:val="18"/>
                <w:lang w:val="sr-Cyrl-CS"/>
              </w:rPr>
            </w:pPr>
            <w:r w:rsidRPr="001B41AD">
              <w:rPr>
                <w:color w:val="002060"/>
                <w:sz w:val="18"/>
                <w:lang w:val="sr-Cyrl-CS"/>
              </w:rPr>
              <w:t>5,9</w:t>
            </w:r>
          </w:p>
        </w:tc>
        <w:tc>
          <w:tcPr>
            <w:tcW w:w="600" w:type="pct"/>
            <w:tcBorders>
              <w:top w:val="nil"/>
              <w:left w:val="nil"/>
              <w:bottom w:val="nil"/>
              <w:right w:val="nil"/>
            </w:tcBorders>
            <w:noWrap/>
            <w:vAlign w:val="center"/>
          </w:tcPr>
          <w:p w14:paraId="24D3F15A" w14:textId="77777777" w:rsidR="00C06F41" w:rsidRPr="001B41AD" w:rsidRDefault="00C06F41" w:rsidP="00436957">
            <w:pPr>
              <w:jc w:val="center"/>
              <w:rPr>
                <w:color w:val="002060"/>
                <w:sz w:val="18"/>
                <w:lang w:val="sr-Cyrl-CS"/>
              </w:rPr>
            </w:pPr>
            <w:r w:rsidRPr="001B41AD">
              <w:rPr>
                <w:color w:val="002060"/>
                <w:sz w:val="18"/>
                <w:lang w:val="sr-Cyrl-CS"/>
              </w:rPr>
              <w:t>3,4</w:t>
            </w:r>
          </w:p>
        </w:tc>
      </w:tr>
      <w:tr w:rsidR="00C06F41" w:rsidRPr="001B41AD" w14:paraId="3C8B0450" w14:textId="77777777" w:rsidTr="00436957">
        <w:trPr>
          <w:trHeight w:val="281"/>
          <w:jc w:val="center"/>
        </w:trPr>
        <w:tc>
          <w:tcPr>
            <w:tcW w:w="2590" w:type="pct"/>
            <w:noWrap/>
            <w:vAlign w:val="center"/>
          </w:tcPr>
          <w:p w14:paraId="0C33CE52"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Нето порези</w:t>
            </w:r>
          </w:p>
        </w:tc>
        <w:tc>
          <w:tcPr>
            <w:tcW w:w="603" w:type="pct"/>
            <w:tcBorders>
              <w:top w:val="nil"/>
              <w:left w:val="nil"/>
              <w:bottom w:val="nil"/>
              <w:right w:val="nil"/>
            </w:tcBorders>
            <w:noWrap/>
            <w:vAlign w:val="center"/>
          </w:tcPr>
          <w:p w14:paraId="3A7ECBC6" w14:textId="77777777" w:rsidR="00C06F41" w:rsidRPr="001B41AD" w:rsidRDefault="00C06F41" w:rsidP="00436957">
            <w:pPr>
              <w:jc w:val="center"/>
              <w:rPr>
                <w:color w:val="002060"/>
                <w:sz w:val="18"/>
                <w:lang w:val="sr-Cyrl-CS"/>
              </w:rPr>
            </w:pPr>
            <w:r w:rsidRPr="001B41AD">
              <w:rPr>
                <w:color w:val="002060"/>
                <w:sz w:val="18"/>
                <w:lang w:val="sr-Cyrl-CS"/>
              </w:rPr>
              <w:t>2,8</w:t>
            </w:r>
          </w:p>
        </w:tc>
        <w:tc>
          <w:tcPr>
            <w:tcW w:w="604" w:type="pct"/>
            <w:tcBorders>
              <w:top w:val="nil"/>
              <w:left w:val="nil"/>
              <w:bottom w:val="nil"/>
              <w:right w:val="nil"/>
            </w:tcBorders>
            <w:noWrap/>
            <w:vAlign w:val="center"/>
          </w:tcPr>
          <w:p w14:paraId="2D5C364F" w14:textId="77777777" w:rsidR="00C06F41" w:rsidRPr="001B41AD" w:rsidRDefault="00C06F41" w:rsidP="00436957">
            <w:pPr>
              <w:jc w:val="center"/>
              <w:rPr>
                <w:color w:val="002060"/>
                <w:sz w:val="18"/>
                <w:lang w:val="sr-Cyrl-CS"/>
              </w:rPr>
            </w:pPr>
            <w:r w:rsidRPr="001B41AD">
              <w:rPr>
                <w:color w:val="002060"/>
                <w:sz w:val="18"/>
                <w:lang w:val="sr-Cyrl-CS"/>
              </w:rPr>
              <w:t>3,5</w:t>
            </w:r>
          </w:p>
        </w:tc>
        <w:tc>
          <w:tcPr>
            <w:tcW w:w="603" w:type="pct"/>
            <w:tcBorders>
              <w:top w:val="nil"/>
              <w:left w:val="nil"/>
              <w:bottom w:val="nil"/>
              <w:right w:val="nil"/>
            </w:tcBorders>
            <w:noWrap/>
            <w:vAlign w:val="center"/>
          </w:tcPr>
          <w:p w14:paraId="459C4433" w14:textId="77777777" w:rsidR="00C06F41" w:rsidRPr="001B41AD" w:rsidRDefault="00C06F41" w:rsidP="00436957">
            <w:pPr>
              <w:jc w:val="center"/>
              <w:rPr>
                <w:color w:val="002060"/>
                <w:sz w:val="18"/>
                <w:lang w:val="sr-Cyrl-CS"/>
              </w:rPr>
            </w:pPr>
            <w:r w:rsidRPr="001B41AD">
              <w:rPr>
                <w:color w:val="002060"/>
                <w:sz w:val="18"/>
                <w:lang w:val="sr-Cyrl-CS"/>
              </w:rPr>
              <w:t>4,3</w:t>
            </w:r>
          </w:p>
        </w:tc>
        <w:tc>
          <w:tcPr>
            <w:tcW w:w="600" w:type="pct"/>
            <w:tcBorders>
              <w:top w:val="nil"/>
              <w:left w:val="nil"/>
              <w:bottom w:val="nil"/>
              <w:right w:val="nil"/>
            </w:tcBorders>
            <w:noWrap/>
            <w:vAlign w:val="center"/>
          </w:tcPr>
          <w:p w14:paraId="16F127A8" w14:textId="77777777" w:rsidR="00C06F41" w:rsidRPr="001B41AD" w:rsidRDefault="00C06F41" w:rsidP="00436957">
            <w:pPr>
              <w:jc w:val="center"/>
              <w:rPr>
                <w:color w:val="002060"/>
                <w:sz w:val="18"/>
                <w:lang w:val="sr-Cyrl-CS"/>
              </w:rPr>
            </w:pPr>
            <w:r w:rsidRPr="001B41AD">
              <w:rPr>
                <w:color w:val="002060"/>
                <w:sz w:val="18"/>
                <w:lang w:val="sr-Cyrl-CS"/>
              </w:rPr>
              <w:t>3,4</w:t>
            </w:r>
          </w:p>
        </w:tc>
      </w:tr>
      <w:tr w:rsidR="00C06F41" w:rsidRPr="001B41AD" w14:paraId="798598FB" w14:textId="77777777" w:rsidTr="00436957">
        <w:trPr>
          <w:trHeight w:val="281"/>
          <w:jc w:val="center"/>
        </w:trPr>
        <w:tc>
          <w:tcPr>
            <w:tcW w:w="2590" w:type="pct"/>
            <w:shd w:val="clear" w:color="auto" w:fill="E7E6E6" w:themeFill="background2"/>
            <w:noWrap/>
            <w:vAlign w:val="center"/>
            <w:hideMark/>
          </w:tcPr>
          <w:p w14:paraId="3C315850" w14:textId="77777777" w:rsidR="00C06F41" w:rsidRPr="001B41AD" w:rsidRDefault="00C06F41" w:rsidP="00436957">
            <w:pPr>
              <w:jc w:val="left"/>
              <w:rPr>
                <w:rFonts w:eastAsia="Calibri" w:cstheme="minorHAnsi"/>
                <w:bCs/>
                <w:color w:val="002060"/>
                <w:sz w:val="18"/>
                <w:szCs w:val="18"/>
                <w:lang w:val="sr-Cyrl-CS"/>
              </w:rPr>
            </w:pPr>
            <w:r w:rsidRPr="001B41AD">
              <w:rPr>
                <w:rFonts w:eastAsia="Calibri" w:cstheme="minorHAnsi"/>
                <w:iCs/>
                <w:color w:val="002060"/>
                <w:sz w:val="18"/>
                <w:szCs w:val="18"/>
                <w:lang w:val="sr-Cyrl-CS"/>
              </w:rPr>
              <w:t>Допринос расту БДП, процентни поени</w:t>
            </w:r>
          </w:p>
        </w:tc>
        <w:tc>
          <w:tcPr>
            <w:tcW w:w="603" w:type="pct"/>
            <w:tcBorders>
              <w:top w:val="nil"/>
              <w:left w:val="nil"/>
              <w:bottom w:val="nil"/>
              <w:right w:val="nil"/>
            </w:tcBorders>
            <w:shd w:val="clear" w:color="000000" w:fill="E7E6E6"/>
            <w:vAlign w:val="center"/>
          </w:tcPr>
          <w:p w14:paraId="4C15DA71" w14:textId="77777777" w:rsidR="00C06F41" w:rsidRPr="001B41AD" w:rsidRDefault="00C06F41" w:rsidP="00436957">
            <w:pPr>
              <w:jc w:val="center"/>
              <w:rPr>
                <w:rFonts w:eastAsia="Calibri" w:cstheme="minorHAnsi"/>
                <w:bCs/>
                <w:color w:val="002060"/>
                <w:sz w:val="18"/>
                <w:szCs w:val="18"/>
                <w:lang w:val="sr-Cyrl-CS"/>
              </w:rPr>
            </w:pPr>
          </w:p>
        </w:tc>
        <w:tc>
          <w:tcPr>
            <w:tcW w:w="604" w:type="pct"/>
            <w:tcBorders>
              <w:top w:val="nil"/>
              <w:left w:val="nil"/>
              <w:bottom w:val="nil"/>
              <w:right w:val="nil"/>
            </w:tcBorders>
            <w:shd w:val="clear" w:color="000000" w:fill="E7E6E6"/>
            <w:vAlign w:val="center"/>
          </w:tcPr>
          <w:p w14:paraId="7D69F1AC" w14:textId="77777777" w:rsidR="00C06F41" w:rsidRPr="001B41AD" w:rsidRDefault="00C06F41" w:rsidP="00436957">
            <w:pPr>
              <w:jc w:val="center"/>
              <w:rPr>
                <w:rFonts w:eastAsia="Calibri" w:cstheme="minorHAnsi"/>
                <w:bCs/>
                <w:color w:val="002060"/>
                <w:sz w:val="18"/>
                <w:szCs w:val="18"/>
                <w:lang w:val="sr-Cyrl-CS"/>
              </w:rPr>
            </w:pPr>
          </w:p>
        </w:tc>
        <w:tc>
          <w:tcPr>
            <w:tcW w:w="603" w:type="pct"/>
            <w:tcBorders>
              <w:top w:val="nil"/>
              <w:left w:val="nil"/>
              <w:bottom w:val="nil"/>
              <w:right w:val="nil"/>
            </w:tcBorders>
            <w:shd w:val="clear" w:color="000000" w:fill="E7E6E6"/>
            <w:vAlign w:val="center"/>
          </w:tcPr>
          <w:p w14:paraId="64693E68" w14:textId="77777777" w:rsidR="00C06F41" w:rsidRPr="001B41AD" w:rsidRDefault="00C06F41" w:rsidP="00436957">
            <w:pPr>
              <w:jc w:val="center"/>
              <w:rPr>
                <w:rFonts w:eastAsia="Calibri" w:cstheme="minorHAnsi"/>
                <w:bCs/>
                <w:color w:val="002060"/>
                <w:sz w:val="18"/>
                <w:szCs w:val="18"/>
                <w:lang w:val="sr-Cyrl-CS"/>
              </w:rPr>
            </w:pPr>
          </w:p>
        </w:tc>
        <w:tc>
          <w:tcPr>
            <w:tcW w:w="600" w:type="pct"/>
            <w:tcBorders>
              <w:top w:val="nil"/>
              <w:left w:val="nil"/>
              <w:bottom w:val="nil"/>
              <w:right w:val="nil"/>
            </w:tcBorders>
            <w:shd w:val="clear" w:color="000000" w:fill="E7E6E6"/>
            <w:vAlign w:val="center"/>
          </w:tcPr>
          <w:p w14:paraId="348BFD6A" w14:textId="77777777" w:rsidR="00C06F41" w:rsidRPr="001B41AD" w:rsidRDefault="00C06F41" w:rsidP="00436957">
            <w:pPr>
              <w:jc w:val="center"/>
              <w:rPr>
                <w:rFonts w:eastAsia="Calibri" w:cstheme="minorHAnsi"/>
                <w:bCs/>
                <w:color w:val="002060"/>
                <w:sz w:val="18"/>
                <w:szCs w:val="18"/>
                <w:lang w:val="sr-Cyrl-CS"/>
              </w:rPr>
            </w:pPr>
          </w:p>
        </w:tc>
      </w:tr>
      <w:tr w:rsidR="00C06F41" w:rsidRPr="001B41AD" w14:paraId="25B95BC5" w14:textId="77777777" w:rsidTr="00436957">
        <w:trPr>
          <w:trHeight w:val="281"/>
          <w:jc w:val="center"/>
        </w:trPr>
        <w:tc>
          <w:tcPr>
            <w:tcW w:w="2590" w:type="pct"/>
            <w:noWrap/>
            <w:vAlign w:val="center"/>
            <w:hideMark/>
          </w:tcPr>
          <w:p w14:paraId="154ACE58"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Пољопривреда</w:t>
            </w:r>
          </w:p>
        </w:tc>
        <w:tc>
          <w:tcPr>
            <w:tcW w:w="603" w:type="pct"/>
            <w:tcBorders>
              <w:top w:val="nil"/>
              <w:left w:val="nil"/>
              <w:bottom w:val="nil"/>
              <w:right w:val="nil"/>
            </w:tcBorders>
            <w:noWrap/>
            <w:vAlign w:val="center"/>
          </w:tcPr>
          <w:p w14:paraId="71DAD4DE" w14:textId="77777777" w:rsidR="00C06F41" w:rsidRPr="001B41AD" w:rsidRDefault="00C06F41" w:rsidP="00436957">
            <w:pPr>
              <w:jc w:val="center"/>
              <w:rPr>
                <w:color w:val="002060"/>
                <w:sz w:val="18"/>
                <w:lang w:val="sr-Cyrl-CS"/>
              </w:rPr>
            </w:pPr>
            <w:r w:rsidRPr="001B41AD">
              <w:rPr>
                <w:color w:val="002060"/>
                <w:sz w:val="18"/>
                <w:lang w:val="sr-Cyrl-CS"/>
              </w:rPr>
              <w:t>0,1</w:t>
            </w:r>
          </w:p>
        </w:tc>
        <w:tc>
          <w:tcPr>
            <w:tcW w:w="604" w:type="pct"/>
            <w:tcBorders>
              <w:top w:val="nil"/>
              <w:left w:val="nil"/>
              <w:bottom w:val="nil"/>
              <w:right w:val="nil"/>
            </w:tcBorders>
            <w:noWrap/>
            <w:vAlign w:val="center"/>
          </w:tcPr>
          <w:p w14:paraId="73252CC0" w14:textId="77777777" w:rsidR="00C06F41" w:rsidRPr="001B41AD" w:rsidRDefault="00C06F41" w:rsidP="00436957">
            <w:pPr>
              <w:jc w:val="center"/>
              <w:rPr>
                <w:color w:val="002060"/>
                <w:sz w:val="18"/>
                <w:lang w:val="sr-Cyrl-CS"/>
              </w:rPr>
            </w:pPr>
            <w:r w:rsidRPr="001B41AD">
              <w:rPr>
                <w:color w:val="002060"/>
                <w:sz w:val="18"/>
                <w:lang w:val="sr-Cyrl-CS"/>
              </w:rPr>
              <w:t>0,1</w:t>
            </w:r>
          </w:p>
        </w:tc>
        <w:tc>
          <w:tcPr>
            <w:tcW w:w="603" w:type="pct"/>
            <w:tcBorders>
              <w:top w:val="nil"/>
              <w:left w:val="nil"/>
              <w:bottom w:val="nil"/>
              <w:right w:val="nil"/>
            </w:tcBorders>
            <w:noWrap/>
            <w:vAlign w:val="center"/>
          </w:tcPr>
          <w:p w14:paraId="7432B55D" w14:textId="77777777" w:rsidR="00C06F41" w:rsidRPr="001B41AD" w:rsidRDefault="00C06F41" w:rsidP="00436957">
            <w:pPr>
              <w:jc w:val="center"/>
              <w:rPr>
                <w:color w:val="002060"/>
                <w:sz w:val="18"/>
                <w:lang w:val="sr-Cyrl-CS"/>
              </w:rPr>
            </w:pPr>
            <w:r w:rsidRPr="001B41AD">
              <w:rPr>
                <w:color w:val="002060"/>
                <w:sz w:val="18"/>
                <w:lang w:val="sr-Cyrl-CS"/>
              </w:rPr>
              <w:t>0,0</w:t>
            </w:r>
          </w:p>
        </w:tc>
        <w:tc>
          <w:tcPr>
            <w:tcW w:w="600" w:type="pct"/>
            <w:tcBorders>
              <w:top w:val="nil"/>
              <w:left w:val="nil"/>
              <w:bottom w:val="nil"/>
              <w:right w:val="nil"/>
            </w:tcBorders>
            <w:noWrap/>
            <w:vAlign w:val="center"/>
          </w:tcPr>
          <w:p w14:paraId="5864951D" w14:textId="77777777" w:rsidR="00C06F41" w:rsidRPr="001B41AD" w:rsidRDefault="00C06F41" w:rsidP="00436957">
            <w:pPr>
              <w:jc w:val="center"/>
              <w:rPr>
                <w:color w:val="002060"/>
                <w:sz w:val="18"/>
                <w:lang w:val="sr-Cyrl-CS"/>
              </w:rPr>
            </w:pPr>
            <w:r w:rsidRPr="001B41AD">
              <w:rPr>
                <w:color w:val="002060"/>
                <w:sz w:val="18"/>
                <w:lang w:val="sr-Cyrl-CS"/>
              </w:rPr>
              <w:t>0,0</w:t>
            </w:r>
          </w:p>
        </w:tc>
      </w:tr>
      <w:tr w:rsidR="00C06F41" w:rsidRPr="001B41AD" w14:paraId="189E3E13" w14:textId="77777777" w:rsidTr="00436957">
        <w:trPr>
          <w:trHeight w:val="281"/>
          <w:jc w:val="center"/>
        </w:trPr>
        <w:tc>
          <w:tcPr>
            <w:tcW w:w="2590" w:type="pct"/>
            <w:noWrap/>
            <w:vAlign w:val="center"/>
            <w:hideMark/>
          </w:tcPr>
          <w:p w14:paraId="53024D10"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Индустрија</w:t>
            </w:r>
          </w:p>
        </w:tc>
        <w:tc>
          <w:tcPr>
            <w:tcW w:w="603" w:type="pct"/>
            <w:tcBorders>
              <w:top w:val="nil"/>
              <w:left w:val="nil"/>
              <w:bottom w:val="nil"/>
              <w:right w:val="nil"/>
            </w:tcBorders>
            <w:noWrap/>
            <w:vAlign w:val="center"/>
          </w:tcPr>
          <w:p w14:paraId="1A533701" w14:textId="77777777" w:rsidR="00C06F41" w:rsidRPr="001B41AD" w:rsidRDefault="00C06F41" w:rsidP="00436957">
            <w:pPr>
              <w:jc w:val="center"/>
              <w:rPr>
                <w:color w:val="002060"/>
                <w:sz w:val="18"/>
                <w:lang w:val="sr-Cyrl-CS"/>
              </w:rPr>
            </w:pPr>
            <w:r w:rsidRPr="001B41AD">
              <w:rPr>
                <w:color w:val="002060"/>
                <w:sz w:val="18"/>
                <w:lang w:val="sr-Cyrl-CS"/>
              </w:rPr>
              <w:t>0,5</w:t>
            </w:r>
          </w:p>
        </w:tc>
        <w:tc>
          <w:tcPr>
            <w:tcW w:w="604" w:type="pct"/>
            <w:tcBorders>
              <w:top w:val="nil"/>
              <w:left w:val="nil"/>
              <w:bottom w:val="nil"/>
              <w:right w:val="nil"/>
            </w:tcBorders>
            <w:noWrap/>
            <w:vAlign w:val="center"/>
          </w:tcPr>
          <w:p w14:paraId="0571F330" w14:textId="77777777" w:rsidR="00C06F41" w:rsidRPr="001B41AD" w:rsidRDefault="00C06F41" w:rsidP="00436957">
            <w:pPr>
              <w:jc w:val="center"/>
              <w:rPr>
                <w:color w:val="002060"/>
                <w:sz w:val="18"/>
                <w:lang w:val="sr-Cyrl-CS"/>
              </w:rPr>
            </w:pPr>
            <w:r w:rsidRPr="001B41AD">
              <w:rPr>
                <w:color w:val="002060"/>
                <w:sz w:val="18"/>
                <w:lang w:val="sr-Cyrl-CS"/>
              </w:rPr>
              <w:t>0,1</w:t>
            </w:r>
          </w:p>
        </w:tc>
        <w:tc>
          <w:tcPr>
            <w:tcW w:w="603" w:type="pct"/>
            <w:tcBorders>
              <w:top w:val="nil"/>
              <w:left w:val="nil"/>
              <w:bottom w:val="nil"/>
              <w:right w:val="nil"/>
            </w:tcBorders>
            <w:noWrap/>
            <w:vAlign w:val="center"/>
          </w:tcPr>
          <w:p w14:paraId="7F8B3966" w14:textId="77777777" w:rsidR="00C06F41" w:rsidRPr="001B41AD" w:rsidRDefault="00C06F41" w:rsidP="00436957">
            <w:pPr>
              <w:jc w:val="center"/>
              <w:rPr>
                <w:color w:val="002060"/>
                <w:sz w:val="18"/>
                <w:lang w:val="sr-Cyrl-CS"/>
              </w:rPr>
            </w:pPr>
            <w:r w:rsidRPr="001B41AD">
              <w:rPr>
                <w:color w:val="002060"/>
                <w:sz w:val="18"/>
                <w:lang w:val="sr-Cyrl-CS"/>
              </w:rPr>
              <w:t>0,7</w:t>
            </w:r>
          </w:p>
        </w:tc>
        <w:tc>
          <w:tcPr>
            <w:tcW w:w="600" w:type="pct"/>
            <w:tcBorders>
              <w:top w:val="nil"/>
              <w:left w:val="nil"/>
              <w:bottom w:val="nil"/>
              <w:right w:val="nil"/>
            </w:tcBorders>
            <w:noWrap/>
            <w:vAlign w:val="center"/>
          </w:tcPr>
          <w:p w14:paraId="1B25EA67" w14:textId="77777777" w:rsidR="00C06F41" w:rsidRPr="001B41AD" w:rsidRDefault="00C06F41" w:rsidP="00436957">
            <w:pPr>
              <w:jc w:val="center"/>
              <w:rPr>
                <w:color w:val="002060"/>
                <w:sz w:val="18"/>
                <w:lang w:val="sr-Cyrl-CS"/>
              </w:rPr>
            </w:pPr>
            <w:r w:rsidRPr="001B41AD">
              <w:rPr>
                <w:color w:val="002060"/>
                <w:sz w:val="18"/>
                <w:lang w:val="sr-Cyrl-CS"/>
              </w:rPr>
              <w:t>0,9</w:t>
            </w:r>
          </w:p>
        </w:tc>
      </w:tr>
      <w:tr w:rsidR="00C06F41" w:rsidRPr="001B41AD" w14:paraId="4373E682" w14:textId="77777777" w:rsidTr="00436957">
        <w:trPr>
          <w:trHeight w:val="281"/>
          <w:jc w:val="center"/>
        </w:trPr>
        <w:tc>
          <w:tcPr>
            <w:tcW w:w="2590" w:type="pct"/>
            <w:noWrap/>
            <w:vAlign w:val="center"/>
            <w:hideMark/>
          </w:tcPr>
          <w:p w14:paraId="09C00B6A"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Грађевинарство</w:t>
            </w:r>
          </w:p>
        </w:tc>
        <w:tc>
          <w:tcPr>
            <w:tcW w:w="603" w:type="pct"/>
            <w:tcBorders>
              <w:top w:val="nil"/>
              <w:left w:val="nil"/>
              <w:bottom w:val="nil"/>
              <w:right w:val="nil"/>
            </w:tcBorders>
            <w:noWrap/>
            <w:vAlign w:val="center"/>
          </w:tcPr>
          <w:p w14:paraId="278290F0" w14:textId="77777777" w:rsidR="00C06F41" w:rsidRPr="001B41AD" w:rsidRDefault="00C06F41" w:rsidP="00436957">
            <w:pPr>
              <w:jc w:val="center"/>
              <w:rPr>
                <w:color w:val="002060"/>
                <w:sz w:val="18"/>
                <w:lang w:val="sr-Cyrl-CS"/>
              </w:rPr>
            </w:pPr>
            <w:r w:rsidRPr="001B41AD">
              <w:rPr>
                <w:color w:val="002060"/>
                <w:sz w:val="18"/>
                <w:lang w:val="sr-Cyrl-CS"/>
              </w:rPr>
              <w:t>-0,3</w:t>
            </w:r>
          </w:p>
        </w:tc>
        <w:tc>
          <w:tcPr>
            <w:tcW w:w="604" w:type="pct"/>
            <w:tcBorders>
              <w:top w:val="nil"/>
              <w:left w:val="nil"/>
              <w:bottom w:val="nil"/>
              <w:right w:val="nil"/>
            </w:tcBorders>
            <w:noWrap/>
            <w:vAlign w:val="center"/>
          </w:tcPr>
          <w:p w14:paraId="56FF2034" w14:textId="77777777" w:rsidR="00C06F41" w:rsidRPr="001B41AD" w:rsidRDefault="00C06F41" w:rsidP="00436957">
            <w:pPr>
              <w:jc w:val="center"/>
              <w:rPr>
                <w:color w:val="002060"/>
                <w:sz w:val="18"/>
                <w:lang w:val="sr-Cyrl-CS"/>
              </w:rPr>
            </w:pPr>
            <w:r w:rsidRPr="001B41AD">
              <w:rPr>
                <w:color w:val="002060"/>
                <w:sz w:val="18"/>
                <w:lang w:val="sr-Cyrl-CS"/>
              </w:rPr>
              <w:t>0,4</w:t>
            </w:r>
          </w:p>
        </w:tc>
        <w:tc>
          <w:tcPr>
            <w:tcW w:w="603" w:type="pct"/>
            <w:tcBorders>
              <w:top w:val="nil"/>
              <w:left w:val="nil"/>
              <w:bottom w:val="nil"/>
              <w:right w:val="nil"/>
            </w:tcBorders>
            <w:noWrap/>
            <w:vAlign w:val="center"/>
          </w:tcPr>
          <w:p w14:paraId="14833CA4" w14:textId="77777777" w:rsidR="00C06F41" w:rsidRPr="001B41AD" w:rsidRDefault="00C06F41" w:rsidP="00436957">
            <w:pPr>
              <w:jc w:val="center"/>
              <w:rPr>
                <w:color w:val="002060"/>
                <w:sz w:val="18"/>
                <w:lang w:val="sr-Cyrl-CS"/>
              </w:rPr>
            </w:pPr>
            <w:r w:rsidRPr="001B41AD">
              <w:rPr>
                <w:color w:val="002060"/>
                <w:sz w:val="18"/>
                <w:lang w:val="sr-Cyrl-CS"/>
              </w:rPr>
              <w:t>0,2</w:t>
            </w:r>
          </w:p>
        </w:tc>
        <w:tc>
          <w:tcPr>
            <w:tcW w:w="600" w:type="pct"/>
            <w:tcBorders>
              <w:top w:val="nil"/>
              <w:left w:val="nil"/>
              <w:bottom w:val="nil"/>
              <w:right w:val="nil"/>
            </w:tcBorders>
            <w:noWrap/>
            <w:vAlign w:val="center"/>
          </w:tcPr>
          <w:p w14:paraId="09BA1994" w14:textId="77777777" w:rsidR="00C06F41" w:rsidRPr="001B41AD" w:rsidRDefault="00C06F41" w:rsidP="00436957">
            <w:pPr>
              <w:jc w:val="center"/>
              <w:rPr>
                <w:color w:val="002060"/>
                <w:sz w:val="18"/>
                <w:lang w:val="sr-Cyrl-CS"/>
              </w:rPr>
            </w:pPr>
            <w:r w:rsidRPr="001B41AD">
              <w:rPr>
                <w:color w:val="002060"/>
                <w:sz w:val="18"/>
                <w:lang w:val="sr-Cyrl-CS"/>
              </w:rPr>
              <w:t>0,1</w:t>
            </w:r>
          </w:p>
        </w:tc>
      </w:tr>
      <w:tr w:rsidR="00C06F41" w:rsidRPr="001B41AD" w14:paraId="5968D3DD" w14:textId="77777777" w:rsidTr="00436957">
        <w:trPr>
          <w:trHeight w:val="281"/>
          <w:jc w:val="center"/>
        </w:trPr>
        <w:tc>
          <w:tcPr>
            <w:tcW w:w="2590" w:type="pct"/>
            <w:noWrap/>
            <w:vAlign w:val="center"/>
            <w:hideMark/>
          </w:tcPr>
          <w:p w14:paraId="505ED55A"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Услуге</w:t>
            </w:r>
          </w:p>
        </w:tc>
        <w:tc>
          <w:tcPr>
            <w:tcW w:w="603" w:type="pct"/>
            <w:tcBorders>
              <w:top w:val="nil"/>
              <w:left w:val="nil"/>
              <w:bottom w:val="nil"/>
              <w:right w:val="nil"/>
            </w:tcBorders>
            <w:noWrap/>
            <w:vAlign w:val="center"/>
          </w:tcPr>
          <w:p w14:paraId="612BCC83" w14:textId="77777777" w:rsidR="00C06F41" w:rsidRPr="001B41AD" w:rsidRDefault="00C06F41" w:rsidP="00436957">
            <w:pPr>
              <w:jc w:val="center"/>
              <w:rPr>
                <w:color w:val="002060"/>
                <w:sz w:val="18"/>
                <w:lang w:val="sr-Cyrl-CS"/>
              </w:rPr>
            </w:pPr>
            <w:r w:rsidRPr="001B41AD">
              <w:rPr>
                <w:color w:val="002060"/>
                <w:sz w:val="18"/>
                <w:lang w:val="sr-Cyrl-CS"/>
              </w:rPr>
              <w:t>1,6</w:t>
            </w:r>
          </w:p>
        </w:tc>
        <w:tc>
          <w:tcPr>
            <w:tcW w:w="604" w:type="pct"/>
            <w:tcBorders>
              <w:top w:val="nil"/>
              <w:left w:val="nil"/>
              <w:bottom w:val="nil"/>
              <w:right w:val="nil"/>
            </w:tcBorders>
            <w:noWrap/>
            <w:vAlign w:val="center"/>
          </w:tcPr>
          <w:p w14:paraId="6851B03A" w14:textId="77777777" w:rsidR="00C06F41" w:rsidRPr="001B41AD" w:rsidRDefault="00C06F41" w:rsidP="00436957">
            <w:pPr>
              <w:jc w:val="center"/>
              <w:rPr>
                <w:color w:val="002060"/>
                <w:sz w:val="18"/>
                <w:lang w:val="sr-Cyrl-CS"/>
              </w:rPr>
            </w:pPr>
            <w:r w:rsidRPr="001B41AD">
              <w:rPr>
                <w:color w:val="002060"/>
                <w:sz w:val="18"/>
                <w:lang w:val="sr-Cyrl-CS"/>
              </w:rPr>
              <w:t>2,0</w:t>
            </w:r>
          </w:p>
        </w:tc>
        <w:tc>
          <w:tcPr>
            <w:tcW w:w="603" w:type="pct"/>
            <w:tcBorders>
              <w:top w:val="nil"/>
              <w:left w:val="nil"/>
              <w:bottom w:val="nil"/>
              <w:right w:val="nil"/>
            </w:tcBorders>
            <w:noWrap/>
            <w:vAlign w:val="center"/>
          </w:tcPr>
          <w:p w14:paraId="20E29DD4" w14:textId="77777777" w:rsidR="00C06F41" w:rsidRPr="001B41AD" w:rsidRDefault="00C06F41" w:rsidP="00436957">
            <w:pPr>
              <w:jc w:val="center"/>
              <w:rPr>
                <w:color w:val="002060"/>
                <w:sz w:val="18"/>
                <w:lang w:val="sr-Cyrl-CS"/>
              </w:rPr>
            </w:pPr>
            <w:r w:rsidRPr="001B41AD">
              <w:rPr>
                <w:color w:val="002060"/>
                <w:sz w:val="18"/>
                <w:lang w:val="sr-Cyrl-CS"/>
              </w:rPr>
              <w:t>3,4</w:t>
            </w:r>
          </w:p>
        </w:tc>
        <w:tc>
          <w:tcPr>
            <w:tcW w:w="600" w:type="pct"/>
            <w:tcBorders>
              <w:top w:val="nil"/>
              <w:left w:val="nil"/>
              <w:bottom w:val="nil"/>
              <w:right w:val="nil"/>
            </w:tcBorders>
            <w:noWrap/>
            <w:vAlign w:val="center"/>
          </w:tcPr>
          <w:p w14:paraId="30CD920D" w14:textId="77777777" w:rsidR="00C06F41" w:rsidRPr="001B41AD" w:rsidRDefault="00C06F41" w:rsidP="00436957">
            <w:pPr>
              <w:jc w:val="center"/>
              <w:rPr>
                <w:color w:val="002060"/>
                <w:sz w:val="18"/>
                <w:lang w:val="sr-Cyrl-CS"/>
              </w:rPr>
            </w:pPr>
            <w:r w:rsidRPr="001B41AD">
              <w:rPr>
                <w:color w:val="002060"/>
                <w:sz w:val="18"/>
                <w:lang w:val="sr-Cyrl-CS"/>
              </w:rPr>
              <w:t>2,0</w:t>
            </w:r>
          </w:p>
        </w:tc>
      </w:tr>
      <w:tr w:rsidR="00C06F41" w:rsidRPr="001B41AD" w14:paraId="7F49F6E5" w14:textId="77777777" w:rsidTr="00436957">
        <w:trPr>
          <w:trHeight w:val="281"/>
          <w:jc w:val="center"/>
        </w:trPr>
        <w:tc>
          <w:tcPr>
            <w:tcW w:w="2590" w:type="pct"/>
            <w:noWrap/>
            <w:vAlign w:val="center"/>
          </w:tcPr>
          <w:p w14:paraId="2594A8A4"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Нето порези</w:t>
            </w:r>
          </w:p>
        </w:tc>
        <w:tc>
          <w:tcPr>
            <w:tcW w:w="603" w:type="pct"/>
            <w:tcBorders>
              <w:top w:val="nil"/>
              <w:left w:val="nil"/>
              <w:bottom w:val="nil"/>
              <w:right w:val="nil"/>
            </w:tcBorders>
            <w:noWrap/>
            <w:vAlign w:val="center"/>
          </w:tcPr>
          <w:p w14:paraId="53166FDF" w14:textId="77777777" w:rsidR="00C06F41" w:rsidRPr="001B41AD" w:rsidRDefault="00C06F41" w:rsidP="00436957">
            <w:pPr>
              <w:jc w:val="center"/>
              <w:rPr>
                <w:color w:val="002060"/>
                <w:sz w:val="18"/>
                <w:lang w:val="sr-Cyrl-CS"/>
              </w:rPr>
            </w:pPr>
            <w:r w:rsidRPr="001B41AD">
              <w:rPr>
                <w:color w:val="002060"/>
                <w:sz w:val="18"/>
                <w:lang w:val="sr-Cyrl-CS"/>
              </w:rPr>
              <w:t>0,4</w:t>
            </w:r>
          </w:p>
        </w:tc>
        <w:tc>
          <w:tcPr>
            <w:tcW w:w="604" w:type="pct"/>
            <w:tcBorders>
              <w:top w:val="nil"/>
              <w:left w:val="nil"/>
              <w:bottom w:val="nil"/>
              <w:right w:val="nil"/>
            </w:tcBorders>
            <w:noWrap/>
            <w:vAlign w:val="center"/>
          </w:tcPr>
          <w:p w14:paraId="1ECEA51E" w14:textId="77777777" w:rsidR="00C06F41" w:rsidRPr="001B41AD" w:rsidRDefault="00C06F41" w:rsidP="00436957">
            <w:pPr>
              <w:jc w:val="center"/>
              <w:rPr>
                <w:color w:val="002060"/>
                <w:sz w:val="18"/>
                <w:lang w:val="sr-Cyrl-CS"/>
              </w:rPr>
            </w:pPr>
            <w:r w:rsidRPr="001B41AD">
              <w:rPr>
                <w:color w:val="002060"/>
                <w:sz w:val="18"/>
                <w:lang w:val="sr-Cyrl-CS"/>
              </w:rPr>
              <w:t>0,5</w:t>
            </w:r>
          </w:p>
        </w:tc>
        <w:tc>
          <w:tcPr>
            <w:tcW w:w="603" w:type="pct"/>
            <w:tcBorders>
              <w:top w:val="nil"/>
              <w:left w:val="nil"/>
              <w:bottom w:val="nil"/>
              <w:right w:val="nil"/>
            </w:tcBorders>
            <w:noWrap/>
            <w:vAlign w:val="center"/>
          </w:tcPr>
          <w:p w14:paraId="78A120F9" w14:textId="77777777" w:rsidR="00C06F41" w:rsidRPr="001B41AD" w:rsidRDefault="00C06F41" w:rsidP="00436957">
            <w:pPr>
              <w:jc w:val="center"/>
              <w:rPr>
                <w:color w:val="002060"/>
                <w:sz w:val="18"/>
                <w:lang w:val="sr-Cyrl-CS"/>
              </w:rPr>
            </w:pPr>
            <w:r w:rsidRPr="001B41AD">
              <w:rPr>
                <w:color w:val="002060"/>
                <w:sz w:val="18"/>
                <w:lang w:val="sr-Cyrl-CS"/>
              </w:rPr>
              <w:t>0,6</w:t>
            </w:r>
          </w:p>
        </w:tc>
        <w:tc>
          <w:tcPr>
            <w:tcW w:w="600" w:type="pct"/>
            <w:tcBorders>
              <w:top w:val="nil"/>
              <w:left w:val="nil"/>
              <w:bottom w:val="nil"/>
              <w:right w:val="nil"/>
            </w:tcBorders>
            <w:noWrap/>
            <w:vAlign w:val="center"/>
          </w:tcPr>
          <w:p w14:paraId="587AEFAF" w14:textId="77777777" w:rsidR="00C06F41" w:rsidRPr="001B41AD" w:rsidRDefault="00C06F41" w:rsidP="00436957">
            <w:pPr>
              <w:jc w:val="center"/>
              <w:rPr>
                <w:color w:val="002060"/>
                <w:sz w:val="18"/>
                <w:lang w:val="sr-Cyrl-CS"/>
              </w:rPr>
            </w:pPr>
            <w:r w:rsidRPr="001B41AD">
              <w:rPr>
                <w:color w:val="002060"/>
                <w:sz w:val="18"/>
                <w:lang w:val="sr-Cyrl-CS"/>
              </w:rPr>
              <w:t>0,5</w:t>
            </w:r>
          </w:p>
        </w:tc>
      </w:tr>
      <w:tr w:rsidR="00C06F41" w:rsidRPr="001B41AD" w14:paraId="25697951" w14:textId="77777777" w:rsidTr="00436957">
        <w:trPr>
          <w:trHeight w:val="281"/>
          <w:jc w:val="center"/>
        </w:trPr>
        <w:tc>
          <w:tcPr>
            <w:tcW w:w="2590" w:type="pct"/>
            <w:shd w:val="clear" w:color="auto" w:fill="E7E6E6" w:themeFill="background2"/>
            <w:noWrap/>
            <w:vAlign w:val="center"/>
            <w:hideMark/>
          </w:tcPr>
          <w:p w14:paraId="5391A5BA" w14:textId="77777777" w:rsidR="00C06F41" w:rsidRPr="001B41AD" w:rsidRDefault="00C06F41" w:rsidP="00436957">
            <w:pPr>
              <w:jc w:val="left"/>
              <w:rPr>
                <w:rFonts w:eastAsia="Calibri" w:cstheme="minorHAnsi"/>
                <w:bCs/>
                <w:iCs/>
                <w:color w:val="002060"/>
                <w:sz w:val="18"/>
                <w:szCs w:val="18"/>
                <w:lang w:val="sr-Cyrl-CS"/>
              </w:rPr>
            </w:pPr>
            <w:r w:rsidRPr="001B41AD">
              <w:rPr>
                <w:rFonts w:eastAsia="Calibri" w:cstheme="minorHAnsi"/>
                <w:iCs/>
                <w:color w:val="002060"/>
                <w:sz w:val="18"/>
                <w:szCs w:val="18"/>
                <w:lang w:val="sr-Cyrl-CS"/>
              </w:rPr>
              <w:t>Кретање цена, %</w:t>
            </w:r>
          </w:p>
        </w:tc>
        <w:tc>
          <w:tcPr>
            <w:tcW w:w="603" w:type="pct"/>
            <w:tcBorders>
              <w:top w:val="nil"/>
              <w:left w:val="nil"/>
              <w:bottom w:val="nil"/>
              <w:right w:val="nil"/>
            </w:tcBorders>
            <w:shd w:val="clear" w:color="000000" w:fill="E7E6E6"/>
            <w:noWrap/>
            <w:vAlign w:val="center"/>
          </w:tcPr>
          <w:p w14:paraId="158FB833" w14:textId="77777777" w:rsidR="00C06F41" w:rsidRPr="001B41AD" w:rsidRDefault="00C06F41" w:rsidP="00436957">
            <w:pPr>
              <w:jc w:val="center"/>
              <w:rPr>
                <w:rFonts w:eastAsia="Calibri" w:cstheme="minorHAnsi"/>
                <w:iCs/>
                <w:color w:val="002060"/>
                <w:sz w:val="18"/>
                <w:szCs w:val="18"/>
                <w:lang w:val="sr-Cyrl-CS"/>
              </w:rPr>
            </w:pPr>
          </w:p>
        </w:tc>
        <w:tc>
          <w:tcPr>
            <w:tcW w:w="604" w:type="pct"/>
            <w:tcBorders>
              <w:top w:val="nil"/>
              <w:left w:val="nil"/>
              <w:bottom w:val="nil"/>
              <w:right w:val="nil"/>
            </w:tcBorders>
            <w:shd w:val="clear" w:color="000000" w:fill="E7E6E6"/>
            <w:noWrap/>
            <w:vAlign w:val="center"/>
          </w:tcPr>
          <w:p w14:paraId="459A3805" w14:textId="77777777" w:rsidR="00C06F41" w:rsidRPr="001B41AD" w:rsidRDefault="00C06F41" w:rsidP="00436957">
            <w:pPr>
              <w:jc w:val="center"/>
              <w:rPr>
                <w:rFonts w:eastAsia="Calibri" w:cstheme="minorHAnsi"/>
                <w:color w:val="002060"/>
                <w:sz w:val="18"/>
                <w:szCs w:val="18"/>
                <w:lang w:val="sr-Cyrl-CS"/>
              </w:rPr>
            </w:pPr>
          </w:p>
        </w:tc>
        <w:tc>
          <w:tcPr>
            <w:tcW w:w="603" w:type="pct"/>
            <w:tcBorders>
              <w:top w:val="nil"/>
              <w:left w:val="nil"/>
              <w:bottom w:val="nil"/>
              <w:right w:val="nil"/>
            </w:tcBorders>
            <w:shd w:val="clear" w:color="000000" w:fill="E7E6E6"/>
            <w:noWrap/>
            <w:vAlign w:val="center"/>
          </w:tcPr>
          <w:p w14:paraId="4863FA32" w14:textId="77777777" w:rsidR="00C06F41" w:rsidRPr="001B41AD" w:rsidRDefault="00C06F41" w:rsidP="00436957">
            <w:pPr>
              <w:jc w:val="center"/>
              <w:rPr>
                <w:rFonts w:eastAsia="Calibri" w:cstheme="minorHAnsi"/>
                <w:color w:val="002060"/>
                <w:sz w:val="18"/>
                <w:szCs w:val="18"/>
                <w:lang w:val="sr-Cyrl-CS"/>
              </w:rPr>
            </w:pPr>
          </w:p>
        </w:tc>
        <w:tc>
          <w:tcPr>
            <w:tcW w:w="600" w:type="pct"/>
            <w:tcBorders>
              <w:top w:val="nil"/>
              <w:left w:val="nil"/>
              <w:bottom w:val="nil"/>
              <w:right w:val="nil"/>
            </w:tcBorders>
            <w:shd w:val="clear" w:color="000000" w:fill="E7E6E6"/>
            <w:noWrap/>
            <w:vAlign w:val="center"/>
          </w:tcPr>
          <w:p w14:paraId="3E823CF6" w14:textId="77777777" w:rsidR="00C06F41" w:rsidRPr="001B41AD" w:rsidRDefault="00C06F41" w:rsidP="00436957">
            <w:pPr>
              <w:jc w:val="center"/>
              <w:rPr>
                <w:rFonts w:eastAsia="Calibri" w:cstheme="minorHAnsi"/>
                <w:color w:val="002060"/>
                <w:sz w:val="18"/>
                <w:szCs w:val="18"/>
                <w:lang w:val="sr-Cyrl-CS"/>
              </w:rPr>
            </w:pPr>
          </w:p>
        </w:tc>
      </w:tr>
      <w:tr w:rsidR="00C06F41" w:rsidRPr="001B41AD" w14:paraId="7D94B3E6" w14:textId="77777777" w:rsidTr="00436957">
        <w:trPr>
          <w:trHeight w:val="281"/>
          <w:jc w:val="center"/>
        </w:trPr>
        <w:tc>
          <w:tcPr>
            <w:tcW w:w="2590" w:type="pct"/>
            <w:noWrap/>
            <w:vAlign w:val="center"/>
            <w:hideMark/>
          </w:tcPr>
          <w:p w14:paraId="5A5FEAFF"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БДП дефлатор</w:t>
            </w:r>
          </w:p>
        </w:tc>
        <w:tc>
          <w:tcPr>
            <w:tcW w:w="603" w:type="pct"/>
            <w:tcBorders>
              <w:top w:val="nil"/>
              <w:left w:val="nil"/>
              <w:bottom w:val="nil"/>
              <w:right w:val="nil"/>
            </w:tcBorders>
            <w:noWrap/>
            <w:vAlign w:val="center"/>
          </w:tcPr>
          <w:p w14:paraId="2CC718EC" w14:textId="77777777" w:rsidR="00C06F41" w:rsidRPr="001B41AD" w:rsidRDefault="00C06F41" w:rsidP="00436957">
            <w:pPr>
              <w:jc w:val="center"/>
              <w:rPr>
                <w:color w:val="002060"/>
                <w:sz w:val="18"/>
                <w:lang w:val="sr-Cyrl-CS"/>
              </w:rPr>
            </w:pPr>
            <w:r w:rsidRPr="001B41AD">
              <w:rPr>
                <w:color w:val="002060"/>
                <w:sz w:val="18"/>
                <w:lang w:val="sr-Cyrl-CS"/>
              </w:rPr>
              <w:t>4,1</w:t>
            </w:r>
          </w:p>
        </w:tc>
        <w:tc>
          <w:tcPr>
            <w:tcW w:w="604" w:type="pct"/>
            <w:tcBorders>
              <w:top w:val="nil"/>
              <w:left w:val="nil"/>
              <w:bottom w:val="nil"/>
              <w:right w:val="nil"/>
            </w:tcBorders>
            <w:noWrap/>
            <w:vAlign w:val="center"/>
          </w:tcPr>
          <w:p w14:paraId="6D13D8DE" w14:textId="77777777" w:rsidR="00C06F41" w:rsidRPr="001B41AD" w:rsidRDefault="00C06F41" w:rsidP="00436957">
            <w:pPr>
              <w:jc w:val="center"/>
              <w:rPr>
                <w:color w:val="002060"/>
                <w:sz w:val="18"/>
                <w:lang w:val="sr-Cyrl-CS"/>
              </w:rPr>
            </w:pPr>
            <w:r w:rsidRPr="001B41AD">
              <w:rPr>
                <w:color w:val="002060"/>
                <w:sz w:val="18"/>
                <w:lang w:val="sr-Cyrl-CS"/>
              </w:rPr>
              <w:t>3,7</w:t>
            </w:r>
          </w:p>
        </w:tc>
        <w:tc>
          <w:tcPr>
            <w:tcW w:w="603" w:type="pct"/>
            <w:tcBorders>
              <w:top w:val="nil"/>
              <w:left w:val="nil"/>
              <w:bottom w:val="nil"/>
              <w:right w:val="nil"/>
            </w:tcBorders>
            <w:noWrap/>
            <w:vAlign w:val="center"/>
          </w:tcPr>
          <w:p w14:paraId="2D73B343" w14:textId="77777777" w:rsidR="00C06F41" w:rsidRPr="001B41AD" w:rsidRDefault="00C06F41" w:rsidP="00436957">
            <w:pPr>
              <w:jc w:val="center"/>
              <w:rPr>
                <w:color w:val="002060"/>
                <w:sz w:val="18"/>
                <w:lang w:val="sr-Cyrl-CS"/>
              </w:rPr>
            </w:pPr>
            <w:r w:rsidRPr="001B41AD">
              <w:rPr>
                <w:color w:val="002060"/>
                <w:sz w:val="18"/>
                <w:lang w:val="sr-Cyrl-CS"/>
              </w:rPr>
              <w:t>3,4</w:t>
            </w:r>
          </w:p>
        </w:tc>
        <w:tc>
          <w:tcPr>
            <w:tcW w:w="600" w:type="pct"/>
            <w:tcBorders>
              <w:top w:val="nil"/>
              <w:left w:val="nil"/>
              <w:bottom w:val="nil"/>
              <w:right w:val="nil"/>
            </w:tcBorders>
            <w:noWrap/>
            <w:vAlign w:val="center"/>
          </w:tcPr>
          <w:p w14:paraId="4AB0D97F" w14:textId="77777777" w:rsidR="00C06F41" w:rsidRPr="001B41AD" w:rsidRDefault="00C06F41" w:rsidP="00436957">
            <w:pPr>
              <w:jc w:val="center"/>
              <w:rPr>
                <w:color w:val="002060"/>
                <w:sz w:val="18"/>
                <w:lang w:val="sr-Cyrl-CS"/>
              </w:rPr>
            </w:pPr>
            <w:r w:rsidRPr="001B41AD">
              <w:rPr>
                <w:color w:val="002060"/>
                <w:sz w:val="18"/>
                <w:lang w:val="sr-Cyrl-CS"/>
              </w:rPr>
              <w:t>2,9</w:t>
            </w:r>
          </w:p>
        </w:tc>
      </w:tr>
      <w:tr w:rsidR="00C06F41" w:rsidRPr="001B41AD" w14:paraId="5C36F791" w14:textId="77777777" w:rsidTr="00436957">
        <w:trPr>
          <w:trHeight w:val="281"/>
          <w:jc w:val="center"/>
        </w:trPr>
        <w:tc>
          <w:tcPr>
            <w:tcW w:w="2590" w:type="pct"/>
            <w:noWrap/>
            <w:vAlign w:val="center"/>
            <w:hideMark/>
          </w:tcPr>
          <w:p w14:paraId="4CC68BCB"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Потрошачке цене (годишњи просек)</w:t>
            </w:r>
          </w:p>
        </w:tc>
        <w:tc>
          <w:tcPr>
            <w:tcW w:w="603" w:type="pct"/>
            <w:tcBorders>
              <w:top w:val="nil"/>
              <w:left w:val="nil"/>
              <w:bottom w:val="nil"/>
              <w:right w:val="nil"/>
            </w:tcBorders>
            <w:noWrap/>
            <w:vAlign w:val="center"/>
          </w:tcPr>
          <w:p w14:paraId="77EDD3B8" w14:textId="77777777" w:rsidR="00C06F41" w:rsidRPr="001B41AD" w:rsidRDefault="00C06F41" w:rsidP="00436957">
            <w:pPr>
              <w:jc w:val="center"/>
              <w:rPr>
                <w:color w:val="002060"/>
                <w:sz w:val="18"/>
                <w:lang w:val="sr-Cyrl-CS"/>
              </w:rPr>
            </w:pPr>
            <w:r w:rsidRPr="001B41AD">
              <w:rPr>
                <w:color w:val="002060"/>
                <w:sz w:val="18"/>
                <w:lang w:val="sr-Cyrl-CS"/>
              </w:rPr>
              <w:t>3,9</w:t>
            </w:r>
          </w:p>
        </w:tc>
        <w:tc>
          <w:tcPr>
            <w:tcW w:w="604" w:type="pct"/>
            <w:tcBorders>
              <w:top w:val="nil"/>
              <w:left w:val="nil"/>
              <w:bottom w:val="nil"/>
              <w:right w:val="nil"/>
            </w:tcBorders>
            <w:noWrap/>
            <w:vAlign w:val="center"/>
          </w:tcPr>
          <w:p w14:paraId="79E02609" w14:textId="77777777" w:rsidR="00C06F41" w:rsidRPr="001B41AD" w:rsidRDefault="00C06F41" w:rsidP="00436957">
            <w:pPr>
              <w:jc w:val="center"/>
              <w:rPr>
                <w:color w:val="002060"/>
                <w:sz w:val="18"/>
                <w:lang w:val="sr-Cyrl-CS"/>
              </w:rPr>
            </w:pPr>
            <w:r w:rsidRPr="001B41AD">
              <w:rPr>
                <w:color w:val="002060"/>
                <w:sz w:val="18"/>
                <w:lang w:val="sr-Cyrl-CS"/>
              </w:rPr>
              <w:t>3,7</w:t>
            </w:r>
          </w:p>
        </w:tc>
        <w:tc>
          <w:tcPr>
            <w:tcW w:w="603" w:type="pct"/>
            <w:tcBorders>
              <w:top w:val="nil"/>
              <w:left w:val="nil"/>
              <w:bottom w:val="nil"/>
              <w:right w:val="nil"/>
            </w:tcBorders>
            <w:noWrap/>
            <w:vAlign w:val="center"/>
          </w:tcPr>
          <w:p w14:paraId="27203290" w14:textId="77777777" w:rsidR="00C06F41" w:rsidRPr="001B41AD" w:rsidRDefault="00C06F41" w:rsidP="00436957">
            <w:pPr>
              <w:jc w:val="center"/>
              <w:rPr>
                <w:color w:val="002060"/>
                <w:sz w:val="18"/>
                <w:lang w:val="sr-Cyrl-CS"/>
              </w:rPr>
            </w:pPr>
            <w:r w:rsidRPr="001B41AD">
              <w:rPr>
                <w:color w:val="002060"/>
                <w:sz w:val="18"/>
                <w:lang w:val="sr-Cyrl-CS"/>
              </w:rPr>
              <w:t>3,5</w:t>
            </w:r>
          </w:p>
        </w:tc>
        <w:tc>
          <w:tcPr>
            <w:tcW w:w="600" w:type="pct"/>
            <w:tcBorders>
              <w:top w:val="nil"/>
              <w:left w:val="nil"/>
              <w:bottom w:val="nil"/>
              <w:right w:val="nil"/>
            </w:tcBorders>
            <w:noWrap/>
            <w:vAlign w:val="center"/>
          </w:tcPr>
          <w:p w14:paraId="19408B91" w14:textId="77777777" w:rsidR="00C06F41" w:rsidRPr="001B41AD" w:rsidRDefault="00C06F41" w:rsidP="00436957">
            <w:pPr>
              <w:jc w:val="center"/>
              <w:rPr>
                <w:color w:val="002060"/>
                <w:sz w:val="18"/>
                <w:lang w:val="sr-Cyrl-CS"/>
              </w:rPr>
            </w:pPr>
            <w:r w:rsidRPr="001B41AD">
              <w:rPr>
                <w:color w:val="002060"/>
                <w:sz w:val="18"/>
                <w:lang w:val="sr-Cyrl-CS"/>
              </w:rPr>
              <w:t>3,0</w:t>
            </w:r>
          </w:p>
        </w:tc>
      </w:tr>
      <w:tr w:rsidR="00C06F41" w:rsidRPr="001B41AD" w14:paraId="6B673699" w14:textId="77777777" w:rsidTr="00436957">
        <w:trPr>
          <w:trHeight w:val="281"/>
          <w:jc w:val="center"/>
        </w:trPr>
        <w:tc>
          <w:tcPr>
            <w:tcW w:w="2590" w:type="pct"/>
            <w:shd w:val="clear" w:color="auto" w:fill="E7E6E6" w:themeFill="background2"/>
            <w:noWrap/>
            <w:vAlign w:val="center"/>
            <w:hideMark/>
          </w:tcPr>
          <w:p w14:paraId="43C450DD" w14:textId="77777777" w:rsidR="00C06F41" w:rsidRPr="001B41AD" w:rsidRDefault="00C06F41" w:rsidP="00436957">
            <w:pPr>
              <w:jc w:val="left"/>
              <w:rPr>
                <w:rFonts w:eastAsia="Calibri" w:cstheme="minorHAnsi"/>
                <w:bCs/>
                <w:iCs/>
                <w:color w:val="002060"/>
                <w:sz w:val="18"/>
                <w:szCs w:val="18"/>
                <w:lang w:val="sr-Cyrl-CS"/>
              </w:rPr>
            </w:pPr>
            <w:r w:rsidRPr="001B41AD">
              <w:rPr>
                <w:rFonts w:eastAsia="Calibri" w:cstheme="minorHAnsi"/>
                <w:iCs/>
                <w:color w:val="002060"/>
                <w:sz w:val="18"/>
                <w:szCs w:val="18"/>
                <w:lang w:val="sr-Cyrl-CS"/>
              </w:rPr>
              <w:t>Кретања у спољном сектору, % БДП</w:t>
            </w:r>
          </w:p>
        </w:tc>
        <w:tc>
          <w:tcPr>
            <w:tcW w:w="603" w:type="pct"/>
            <w:tcBorders>
              <w:top w:val="nil"/>
              <w:left w:val="nil"/>
              <w:bottom w:val="nil"/>
              <w:right w:val="nil"/>
            </w:tcBorders>
            <w:shd w:val="clear" w:color="000000" w:fill="E7E6E6"/>
            <w:noWrap/>
            <w:vAlign w:val="center"/>
          </w:tcPr>
          <w:p w14:paraId="5D5F0A4C" w14:textId="77777777" w:rsidR="00C06F41" w:rsidRPr="001B41AD" w:rsidRDefault="00C06F41" w:rsidP="00436957">
            <w:pPr>
              <w:jc w:val="center"/>
              <w:rPr>
                <w:rFonts w:eastAsia="Calibri" w:cstheme="minorHAnsi"/>
                <w:color w:val="002060"/>
                <w:sz w:val="18"/>
                <w:szCs w:val="18"/>
                <w:lang w:val="sr-Cyrl-CS"/>
              </w:rPr>
            </w:pPr>
          </w:p>
        </w:tc>
        <w:tc>
          <w:tcPr>
            <w:tcW w:w="604" w:type="pct"/>
            <w:tcBorders>
              <w:top w:val="nil"/>
              <w:left w:val="nil"/>
              <w:bottom w:val="nil"/>
              <w:right w:val="nil"/>
            </w:tcBorders>
            <w:shd w:val="clear" w:color="000000" w:fill="E7E6E6"/>
            <w:noWrap/>
            <w:vAlign w:val="center"/>
          </w:tcPr>
          <w:p w14:paraId="221AE18C" w14:textId="77777777" w:rsidR="00C06F41" w:rsidRPr="001B41AD" w:rsidRDefault="00C06F41" w:rsidP="00436957">
            <w:pPr>
              <w:jc w:val="center"/>
              <w:rPr>
                <w:rFonts w:eastAsia="Calibri" w:cstheme="minorHAnsi"/>
                <w:color w:val="002060"/>
                <w:sz w:val="18"/>
                <w:szCs w:val="18"/>
                <w:lang w:val="sr-Cyrl-CS"/>
              </w:rPr>
            </w:pPr>
          </w:p>
        </w:tc>
        <w:tc>
          <w:tcPr>
            <w:tcW w:w="603" w:type="pct"/>
            <w:tcBorders>
              <w:top w:val="nil"/>
              <w:left w:val="nil"/>
              <w:bottom w:val="nil"/>
              <w:right w:val="nil"/>
            </w:tcBorders>
            <w:shd w:val="clear" w:color="000000" w:fill="E7E6E6"/>
            <w:noWrap/>
            <w:vAlign w:val="center"/>
          </w:tcPr>
          <w:p w14:paraId="7C4B8CD3" w14:textId="77777777" w:rsidR="00C06F41" w:rsidRPr="001B41AD" w:rsidRDefault="00C06F41" w:rsidP="00436957">
            <w:pPr>
              <w:jc w:val="center"/>
              <w:rPr>
                <w:rFonts w:eastAsia="Calibri" w:cstheme="minorHAnsi"/>
                <w:color w:val="002060"/>
                <w:sz w:val="18"/>
                <w:szCs w:val="18"/>
                <w:lang w:val="sr-Cyrl-CS"/>
              </w:rPr>
            </w:pPr>
          </w:p>
        </w:tc>
        <w:tc>
          <w:tcPr>
            <w:tcW w:w="600" w:type="pct"/>
            <w:tcBorders>
              <w:top w:val="nil"/>
              <w:left w:val="nil"/>
              <w:bottom w:val="nil"/>
              <w:right w:val="nil"/>
            </w:tcBorders>
            <w:shd w:val="clear" w:color="000000" w:fill="E7E6E6"/>
            <w:noWrap/>
            <w:vAlign w:val="center"/>
          </w:tcPr>
          <w:p w14:paraId="79667A1A" w14:textId="77777777" w:rsidR="00C06F41" w:rsidRPr="001B41AD" w:rsidRDefault="00C06F41" w:rsidP="00436957">
            <w:pPr>
              <w:jc w:val="center"/>
              <w:rPr>
                <w:rFonts w:eastAsia="Calibri" w:cstheme="minorHAnsi"/>
                <w:color w:val="002060"/>
                <w:sz w:val="18"/>
                <w:szCs w:val="18"/>
                <w:lang w:val="sr-Cyrl-CS"/>
              </w:rPr>
            </w:pPr>
          </w:p>
        </w:tc>
      </w:tr>
      <w:tr w:rsidR="00C06F41" w:rsidRPr="001B41AD" w14:paraId="4E8D3FC6" w14:textId="77777777" w:rsidTr="00436957">
        <w:trPr>
          <w:trHeight w:val="281"/>
          <w:jc w:val="center"/>
        </w:trPr>
        <w:tc>
          <w:tcPr>
            <w:tcW w:w="2590" w:type="pct"/>
            <w:noWrap/>
            <w:vAlign w:val="center"/>
            <w:hideMark/>
          </w:tcPr>
          <w:p w14:paraId="71A66EDC"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Салдо текућег рачуна</w:t>
            </w:r>
          </w:p>
        </w:tc>
        <w:tc>
          <w:tcPr>
            <w:tcW w:w="603" w:type="pct"/>
            <w:tcBorders>
              <w:top w:val="nil"/>
              <w:left w:val="nil"/>
              <w:bottom w:val="nil"/>
              <w:right w:val="nil"/>
            </w:tcBorders>
            <w:noWrap/>
            <w:vAlign w:val="center"/>
          </w:tcPr>
          <w:p w14:paraId="18F7E1B0" w14:textId="77777777" w:rsidR="00C06F41" w:rsidRPr="001B41AD" w:rsidRDefault="00C06F41" w:rsidP="00436957">
            <w:pPr>
              <w:jc w:val="center"/>
              <w:rPr>
                <w:color w:val="002060"/>
                <w:sz w:val="18"/>
                <w:lang w:val="sr-Cyrl-CS"/>
              </w:rPr>
            </w:pPr>
            <w:r w:rsidRPr="001B41AD">
              <w:rPr>
                <w:color w:val="002060"/>
                <w:sz w:val="18"/>
                <w:lang w:val="sr-Cyrl-CS"/>
              </w:rPr>
              <w:t>-5,3</w:t>
            </w:r>
          </w:p>
        </w:tc>
        <w:tc>
          <w:tcPr>
            <w:tcW w:w="604" w:type="pct"/>
            <w:tcBorders>
              <w:top w:val="nil"/>
              <w:left w:val="nil"/>
              <w:bottom w:val="nil"/>
              <w:right w:val="nil"/>
            </w:tcBorders>
            <w:noWrap/>
            <w:vAlign w:val="center"/>
          </w:tcPr>
          <w:p w14:paraId="7899E8D6" w14:textId="77777777" w:rsidR="00C06F41" w:rsidRPr="001B41AD" w:rsidRDefault="00C06F41" w:rsidP="00436957">
            <w:pPr>
              <w:jc w:val="center"/>
              <w:rPr>
                <w:color w:val="002060"/>
                <w:sz w:val="18"/>
                <w:lang w:val="sr-Cyrl-CS"/>
              </w:rPr>
            </w:pPr>
            <w:r w:rsidRPr="001B41AD">
              <w:rPr>
                <w:color w:val="002060"/>
                <w:sz w:val="18"/>
                <w:lang w:val="sr-Cyrl-CS"/>
              </w:rPr>
              <w:t>-6,0</w:t>
            </w:r>
          </w:p>
        </w:tc>
        <w:tc>
          <w:tcPr>
            <w:tcW w:w="603" w:type="pct"/>
            <w:tcBorders>
              <w:top w:val="nil"/>
              <w:left w:val="nil"/>
              <w:bottom w:val="nil"/>
              <w:right w:val="nil"/>
            </w:tcBorders>
            <w:noWrap/>
            <w:vAlign w:val="center"/>
          </w:tcPr>
          <w:p w14:paraId="43865A05" w14:textId="77777777" w:rsidR="00C06F41" w:rsidRPr="001B41AD" w:rsidRDefault="00C06F41" w:rsidP="00436957">
            <w:pPr>
              <w:jc w:val="center"/>
              <w:rPr>
                <w:color w:val="002060"/>
                <w:sz w:val="18"/>
                <w:lang w:val="sr-Cyrl-CS"/>
              </w:rPr>
            </w:pPr>
            <w:r w:rsidRPr="001B41AD">
              <w:rPr>
                <w:color w:val="002060"/>
                <w:sz w:val="18"/>
                <w:lang w:val="sr-Cyrl-CS"/>
              </w:rPr>
              <w:t>-4,9</w:t>
            </w:r>
          </w:p>
        </w:tc>
        <w:tc>
          <w:tcPr>
            <w:tcW w:w="600" w:type="pct"/>
            <w:tcBorders>
              <w:top w:val="nil"/>
              <w:left w:val="nil"/>
              <w:bottom w:val="nil"/>
              <w:right w:val="nil"/>
            </w:tcBorders>
            <w:noWrap/>
            <w:vAlign w:val="center"/>
          </w:tcPr>
          <w:p w14:paraId="14384A76" w14:textId="77777777" w:rsidR="00C06F41" w:rsidRPr="001B41AD" w:rsidRDefault="00C06F41" w:rsidP="00436957">
            <w:pPr>
              <w:jc w:val="center"/>
              <w:rPr>
                <w:color w:val="002060"/>
                <w:sz w:val="18"/>
                <w:lang w:val="sr-Cyrl-CS"/>
              </w:rPr>
            </w:pPr>
            <w:r w:rsidRPr="001B41AD">
              <w:rPr>
                <w:color w:val="002060"/>
                <w:sz w:val="18"/>
                <w:lang w:val="sr-Cyrl-CS"/>
              </w:rPr>
              <w:t>-5,1</w:t>
            </w:r>
          </w:p>
        </w:tc>
      </w:tr>
      <w:tr w:rsidR="00C06F41" w:rsidRPr="001B41AD" w14:paraId="6CEC6B7D" w14:textId="77777777" w:rsidTr="00436957">
        <w:trPr>
          <w:trHeight w:val="283"/>
          <w:jc w:val="center"/>
        </w:trPr>
        <w:tc>
          <w:tcPr>
            <w:tcW w:w="2590" w:type="pct"/>
            <w:shd w:val="clear" w:color="auto" w:fill="E7E6E6" w:themeFill="background2"/>
            <w:noWrap/>
            <w:vAlign w:val="center"/>
            <w:hideMark/>
          </w:tcPr>
          <w:p w14:paraId="1BD45D88" w14:textId="77777777" w:rsidR="00C06F41" w:rsidRPr="001B41AD" w:rsidRDefault="00C06F41" w:rsidP="00436957">
            <w:pPr>
              <w:jc w:val="left"/>
              <w:rPr>
                <w:rFonts w:eastAsia="Calibri" w:cstheme="minorHAnsi"/>
                <w:bCs/>
                <w:iCs/>
                <w:color w:val="002060"/>
                <w:sz w:val="18"/>
                <w:szCs w:val="18"/>
                <w:lang w:val="sr-Cyrl-CS"/>
              </w:rPr>
            </w:pPr>
            <w:r w:rsidRPr="001B41AD">
              <w:rPr>
                <w:rFonts w:eastAsia="Calibri" w:cstheme="minorHAnsi"/>
                <w:iCs/>
                <w:color w:val="002060"/>
                <w:sz w:val="18"/>
                <w:szCs w:val="18"/>
                <w:lang w:val="sr-Cyrl-CS"/>
              </w:rPr>
              <w:t>Фискални индикатори, % БДП</w:t>
            </w:r>
          </w:p>
        </w:tc>
        <w:tc>
          <w:tcPr>
            <w:tcW w:w="603" w:type="pct"/>
            <w:shd w:val="clear" w:color="auto" w:fill="E7E6E6" w:themeFill="background2"/>
            <w:noWrap/>
            <w:vAlign w:val="center"/>
          </w:tcPr>
          <w:p w14:paraId="3D14F2A3" w14:textId="77777777" w:rsidR="00C06F41" w:rsidRPr="001B41AD" w:rsidRDefault="00C06F41" w:rsidP="00436957">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67AD34F3" w14:textId="77777777" w:rsidR="00C06F41" w:rsidRPr="001B41AD" w:rsidRDefault="00C06F41" w:rsidP="00436957">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7AD53108" w14:textId="77777777" w:rsidR="00C06F41" w:rsidRPr="001B41AD" w:rsidRDefault="00C06F41" w:rsidP="00436957">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5FC6E92E" w14:textId="77777777" w:rsidR="00C06F41" w:rsidRPr="001B41AD" w:rsidRDefault="00C06F41" w:rsidP="00436957">
            <w:pPr>
              <w:jc w:val="center"/>
              <w:rPr>
                <w:rFonts w:eastAsia="Calibri" w:cstheme="minorHAnsi"/>
                <w:color w:val="002060"/>
                <w:sz w:val="18"/>
                <w:szCs w:val="18"/>
                <w:lang w:val="sr-Cyrl-CS"/>
              </w:rPr>
            </w:pPr>
          </w:p>
        </w:tc>
      </w:tr>
      <w:tr w:rsidR="00C06F41" w:rsidRPr="001B41AD" w14:paraId="6AA3E163" w14:textId="77777777" w:rsidTr="00436957">
        <w:trPr>
          <w:trHeight w:val="281"/>
          <w:jc w:val="center"/>
        </w:trPr>
        <w:tc>
          <w:tcPr>
            <w:tcW w:w="2590" w:type="pct"/>
            <w:noWrap/>
            <w:vAlign w:val="center"/>
            <w:hideMark/>
          </w:tcPr>
          <w:p w14:paraId="44E49C30"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Фискални резултат сектора државе</w:t>
            </w:r>
          </w:p>
        </w:tc>
        <w:tc>
          <w:tcPr>
            <w:tcW w:w="603" w:type="pct"/>
            <w:tcBorders>
              <w:top w:val="nil"/>
              <w:left w:val="nil"/>
              <w:bottom w:val="nil"/>
              <w:right w:val="nil"/>
            </w:tcBorders>
            <w:noWrap/>
          </w:tcPr>
          <w:p w14:paraId="1148A7FF" w14:textId="77777777" w:rsidR="00C06F41" w:rsidRPr="001B41AD" w:rsidRDefault="00C06F41" w:rsidP="00436957">
            <w:pPr>
              <w:jc w:val="center"/>
              <w:rPr>
                <w:color w:val="002060"/>
                <w:sz w:val="18"/>
                <w:lang w:val="sr-Cyrl-CS"/>
              </w:rPr>
            </w:pPr>
            <w:r w:rsidRPr="001B41AD">
              <w:rPr>
                <w:color w:val="002060"/>
                <w:sz w:val="18"/>
                <w:lang w:val="sr-Cyrl-CS"/>
              </w:rPr>
              <w:t>-3,0</w:t>
            </w:r>
          </w:p>
        </w:tc>
        <w:tc>
          <w:tcPr>
            <w:tcW w:w="604" w:type="pct"/>
            <w:tcBorders>
              <w:top w:val="nil"/>
              <w:left w:val="nil"/>
              <w:bottom w:val="nil"/>
              <w:right w:val="nil"/>
            </w:tcBorders>
            <w:noWrap/>
          </w:tcPr>
          <w:p w14:paraId="2B618AD9" w14:textId="77777777" w:rsidR="00C06F41" w:rsidRPr="001B41AD" w:rsidRDefault="00C06F41" w:rsidP="00436957">
            <w:pPr>
              <w:jc w:val="center"/>
              <w:rPr>
                <w:color w:val="002060"/>
                <w:sz w:val="18"/>
                <w:lang w:val="sr-Cyrl-CS"/>
              </w:rPr>
            </w:pPr>
            <w:r w:rsidRPr="001B41AD">
              <w:rPr>
                <w:color w:val="002060"/>
                <w:sz w:val="18"/>
                <w:lang w:val="sr-Cyrl-CS"/>
              </w:rPr>
              <w:t>-3,0</w:t>
            </w:r>
          </w:p>
        </w:tc>
        <w:tc>
          <w:tcPr>
            <w:tcW w:w="603" w:type="pct"/>
            <w:tcBorders>
              <w:top w:val="nil"/>
              <w:left w:val="nil"/>
              <w:bottom w:val="nil"/>
              <w:right w:val="nil"/>
            </w:tcBorders>
            <w:noWrap/>
          </w:tcPr>
          <w:p w14:paraId="58187CEC" w14:textId="77777777" w:rsidR="00C06F41" w:rsidRPr="001B41AD" w:rsidRDefault="00C06F41" w:rsidP="00436957">
            <w:pPr>
              <w:jc w:val="center"/>
              <w:rPr>
                <w:color w:val="002060"/>
                <w:sz w:val="18"/>
                <w:lang w:val="sr-Cyrl-CS"/>
              </w:rPr>
            </w:pPr>
            <w:r w:rsidRPr="001B41AD">
              <w:rPr>
                <w:color w:val="002060"/>
                <w:sz w:val="18"/>
                <w:lang w:val="sr-Cyrl-CS"/>
              </w:rPr>
              <w:t>-3,0</w:t>
            </w:r>
          </w:p>
        </w:tc>
        <w:tc>
          <w:tcPr>
            <w:tcW w:w="600" w:type="pct"/>
            <w:tcBorders>
              <w:top w:val="nil"/>
              <w:left w:val="nil"/>
              <w:bottom w:val="nil"/>
              <w:right w:val="nil"/>
            </w:tcBorders>
            <w:noWrap/>
          </w:tcPr>
          <w:p w14:paraId="3E7D5E9F" w14:textId="77777777" w:rsidR="00C06F41" w:rsidRPr="001B41AD" w:rsidRDefault="00C06F41" w:rsidP="00436957">
            <w:pPr>
              <w:jc w:val="center"/>
              <w:rPr>
                <w:color w:val="002060"/>
                <w:sz w:val="18"/>
                <w:lang w:val="sr-Cyrl-CS"/>
              </w:rPr>
            </w:pPr>
            <w:r w:rsidRPr="001B41AD">
              <w:rPr>
                <w:color w:val="002060"/>
                <w:sz w:val="18"/>
                <w:lang w:val="sr-Cyrl-CS"/>
              </w:rPr>
              <w:t>-2,5</w:t>
            </w:r>
          </w:p>
        </w:tc>
      </w:tr>
      <w:tr w:rsidR="00C06F41" w:rsidRPr="001B41AD" w14:paraId="4FABEEB4" w14:textId="77777777" w:rsidTr="00436957">
        <w:trPr>
          <w:trHeight w:val="281"/>
          <w:jc w:val="center"/>
        </w:trPr>
        <w:tc>
          <w:tcPr>
            <w:tcW w:w="2590" w:type="pct"/>
            <w:noWrap/>
            <w:vAlign w:val="center"/>
            <w:hideMark/>
          </w:tcPr>
          <w:p w14:paraId="2C0A74D3"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Консолидовани приходи</w:t>
            </w:r>
          </w:p>
        </w:tc>
        <w:tc>
          <w:tcPr>
            <w:tcW w:w="603" w:type="pct"/>
            <w:tcBorders>
              <w:top w:val="nil"/>
              <w:left w:val="nil"/>
              <w:bottom w:val="nil"/>
              <w:right w:val="nil"/>
            </w:tcBorders>
            <w:noWrap/>
          </w:tcPr>
          <w:p w14:paraId="28307EAC" w14:textId="77777777" w:rsidR="00C06F41" w:rsidRPr="001B41AD" w:rsidRDefault="00C06F41" w:rsidP="00436957">
            <w:pPr>
              <w:jc w:val="center"/>
              <w:rPr>
                <w:color w:val="002060"/>
                <w:sz w:val="18"/>
                <w:lang w:val="sr-Cyrl-CS"/>
              </w:rPr>
            </w:pPr>
            <w:r w:rsidRPr="001B41AD">
              <w:rPr>
                <w:color w:val="002060"/>
                <w:sz w:val="18"/>
                <w:lang w:val="sr-Cyrl-CS"/>
              </w:rPr>
              <w:t>40,9</w:t>
            </w:r>
          </w:p>
        </w:tc>
        <w:tc>
          <w:tcPr>
            <w:tcW w:w="604" w:type="pct"/>
            <w:tcBorders>
              <w:top w:val="nil"/>
              <w:left w:val="nil"/>
              <w:bottom w:val="nil"/>
              <w:right w:val="nil"/>
            </w:tcBorders>
            <w:noWrap/>
          </w:tcPr>
          <w:p w14:paraId="677852EA" w14:textId="77777777" w:rsidR="00C06F41" w:rsidRPr="001B41AD" w:rsidRDefault="00C06F41" w:rsidP="00436957">
            <w:pPr>
              <w:jc w:val="center"/>
              <w:rPr>
                <w:color w:val="002060"/>
                <w:sz w:val="18"/>
                <w:lang w:val="sr-Cyrl-CS"/>
              </w:rPr>
            </w:pPr>
            <w:r w:rsidRPr="001B41AD">
              <w:rPr>
                <w:color w:val="002060"/>
                <w:sz w:val="18"/>
                <w:lang w:val="sr-Cyrl-CS"/>
              </w:rPr>
              <w:t>40,9</w:t>
            </w:r>
          </w:p>
        </w:tc>
        <w:tc>
          <w:tcPr>
            <w:tcW w:w="603" w:type="pct"/>
            <w:tcBorders>
              <w:top w:val="nil"/>
              <w:left w:val="nil"/>
              <w:bottom w:val="nil"/>
              <w:right w:val="nil"/>
            </w:tcBorders>
            <w:noWrap/>
          </w:tcPr>
          <w:p w14:paraId="0E11D153" w14:textId="77777777" w:rsidR="00C06F41" w:rsidRPr="001B41AD" w:rsidRDefault="00C06F41" w:rsidP="00436957">
            <w:pPr>
              <w:jc w:val="center"/>
              <w:rPr>
                <w:color w:val="002060"/>
                <w:sz w:val="18"/>
                <w:lang w:val="sr-Cyrl-CS"/>
              </w:rPr>
            </w:pPr>
            <w:r w:rsidRPr="001B41AD">
              <w:rPr>
                <w:color w:val="002060"/>
                <w:sz w:val="18"/>
                <w:lang w:val="sr-Cyrl-CS"/>
              </w:rPr>
              <w:t>40,1</w:t>
            </w:r>
          </w:p>
        </w:tc>
        <w:tc>
          <w:tcPr>
            <w:tcW w:w="600" w:type="pct"/>
            <w:tcBorders>
              <w:top w:val="nil"/>
              <w:left w:val="nil"/>
              <w:bottom w:val="nil"/>
              <w:right w:val="nil"/>
            </w:tcBorders>
            <w:noWrap/>
          </w:tcPr>
          <w:p w14:paraId="5C98095C" w14:textId="77777777" w:rsidR="00C06F41" w:rsidRPr="001B41AD" w:rsidRDefault="00C06F41" w:rsidP="00436957">
            <w:pPr>
              <w:jc w:val="center"/>
              <w:rPr>
                <w:color w:val="002060"/>
                <w:sz w:val="18"/>
                <w:lang w:val="sr-Cyrl-CS"/>
              </w:rPr>
            </w:pPr>
            <w:r w:rsidRPr="001B41AD">
              <w:rPr>
                <w:color w:val="002060"/>
                <w:sz w:val="18"/>
                <w:lang w:val="sr-Cyrl-CS"/>
              </w:rPr>
              <w:t>40,0</w:t>
            </w:r>
          </w:p>
        </w:tc>
      </w:tr>
      <w:tr w:rsidR="00C06F41" w:rsidRPr="001B41AD" w14:paraId="64A787DB" w14:textId="77777777" w:rsidTr="00436957">
        <w:trPr>
          <w:trHeight w:val="281"/>
          <w:jc w:val="center"/>
        </w:trPr>
        <w:tc>
          <w:tcPr>
            <w:tcW w:w="2590" w:type="pct"/>
            <w:noWrap/>
            <w:vAlign w:val="center"/>
            <w:hideMark/>
          </w:tcPr>
          <w:p w14:paraId="11F158E5" w14:textId="77777777" w:rsidR="00C06F41" w:rsidRPr="001B41AD" w:rsidRDefault="00C06F41" w:rsidP="00436957">
            <w:pPr>
              <w:ind w:left="113"/>
              <w:jc w:val="left"/>
              <w:rPr>
                <w:rFonts w:eastAsia="Calibri" w:cstheme="minorHAnsi"/>
                <w:color w:val="002060"/>
                <w:sz w:val="18"/>
                <w:szCs w:val="18"/>
                <w:lang w:val="sr-Cyrl-CS"/>
              </w:rPr>
            </w:pPr>
            <w:r w:rsidRPr="001B41AD">
              <w:rPr>
                <w:rFonts w:eastAsia="Calibri" w:cstheme="minorHAnsi"/>
                <w:color w:val="002060"/>
                <w:sz w:val="18"/>
                <w:szCs w:val="18"/>
                <w:lang w:val="sr-Cyrl-CS"/>
              </w:rPr>
              <w:t>Консолидовани расходи</w:t>
            </w:r>
          </w:p>
        </w:tc>
        <w:tc>
          <w:tcPr>
            <w:tcW w:w="603" w:type="pct"/>
            <w:tcBorders>
              <w:top w:val="nil"/>
              <w:left w:val="nil"/>
              <w:right w:val="nil"/>
            </w:tcBorders>
            <w:noWrap/>
          </w:tcPr>
          <w:p w14:paraId="72EBF313" w14:textId="77777777" w:rsidR="00C06F41" w:rsidRPr="001B41AD" w:rsidRDefault="00C06F41" w:rsidP="00436957">
            <w:pPr>
              <w:jc w:val="center"/>
              <w:rPr>
                <w:color w:val="002060"/>
                <w:sz w:val="18"/>
                <w:lang w:val="sr-Cyrl-CS"/>
              </w:rPr>
            </w:pPr>
            <w:r w:rsidRPr="001B41AD">
              <w:rPr>
                <w:color w:val="002060"/>
                <w:sz w:val="18"/>
                <w:lang w:val="sr-Cyrl-CS"/>
              </w:rPr>
              <w:t>43,9</w:t>
            </w:r>
          </w:p>
        </w:tc>
        <w:tc>
          <w:tcPr>
            <w:tcW w:w="604" w:type="pct"/>
            <w:tcBorders>
              <w:top w:val="nil"/>
              <w:left w:val="nil"/>
              <w:right w:val="nil"/>
            </w:tcBorders>
            <w:noWrap/>
          </w:tcPr>
          <w:p w14:paraId="60D90E58" w14:textId="77777777" w:rsidR="00C06F41" w:rsidRPr="001B41AD" w:rsidRDefault="00C06F41" w:rsidP="00436957">
            <w:pPr>
              <w:jc w:val="center"/>
              <w:rPr>
                <w:color w:val="002060"/>
                <w:sz w:val="18"/>
                <w:lang w:val="sr-Cyrl-CS"/>
              </w:rPr>
            </w:pPr>
            <w:r w:rsidRPr="001B41AD">
              <w:rPr>
                <w:color w:val="002060"/>
                <w:sz w:val="18"/>
                <w:lang w:val="sr-Cyrl-CS"/>
              </w:rPr>
              <w:t>43,9</w:t>
            </w:r>
          </w:p>
        </w:tc>
        <w:tc>
          <w:tcPr>
            <w:tcW w:w="603" w:type="pct"/>
            <w:tcBorders>
              <w:top w:val="nil"/>
              <w:left w:val="nil"/>
              <w:right w:val="nil"/>
            </w:tcBorders>
            <w:noWrap/>
          </w:tcPr>
          <w:p w14:paraId="02083C49" w14:textId="77777777" w:rsidR="00C06F41" w:rsidRPr="001B41AD" w:rsidRDefault="00C06F41" w:rsidP="00436957">
            <w:pPr>
              <w:jc w:val="center"/>
              <w:rPr>
                <w:color w:val="002060"/>
                <w:sz w:val="18"/>
                <w:lang w:val="sr-Cyrl-CS"/>
              </w:rPr>
            </w:pPr>
            <w:r w:rsidRPr="001B41AD">
              <w:rPr>
                <w:color w:val="002060"/>
                <w:sz w:val="18"/>
                <w:lang w:val="sr-Cyrl-CS"/>
              </w:rPr>
              <w:t>43,1</w:t>
            </w:r>
          </w:p>
        </w:tc>
        <w:tc>
          <w:tcPr>
            <w:tcW w:w="600" w:type="pct"/>
            <w:tcBorders>
              <w:top w:val="nil"/>
              <w:left w:val="nil"/>
              <w:right w:val="nil"/>
            </w:tcBorders>
            <w:noWrap/>
          </w:tcPr>
          <w:p w14:paraId="10FD68BB" w14:textId="77777777" w:rsidR="00C06F41" w:rsidRPr="001B41AD" w:rsidRDefault="00C06F41" w:rsidP="00436957">
            <w:pPr>
              <w:jc w:val="center"/>
              <w:rPr>
                <w:color w:val="002060"/>
                <w:sz w:val="18"/>
                <w:lang w:val="sr-Cyrl-CS"/>
              </w:rPr>
            </w:pPr>
            <w:r w:rsidRPr="001B41AD">
              <w:rPr>
                <w:color w:val="002060"/>
                <w:sz w:val="18"/>
                <w:lang w:val="sr-Cyrl-CS"/>
              </w:rPr>
              <w:t>42,5</w:t>
            </w:r>
          </w:p>
        </w:tc>
      </w:tr>
      <w:tr w:rsidR="00C06F41" w:rsidRPr="001B41AD" w14:paraId="2C7BC510" w14:textId="77777777" w:rsidTr="00436957">
        <w:trPr>
          <w:trHeight w:val="281"/>
          <w:jc w:val="center"/>
        </w:trPr>
        <w:tc>
          <w:tcPr>
            <w:tcW w:w="2590" w:type="pct"/>
            <w:tcBorders>
              <w:bottom w:val="single" w:sz="4" w:space="0" w:color="002060"/>
            </w:tcBorders>
            <w:noWrap/>
            <w:vAlign w:val="center"/>
            <w:hideMark/>
          </w:tcPr>
          <w:p w14:paraId="0A13B6B3" w14:textId="77777777" w:rsidR="00C06F41" w:rsidRPr="001B41AD" w:rsidRDefault="00C06F41" w:rsidP="00436957">
            <w:pPr>
              <w:ind w:left="113"/>
              <w:jc w:val="left"/>
              <w:rPr>
                <w:rFonts w:eastAsia="Calibri" w:cstheme="minorHAnsi"/>
                <w:bCs/>
                <w:color w:val="002060"/>
                <w:sz w:val="18"/>
                <w:szCs w:val="18"/>
                <w:lang w:val="sr-Cyrl-CS"/>
              </w:rPr>
            </w:pPr>
            <w:r w:rsidRPr="001B41AD">
              <w:rPr>
                <w:rFonts w:eastAsia="Calibri" w:cstheme="minorHAnsi"/>
                <w:color w:val="002060"/>
                <w:sz w:val="18"/>
                <w:szCs w:val="18"/>
                <w:lang w:val="sr-Cyrl-CS"/>
              </w:rPr>
              <w:t>Бруто дуг сектора државе</w:t>
            </w:r>
          </w:p>
        </w:tc>
        <w:tc>
          <w:tcPr>
            <w:tcW w:w="603" w:type="pct"/>
            <w:tcBorders>
              <w:top w:val="nil"/>
              <w:left w:val="nil"/>
              <w:bottom w:val="single" w:sz="4" w:space="0" w:color="002060"/>
              <w:right w:val="nil"/>
            </w:tcBorders>
            <w:noWrap/>
          </w:tcPr>
          <w:p w14:paraId="3154B836" w14:textId="77777777" w:rsidR="00C06F41" w:rsidRPr="001B41AD" w:rsidRDefault="00C06F41" w:rsidP="00436957">
            <w:pPr>
              <w:jc w:val="center"/>
              <w:rPr>
                <w:color w:val="002060"/>
                <w:sz w:val="18"/>
                <w:lang w:val="sr-Cyrl-CS"/>
              </w:rPr>
            </w:pPr>
            <w:r w:rsidRPr="001B41AD">
              <w:rPr>
                <w:color w:val="002060"/>
                <w:sz w:val="18"/>
                <w:lang w:val="sr-Cyrl-CS"/>
              </w:rPr>
              <w:t>45,0</w:t>
            </w:r>
          </w:p>
        </w:tc>
        <w:tc>
          <w:tcPr>
            <w:tcW w:w="604" w:type="pct"/>
            <w:tcBorders>
              <w:top w:val="nil"/>
              <w:left w:val="nil"/>
              <w:bottom w:val="single" w:sz="4" w:space="0" w:color="002060"/>
              <w:right w:val="nil"/>
            </w:tcBorders>
            <w:noWrap/>
          </w:tcPr>
          <w:p w14:paraId="1A2BB886" w14:textId="77777777" w:rsidR="00C06F41" w:rsidRPr="001B41AD" w:rsidRDefault="00C06F41" w:rsidP="00436957">
            <w:pPr>
              <w:jc w:val="center"/>
              <w:rPr>
                <w:color w:val="002060"/>
                <w:sz w:val="18"/>
                <w:lang w:val="sr-Cyrl-CS"/>
              </w:rPr>
            </w:pPr>
            <w:r w:rsidRPr="001B41AD">
              <w:rPr>
                <w:color w:val="002060"/>
                <w:sz w:val="18"/>
                <w:lang w:val="sr-Cyrl-CS"/>
              </w:rPr>
              <w:t>44,5</w:t>
            </w:r>
          </w:p>
        </w:tc>
        <w:tc>
          <w:tcPr>
            <w:tcW w:w="603" w:type="pct"/>
            <w:tcBorders>
              <w:top w:val="nil"/>
              <w:left w:val="nil"/>
              <w:bottom w:val="single" w:sz="4" w:space="0" w:color="002060"/>
              <w:right w:val="nil"/>
            </w:tcBorders>
            <w:noWrap/>
          </w:tcPr>
          <w:p w14:paraId="1A52BC68" w14:textId="77777777" w:rsidR="00C06F41" w:rsidRPr="001B41AD" w:rsidRDefault="00C06F41" w:rsidP="00436957">
            <w:pPr>
              <w:jc w:val="center"/>
              <w:rPr>
                <w:color w:val="002060"/>
                <w:sz w:val="18"/>
                <w:lang w:val="sr-Cyrl-CS"/>
              </w:rPr>
            </w:pPr>
            <w:r w:rsidRPr="001B41AD">
              <w:rPr>
                <w:color w:val="002060"/>
                <w:sz w:val="18"/>
                <w:lang w:val="sr-Cyrl-CS"/>
              </w:rPr>
              <w:t>44,3</w:t>
            </w:r>
          </w:p>
        </w:tc>
        <w:tc>
          <w:tcPr>
            <w:tcW w:w="600" w:type="pct"/>
            <w:tcBorders>
              <w:top w:val="nil"/>
              <w:left w:val="nil"/>
              <w:bottom w:val="single" w:sz="4" w:space="0" w:color="002060"/>
              <w:right w:val="nil"/>
            </w:tcBorders>
            <w:noWrap/>
          </w:tcPr>
          <w:p w14:paraId="73129F72" w14:textId="77777777" w:rsidR="00C06F41" w:rsidRPr="001B41AD" w:rsidRDefault="00C06F41" w:rsidP="00436957">
            <w:pPr>
              <w:jc w:val="center"/>
              <w:rPr>
                <w:color w:val="002060"/>
                <w:sz w:val="18"/>
                <w:lang w:val="sr-Cyrl-CS"/>
              </w:rPr>
            </w:pPr>
            <w:r w:rsidRPr="001B41AD">
              <w:rPr>
                <w:color w:val="002060"/>
                <w:sz w:val="18"/>
                <w:lang w:val="sr-Cyrl-CS"/>
              </w:rPr>
              <w:t>44,1</w:t>
            </w:r>
          </w:p>
        </w:tc>
      </w:tr>
      <w:bookmarkEnd w:id="73"/>
      <w:bookmarkEnd w:id="74"/>
      <w:bookmarkEnd w:id="75"/>
      <w:bookmarkEnd w:id="76"/>
      <w:bookmarkEnd w:id="77"/>
      <w:bookmarkEnd w:id="78"/>
      <w:bookmarkEnd w:id="79"/>
    </w:tbl>
    <w:p w14:paraId="2343B8FA" w14:textId="77777777" w:rsidR="00C06F41" w:rsidRPr="001B41AD" w:rsidRDefault="00C06F41" w:rsidP="00C06F41">
      <w:pPr>
        <w:spacing w:after="0"/>
        <w:rPr>
          <w:color w:val="002060"/>
          <w:lang w:val="sr-Cyrl-CS"/>
        </w:rPr>
      </w:pPr>
    </w:p>
    <w:p w14:paraId="781C1134" w14:textId="77777777" w:rsidR="00DF656E" w:rsidRPr="001B41AD" w:rsidRDefault="00DF656E" w:rsidP="00DF656E">
      <w:pPr>
        <w:jc w:val="left"/>
        <w:rPr>
          <w:lang w:val="sr-Cyrl-CS"/>
        </w:rPr>
      </w:pPr>
    </w:p>
    <w:p w14:paraId="67CCF58B" w14:textId="77777777" w:rsidR="00DF656E" w:rsidRPr="001B41AD" w:rsidRDefault="00DF656E" w:rsidP="00B63247">
      <w:pPr>
        <w:rPr>
          <w:lang w:val="sr-Cyrl-CS"/>
        </w:rPr>
      </w:pPr>
    </w:p>
    <w:p w14:paraId="3CF4C6DD" w14:textId="77777777" w:rsidR="00DF656E" w:rsidRPr="001B41AD" w:rsidRDefault="00DF656E" w:rsidP="00DF656E">
      <w:pPr>
        <w:spacing w:after="0"/>
        <w:rPr>
          <w:color w:val="2F5496" w:themeColor="accent1" w:themeShade="BF"/>
          <w:sz w:val="14"/>
          <w:szCs w:val="26"/>
          <w:lang w:val="sr-Cyrl-CS"/>
        </w:rPr>
      </w:pPr>
      <w:bookmarkStart w:id="80" w:name="_Toc72394589"/>
      <w:bookmarkStart w:id="81" w:name="_Toc86923731"/>
    </w:p>
    <w:bookmarkEnd w:id="80"/>
    <w:bookmarkEnd w:id="81"/>
    <w:p w14:paraId="157DDF4F" w14:textId="77777777" w:rsidR="00E17C07" w:rsidRPr="001B41AD" w:rsidRDefault="00E17C07" w:rsidP="00B63247">
      <w:pPr>
        <w:rPr>
          <w:lang w:val="sr-Cyrl-CS"/>
        </w:rPr>
        <w:sectPr w:rsidR="00E17C07" w:rsidRPr="001B41AD" w:rsidSect="00DF656E">
          <w:pgSz w:w="12240" w:h="15840" w:code="1"/>
          <w:pgMar w:top="0" w:right="1440" w:bottom="0" w:left="1440" w:header="720" w:footer="720" w:gutter="0"/>
          <w:cols w:space="720"/>
          <w:docGrid w:linePitch="360"/>
        </w:sectPr>
      </w:pPr>
    </w:p>
    <w:p w14:paraId="18EC9711" w14:textId="77777777" w:rsidR="00DF656E" w:rsidRPr="001B41AD" w:rsidRDefault="00DF656E" w:rsidP="006A7014">
      <w:pPr>
        <w:keepNext/>
        <w:keepLines/>
        <w:spacing w:before="40"/>
        <w:ind w:left="360"/>
        <w:outlineLvl w:val="0"/>
        <w:rPr>
          <w:rFonts w:eastAsiaTheme="majorEastAsia" w:cstheme="minorHAnsi"/>
          <w:color w:val="002060"/>
          <w:sz w:val="24"/>
          <w:szCs w:val="26"/>
          <w:lang w:val="sr-Cyrl-CS"/>
        </w:rPr>
      </w:pPr>
      <w:bookmarkStart w:id="82" w:name="_Toc119654153"/>
      <w:bookmarkStart w:id="83" w:name="_Toc212642478"/>
      <w:r w:rsidRPr="001B41AD">
        <w:rPr>
          <w:rFonts w:eastAsiaTheme="majorEastAsia" w:cstheme="minorHAnsi"/>
          <w:color w:val="002060"/>
          <w:sz w:val="24"/>
          <w:szCs w:val="26"/>
          <w:lang w:val="sr-Cyrl-CS"/>
        </w:rPr>
        <w:lastRenderedPageBreak/>
        <w:t xml:space="preserve">Прилог 2 – Фискални оквир </w:t>
      </w:r>
      <w:r w:rsidR="00357FFD" w:rsidRPr="001B41AD">
        <w:rPr>
          <w:rFonts w:eastAsiaTheme="majorEastAsia" w:cstheme="minorHAnsi"/>
          <w:color w:val="002060"/>
          <w:sz w:val="24"/>
          <w:szCs w:val="26"/>
          <w:lang w:val="sr-Cyrl-CS"/>
        </w:rPr>
        <w:t>сектора</w:t>
      </w:r>
      <w:r w:rsidRPr="001B41AD">
        <w:rPr>
          <w:rFonts w:eastAsiaTheme="majorEastAsia" w:cstheme="minorHAnsi"/>
          <w:color w:val="002060"/>
          <w:sz w:val="24"/>
          <w:szCs w:val="26"/>
          <w:lang w:val="sr-Cyrl-CS"/>
        </w:rPr>
        <w:t xml:space="preserve"> државе у 2026. години</w:t>
      </w:r>
      <w:bookmarkEnd w:id="82"/>
      <w:bookmarkEnd w:id="83"/>
    </w:p>
    <w:tbl>
      <w:tblPr>
        <w:tblStyle w:val="ListTable1Light-Accent3"/>
        <w:tblW w:w="4817" w:type="pct"/>
        <w:tblInd w:w="300" w:type="dxa"/>
        <w:tblLook w:val="04A0" w:firstRow="1" w:lastRow="0" w:firstColumn="1" w:lastColumn="0" w:noHBand="0" w:noVBand="1"/>
      </w:tblPr>
      <w:tblGrid>
        <w:gridCol w:w="3041"/>
        <w:gridCol w:w="1087"/>
        <w:gridCol w:w="1087"/>
        <w:gridCol w:w="1099"/>
        <w:gridCol w:w="1062"/>
        <w:gridCol w:w="1135"/>
        <w:gridCol w:w="1077"/>
        <w:gridCol w:w="1135"/>
        <w:gridCol w:w="1135"/>
        <w:gridCol w:w="1135"/>
        <w:gridCol w:w="1135"/>
        <w:gridCol w:w="1132"/>
      </w:tblGrid>
      <w:tr w:rsidR="006A7014" w:rsidRPr="001B41AD" w14:paraId="1502AB99" w14:textId="77777777" w:rsidTr="006A7014">
        <w:trPr>
          <w:cnfStyle w:val="100000000000" w:firstRow="1" w:lastRow="0" w:firstColumn="0" w:lastColumn="0" w:oddVBand="0" w:evenVBand="0" w:oddHBand="0"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996" w:type="pct"/>
            <w:tcBorders>
              <w:top w:val="single" w:sz="4" w:space="0" w:color="auto"/>
              <w:bottom w:val="single" w:sz="4" w:space="0" w:color="auto"/>
            </w:tcBorders>
            <w:noWrap/>
            <w:hideMark/>
          </w:tcPr>
          <w:p w14:paraId="476C37F3" w14:textId="77777777" w:rsidR="00DF656E" w:rsidRPr="001B41AD" w:rsidRDefault="00DF656E" w:rsidP="006A7014">
            <w:pPr>
              <w:tabs>
                <w:tab w:val="center" w:pos="4680"/>
                <w:tab w:val="right" w:pos="9360"/>
              </w:tabs>
              <w:ind w:left="255"/>
              <w:rPr>
                <w:rFonts w:ascii="Calibri" w:hAnsi="Calibri" w:cs="Calibri"/>
                <w:color w:val="002060"/>
                <w:sz w:val="14"/>
                <w:szCs w:val="14"/>
                <w:lang w:val="sr-Cyrl-CS"/>
              </w:rPr>
            </w:pPr>
            <w:r w:rsidRPr="001B41AD">
              <w:rPr>
                <w:rFonts w:ascii="Calibri" w:hAnsi="Calibri" w:cs="Calibri"/>
                <w:color w:val="002060"/>
                <w:sz w:val="14"/>
                <w:szCs w:val="14"/>
                <w:lang w:val="sr-Cyrl-CS"/>
              </w:rPr>
              <w:t> </w:t>
            </w:r>
          </w:p>
        </w:tc>
        <w:tc>
          <w:tcPr>
            <w:tcW w:w="356" w:type="pct"/>
            <w:tcBorders>
              <w:top w:val="single" w:sz="4" w:space="0" w:color="auto"/>
              <w:bottom w:val="single" w:sz="4" w:space="0" w:color="auto"/>
            </w:tcBorders>
            <w:vAlign w:val="center"/>
            <w:hideMark/>
          </w:tcPr>
          <w:p w14:paraId="1DAB37C7"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Сектор државе</w:t>
            </w:r>
          </w:p>
        </w:tc>
        <w:tc>
          <w:tcPr>
            <w:tcW w:w="356" w:type="pct"/>
            <w:tcBorders>
              <w:top w:val="single" w:sz="4" w:space="0" w:color="auto"/>
              <w:bottom w:val="single" w:sz="4" w:space="0" w:color="auto"/>
            </w:tcBorders>
            <w:vAlign w:val="center"/>
            <w:hideMark/>
          </w:tcPr>
          <w:p w14:paraId="4C87803E"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Буџет Републике</w:t>
            </w:r>
          </w:p>
        </w:tc>
        <w:tc>
          <w:tcPr>
            <w:tcW w:w="360" w:type="pct"/>
            <w:tcBorders>
              <w:top w:val="single" w:sz="4" w:space="0" w:color="auto"/>
              <w:bottom w:val="single" w:sz="4" w:space="0" w:color="auto"/>
            </w:tcBorders>
            <w:vAlign w:val="center"/>
            <w:hideMark/>
          </w:tcPr>
          <w:p w14:paraId="054FB826"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Јединице локалне самоуправе</w:t>
            </w:r>
          </w:p>
        </w:tc>
        <w:tc>
          <w:tcPr>
            <w:tcW w:w="348" w:type="pct"/>
            <w:tcBorders>
              <w:top w:val="single" w:sz="4" w:space="0" w:color="auto"/>
              <w:bottom w:val="single" w:sz="4" w:space="0" w:color="auto"/>
            </w:tcBorders>
            <w:vAlign w:val="center"/>
            <w:hideMark/>
          </w:tcPr>
          <w:p w14:paraId="5E583350"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Градови и општине</w:t>
            </w:r>
          </w:p>
        </w:tc>
        <w:tc>
          <w:tcPr>
            <w:tcW w:w="372" w:type="pct"/>
            <w:tcBorders>
              <w:top w:val="single" w:sz="4" w:space="0" w:color="auto"/>
              <w:bottom w:val="single" w:sz="4" w:space="0" w:color="auto"/>
            </w:tcBorders>
            <w:noWrap/>
            <w:vAlign w:val="center"/>
            <w:hideMark/>
          </w:tcPr>
          <w:p w14:paraId="78B57606"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AП Војводина</w:t>
            </w:r>
          </w:p>
        </w:tc>
        <w:tc>
          <w:tcPr>
            <w:tcW w:w="353" w:type="pct"/>
            <w:tcBorders>
              <w:top w:val="single" w:sz="4" w:space="0" w:color="auto"/>
              <w:bottom w:val="single" w:sz="4" w:space="0" w:color="auto"/>
            </w:tcBorders>
            <w:vAlign w:val="center"/>
            <w:hideMark/>
          </w:tcPr>
          <w:p w14:paraId="647DCEF2"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Ванбуџетски корисници</w:t>
            </w:r>
          </w:p>
        </w:tc>
        <w:tc>
          <w:tcPr>
            <w:tcW w:w="372" w:type="pct"/>
            <w:tcBorders>
              <w:top w:val="single" w:sz="4" w:space="0" w:color="auto"/>
              <w:bottom w:val="single" w:sz="4" w:space="0" w:color="auto"/>
            </w:tcBorders>
            <w:noWrap/>
            <w:vAlign w:val="center"/>
            <w:hideMark/>
          </w:tcPr>
          <w:p w14:paraId="4979030A"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ООСО</w:t>
            </w:r>
          </w:p>
        </w:tc>
        <w:tc>
          <w:tcPr>
            <w:tcW w:w="372" w:type="pct"/>
            <w:tcBorders>
              <w:top w:val="single" w:sz="4" w:space="0" w:color="auto"/>
              <w:bottom w:val="single" w:sz="4" w:space="0" w:color="auto"/>
            </w:tcBorders>
            <w:noWrap/>
            <w:vAlign w:val="center"/>
            <w:hideMark/>
          </w:tcPr>
          <w:p w14:paraId="42766A67"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Фонд ПИО</w:t>
            </w:r>
          </w:p>
        </w:tc>
        <w:tc>
          <w:tcPr>
            <w:tcW w:w="372" w:type="pct"/>
            <w:tcBorders>
              <w:top w:val="single" w:sz="4" w:space="0" w:color="auto"/>
              <w:bottom w:val="single" w:sz="4" w:space="0" w:color="auto"/>
            </w:tcBorders>
            <w:noWrap/>
            <w:vAlign w:val="center"/>
            <w:hideMark/>
          </w:tcPr>
          <w:p w14:paraId="53DCCE1A"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РФЗО</w:t>
            </w:r>
          </w:p>
        </w:tc>
        <w:tc>
          <w:tcPr>
            <w:tcW w:w="372" w:type="pct"/>
            <w:tcBorders>
              <w:top w:val="single" w:sz="4" w:space="0" w:color="auto"/>
              <w:bottom w:val="single" w:sz="4" w:space="0" w:color="auto"/>
            </w:tcBorders>
            <w:noWrap/>
            <w:vAlign w:val="center"/>
            <w:hideMark/>
          </w:tcPr>
          <w:p w14:paraId="58DBAFBC"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НСЗ</w:t>
            </w:r>
          </w:p>
        </w:tc>
        <w:tc>
          <w:tcPr>
            <w:tcW w:w="371" w:type="pct"/>
            <w:tcBorders>
              <w:top w:val="single" w:sz="4" w:space="0" w:color="auto"/>
              <w:bottom w:val="single" w:sz="4" w:space="0" w:color="auto"/>
            </w:tcBorders>
            <w:noWrap/>
            <w:vAlign w:val="center"/>
            <w:hideMark/>
          </w:tcPr>
          <w:p w14:paraId="7EF19589" w14:textId="77777777" w:rsidR="00DF656E" w:rsidRPr="001B41AD" w:rsidRDefault="00DF656E" w:rsidP="006A701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1B41AD">
              <w:rPr>
                <w:rFonts w:ascii="Calibri" w:hAnsi="Calibri" w:cs="Calibri"/>
                <w:color w:val="002060"/>
                <w:sz w:val="14"/>
                <w:szCs w:val="14"/>
                <w:lang w:val="sr-Cyrl-CS"/>
              </w:rPr>
              <w:t>Фонд СОВО</w:t>
            </w:r>
          </w:p>
        </w:tc>
      </w:tr>
      <w:tr w:rsidR="006A7014" w:rsidRPr="001B41AD" w14:paraId="3DCFB795" w14:textId="77777777" w:rsidTr="006A7014">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996" w:type="pct"/>
            <w:tcBorders>
              <w:top w:val="single" w:sz="4" w:space="0" w:color="auto"/>
              <w:bottom w:val="single" w:sz="4" w:space="0" w:color="auto"/>
            </w:tcBorders>
            <w:shd w:val="clear" w:color="auto" w:fill="auto"/>
            <w:noWrap/>
            <w:hideMark/>
          </w:tcPr>
          <w:p w14:paraId="227DC5C1" w14:textId="77777777" w:rsidR="00DF656E" w:rsidRPr="001B41AD" w:rsidRDefault="00DF656E" w:rsidP="006A7014">
            <w:pPr>
              <w:tabs>
                <w:tab w:val="center" w:pos="4680"/>
                <w:tab w:val="right" w:pos="9360"/>
              </w:tabs>
              <w:rPr>
                <w:rFonts w:ascii="Calibri" w:hAnsi="Calibri" w:cs="Calibri"/>
                <w:color w:val="002060"/>
                <w:sz w:val="14"/>
                <w:szCs w:val="14"/>
                <w:lang w:val="sr-Cyrl-CS"/>
              </w:rPr>
            </w:pPr>
            <w:r w:rsidRPr="001B41AD">
              <w:rPr>
                <w:rFonts w:ascii="Calibri" w:hAnsi="Calibri" w:cs="Calibri"/>
                <w:color w:val="002060"/>
                <w:sz w:val="14"/>
                <w:szCs w:val="14"/>
                <w:lang w:val="sr-Cyrl-CS"/>
              </w:rPr>
              <w:t> </w:t>
            </w:r>
          </w:p>
        </w:tc>
        <w:tc>
          <w:tcPr>
            <w:tcW w:w="356" w:type="pct"/>
            <w:tcBorders>
              <w:top w:val="single" w:sz="4" w:space="0" w:color="auto"/>
              <w:bottom w:val="single" w:sz="4" w:space="0" w:color="auto"/>
            </w:tcBorders>
            <w:shd w:val="clear" w:color="auto" w:fill="auto"/>
            <w:hideMark/>
          </w:tcPr>
          <w:p w14:paraId="4E18474B" w14:textId="77777777" w:rsidR="00DF656E" w:rsidRPr="001B41AD" w:rsidRDefault="00DF656E" w:rsidP="006A701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1=2+3+6+7</w:t>
            </w:r>
          </w:p>
        </w:tc>
        <w:tc>
          <w:tcPr>
            <w:tcW w:w="356" w:type="pct"/>
            <w:tcBorders>
              <w:top w:val="single" w:sz="4" w:space="0" w:color="auto"/>
              <w:bottom w:val="single" w:sz="4" w:space="0" w:color="auto"/>
            </w:tcBorders>
            <w:shd w:val="clear" w:color="auto" w:fill="auto"/>
            <w:hideMark/>
          </w:tcPr>
          <w:p w14:paraId="1473DB58" w14:textId="77777777" w:rsidR="00DF656E" w:rsidRPr="001B41AD" w:rsidRDefault="00DF656E" w:rsidP="006A701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2</w:t>
            </w:r>
          </w:p>
        </w:tc>
        <w:tc>
          <w:tcPr>
            <w:tcW w:w="360" w:type="pct"/>
            <w:tcBorders>
              <w:top w:val="single" w:sz="4" w:space="0" w:color="auto"/>
              <w:bottom w:val="single" w:sz="4" w:space="0" w:color="auto"/>
            </w:tcBorders>
            <w:shd w:val="clear" w:color="auto" w:fill="auto"/>
            <w:hideMark/>
          </w:tcPr>
          <w:p w14:paraId="3BB2834E" w14:textId="77777777" w:rsidR="00DF656E" w:rsidRPr="001B41AD" w:rsidRDefault="00DF656E" w:rsidP="006A701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3=4+5</w:t>
            </w:r>
          </w:p>
        </w:tc>
        <w:tc>
          <w:tcPr>
            <w:tcW w:w="348" w:type="pct"/>
            <w:tcBorders>
              <w:top w:val="single" w:sz="4" w:space="0" w:color="auto"/>
              <w:bottom w:val="single" w:sz="4" w:space="0" w:color="auto"/>
            </w:tcBorders>
            <w:shd w:val="clear" w:color="auto" w:fill="auto"/>
            <w:hideMark/>
          </w:tcPr>
          <w:p w14:paraId="4A6413FD" w14:textId="77777777" w:rsidR="00DF656E" w:rsidRPr="001B41AD" w:rsidRDefault="00DF656E" w:rsidP="006A701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4</w:t>
            </w:r>
          </w:p>
        </w:tc>
        <w:tc>
          <w:tcPr>
            <w:tcW w:w="372" w:type="pct"/>
            <w:tcBorders>
              <w:top w:val="single" w:sz="4" w:space="0" w:color="auto"/>
              <w:bottom w:val="single" w:sz="4" w:space="0" w:color="auto"/>
            </w:tcBorders>
            <w:shd w:val="clear" w:color="auto" w:fill="auto"/>
            <w:noWrap/>
            <w:hideMark/>
          </w:tcPr>
          <w:p w14:paraId="7C5FA3C7" w14:textId="77777777" w:rsidR="00DF656E" w:rsidRPr="001B41AD" w:rsidRDefault="00DF656E" w:rsidP="006A701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5</w:t>
            </w:r>
          </w:p>
        </w:tc>
        <w:tc>
          <w:tcPr>
            <w:tcW w:w="353" w:type="pct"/>
            <w:tcBorders>
              <w:top w:val="single" w:sz="4" w:space="0" w:color="auto"/>
              <w:bottom w:val="single" w:sz="4" w:space="0" w:color="auto"/>
            </w:tcBorders>
            <w:shd w:val="clear" w:color="auto" w:fill="auto"/>
            <w:noWrap/>
            <w:hideMark/>
          </w:tcPr>
          <w:p w14:paraId="7C1B0572" w14:textId="77777777" w:rsidR="00DF656E" w:rsidRPr="001B41AD" w:rsidRDefault="00DF656E" w:rsidP="006A701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6</w:t>
            </w:r>
          </w:p>
        </w:tc>
        <w:tc>
          <w:tcPr>
            <w:tcW w:w="372" w:type="pct"/>
            <w:tcBorders>
              <w:top w:val="single" w:sz="4" w:space="0" w:color="auto"/>
              <w:bottom w:val="single" w:sz="4" w:space="0" w:color="auto"/>
            </w:tcBorders>
            <w:shd w:val="clear" w:color="auto" w:fill="auto"/>
            <w:noWrap/>
            <w:hideMark/>
          </w:tcPr>
          <w:p w14:paraId="33ACE5DE" w14:textId="77777777" w:rsidR="00DF656E" w:rsidRPr="001B41AD" w:rsidRDefault="00DF656E" w:rsidP="006A701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7=8+9+10+11</w:t>
            </w:r>
          </w:p>
        </w:tc>
        <w:tc>
          <w:tcPr>
            <w:tcW w:w="372" w:type="pct"/>
            <w:tcBorders>
              <w:top w:val="single" w:sz="4" w:space="0" w:color="auto"/>
              <w:bottom w:val="single" w:sz="4" w:space="0" w:color="auto"/>
            </w:tcBorders>
            <w:shd w:val="clear" w:color="auto" w:fill="auto"/>
            <w:noWrap/>
            <w:hideMark/>
          </w:tcPr>
          <w:p w14:paraId="0AFB4E71" w14:textId="77777777" w:rsidR="00DF656E" w:rsidRPr="001B41AD" w:rsidRDefault="00DF656E" w:rsidP="006A701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8</w:t>
            </w:r>
          </w:p>
        </w:tc>
        <w:tc>
          <w:tcPr>
            <w:tcW w:w="372" w:type="pct"/>
            <w:tcBorders>
              <w:top w:val="single" w:sz="4" w:space="0" w:color="auto"/>
              <w:bottom w:val="single" w:sz="4" w:space="0" w:color="auto"/>
            </w:tcBorders>
            <w:shd w:val="clear" w:color="auto" w:fill="auto"/>
            <w:noWrap/>
            <w:hideMark/>
          </w:tcPr>
          <w:p w14:paraId="65FD01E4" w14:textId="77777777" w:rsidR="00DF656E" w:rsidRPr="001B41AD" w:rsidRDefault="00DF656E" w:rsidP="006A701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9</w:t>
            </w:r>
          </w:p>
        </w:tc>
        <w:tc>
          <w:tcPr>
            <w:tcW w:w="372" w:type="pct"/>
            <w:tcBorders>
              <w:top w:val="single" w:sz="4" w:space="0" w:color="auto"/>
              <w:bottom w:val="single" w:sz="4" w:space="0" w:color="auto"/>
            </w:tcBorders>
            <w:shd w:val="clear" w:color="auto" w:fill="auto"/>
            <w:noWrap/>
            <w:hideMark/>
          </w:tcPr>
          <w:p w14:paraId="363E748D" w14:textId="77777777" w:rsidR="00DF656E" w:rsidRPr="001B41AD" w:rsidRDefault="00DF656E" w:rsidP="006A701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10</w:t>
            </w:r>
          </w:p>
        </w:tc>
        <w:tc>
          <w:tcPr>
            <w:tcW w:w="371" w:type="pct"/>
            <w:tcBorders>
              <w:top w:val="single" w:sz="4" w:space="0" w:color="auto"/>
              <w:bottom w:val="single" w:sz="4" w:space="0" w:color="auto"/>
            </w:tcBorders>
            <w:shd w:val="clear" w:color="auto" w:fill="auto"/>
            <w:noWrap/>
            <w:hideMark/>
          </w:tcPr>
          <w:p w14:paraId="150A0E35" w14:textId="77777777" w:rsidR="00DF656E" w:rsidRPr="001B41AD" w:rsidRDefault="00DF656E" w:rsidP="006A701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1B41AD">
              <w:rPr>
                <w:rFonts w:ascii="Calibri" w:hAnsi="Calibri" w:cs="Calibri"/>
                <w:color w:val="002060"/>
                <w:sz w:val="14"/>
                <w:szCs w:val="14"/>
                <w:lang w:val="sr-Cyrl-CS"/>
              </w:rPr>
              <w:t>11</w:t>
            </w:r>
          </w:p>
        </w:tc>
      </w:tr>
      <w:tr w:rsidR="006A7014" w:rsidRPr="001B41AD" w14:paraId="3276AF28"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single" w:sz="4" w:space="0" w:color="auto"/>
            </w:tcBorders>
            <w:shd w:val="clear" w:color="auto" w:fill="BFBFBF" w:themeFill="background1" w:themeFillShade="BF"/>
            <w:noWrap/>
            <w:hideMark/>
          </w:tcPr>
          <w:p w14:paraId="64C2AF09" w14:textId="77777777" w:rsidR="00DF656E" w:rsidRPr="001B41AD" w:rsidRDefault="00DF656E" w:rsidP="006A7014">
            <w:pPr>
              <w:tabs>
                <w:tab w:val="center" w:pos="4680"/>
                <w:tab w:val="right" w:pos="9360"/>
              </w:tabs>
              <w:rPr>
                <w:rFonts w:cstheme="minorHAnsi"/>
                <w:color w:val="002060"/>
                <w:sz w:val="14"/>
                <w:szCs w:val="14"/>
                <w:lang w:val="sr-Cyrl-CS"/>
              </w:rPr>
            </w:pPr>
            <w:r w:rsidRPr="001B41AD">
              <w:rPr>
                <w:rFonts w:cstheme="minorHAnsi"/>
                <w:color w:val="002060"/>
                <w:sz w:val="14"/>
                <w:szCs w:val="14"/>
                <w:lang w:val="sr-Cyrl-CS"/>
              </w:rPr>
              <w:t xml:space="preserve"> Јавни приходи</w:t>
            </w:r>
          </w:p>
        </w:tc>
        <w:tc>
          <w:tcPr>
            <w:tcW w:w="356" w:type="pct"/>
            <w:tcBorders>
              <w:top w:val="single" w:sz="4" w:space="0" w:color="auto"/>
            </w:tcBorders>
            <w:shd w:val="clear" w:color="auto" w:fill="BFBFBF" w:themeFill="background1" w:themeFillShade="BF"/>
            <w:noWrap/>
            <w:hideMark/>
          </w:tcPr>
          <w:p w14:paraId="1BC1D94B"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4.534,5</w:t>
            </w:r>
          </w:p>
        </w:tc>
        <w:tc>
          <w:tcPr>
            <w:tcW w:w="356" w:type="pct"/>
            <w:tcBorders>
              <w:top w:val="single" w:sz="4" w:space="0" w:color="auto"/>
            </w:tcBorders>
            <w:shd w:val="clear" w:color="auto" w:fill="BFBFBF" w:themeFill="background1" w:themeFillShade="BF"/>
            <w:noWrap/>
            <w:hideMark/>
          </w:tcPr>
          <w:p w14:paraId="76B9D0B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2.374,7</w:t>
            </w:r>
          </w:p>
        </w:tc>
        <w:tc>
          <w:tcPr>
            <w:tcW w:w="360" w:type="pct"/>
            <w:tcBorders>
              <w:top w:val="single" w:sz="4" w:space="0" w:color="auto"/>
            </w:tcBorders>
            <w:shd w:val="clear" w:color="auto" w:fill="BFBFBF" w:themeFill="background1" w:themeFillShade="BF"/>
            <w:noWrap/>
            <w:hideMark/>
          </w:tcPr>
          <w:p w14:paraId="5189A8D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526,1</w:t>
            </w:r>
          </w:p>
        </w:tc>
        <w:tc>
          <w:tcPr>
            <w:tcW w:w="348" w:type="pct"/>
            <w:tcBorders>
              <w:top w:val="single" w:sz="4" w:space="0" w:color="auto"/>
            </w:tcBorders>
            <w:shd w:val="clear" w:color="auto" w:fill="BFBFBF" w:themeFill="background1" w:themeFillShade="BF"/>
            <w:noWrap/>
            <w:hideMark/>
          </w:tcPr>
          <w:p w14:paraId="29202E2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481,5</w:t>
            </w:r>
          </w:p>
        </w:tc>
        <w:tc>
          <w:tcPr>
            <w:tcW w:w="372" w:type="pct"/>
            <w:tcBorders>
              <w:top w:val="single" w:sz="4" w:space="0" w:color="auto"/>
            </w:tcBorders>
            <w:shd w:val="clear" w:color="auto" w:fill="BFBFBF" w:themeFill="background1" w:themeFillShade="BF"/>
            <w:noWrap/>
            <w:hideMark/>
          </w:tcPr>
          <w:p w14:paraId="52968DE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44,6</w:t>
            </w:r>
          </w:p>
        </w:tc>
        <w:tc>
          <w:tcPr>
            <w:tcW w:w="353" w:type="pct"/>
            <w:tcBorders>
              <w:top w:val="single" w:sz="4" w:space="0" w:color="auto"/>
            </w:tcBorders>
            <w:shd w:val="clear" w:color="auto" w:fill="BFBFBF" w:themeFill="background1" w:themeFillShade="BF"/>
            <w:noWrap/>
            <w:hideMark/>
          </w:tcPr>
          <w:p w14:paraId="74CE3ED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83,5</w:t>
            </w:r>
          </w:p>
        </w:tc>
        <w:tc>
          <w:tcPr>
            <w:tcW w:w="372" w:type="pct"/>
            <w:tcBorders>
              <w:top w:val="single" w:sz="4" w:space="0" w:color="auto"/>
            </w:tcBorders>
            <w:shd w:val="clear" w:color="auto" w:fill="BFBFBF" w:themeFill="background1" w:themeFillShade="BF"/>
            <w:noWrap/>
            <w:hideMark/>
          </w:tcPr>
          <w:p w14:paraId="274E98B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1.550,2</w:t>
            </w:r>
          </w:p>
        </w:tc>
        <w:tc>
          <w:tcPr>
            <w:tcW w:w="372" w:type="pct"/>
            <w:tcBorders>
              <w:top w:val="single" w:sz="4" w:space="0" w:color="auto"/>
            </w:tcBorders>
            <w:shd w:val="clear" w:color="auto" w:fill="BFBFBF" w:themeFill="background1" w:themeFillShade="BF"/>
            <w:noWrap/>
            <w:hideMark/>
          </w:tcPr>
          <w:p w14:paraId="0D45D58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1.044,3</w:t>
            </w:r>
          </w:p>
        </w:tc>
        <w:tc>
          <w:tcPr>
            <w:tcW w:w="372" w:type="pct"/>
            <w:tcBorders>
              <w:top w:val="single" w:sz="4" w:space="0" w:color="auto"/>
            </w:tcBorders>
            <w:shd w:val="clear" w:color="auto" w:fill="BFBFBF" w:themeFill="background1" w:themeFillShade="BF"/>
            <w:noWrap/>
            <w:hideMark/>
          </w:tcPr>
          <w:p w14:paraId="4B1DCAE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468,2</w:t>
            </w:r>
          </w:p>
        </w:tc>
        <w:tc>
          <w:tcPr>
            <w:tcW w:w="372" w:type="pct"/>
            <w:tcBorders>
              <w:top w:val="single" w:sz="4" w:space="0" w:color="auto"/>
            </w:tcBorders>
            <w:shd w:val="clear" w:color="auto" w:fill="BFBFBF" w:themeFill="background1" w:themeFillShade="BF"/>
            <w:noWrap/>
            <w:hideMark/>
          </w:tcPr>
          <w:p w14:paraId="50FEBDFD"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32,5</w:t>
            </w:r>
          </w:p>
        </w:tc>
        <w:tc>
          <w:tcPr>
            <w:tcW w:w="371" w:type="pct"/>
            <w:tcBorders>
              <w:top w:val="single" w:sz="4" w:space="0" w:color="auto"/>
            </w:tcBorders>
            <w:shd w:val="clear" w:color="auto" w:fill="BFBFBF" w:themeFill="background1" w:themeFillShade="BF"/>
            <w:noWrap/>
            <w:hideMark/>
          </w:tcPr>
          <w:p w14:paraId="57CB6F38"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5,2</w:t>
            </w:r>
          </w:p>
        </w:tc>
      </w:tr>
      <w:tr w:rsidR="006A7014" w:rsidRPr="001B41AD" w14:paraId="505EF72E"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0E2A5605"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Текући приходи</w:t>
            </w:r>
          </w:p>
        </w:tc>
        <w:tc>
          <w:tcPr>
            <w:tcW w:w="356" w:type="pct"/>
            <w:tcBorders>
              <w:top w:val="nil"/>
            </w:tcBorders>
            <w:shd w:val="clear" w:color="auto" w:fill="FFFFFF" w:themeFill="background1"/>
            <w:noWrap/>
            <w:hideMark/>
          </w:tcPr>
          <w:p w14:paraId="0932B20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4.500,7</w:t>
            </w:r>
          </w:p>
        </w:tc>
        <w:tc>
          <w:tcPr>
            <w:tcW w:w="356" w:type="pct"/>
            <w:tcBorders>
              <w:top w:val="nil"/>
            </w:tcBorders>
            <w:shd w:val="clear" w:color="auto" w:fill="FFFFFF" w:themeFill="background1"/>
            <w:noWrap/>
            <w:hideMark/>
          </w:tcPr>
          <w:p w14:paraId="78E51A9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2.343,3</w:t>
            </w:r>
          </w:p>
        </w:tc>
        <w:tc>
          <w:tcPr>
            <w:tcW w:w="360" w:type="pct"/>
            <w:tcBorders>
              <w:top w:val="nil"/>
            </w:tcBorders>
            <w:shd w:val="clear" w:color="auto" w:fill="FFFFFF" w:themeFill="background1"/>
            <w:noWrap/>
            <w:hideMark/>
          </w:tcPr>
          <w:p w14:paraId="083B42A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524,1</w:t>
            </w:r>
          </w:p>
        </w:tc>
        <w:tc>
          <w:tcPr>
            <w:tcW w:w="348" w:type="pct"/>
            <w:tcBorders>
              <w:top w:val="nil"/>
            </w:tcBorders>
            <w:shd w:val="clear" w:color="auto" w:fill="FFFFFF" w:themeFill="background1"/>
            <w:noWrap/>
            <w:hideMark/>
          </w:tcPr>
          <w:p w14:paraId="64796C2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479,5</w:t>
            </w:r>
          </w:p>
        </w:tc>
        <w:tc>
          <w:tcPr>
            <w:tcW w:w="372" w:type="pct"/>
            <w:tcBorders>
              <w:top w:val="nil"/>
            </w:tcBorders>
            <w:shd w:val="clear" w:color="auto" w:fill="FFFFFF" w:themeFill="background1"/>
            <w:noWrap/>
            <w:hideMark/>
          </w:tcPr>
          <w:p w14:paraId="2137837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44,6</w:t>
            </w:r>
          </w:p>
        </w:tc>
        <w:tc>
          <w:tcPr>
            <w:tcW w:w="353" w:type="pct"/>
            <w:tcBorders>
              <w:top w:val="nil"/>
            </w:tcBorders>
            <w:shd w:val="clear" w:color="auto" w:fill="FFFFFF" w:themeFill="background1"/>
            <w:noWrap/>
            <w:hideMark/>
          </w:tcPr>
          <w:p w14:paraId="69BC326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83,5</w:t>
            </w:r>
          </w:p>
        </w:tc>
        <w:tc>
          <w:tcPr>
            <w:tcW w:w="372" w:type="pct"/>
            <w:tcBorders>
              <w:top w:val="nil"/>
            </w:tcBorders>
            <w:shd w:val="clear" w:color="auto" w:fill="FFFFFF" w:themeFill="background1"/>
            <w:noWrap/>
            <w:hideMark/>
          </w:tcPr>
          <w:p w14:paraId="73E61A5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1.549,8</w:t>
            </w:r>
          </w:p>
        </w:tc>
        <w:tc>
          <w:tcPr>
            <w:tcW w:w="372" w:type="pct"/>
            <w:tcBorders>
              <w:top w:val="nil"/>
            </w:tcBorders>
            <w:shd w:val="clear" w:color="auto" w:fill="FFFFFF" w:themeFill="background1"/>
            <w:noWrap/>
            <w:hideMark/>
          </w:tcPr>
          <w:p w14:paraId="5D8C762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1.044,3</w:t>
            </w:r>
          </w:p>
        </w:tc>
        <w:tc>
          <w:tcPr>
            <w:tcW w:w="372" w:type="pct"/>
            <w:tcBorders>
              <w:top w:val="nil"/>
            </w:tcBorders>
            <w:shd w:val="clear" w:color="auto" w:fill="FFFFFF" w:themeFill="background1"/>
            <w:noWrap/>
            <w:hideMark/>
          </w:tcPr>
          <w:p w14:paraId="709DC98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468,0</w:t>
            </w:r>
          </w:p>
        </w:tc>
        <w:tc>
          <w:tcPr>
            <w:tcW w:w="372" w:type="pct"/>
            <w:tcBorders>
              <w:top w:val="nil"/>
            </w:tcBorders>
            <w:shd w:val="clear" w:color="auto" w:fill="FFFFFF" w:themeFill="background1"/>
            <w:noWrap/>
            <w:hideMark/>
          </w:tcPr>
          <w:p w14:paraId="704A0B13"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32,3</w:t>
            </w:r>
          </w:p>
        </w:tc>
        <w:tc>
          <w:tcPr>
            <w:tcW w:w="371" w:type="pct"/>
            <w:tcBorders>
              <w:top w:val="nil"/>
            </w:tcBorders>
            <w:shd w:val="clear" w:color="auto" w:fill="FFFFFF" w:themeFill="background1"/>
            <w:noWrap/>
            <w:hideMark/>
          </w:tcPr>
          <w:p w14:paraId="6397C49F"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5,2</w:t>
            </w:r>
          </w:p>
        </w:tc>
      </w:tr>
      <w:tr w:rsidR="006A7014" w:rsidRPr="001B41AD" w14:paraId="658F63B1"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663D7D5F"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Порески приходи</w:t>
            </w:r>
          </w:p>
        </w:tc>
        <w:tc>
          <w:tcPr>
            <w:tcW w:w="356" w:type="pct"/>
            <w:tcBorders>
              <w:top w:val="nil"/>
            </w:tcBorders>
            <w:shd w:val="clear" w:color="auto" w:fill="FFFFFF" w:themeFill="background1"/>
            <w:noWrap/>
            <w:hideMark/>
          </w:tcPr>
          <w:p w14:paraId="5FFF814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4.041,3</w:t>
            </w:r>
          </w:p>
        </w:tc>
        <w:tc>
          <w:tcPr>
            <w:tcW w:w="356" w:type="pct"/>
            <w:tcBorders>
              <w:top w:val="nil"/>
            </w:tcBorders>
            <w:shd w:val="clear" w:color="auto" w:fill="FFFFFF" w:themeFill="background1"/>
            <w:noWrap/>
            <w:hideMark/>
          </w:tcPr>
          <w:p w14:paraId="68102E0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2.080,0</w:t>
            </w:r>
          </w:p>
        </w:tc>
        <w:tc>
          <w:tcPr>
            <w:tcW w:w="360" w:type="pct"/>
            <w:tcBorders>
              <w:top w:val="nil"/>
            </w:tcBorders>
            <w:shd w:val="clear" w:color="auto" w:fill="FFFFFF" w:themeFill="background1"/>
            <w:noWrap/>
            <w:hideMark/>
          </w:tcPr>
          <w:p w14:paraId="4FC1BDB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452,0</w:t>
            </w:r>
          </w:p>
        </w:tc>
        <w:tc>
          <w:tcPr>
            <w:tcW w:w="348" w:type="pct"/>
            <w:tcBorders>
              <w:top w:val="nil"/>
            </w:tcBorders>
            <w:shd w:val="clear" w:color="auto" w:fill="FFFFFF" w:themeFill="background1"/>
            <w:noWrap/>
            <w:hideMark/>
          </w:tcPr>
          <w:p w14:paraId="56972DA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413,3</w:t>
            </w:r>
          </w:p>
        </w:tc>
        <w:tc>
          <w:tcPr>
            <w:tcW w:w="372" w:type="pct"/>
            <w:tcBorders>
              <w:top w:val="nil"/>
            </w:tcBorders>
            <w:shd w:val="clear" w:color="auto" w:fill="FFFFFF" w:themeFill="background1"/>
            <w:noWrap/>
            <w:hideMark/>
          </w:tcPr>
          <w:p w14:paraId="00BE5CC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38,7</w:t>
            </w:r>
          </w:p>
        </w:tc>
        <w:tc>
          <w:tcPr>
            <w:tcW w:w="353" w:type="pct"/>
            <w:tcBorders>
              <w:top w:val="nil"/>
            </w:tcBorders>
            <w:shd w:val="clear" w:color="auto" w:fill="FFFFFF" w:themeFill="background1"/>
            <w:noWrap/>
          </w:tcPr>
          <w:p w14:paraId="21F9BEE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51D1C0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1.509,4</w:t>
            </w:r>
          </w:p>
        </w:tc>
        <w:tc>
          <w:tcPr>
            <w:tcW w:w="372" w:type="pct"/>
            <w:tcBorders>
              <w:top w:val="nil"/>
            </w:tcBorders>
            <w:shd w:val="clear" w:color="auto" w:fill="FFFFFF" w:themeFill="background1"/>
            <w:noWrap/>
            <w:hideMark/>
          </w:tcPr>
          <w:p w14:paraId="48CA014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1.044,3</w:t>
            </w:r>
          </w:p>
        </w:tc>
        <w:tc>
          <w:tcPr>
            <w:tcW w:w="372" w:type="pct"/>
            <w:tcBorders>
              <w:top w:val="nil"/>
            </w:tcBorders>
            <w:shd w:val="clear" w:color="auto" w:fill="FFFFFF" w:themeFill="background1"/>
            <w:noWrap/>
            <w:hideMark/>
          </w:tcPr>
          <w:p w14:paraId="08A05EE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428,8</w:t>
            </w:r>
          </w:p>
        </w:tc>
        <w:tc>
          <w:tcPr>
            <w:tcW w:w="372" w:type="pct"/>
            <w:tcBorders>
              <w:top w:val="nil"/>
            </w:tcBorders>
            <w:shd w:val="clear" w:color="auto" w:fill="FFFFFF" w:themeFill="background1"/>
            <w:noWrap/>
            <w:hideMark/>
          </w:tcPr>
          <w:p w14:paraId="0B66363D"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31,3</w:t>
            </w:r>
          </w:p>
        </w:tc>
        <w:tc>
          <w:tcPr>
            <w:tcW w:w="371" w:type="pct"/>
            <w:tcBorders>
              <w:top w:val="nil"/>
            </w:tcBorders>
            <w:shd w:val="clear" w:color="auto" w:fill="FFFFFF" w:themeFill="background1"/>
            <w:noWrap/>
            <w:hideMark/>
          </w:tcPr>
          <w:p w14:paraId="6B3B85F8"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5,0</w:t>
            </w:r>
          </w:p>
        </w:tc>
      </w:tr>
      <w:tr w:rsidR="006A7014" w:rsidRPr="001B41AD" w14:paraId="636DE899"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48F06D05"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Порез на доходак </w:t>
            </w:r>
          </w:p>
        </w:tc>
        <w:tc>
          <w:tcPr>
            <w:tcW w:w="356" w:type="pct"/>
            <w:tcBorders>
              <w:top w:val="nil"/>
            </w:tcBorders>
            <w:shd w:val="clear" w:color="auto" w:fill="FFFFFF" w:themeFill="background1"/>
            <w:noWrap/>
            <w:hideMark/>
          </w:tcPr>
          <w:p w14:paraId="4A932BF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465,0</w:t>
            </w:r>
          </w:p>
        </w:tc>
        <w:tc>
          <w:tcPr>
            <w:tcW w:w="356" w:type="pct"/>
            <w:tcBorders>
              <w:top w:val="nil"/>
            </w:tcBorders>
            <w:shd w:val="clear" w:color="auto" w:fill="FFFFFF" w:themeFill="background1"/>
            <w:noWrap/>
            <w:hideMark/>
          </w:tcPr>
          <w:p w14:paraId="0B0B543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150,5</w:t>
            </w:r>
          </w:p>
        </w:tc>
        <w:tc>
          <w:tcPr>
            <w:tcW w:w="360" w:type="pct"/>
            <w:tcBorders>
              <w:top w:val="nil"/>
            </w:tcBorders>
            <w:shd w:val="clear" w:color="auto" w:fill="FFFFFF" w:themeFill="background1"/>
            <w:noWrap/>
            <w:hideMark/>
          </w:tcPr>
          <w:p w14:paraId="4CAA8A8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314,5</w:t>
            </w:r>
          </w:p>
        </w:tc>
        <w:tc>
          <w:tcPr>
            <w:tcW w:w="348" w:type="pct"/>
            <w:tcBorders>
              <w:top w:val="nil"/>
            </w:tcBorders>
            <w:shd w:val="clear" w:color="auto" w:fill="FFFFFF" w:themeFill="background1"/>
            <w:noWrap/>
            <w:hideMark/>
          </w:tcPr>
          <w:p w14:paraId="459096D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299,8</w:t>
            </w:r>
          </w:p>
        </w:tc>
        <w:tc>
          <w:tcPr>
            <w:tcW w:w="372" w:type="pct"/>
            <w:tcBorders>
              <w:top w:val="nil"/>
            </w:tcBorders>
            <w:shd w:val="clear" w:color="auto" w:fill="FFFFFF" w:themeFill="background1"/>
            <w:noWrap/>
            <w:hideMark/>
          </w:tcPr>
          <w:p w14:paraId="56F7620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14,7</w:t>
            </w:r>
          </w:p>
        </w:tc>
        <w:tc>
          <w:tcPr>
            <w:tcW w:w="353" w:type="pct"/>
            <w:tcBorders>
              <w:top w:val="nil"/>
            </w:tcBorders>
            <w:shd w:val="clear" w:color="auto" w:fill="FFFFFF" w:themeFill="background1"/>
            <w:noWrap/>
          </w:tcPr>
          <w:p w14:paraId="6B77F7D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746CACE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08320F09"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03777C2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19E29A45"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tcPr>
          <w:p w14:paraId="25450217"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2EC61004"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0A8110EC"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Доприноси</w:t>
            </w:r>
          </w:p>
        </w:tc>
        <w:tc>
          <w:tcPr>
            <w:tcW w:w="356" w:type="pct"/>
            <w:tcBorders>
              <w:top w:val="nil"/>
            </w:tcBorders>
            <w:shd w:val="clear" w:color="auto" w:fill="FFFFFF" w:themeFill="background1"/>
            <w:noWrap/>
            <w:hideMark/>
          </w:tcPr>
          <w:p w14:paraId="1472F15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1.509,4</w:t>
            </w:r>
          </w:p>
        </w:tc>
        <w:tc>
          <w:tcPr>
            <w:tcW w:w="356" w:type="pct"/>
            <w:tcBorders>
              <w:top w:val="nil"/>
            </w:tcBorders>
            <w:shd w:val="clear" w:color="auto" w:fill="FFFFFF" w:themeFill="background1"/>
            <w:noWrap/>
            <w:hideMark/>
          </w:tcPr>
          <w:p w14:paraId="18A0AA7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66B92CC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68F72D3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D8FC61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tcPr>
          <w:p w14:paraId="3FB04CE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98247C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1.509,4</w:t>
            </w:r>
          </w:p>
        </w:tc>
        <w:tc>
          <w:tcPr>
            <w:tcW w:w="372" w:type="pct"/>
            <w:tcBorders>
              <w:top w:val="nil"/>
            </w:tcBorders>
            <w:shd w:val="clear" w:color="auto" w:fill="FFFFFF" w:themeFill="background1"/>
            <w:noWrap/>
            <w:hideMark/>
          </w:tcPr>
          <w:p w14:paraId="46096B2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1.044,3</w:t>
            </w:r>
          </w:p>
        </w:tc>
        <w:tc>
          <w:tcPr>
            <w:tcW w:w="372" w:type="pct"/>
            <w:tcBorders>
              <w:top w:val="nil"/>
            </w:tcBorders>
            <w:shd w:val="clear" w:color="auto" w:fill="FFFFFF" w:themeFill="background1"/>
            <w:noWrap/>
            <w:hideMark/>
          </w:tcPr>
          <w:p w14:paraId="72615FC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428,8</w:t>
            </w:r>
          </w:p>
        </w:tc>
        <w:tc>
          <w:tcPr>
            <w:tcW w:w="372" w:type="pct"/>
            <w:tcBorders>
              <w:top w:val="nil"/>
            </w:tcBorders>
            <w:shd w:val="clear" w:color="auto" w:fill="FFFFFF" w:themeFill="background1"/>
            <w:noWrap/>
            <w:hideMark/>
          </w:tcPr>
          <w:p w14:paraId="1CA56676"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31,3</w:t>
            </w:r>
          </w:p>
        </w:tc>
        <w:tc>
          <w:tcPr>
            <w:tcW w:w="371" w:type="pct"/>
            <w:tcBorders>
              <w:top w:val="nil"/>
            </w:tcBorders>
            <w:shd w:val="clear" w:color="auto" w:fill="FFFFFF" w:themeFill="background1"/>
            <w:noWrap/>
            <w:hideMark/>
          </w:tcPr>
          <w:p w14:paraId="105883D4"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5,0</w:t>
            </w:r>
          </w:p>
        </w:tc>
      </w:tr>
      <w:tr w:rsidR="006A7014" w:rsidRPr="001B41AD" w14:paraId="1E0D3687"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7F614589"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Порез на добит </w:t>
            </w:r>
          </w:p>
        </w:tc>
        <w:tc>
          <w:tcPr>
            <w:tcW w:w="356" w:type="pct"/>
            <w:tcBorders>
              <w:top w:val="nil"/>
            </w:tcBorders>
            <w:shd w:val="clear" w:color="auto" w:fill="FFFFFF" w:themeFill="background1"/>
            <w:noWrap/>
            <w:hideMark/>
          </w:tcPr>
          <w:p w14:paraId="51B5A20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299,0</w:t>
            </w:r>
          </w:p>
        </w:tc>
        <w:tc>
          <w:tcPr>
            <w:tcW w:w="356" w:type="pct"/>
            <w:tcBorders>
              <w:top w:val="nil"/>
            </w:tcBorders>
            <w:shd w:val="clear" w:color="auto" w:fill="FFFFFF" w:themeFill="background1"/>
            <w:noWrap/>
            <w:hideMark/>
          </w:tcPr>
          <w:p w14:paraId="40162A7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275,0</w:t>
            </w:r>
          </w:p>
        </w:tc>
        <w:tc>
          <w:tcPr>
            <w:tcW w:w="360" w:type="pct"/>
            <w:tcBorders>
              <w:top w:val="nil"/>
            </w:tcBorders>
            <w:shd w:val="clear" w:color="auto" w:fill="FFFFFF" w:themeFill="background1"/>
            <w:noWrap/>
            <w:hideMark/>
          </w:tcPr>
          <w:p w14:paraId="2D688A2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24,0</w:t>
            </w:r>
          </w:p>
        </w:tc>
        <w:tc>
          <w:tcPr>
            <w:tcW w:w="348" w:type="pct"/>
            <w:tcBorders>
              <w:top w:val="nil"/>
            </w:tcBorders>
            <w:shd w:val="clear" w:color="auto" w:fill="FFFFFF" w:themeFill="background1"/>
            <w:noWrap/>
          </w:tcPr>
          <w:p w14:paraId="1E88A90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7BC82CA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24,0</w:t>
            </w:r>
          </w:p>
        </w:tc>
        <w:tc>
          <w:tcPr>
            <w:tcW w:w="353" w:type="pct"/>
            <w:tcBorders>
              <w:top w:val="nil"/>
            </w:tcBorders>
            <w:shd w:val="clear" w:color="auto" w:fill="FFFFFF" w:themeFill="background1"/>
            <w:noWrap/>
          </w:tcPr>
          <w:p w14:paraId="49650F3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45051B5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6FF62C6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5212187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1B40D410"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hideMark/>
          </w:tcPr>
          <w:p w14:paraId="21142CF3"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5421CE55"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7BF1A11F"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ПДВ</w:t>
            </w:r>
          </w:p>
        </w:tc>
        <w:tc>
          <w:tcPr>
            <w:tcW w:w="356" w:type="pct"/>
            <w:tcBorders>
              <w:top w:val="nil"/>
            </w:tcBorders>
            <w:shd w:val="clear" w:color="auto" w:fill="FFFFFF" w:themeFill="background1"/>
            <w:noWrap/>
            <w:hideMark/>
          </w:tcPr>
          <w:p w14:paraId="7FBF186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1.084,0</w:t>
            </w:r>
          </w:p>
        </w:tc>
        <w:tc>
          <w:tcPr>
            <w:tcW w:w="356" w:type="pct"/>
            <w:tcBorders>
              <w:top w:val="nil"/>
            </w:tcBorders>
            <w:shd w:val="clear" w:color="auto" w:fill="FFFFFF" w:themeFill="background1"/>
            <w:noWrap/>
            <w:hideMark/>
          </w:tcPr>
          <w:p w14:paraId="6118D24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1.084,0</w:t>
            </w:r>
          </w:p>
        </w:tc>
        <w:tc>
          <w:tcPr>
            <w:tcW w:w="360" w:type="pct"/>
            <w:tcBorders>
              <w:top w:val="nil"/>
            </w:tcBorders>
            <w:shd w:val="clear" w:color="auto" w:fill="FFFFFF" w:themeFill="background1"/>
            <w:noWrap/>
          </w:tcPr>
          <w:p w14:paraId="1048E9E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58422E8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DFF517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46E6634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F7B9B9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40CF94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0C3D13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33DFC35"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hideMark/>
          </w:tcPr>
          <w:p w14:paraId="7C012CD4"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6A7014" w:rsidRPr="001B41AD" w14:paraId="620A6EE0"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2FF57376"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Акцизе</w:t>
            </w:r>
          </w:p>
        </w:tc>
        <w:tc>
          <w:tcPr>
            <w:tcW w:w="356" w:type="pct"/>
            <w:tcBorders>
              <w:top w:val="nil"/>
            </w:tcBorders>
            <w:shd w:val="clear" w:color="auto" w:fill="FFFFFF" w:themeFill="background1"/>
            <w:noWrap/>
            <w:hideMark/>
          </w:tcPr>
          <w:p w14:paraId="765B54E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453,3</w:t>
            </w:r>
          </w:p>
        </w:tc>
        <w:tc>
          <w:tcPr>
            <w:tcW w:w="356" w:type="pct"/>
            <w:tcBorders>
              <w:top w:val="nil"/>
            </w:tcBorders>
            <w:shd w:val="clear" w:color="auto" w:fill="FFFFFF" w:themeFill="background1"/>
            <w:noWrap/>
            <w:hideMark/>
          </w:tcPr>
          <w:p w14:paraId="28D3FB8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453,3</w:t>
            </w:r>
          </w:p>
        </w:tc>
        <w:tc>
          <w:tcPr>
            <w:tcW w:w="360" w:type="pct"/>
            <w:tcBorders>
              <w:top w:val="nil"/>
            </w:tcBorders>
            <w:shd w:val="clear" w:color="auto" w:fill="FFFFFF" w:themeFill="background1"/>
            <w:noWrap/>
          </w:tcPr>
          <w:p w14:paraId="67644D8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48" w:type="pct"/>
            <w:tcBorders>
              <w:top w:val="nil"/>
            </w:tcBorders>
            <w:shd w:val="clear" w:color="auto" w:fill="FFFFFF" w:themeFill="background1"/>
            <w:noWrap/>
            <w:hideMark/>
          </w:tcPr>
          <w:p w14:paraId="0DFEB00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7EB2AAD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hideMark/>
          </w:tcPr>
          <w:p w14:paraId="2750045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43C282F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182670D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15C44D7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26DC81C8"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hideMark/>
          </w:tcPr>
          <w:p w14:paraId="746BAE4B"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3F1D110E"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454C7C7D"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Царине</w:t>
            </w:r>
          </w:p>
        </w:tc>
        <w:tc>
          <w:tcPr>
            <w:tcW w:w="356" w:type="pct"/>
            <w:tcBorders>
              <w:top w:val="nil"/>
            </w:tcBorders>
            <w:shd w:val="clear" w:color="auto" w:fill="FFFFFF" w:themeFill="background1"/>
            <w:noWrap/>
            <w:hideMark/>
          </w:tcPr>
          <w:p w14:paraId="22509D9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99,9</w:t>
            </w:r>
          </w:p>
        </w:tc>
        <w:tc>
          <w:tcPr>
            <w:tcW w:w="356" w:type="pct"/>
            <w:tcBorders>
              <w:top w:val="nil"/>
            </w:tcBorders>
            <w:shd w:val="clear" w:color="auto" w:fill="FFFFFF" w:themeFill="background1"/>
            <w:noWrap/>
            <w:hideMark/>
          </w:tcPr>
          <w:p w14:paraId="09BA0C4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99,9</w:t>
            </w:r>
          </w:p>
        </w:tc>
        <w:tc>
          <w:tcPr>
            <w:tcW w:w="360" w:type="pct"/>
            <w:tcBorders>
              <w:top w:val="nil"/>
            </w:tcBorders>
            <w:shd w:val="clear" w:color="auto" w:fill="FFFFFF" w:themeFill="background1"/>
            <w:noWrap/>
          </w:tcPr>
          <w:p w14:paraId="4175237B"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5DF07E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83F7AD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56596ED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FFDFFE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E500E6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046319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FE8EDA2"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hideMark/>
          </w:tcPr>
          <w:p w14:paraId="75F124C8"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6A7014" w:rsidRPr="001B41AD" w14:paraId="01838145"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59241E6D"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Остали порески приходи</w:t>
            </w:r>
          </w:p>
        </w:tc>
        <w:tc>
          <w:tcPr>
            <w:tcW w:w="356" w:type="pct"/>
            <w:tcBorders>
              <w:top w:val="nil"/>
            </w:tcBorders>
            <w:shd w:val="clear" w:color="auto" w:fill="FFFFFF" w:themeFill="background1"/>
            <w:noWrap/>
            <w:hideMark/>
          </w:tcPr>
          <w:p w14:paraId="59B01B5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130,8</w:t>
            </w:r>
          </w:p>
        </w:tc>
        <w:tc>
          <w:tcPr>
            <w:tcW w:w="356" w:type="pct"/>
            <w:tcBorders>
              <w:top w:val="nil"/>
            </w:tcBorders>
            <w:shd w:val="clear" w:color="auto" w:fill="FFFFFF" w:themeFill="background1"/>
            <w:noWrap/>
            <w:hideMark/>
          </w:tcPr>
          <w:p w14:paraId="5416512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17,3</w:t>
            </w:r>
          </w:p>
        </w:tc>
        <w:tc>
          <w:tcPr>
            <w:tcW w:w="360" w:type="pct"/>
            <w:tcBorders>
              <w:top w:val="nil"/>
            </w:tcBorders>
            <w:shd w:val="clear" w:color="auto" w:fill="FFFFFF" w:themeFill="background1"/>
            <w:noWrap/>
            <w:hideMark/>
          </w:tcPr>
          <w:p w14:paraId="7733BF2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113,5</w:t>
            </w:r>
          </w:p>
        </w:tc>
        <w:tc>
          <w:tcPr>
            <w:tcW w:w="348" w:type="pct"/>
            <w:tcBorders>
              <w:top w:val="nil"/>
            </w:tcBorders>
            <w:shd w:val="clear" w:color="auto" w:fill="FFFFFF" w:themeFill="background1"/>
            <w:noWrap/>
            <w:hideMark/>
          </w:tcPr>
          <w:p w14:paraId="1739E6C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113,5</w:t>
            </w:r>
          </w:p>
        </w:tc>
        <w:tc>
          <w:tcPr>
            <w:tcW w:w="372" w:type="pct"/>
            <w:tcBorders>
              <w:top w:val="nil"/>
            </w:tcBorders>
            <w:shd w:val="clear" w:color="auto" w:fill="FFFFFF" w:themeFill="background1"/>
            <w:noWrap/>
            <w:hideMark/>
          </w:tcPr>
          <w:p w14:paraId="2358555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hideMark/>
          </w:tcPr>
          <w:p w14:paraId="0ECF932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4C4DD64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61222CB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771A814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4EDDA8D4"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hideMark/>
          </w:tcPr>
          <w:p w14:paraId="28A29D91"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58206E03"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2D02F362"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Непорески приходи</w:t>
            </w:r>
          </w:p>
        </w:tc>
        <w:tc>
          <w:tcPr>
            <w:tcW w:w="356" w:type="pct"/>
            <w:tcBorders>
              <w:top w:val="nil"/>
            </w:tcBorders>
            <w:shd w:val="clear" w:color="auto" w:fill="FFFFFF" w:themeFill="background1"/>
            <w:noWrap/>
            <w:hideMark/>
          </w:tcPr>
          <w:p w14:paraId="653FBCB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459,4</w:t>
            </w:r>
          </w:p>
        </w:tc>
        <w:tc>
          <w:tcPr>
            <w:tcW w:w="356" w:type="pct"/>
            <w:tcBorders>
              <w:top w:val="nil"/>
            </w:tcBorders>
            <w:shd w:val="clear" w:color="auto" w:fill="FFFFFF" w:themeFill="background1"/>
            <w:noWrap/>
            <w:hideMark/>
          </w:tcPr>
          <w:p w14:paraId="59385E3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263,3</w:t>
            </w:r>
          </w:p>
        </w:tc>
        <w:tc>
          <w:tcPr>
            <w:tcW w:w="360" w:type="pct"/>
            <w:tcBorders>
              <w:top w:val="nil"/>
            </w:tcBorders>
            <w:shd w:val="clear" w:color="auto" w:fill="FFFFFF" w:themeFill="background1"/>
            <w:noWrap/>
            <w:hideMark/>
          </w:tcPr>
          <w:p w14:paraId="6284158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72,1</w:t>
            </w:r>
          </w:p>
        </w:tc>
        <w:tc>
          <w:tcPr>
            <w:tcW w:w="348" w:type="pct"/>
            <w:tcBorders>
              <w:top w:val="nil"/>
            </w:tcBorders>
            <w:shd w:val="clear" w:color="auto" w:fill="FFFFFF" w:themeFill="background1"/>
            <w:noWrap/>
            <w:hideMark/>
          </w:tcPr>
          <w:p w14:paraId="003B1EA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66,2</w:t>
            </w:r>
          </w:p>
        </w:tc>
        <w:tc>
          <w:tcPr>
            <w:tcW w:w="372" w:type="pct"/>
            <w:tcBorders>
              <w:top w:val="nil"/>
            </w:tcBorders>
            <w:shd w:val="clear" w:color="auto" w:fill="FFFFFF" w:themeFill="background1"/>
            <w:noWrap/>
            <w:hideMark/>
          </w:tcPr>
          <w:p w14:paraId="7712FBF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5,9</w:t>
            </w:r>
          </w:p>
        </w:tc>
        <w:tc>
          <w:tcPr>
            <w:tcW w:w="353" w:type="pct"/>
            <w:tcBorders>
              <w:top w:val="nil"/>
            </w:tcBorders>
            <w:shd w:val="clear" w:color="auto" w:fill="FFFFFF" w:themeFill="background1"/>
            <w:noWrap/>
            <w:hideMark/>
          </w:tcPr>
          <w:p w14:paraId="2E59787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83,5</w:t>
            </w:r>
          </w:p>
        </w:tc>
        <w:tc>
          <w:tcPr>
            <w:tcW w:w="372" w:type="pct"/>
            <w:tcBorders>
              <w:top w:val="nil"/>
            </w:tcBorders>
            <w:shd w:val="clear" w:color="auto" w:fill="FFFFFF" w:themeFill="background1"/>
            <w:noWrap/>
            <w:hideMark/>
          </w:tcPr>
          <w:p w14:paraId="396F62F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40,4</w:t>
            </w:r>
          </w:p>
        </w:tc>
        <w:tc>
          <w:tcPr>
            <w:tcW w:w="372" w:type="pct"/>
            <w:tcBorders>
              <w:top w:val="nil"/>
            </w:tcBorders>
            <w:shd w:val="clear" w:color="auto" w:fill="FFFFFF" w:themeFill="background1"/>
            <w:noWrap/>
          </w:tcPr>
          <w:p w14:paraId="01339F1B"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46B835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39,2</w:t>
            </w:r>
          </w:p>
        </w:tc>
        <w:tc>
          <w:tcPr>
            <w:tcW w:w="372" w:type="pct"/>
            <w:tcBorders>
              <w:top w:val="nil"/>
            </w:tcBorders>
            <w:shd w:val="clear" w:color="auto" w:fill="FFFFFF" w:themeFill="background1"/>
            <w:noWrap/>
            <w:hideMark/>
          </w:tcPr>
          <w:p w14:paraId="1B9A3A62"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1,0</w:t>
            </w:r>
          </w:p>
        </w:tc>
        <w:tc>
          <w:tcPr>
            <w:tcW w:w="371" w:type="pct"/>
            <w:tcBorders>
              <w:top w:val="nil"/>
            </w:tcBorders>
            <w:shd w:val="clear" w:color="auto" w:fill="FFFFFF" w:themeFill="background1"/>
            <w:noWrap/>
            <w:hideMark/>
          </w:tcPr>
          <w:p w14:paraId="06BE932A"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0,3</w:t>
            </w:r>
          </w:p>
        </w:tc>
      </w:tr>
      <w:tr w:rsidR="006A7014" w:rsidRPr="001B41AD" w14:paraId="7B02DC5C"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6F2950AD"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Донације</w:t>
            </w:r>
          </w:p>
        </w:tc>
        <w:tc>
          <w:tcPr>
            <w:tcW w:w="356" w:type="pct"/>
            <w:tcBorders>
              <w:top w:val="nil"/>
            </w:tcBorders>
            <w:shd w:val="clear" w:color="auto" w:fill="FFFFFF" w:themeFill="background1"/>
            <w:noWrap/>
            <w:hideMark/>
          </w:tcPr>
          <w:p w14:paraId="1F08EE7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33,8</w:t>
            </w:r>
          </w:p>
        </w:tc>
        <w:tc>
          <w:tcPr>
            <w:tcW w:w="356" w:type="pct"/>
            <w:tcBorders>
              <w:top w:val="nil"/>
            </w:tcBorders>
            <w:shd w:val="clear" w:color="auto" w:fill="FFFFFF" w:themeFill="background1"/>
            <w:noWrap/>
            <w:hideMark/>
          </w:tcPr>
          <w:p w14:paraId="34B0269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31,4</w:t>
            </w:r>
          </w:p>
        </w:tc>
        <w:tc>
          <w:tcPr>
            <w:tcW w:w="360" w:type="pct"/>
            <w:tcBorders>
              <w:top w:val="nil"/>
            </w:tcBorders>
            <w:shd w:val="clear" w:color="auto" w:fill="FFFFFF" w:themeFill="background1"/>
            <w:noWrap/>
            <w:hideMark/>
          </w:tcPr>
          <w:p w14:paraId="64C62C6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2,0</w:t>
            </w:r>
          </w:p>
        </w:tc>
        <w:tc>
          <w:tcPr>
            <w:tcW w:w="348" w:type="pct"/>
            <w:tcBorders>
              <w:top w:val="nil"/>
            </w:tcBorders>
            <w:shd w:val="clear" w:color="auto" w:fill="FFFFFF" w:themeFill="background1"/>
            <w:noWrap/>
            <w:hideMark/>
          </w:tcPr>
          <w:p w14:paraId="21A23D5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2,0</w:t>
            </w:r>
          </w:p>
        </w:tc>
        <w:tc>
          <w:tcPr>
            <w:tcW w:w="372" w:type="pct"/>
            <w:tcBorders>
              <w:top w:val="nil"/>
            </w:tcBorders>
            <w:shd w:val="clear" w:color="auto" w:fill="FFFFFF" w:themeFill="background1"/>
            <w:noWrap/>
          </w:tcPr>
          <w:p w14:paraId="6817145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tcPr>
          <w:p w14:paraId="5874CF4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1440F06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0,4</w:t>
            </w:r>
          </w:p>
        </w:tc>
        <w:tc>
          <w:tcPr>
            <w:tcW w:w="372" w:type="pct"/>
            <w:tcBorders>
              <w:top w:val="nil"/>
            </w:tcBorders>
            <w:shd w:val="clear" w:color="auto" w:fill="FFFFFF" w:themeFill="background1"/>
            <w:noWrap/>
          </w:tcPr>
          <w:p w14:paraId="1A533A7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05F6D70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0,2</w:t>
            </w:r>
          </w:p>
        </w:tc>
        <w:tc>
          <w:tcPr>
            <w:tcW w:w="372" w:type="pct"/>
            <w:tcBorders>
              <w:top w:val="nil"/>
            </w:tcBorders>
            <w:shd w:val="clear" w:color="auto" w:fill="FFFFFF" w:themeFill="background1"/>
            <w:noWrap/>
            <w:hideMark/>
          </w:tcPr>
          <w:p w14:paraId="69A3DB51"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0,2</w:t>
            </w:r>
          </w:p>
        </w:tc>
        <w:tc>
          <w:tcPr>
            <w:tcW w:w="371" w:type="pct"/>
            <w:tcBorders>
              <w:top w:val="nil"/>
            </w:tcBorders>
            <w:shd w:val="clear" w:color="auto" w:fill="FFFFFF" w:themeFill="background1"/>
            <w:noWrap/>
            <w:hideMark/>
          </w:tcPr>
          <w:p w14:paraId="4E219FF8"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0,0</w:t>
            </w:r>
          </w:p>
        </w:tc>
      </w:tr>
      <w:tr w:rsidR="006A7014" w:rsidRPr="001B41AD" w14:paraId="693AFFF4"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BFBFBF" w:themeFill="background1" w:themeFillShade="BF"/>
            <w:noWrap/>
            <w:hideMark/>
          </w:tcPr>
          <w:p w14:paraId="37CCAB82" w14:textId="77777777" w:rsidR="00DF656E" w:rsidRPr="001B41AD" w:rsidRDefault="00DF656E" w:rsidP="006A7014">
            <w:pPr>
              <w:tabs>
                <w:tab w:val="center" w:pos="4680"/>
                <w:tab w:val="right" w:pos="9360"/>
              </w:tabs>
              <w:rPr>
                <w:rFonts w:cstheme="minorHAnsi"/>
                <w:color w:val="002060"/>
                <w:sz w:val="14"/>
                <w:szCs w:val="14"/>
                <w:lang w:val="sr-Cyrl-CS"/>
              </w:rPr>
            </w:pPr>
            <w:r w:rsidRPr="001B41AD">
              <w:rPr>
                <w:rFonts w:cstheme="minorHAnsi"/>
                <w:color w:val="002060"/>
                <w:sz w:val="14"/>
                <w:szCs w:val="14"/>
                <w:lang w:val="sr-Cyrl-CS"/>
              </w:rPr>
              <w:t>Јавни расходи</w:t>
            </w:r>
          </w:p>
        </w:tc>
        <w:tc>
          <w:tcPr>
            <w:tcW w:w="356" w:type="pct"/>
            <w:tcBorders>
              <w:top w:val="nil"/>
            </w:tcBorders>
            <w:shd w:val="clear" w:color="auto" w:fill="BFBFBF" w:themeFill="background1" w:themeFillShade="BF"/>
            <w:noWrap/>
            <w:hideMark/>
          </w:tcPr>
          <w:p w14:paraId="41DC7E4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4.871,4</w:t>
            </w:r>
          </w:p>
        </w:tc>
        <w:tc>
          <w:tcPr>
            <w:tcW w:w="356" w:type="pct"/>
            <w:tcBorders>
              <w:top w:val="nil"/>
            </w:tcBorders>
            <w:shd w:val="clear" w:color="auto" w:fill="BFBFBF" w:themeFill="background1" w:themeFillShade="BF"/>
            <w:noWrap/>
            <w:hideMark/>
          </w:tcPr>
          <w:p w14:paraId="42E4704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2.238,8</w:t>
            </w:r>
          </w:p>
        </w:tc>
        <w:tc>
          <w:tcPr>
            <w:tcW w:w="360" w:type="pct"/>
            <w:tcBorders>
              <w:top w:val="nil"/>
            </w:tcBorders>
            <w:shd w:val="clear" w:color="auto" w:fill="BFBFBF" w:themeFill="background1" w:themeFillShade="BF"/>
            <w:noWrap/>
            <w:hideMark/>
          </w:tcPr>
          <w:p w14:paraId="50B37C5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559,8</w:t>
            </w:r>
          </w:p>
        </w:tc>
        <w:tc>
          <w:tcPr>
            <w:tcW w:w="348" w:type="pct"/>
            <w:tcBorders>
              <w:top w:val="nil"/>
            </w:tcBorders>
            <w:shd w:val="clear" w:color="auto" w:fill="BFBFBF" w:themeFill="background1" w:themeFillShade="BF"/>
            <w:noWrap/>
            <w:hideMark/>
          </w:tcPr>
          <w:p w14:paraId="10B6638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514,7</w:t>
            </w:r>
          </w:p>
        </w:tc>
        <w:tc>
          <w:tcPr>
            <w:tcW w:w="372" w:type="pct"/>
            <w:tcBorders>
              <w:top w:val="nil"/>
            </w:tcBorders>
            <w:shd w:val="clear" w:color="auto" w:fill="BFBFBF" w:themeFill="background1" w:themeFillShade="BF"/>
            <w:noWrap/>
            <w:hideMark/>
          </w:tcPr>
          <w:p w14:paraId="401451C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45,1</w:t>
            </w:r>
          </w:p>
        </w:tc>
        <w:tc>
          <w:tcPr>
            <w:tcW w:w="353" w:type="pct"/>
            <w:tcBorders>
              <w:top w:val="nil"/>
            </w:tcBorders>
            <w:shd w:val="clear" w:color="auto" w:fill="BFBFBF" w:themeFill="background1" w:themeFillShade="BF"/>
            <w:noWrap/>
            <w:hideMark/>
          </w:tcPr>
          <w:p w14:paraId="6691700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119,7</w:t>
            </w:r>
          </w:p>
        </w:tc>
        <w:tc>
          <w:tcPr>
            <w:tcW w:w="372" w:type="pct"/>
            <w:tcBorders>
              <w:top w:val="nil"/>
            </w:tcBorders>
            <w:shd w:val="clear" w:color="auto" w:fill="BFBFBF" w:themeFill="background1" w:themeFillShade="BF"/>
            <w:noWrap/>
            <w:hideMark/>
          </w:tcPr>
          <w:p w14:paraId="748342E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1.953,1</w:t>
            </w:r>
          </w:p>
        </w:tc>
        <w:tc>
          <w:tcPr>
            <w:tcW w:w="372" w:type="pct"/>
            <w:tcBorders>
              <w:top w:val="nil"/>
            </w:tcBorders>
            <w:shd w:val="clear" w:color="auto" w:fill="BFBFBF" w:themeFill="background1" w:themeFillShade="BF"/>
            <w:noWrap/>
            <w:hideMark/>
          </w:tcPr>
          <w:p w14:paraId="6AAACF5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1.243,9</w:t>
            </w:r>
          </w:p>
        </w:tc>
        <w:tc>
          <w:tcPr>
            <w:tcW w:w="372" w:type="pct"/>
            <w:tcBorders>
              <w:top w:val="nil"/>
            </w:tcBorders>
            <w:shd w:val="clear" w:color="auto" w:fill="BFBFBF" w:themeFill="background1" w:themeFillShade="BF"/>
            <w:noWrap/>
            <w:hideMark/>
          </w:tcPr>
          <w:p w14:paraId="35E12F9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671,3</w:t>
            </w:r>
          </w:p>
        </w:tc>
        <w:tc>
          <w:tcPr>
            <w:tcW w:w="372" w:type="pct"/>
            <w:tcBorders>
              <w:top w:val="nil"/>
            </w:tcBorders>
            <w:shd w:val="clear" w:color="auto" w:fill="BFBFBF" w:themeFill="background1" w:themeFillShade="BF"/>
            <w:noWrap/>
            <w:hideMark/>
          </w:tcPr>
          <w:p w14:paraId="1AECB9A3"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27,9</w:t>
            </w:r>
          </w:p>
        </w:tc>
        <w:tc>
          <w:tcPr>
            <w:tcW w:w="371" w:type="pct"/>
            <w:tcBorders>
              <w:top w:val="nil"/>
            </w:tcBorders>
            <w:shd w:val="clear" w:color="auto" w:fill="BFBFBF" w:themeFill="background1" w:themeFillShade="BF"/>
            <w:noWrap/>
            <w:hideMark/>
          </w:tcPr>
          <w:p w14:paraId="069A51A6"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10,1</w:t>
            </w:r>
          </w:p>
        </w:tc>
      </w:tr>
      <w:tr w:rsidR="006A7014" w:rsidRPr="001B41AD" w14:paraId="7BCB06C6"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177A2BC1"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Текући расходи</w:t>
            </w:r>
          </w:p>
        </w:tc>
        <w:tc>
          <w:tcPr>
            <w:tcW w:w="356" w:type="pct"/>
            <w:tcBorders>
              <w:top w:val="nil"/>
            </w:tcBorders>
            <w:shd w:val="clear" w:color="auto" w:fill="FFFFFF" w:themeFill="background1"/>
            <w:noWrap/>
            <w:hideMark/>
          </w:tcPr>
          <w:p w14:paraId="44ED451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4.098,9</w:t>
            </w:r>
          </w:p>
        </w:tc>
        <w:tc>
          <w:tcPr>
            <w:tcW w:w="356" w:type="pct"/>
            <w:tcBorders>
              <w:top w:val="nil"/>
            </w:tcBorders>
            <w:shd w:val="clear" w:color="auto" w:fill="FFFFFF" w:themeFill="background1"/>
            <w:noWrap/>
            <w:hideMark/>
          </w:tcPr>
          <w:p w14:paraId="5D810D4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1.601,2</w:t>
            </w:r>
          </w:p>
        </w:tc>
        <w:tc>
          <w:tcPr>
            <w:tcW w:w="360" w:type="pct"/>
            <w:tcBorders>
              <w:top w:val="nil"/>
            </w:tcBorders>
            <w:shd w:val="clear" w:color="auto" w:fill="FFFFFF" w:themeFill="background1"/>
            <w:noWrap/>
            <w:hideMark/>
          </w:tcPr>
          <w:p w14:paraId="3AE728E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462,3</w:t>
            </w:r>
          </w:p>
        </w:tc>
        <w:tc>
          <w:tcPr>
            <w:tcW w:w="348" w:type="pct"/>
            <w:tcBorders>
              <w:top w:val="nil"/>
            </w:tcBorders>
            <w:shd w:val="clear" w:color="auto" w:fill="FFFFFF" w:themeFill="background1"/>
            <w:noWrap/>
            <w:hideMark/>
          </w:tcPr>
          <w:p w14:paraId="5119AE3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421,4</w:t>
            </w:r>
          </w:p>
        </w:tc>
        <w:tc>
          <w:tcPr>
            <w:tcW w:w="372" w:type="pct"/>
            <w:tcBorders>
              <w:top w:val="nil"/>
            </w:tcBorders>
            <w:shd w:val="clear" w:color="auto" w:fill="FFFFFF" w:themeFill="background1"/>
            <w:noWrap/>
            <w:hideMark/>
          </w:tcPr>
          <w:p w14:paraId="613C5A1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41,0</w:t>
            </w:r>
          </w:p>
        </w:tc>
        <w:tc>
          <w:tcPr>
            <w:tcW w:w="353" w:type="pct"/>
            <w:tcBorders>
              <w:top w:val="nil"/>
            </w:tcBorders>
            <w:shd w:val="clear" w:color="auto" w:fill="FFFFFF" w:themeFill="background1"/>
            <w:noWrap/>
            <w:hideMark/>
          </w:tcPr>
          <w:p w14:paraId="635887A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104,6</w:t>
            </w:r>
          </w:p>
        </w:tc>
        <w:tc>
          <w:tcPr>
            <w:tcW w:w="372" w:type="pct"/>
            <w:tcBorders>
              <w:top w:val="nil"/>
            </w:tcBorders>
            <w:shd w:val="clear" w:color="auto" w:fill="FFFFFF" w:themeFill="background1"/>
            <w:noWrap/>
            <w:hideMark/>
          </w:tcPr>
          <w:p w14:paraId="5659226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1.930,8</w:t>
            </w:r>
          </w:p>
        </w:tc>
        <w:tc>
          <w:tcPr>
            <w:tcW w:w="372" w:type="pct"/>
            <w:tcBorders>
              <w:top w:val="nil"/>
            </w:tcBorders>
            <w:shd w:val="clear" w:color="auto" w:fill="FFFFFF" w:themeFill="background1"/>
            <w:noWrap/>
            <w:hideMark/>
          </w:tcPr>
          <w:p w14:paraId="348AAD1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1.241,7</w:t>
            </w:r>
          </w:p>
        </w:tc>
        <w:tc>
          <w:tcPr>
            <w:tcW w:w="372" w:type="pct"/>
            <w:tcBorders>
              <w:top w:val="nil"/>
            </w:tcBorders>
            <w:shd w:val="clear" w:color="auto" w:fill="FFFFFF" w:themeFill="background1"/>
            <w:noWrap/>
            <w:hideMark/>
          </w:tcPr>
          <w:p w14:paraId="471FA1C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651,7</w:t>
            </w:r>
          </w:p>
        </w:tc>
        <w:tc>
          <w:tcPr>
            <w:tcW w:w="372" w:type="pct"/>
            <w:tcBorders>
              <w:top w:val="nil"/>
            </w:tcBorders>
            <w:shd w:val="clear" w:color="auto" w:fill="FFFFFF" w:themeFill="background1"/>
            <w:noWrap/>
            <w:hideMark/>
          </w:tcPr>
          <w:p w14:paraId="238F09C5"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27,5</w:t>
            </w:r>
          </w:p>
        </w:tc>
        <w:tc>
          <w:tcPr>
            <w:tcW w:w="371" w:type="pct"/>
            <w:tcBorders>
              <w:top w:val="nil"/>
            </w:tcBorders>
            <w:shd w:val="clear" w:color="auto" w:fill="FFFFFF" w:themeFill="background1"/>
            <w:noWrap/>
            <w:hideMark/>
          </w:tcPr>
          <w:p w14:paraId="41768B4E"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9,9</w:t>
            </w:r>
          </w:p>
        </w:tc>
      </w:tr>
      <w:tr w:rsidR="006A7014" w:rsidRPr="001B41AD" w14:paraId="4744E0E1"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36CFD929"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Расходи за запослене</w:t>
            </w:r>
          </w:p>
        </w:tc>
        <w:tc>
          <w:tcPr>
            <w:tcW w:w="356" w:type="pct"/>
            <w:tcBorders>
              <w:top w:val="nil"/>
            </w:tcBorders>
            <w:shd w:val="clear" w:color="auto" w:fill="FFFFFF" w:themeFill="background1"/>
            <w:noWrap/>
            <w:hideMark/>
          </w:tcPr>
          <w:p w14:paraId="5ECABDD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978,1</w:t>
            </w:r>
          </w:p>
        </w:tc>
        <w:tc>
          <w:tcPr>
            <w:tcW w:w="356" w:type="pct"/>
            <w:tcBorders>
              <w:top w:val="nil"/>
            </w:tcBorders>
            <w:shd w:val="clear" w:color="auto" w:fill="FFFFFF" w:themeFill="background1"/>
            <w:noWrap/>
            <w:hideMark/>
          </w:tcPr>
          <w:p w14:paraId="22E24AB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566,1</w:t>
            </w:r>
          </w:p>
        </w:tc>
        <w:tc>
          <w:tcPr>
            <w:tcW w:w="360" w:type="pct"/>
            <w:tcBorders>
              <w:top w:val="nil"/>
            </w:tcBorders>
            <w:shd w:val="clear" w:color="auto" w:fill="FFFFFF" w:themeFill="background1"/>
            <w:noWrap/>
            <w:hideMark/>
          </w:tcPr>
          <w:p w14:paraId="5E59CF6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106,0</w:t>
            </w:r>
          </w:p>
        </w:tc>
        <w:tc>
          <w:tcPr>
            <w:tcW w:w="348" w:type="pct"/>
            <w:tcBorders>
              <w:top w:val="nil"/>
            </w:tcBorders>
            <w:shd w:val="clear" w:color="auto" w:fill="FFFFFF" w:themeFill="background1"/>
            <w:noWrap/>
            <w:hideMark/>
          </w:tcPr>
          <w:p w14:paraId="3676C31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101,0</w:t>
            </w:r>
          </w:p>
        </w:tc>
        <w:tc>
          <w:tcPr>
            <w:tcW w:w="372" w:type="pct"/>
            <w:tcBorders>
              <w:top w:val="nil"/>
            </w:tcBorders>
            <w:shd w:val="clear" w:color="auto" w:fill="FFFFFF" w:themeFill="background1"/>
            <w:noWrap/>
            <w:hideMark/>
          </w:tcPr>
          <w:p w14:paraId="0526277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5,0</w:t>
            </w:r>
          </w:p>
        </w:tc>
        <w:tc>
          <w:tcPr>
            <w:tcW w:w="353" w:type="pct"/>
            <w:tcBorders>
              <w:top w:val="nil"/>
            </w:tcBorders>
            <w:shd w:val="clear" w:color="auto" w:fill="FFFFFF" w:themeFill="background1"/>
            <w:noWrap/>
            <w:hideMark/>
          </w:tcPr>
          <w:p w14:paraId="23C3B95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21,4</w:t>
            </w:r>
          </w:p>
        </w:tc>
        <w:tc>
          <w:tcPr>
            <w:tcW w:w="372" w:type="pct"/>
            <w:tcBorders>
              <w:top w:val="nil"/>
            </w:tcBorders>
            <w:shd w:val="clear" w:color="auto" w:fill="FFFFFF" w:themeFill="background1"/>
            <w:noWrap/>
            <w:hideMark/>
          </w:tcPr>
          <w:p w14:paraId="26AB488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284,6</w:t>
            </w:r>
          </w:p>
        </w:tc>
        <w:tc>
          <w:tcPr>
            <w:tcW w:w="372" w:type="pct"/>
            <w:tcBorders>
              <w:top w:val="nil"/>
            </w:tcBorders>
            <w:shd w:val="clear" w:color="auto" w:fill="FFFFFF" w:themeFill="background1"/>
            <w:noWrap/>
            <w:hideMark/>
          </w:tcPr>
          <w:p w14:paraId="1409524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5,0</w:t>
            </w:r>
          </w:p>
        </w:tc>
        <w:tc>
          <w:tcPr>
            <w:tcW w:w="372" w:type="pct"/>
            <w:tcBorders>
              <w:top w:val="nil"/>
            </w:tcBorders>
            <w:shd w:val="clear" w:color="auto" w:fill="FFFFFF" w:themeFill="background1"/>
            <w:noWrap/>
            <w:hideMark/>
          </w:tcPr>
          <w:p w14:paraId="44A670B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277,0</w:t>
            </w:r>
          </w:p>
        </w:tc>
        <w:tc>
          <w:tcPr>
            <w:tcW w:w="372" w:type="pct"/>
            <w:tcBorders>
              <w:top w:val="nil"/>
            </w:tcBorders>
            <w:shd w:val="clear" w:color="auto" w:fill="FFFFFF" w:themeFill="background1"/>
            <w:noWrap/>
            <w:hideMark/>
          </w:tcPr>
          <w:p w14:paraId="403E1CA7"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2,5</w:t>
            </w:r>
          </w:p>
        </w:tc>
        <w:tc>
          <w:tcPr>
            <w:tcW w:w="371" w:type="pct"/>
            <w:tcBorders>
              <w:top w:val="nil"/>
            </w:tcBorders>
            <w:shd w:val="clear" w:color="auto" w:fill="FFFFFF" w:themeFill="background1"/>
            <w:noWrap/>
          </w:tcPr>
          <w:p w14:paraId="29DE1127"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6A7014" w:rsidRPr="001B41AD" w14:paraId="6A979192"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3873FE2B"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Доприноси на терет послодавца</w:t>
            </w:r>
          </w:p>
        </w:tc>
        <w:tc>
          <w:tcPr>
            <w:tcW w:w="356" w:type="pct"/>
            <w:tcBorders>
              <w:top w:val="nil"/>
            </w:tcBorders>
            <w:shd w:val="clear" w:color="auto" w:fill="FFFFFF" w:themeFill="background1"/>
            <w:noWrap/>
            <w:hideMark/>
          </w:tcPr>
          <w:p w14:paraId="54EA76B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150,3</w:t>
            </w:r>
          </w:p>
        </w:tc>
        <w:tc>
          <w:tcPr>
            <w:tcW w:w="356" w:type="pct"/>
            <w:tcBorders>
              <w:top w:val="nil"/>
            </w:tcBorders>
            <w:shd w:val="clear" w:color="auto" w:fill="FFFFFF" w:themeFill="background1"/>
            <w:noWrap/>
            <w:hideMark/>
          </w:tcPr>
          <w:p w14:paraId="41D8FBB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89,9</w:t>
            </w:r>
          </w:p>
        </w:tc>
        <w:tc>
          <w:tcPr>
            <w:tcW w:w="360" w:type="pct"/>
            <w:tcBorders>
              <w:top w:val="nil"/>
            </w:tcBorders>
            <w:shd w:val="clear" w:color="auto" w:fill="FFFFFF" w:themeFill="background1"/>
            <w:noWrap/>
            <w:hideMark/>
          </w:tcPr>
          <w:p w14:paraId="3C3D358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14,6</w:t>
            </w:r>
          </w:p>
        </w:tc>
        <w:tc>
          <w:tcPr>
            <w:tcW w:w="348" w:type="pct"/>
            <w:tcBorders>
              <w:top w:val="nil"/>
            </w:tcBorders>
            <w:shd w:val="clear" w:color="auto" w:fill="FFFFFF" w:themeFill="background1"/>
            <w:noWrap/>
            <w:hideMark/>
          </w:tcPr>
          <w:p w14:paraId="133C6A8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14,0</w:t>
            </w:r>
          </w:p>
        </w:tc>
        <w:tc>
          <w:tcPr>
            <w:tcW w:w="372" w:type="pct"/>
            <w:tcBorders>
              <w:top w:val="nil"/>
            </w:tcBorders>
            <w:shd w:val="clear" w:color="auto" w:fill="FFFFFF" w:themeFill="background1"/>
            <w:noWrap/>
            <w:hideMark/>
          </w:tcPr>
          <w:p w14:paraId="0FCF334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0,6</w:t>
            </w:r>
          </w:p>
        </w:tc>
        <w:tc>
          <w:tcPr>
            <w:tcW w:w="353" w:type="pct"/>
            <w:tcBorders>
              <w:top w:val="nil"/>
            </w:tcBorders>
            <w:shd w:val="clear" w:color="auto" w:fill="FFFFFF" w:themeFill="background1"/>
            <w:noWrap/>
            <w:hideMark/>
          </w:tcPr>
          <w:p w14:paraId="1AEFF9A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3,8</w:t>
            </w:r>
          </w:p>
        </w:tc>
        <w:tc>
          <w:tcPr>
            <w:tcW w:w="372" w:type="pct"/>
            <w:tcBorders>
              <w:top w:val="nil"/>
            </w:tcBorders>
            <w:shd w:val="clear" w:color="auto" w:fill="FFFFFF" w:themeFill="background1"/>
            <w:noWrap/>
            <w:hideMark/>
          </w:tcPr>
          <w:p w14:paraId="034925A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42,1</w:t>
            </w:r>
          </w:p>
        </w:tc>
        <w:tc>
          <w:tcPr>
            <w:tcW w:w="372" w:type="pct"/>
            <w:tcBorders>
              <w:top w:val="nil"/>
            </w:tcBorders>
            <w:shd w:val="clear" w:color="auto" w:fill="FFFFFF" w:themeFill="background1"/>
            <w:noWrap/>
            <w:hideMark/>
          </w:tcPr>
          <w:p w14:paraId="2835608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0,8</w:t>
            </w:r>
          </w:p>
        </w:tc>
        <w:tc>
          <w:tcPr>
            <w:tcW w:w="372" w:type="pct"/>
            <w:tcBorders>
              <w:top w:val="nil"/>
            </w:tcBorders>
            <w:shd w:val="clear" w:color="auto" w:fill="FFFFFF" w:themeFill="background1"/>
            <w:noWrap/>
            <w:hideMark/>
          </w:tcPr>
          <w:p w14:paraId="22C559D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40,7</w:t>
            </w:r>
          </w:p>
        </w:tc>
        <w:tc>
          <w:tcPr>
            <w:tcW w:w="372" w:type="pct"/>
            <w:tcBorders>
              <w:top w:val="nil"/>
            </w:tcBorders>
            <w:shd w:val="clear" w:color="auto" w:fill="FFFFFF" w:themeFill="background1"/>
            <w:noWrap/>
            <w:hideMark/>
          </w:tcPr>
          <w:p w14:paraId="08135C94"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0,5</w:t>
            </w:r>
          </w:p>
        </w:tc>
        <w:tc>
          <w:tcPr>
            <w:tcW w:w="371" w:type="pct"/>
            <w:tcBorders>
              <w:top w:val="nil"/>
            </w:tcBorders>
            <w:shd w:val="clear" w:color="auto" w:fill="FFFFFF" w:themeFill="background1"/>
            <w:noWrap/>
          </w:tcPr>
          <w:p w14:paraId="69D34F56"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1A88C431"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53B88D7E"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Куповина роба и услуга</w:t>
            </w:r>
          </w:p>
        </w:tc>
        <w:tc>
          <w:tcPr>
            <w:tcW w:w="356" w:type="pct"/>
            <w:tcBorders>
              <w:top w:val="nil"/>
            </w:tcBorders>
            <w:shd w:val="clear" w:color="auto" w:fill="FFFFFF" w:themeFill="background1"/>
            <w:noWrap/>
            <w:hideMark/>
          </w:tcPr>
          <w:p w14:paraId="6A18F37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846,2</w:t>
            </w:r>
          </w:p>
        </w:tc>
        <w:tc>
          <w:tcPr>
            <w:tcW w:w="356" w:type="pct"/>
            <w:tcBorders>
              <w:top w:val="nil"/>
            </w:tcBorders>
            <w:shd w:val="clear" w:color="auto" w:fill="FFFFFF" w:themeFill="background1"/>
            <w:noWrap/>
            <w:hideMark/>
          </w:tcPr>
          <w:p w14:paraId="5A41DEA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258,9</w:t>
            </w:r>
          </w:p>
        </w:tc>
        <w:tc>
          <w:tcPr>
            <w:tcW w:w="360" w:type="pct"/>
            <w:tcBorders>
              <w:top w:val="nil"/>
            </w:tcBorders>
            <w:shd w:val="clear" w:color="auto" w:fill="FFFFFF" w:themeFill="background1"/>
            <w:noWrap/>
            <w:hideMark/>
          </w:tcPr>
          <w:p w14:paraId="2C0750C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203,9</w:t>
            </w:r>
          </w:p>
        </w:tc>
        <w:tc>
          <w:tcPr>
            <w:tcW w:w="348" w:type="pct"/>
            <w:tcBorders>
              <w:top w:val="nil"/>
            </w:tcBorders>
            <w:shd w:val="clear" w:color="auto" w:fill="FFFFFF" w:themeFill="background1"/>
            <w:noWrap/>
            <w:hideMark/>
          </w:tcPr>
          <w:p w14:paraId="2FB2F7A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199,5</w:t>
            </w:r>
          </w:p>
        </w:tc>
        <w:tc>
          <w:tcPr>
            <w:tcW w:w="372" w:type="pct"/>
            <w:tcBorders>
              <w:top w:val="nil"/>
            </w:tcBorders>
            <w:shd w:val="clear" w:color="auto" w:fill="FFFFFF" w:themeFill="background1"/>
            <w:noWrap/>
            <w:hideMark/>
          </w:tcPr>
          <w:p w14:paraId="7FD28F5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4,4</w:t>
            </w:r>
          </w:p>
        </w:tc>
        <w:tc>
          <w:tcPr>
            <w:tcW w:w="353" w:type="pct"/>
            <w:tcBorders>
              <w:top w:val="nil"/>
            </w:tcBorders>
            <w:shd w:val="clear" w:color="auto" w:fill="FFFFFF" w:themeFill="background1"/>
            <w:noWrap/>
            <w:hideMark/>
          </w:tcPr>
          <w:p w14:paraId="4BD1CAC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72,9</w:t>
            </w:r>
          </w:p>
        </w:tc>
        <w:tc>
          <w:tcPr>
            <w:tcW w:w="372" w:type="pct"/>
            <w:tcBorders>
              <w:top w:val="nil"/>
            </w:tcBorders>
            <w:shd w:val="clear" w:color="auto" w:fill="FFFFFF" w:themeFill="background1"/>
            <w:noWrap/>
            <w:hideMark/>
          </w:tcPr>
          <w:p w14:paraId="4A5C395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310,6</w:t>
            </w:r>
          </w:p>
        </w:tc>
        <w:tc>
          <w:tcPr>
            <w:tcW w:w="372" w:type="pct"/>
            <w:tcBorders>
              <w:top w:val="nil"/>
            </w:tcBorders>
            <w:shd w:val="clear" w:color="auto" w:fill="FFFFFF" w:themeFill="background1"/>
            <w:noWrap/>
            <w:hideMark/>
          </w:tcPr>
          <w:p w14:paraId="4F106F4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5,9</w:t>
            </w:r>
          </w:p>
        </w:tc>
        <w:tc>
          <w:tcPr>
            <w:tcW w:w="372" w:type="pct"/>
            <w:tcBorders>
              <w:top w:val="nil"/>
            </w:tcBorders>
            <w:shd w:val="clear" w:color="auto" w:fill="FFFFFF" w:themeFill="background1"/>
            <w:noWrap/>
            <w:hideMark/>
          </w:tcPr>
          <w:p w14:paraId="448B061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294,8</w:t>
            </w:r>
          </w:p>
        </w:tc>
        <w:tc>
          <w:tcPr>
            <w:tcW w:w="372" w:type="pct"/>
            <w:tcBorders>
              <w:top w:val="nil"/>
            </w:tcBorders>
            <w:shd w:val="clear" w:color="auto" w:fill="FFFFFF" w:themeFill="background1"/>
            <w:noWrap/>
            <w:hideMark/>
          </w:tcPr>
          <w:p w14:paraId="24755269"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2,5</w:t>
            </w:r>
          </w:p>
        </w:tc>
        <w:tc>
          <w:tcPr>
            <w:tcW w:w="371" w:type="pct"/>
            <w:tcBorders>
              <w:top w:val="nil"/>
            </w:tcBorders>
            <w:shd w:val="clear" w:color="auto" w:fill="FFFFFF" w:themeFill="background1"/>
            <w:noWrap/>
          </w:tcPr>
          <w:p w14:paraId="43E74682"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7,4</w:t>
            </w:r>
          </w:p>
        </w:tc>
      </w:tr>
      <w:tr w:rsidR="006A7014" w:rsidRPr="001B41AD" w14:paraId="435DB99E"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0BDB52E9"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Отплата камата</w:t>
            </w:r>
          </w:p>
        </w:tc>
        <w:tc>
          <w:tcPr>
            <w:tcW w:w="356" w:type="pct"/>
            <w:tcBorders>
              <w:top w:val="nil"/>
            </w:tcBorders>
            <w:shd w:val="clear" w:color="auto" w:fill="FFFFFF" w:themeFill="background1"/>
            <w:noWrap/>
            <w:hideMark/>
          </w:tcPr>
          <w:p w14:paraId="7808769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215,0</w:t>
            </w:r>
          </w:p>
        </w:tc>
        <w:tc>
          <w:tcPr>
            <w:tcW w:w="356" w:type="pct"/>
            <w:tcBorders>
              <w:top w:val="nil"/>
            </w:tcBorders>
            <w:shd w:val="clear" w:color="auto" w:fill="FFFFFF" w:themeFill="background1"/>
            <w:noWrap/>
            <w:hideMark/>
          </w:tcPr>
          <w:p w14:paraId="77BA05F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212,2</w:t>
            </w:r>
          </w:p>
        </w:tc>
        <w:tc>
          <w:tcPr>
            <w:tcW w:w="360" w:type="pct"/>
            <w:tcBorders>
              <w:top w:val="nil"/>
            </w:tcBorders>
            <w:shd w:val="clear" w:color="auto" w:fill="FFFFFF" w:themeFill="background1"/>
            <w:noWrap/>
            <w:hideMark/>
          </w:tcPr>
          <w:p w14:paraId="3684053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2,7</w:t>
            </w:r>
          </w:p>
        </w:tc>
        <w:tc>
          <w:tcPr>
            <w:tcW w:w="348" w:type="pct"/>
            <w:tcBorders>
              <w:top w:val="nil"/>
            </w:tcBorders>
            <w:shd w:val="clear" w:color="auto" w:fill="FFFFFF" w:themeFill="background1"/>
            <w:noWrap/>
            <w:hideMark/>
          </w:tcPr>
          <w:p w14:paraId="01C7D34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2,4</w:t>
            </w:r>
          </w:p>
        </w:tc>
        <w:tc>
          <w:tcPr>
            <w:tcW w:w="372" w:type="pct"/>
            <w:tcBorders>
              <w:top w:val="nil"/>
            </w:tcBorders>
            <w:shd w:val="clear" w:color="auto" w:fill="FFFFFF" w:themeFill="background1"/>
            <w:noWrap/>
            <w:hideMark/>
          </w:tcPr>
          <w:p w14:paraId="6A0170F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0,3</w:t>
            </w:r>
          </w:p>
        </w:tc>
        <w:tc>
          <w:tcPr>
            <w:tcW w:w="353" w:type="pct"/>
            <w:tcBorders>
              <w:top w:val="nil"/>
            </w:tcBorders>
            <w:shd w:val="clear" w:color="auto" w:fill="FFFFFF" w:themeFill="background1"/>
            <w:noWrap/>
            <w:hideMark/>
          </w:tcPr>
          <w:p w14:paraId="545848B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0,1</w:t>
            </w:r>
          </w:p>
        </w:tc>
        <w:tc>
          <w:tcPr>
            <w:tcW w:w="372" w:type="pct"/>
            <w:tcBorders>
              <w:top w:val="nil"/>
            </w:tcBorders>
            <w:shd w:val="clear" w:color="auto" w:fill="FFFFFF" w:themeFill="background1"/>
            <w:noWrap/>
          </w:tcPr>
          <w:p w14:paraId="59EB7FA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3A8D39A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56EAA66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02FE56E6"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tcPr>
          <w:p w14:paraId="72585FBD"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043658DD"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7DA6B8CA"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Субвенције</w:t>
            </w:r>
          </w:p>
        </w:tc>
        <w:tc>
          <w:tcPr>
            <w:tcW w:w="356" w:type="pct"/>
            <w:tcBorders>
              <w:top w:val="nil"/>
            </w:tcBorders>
            <w:shd w:val="clear" w:color="auto" w:fill="FFFFFF" w:themeFill="background1"/>
            <w:noWrap/>
            <w:hideMark/>
          </w:tcPr>
          <w:p w14:paraId="000C07C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242,8</w:t>
            </w:r>
          </w:p>
        </w:tc>
        <w:tc>
          <w:tcPr>
            <w:tcW w:w="356" w:type="pct"/>
            <w:tcBorders>
              <w:top w:val="nil"/>
            </w:tcBorders>
            <w:shd w:val="clear" w:color="auto" w:fill="FFFFFF" w:themeFill="background1"/>
            <w:noWrap/>
            <w:hideMark/>
          </w:tcPr>
          <w:p w14:paraId="68935AC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194,8</w:t>
            </w:r>
          </w:p>
        </w:tc>
        <w:tc>
          <w:tcPr>
            <w:tcW w:w="360" w:type="pct"/>
            <w:tcBorders>
              <w:top w:val="nil"/>
            </w:tcBorders>
            <w:shd w:val="clear" w:color="auto" w:fill="FFFFFF" w:themeFill="background1"/>
            <w:noWrap/>
            <w:hideMark/>
          </w:tcPr>
          <w:p w14:paraId="780F277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48,1</w:t>
            </w:r>
          </w:p>
        </w:tc>
        <w:tc>
          <w:tcPr>
            <w:tcW w:w="348" w:type="pct"/>
            <w:tcBorders>
              <w:top w:val="nil"/>
            </w:tcBorders>
            <w:shd w:val="clear" w:color="auto" w:fill="FFFFFF" w:themeFill="background1"/>
            <w:noWrap/>
            <w:hideMark/>
          </w:tcPr>
          <w:p w14:paraId="7869E22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32,7</w:t>
            </w:r>
          </w:p>
        </w:tc>
        <w:tc>
          <w:tcPr>
            <w:tcW w:w="372" w:type="pct"/>
            <w:tcBorders>
              <w:top w:val="nil"/>
            </w:tcBorders>
            <w:shd w:val="clear" w:color="auto" w:fill="FFFFFF" w:themeFill="background1"/>
            <w:noWrap/>
            <w:hideMark/>
          </w:tcPr>
          <w:p w14:paraId="1116285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15,4</w:t>
            </w:r>
          </w:p>
        </w:tc>
        <w:tc>
          <w:tcPr>
            <w:tcW w:w="353" w:type="pct"/>
            <w:tcBorders>
              <w:top w:val="nil"/>
            </w:tcBorders>
            <w:shd w:val="clear" w:color="auto" w:fill="FFFFFF" w:themeFill="background1"/>
            <w:noWrap/>
          </w:tcPr>
          <w:p w14:paraId="1A159B2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49EDAD9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E2A2B5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2CD712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4E7A1EF6"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tcPr>
          <w:p w14:paraId="3E0295B7"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6A7014" w:rsidRPr="001B41AD" w14:paraId="163D9A87"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33FBBF6C"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Социјална помоћ и трансфери</w:t>
            </w:r>
          </w:p>
        </w:tc>
        <w:tc>
          <w:tcPr>
            <w:tcW w:w="356" w:type="pct"/>
            <w:tcBorders>
              <w:top w:val="nil"/>
            </w:tcBorders>
            <w:shd w:val="clear" w:color="auto" w:fill="FFFFFF" w:themeFill="background1"/>
            <w:noWrap/>
            <w:hideMark/>
          </w:tcPr>
          <w:p w14:paraId="5BEB615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1.537,9</w:t>
            </w:r>
          </w:p>
        </w:tc>
        <w:tc>
          <w:tcPr>
            <w:tcW w:w="356" w:type="pct"/>
            <w:tcBorders>
              <w:top w:val="nil"/>
            </w:tcBorders>
            <w:shd w:val="clear" w:color="auto" w:fill="FFFFFF" w:themeFill="background1"/>
            <w:noWrap/>
            <w:hideMark/>
          </w:tcPr>
          <w:p w14:paraId="7002D91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212,2</w:t>
            </w:r>
          </w:p>
        </w:tc>
        <w:tc>
          <w:tcPr>
            <w:tcW w:w="360" w:type="pct"/>
            <w:tcBorders>
              <w:top w:val="nil"/>
            </w:tcBorders>
            <w:shd w:val="clear" w:color="auto" w:fill="FFFFFF" w:themeFill="background1"/>
            <w:noWrap/>
            <w:hideMark/>
          </w:tcPr>
          <w:p w14:paraId="384E486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36,0</w:t>
            </w:r>
          </w:p>
        </w:tc>
        <w:tc>
          <w:tcPr>
            <w:tcW w:w="348" w:type="pct"/>
            <w:tcBorders>
              <w:top w:val="nil"/>
            </w:tcBorders>
            <w:shd w:val="clear" w:color="auto" w:fill="FFFFFF" w:themeFill="background1"/>
            <w:noWrap/>
            <w:hideMark/>
          </w:tcPr>
          <w:p w14:paraId="2E3D632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35,4</w:t>
            </w:r>
          </w:p>
        </w:tc>
        <w:tc>
          <w:tcPr>
            <w:tcW w:w="372" w:type="pct"/>
            <w:tcBorders>
              <w:top w:val="nil"/>
            </w:tcBorders>
            <w:shd w:val="clear" w:color="auto" w:fill="FFFFFF" w:themeFill="background1"/>
            <w:noWrap/>
            <w:hideMark/>
          </w:tcPr>
          <w:p w14:paraId="0410A13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0,7</w:t>
            </w:r>
          </w:p>
        </w:tc>
        <w:tc>
          <w:tcPr>
            <w:tcW w:w="353" w:type="pct"/>
            <w:tcBorders>
              <w:top w:val="nil"/>
            </w:tcBorders>
            <w:shd w:val="clear" w:color="auto" w:fill="FFFFFF" w:themeFill="background1"/>
            <w:noWrap/>
          </w:tcPr>
          <w:p w14:paraId="0D046AC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7D80506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1.289,7</w:t>
            </w:r>
          </w:p>
        </w:tc>
        <w:tc>
          <w:tcPr>
            <w:tcW w:w="372" w:type="pct"/>
            <w:tcBorders>
              <w:top w:val="nil"/>
            </w:tcBorders>
            <w:shd w:val="clear" w:color="auto" w:fill="FFFFFF" w:themeFill="background1"/>
            <w:noWrap/>
          </w:tcPr>
          <w:p w14:paraId="3E99FEB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1.228,4</w:t>
            </w:r>
          </w:p>
        </w:tc>
        <w:tc>
          <w:tcPr>
            <w:tcW w:w="372" w:type="pct"/>
            <w:tcBorders>
              <w:top w:val="nil"/>
            </w:tcBorders>
            <w:shd w:val="clear" w:color="auto" w:fill="FFFFFF" w:themeFill="background1"/>
            <w:noWrap/>
          </w:tcPr>
          <w:p w14:paraId="34CCED2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37,2</w:t>
            </w:r>
          </w:p>
        </w:tc>
        <w:tc>
          <w:tcPr>
            <w:tcW w:w="372" w:type="pct"/>
            <w:tcBorders>
              <w:top w:val="nil"/>
            </w:tcBorders>
            <w:shd w:val="clear" w:color="auto" w:fill="FFFFFF" w:themeFill="background1"/>
            <w:noWrap/>
          </w:tcPr>
          <w:p w14:paraId="34B38A26"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21,7</w:t>
            </w:r>
          </w:p>
        </w:tc>
        <w:tc>
          <w:tcPr>
            <w:tcW w:w="371" w:type="pct"/>
            <w:tcBorders>
              <w:top w:val="nil"/>
            </w:tcBorders>
            <w:shd w:val="clear" w:color="auto" w:fill="FFFFFF" w:themeFill="background1"/>
            <w:noWrap/>
          </w:tcPr>
          <w:p w14:paraId="66C7B37C"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2,4</w:t>
            </w:r>
          </w:p>
        </w:tc>
      </w:tr>
      <w:tr w:rsidR="006A7014" w:rsidRPr="001B41AD" w14:paraId="578C6FEF"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545DF7E5"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oд чега пензије</w:t>
            </w:r>
          </w:p>
        </w:tc>
        <w:tc>
          <w:tcPr>
            <w:tcW w:w="356" w:type="pct"/>
            <w:tcBorders>
              <w:top w:val="nil"/>
            </w:tcBorders>
            <w:shd w:val="clear" w:color="auto" w:fill="FFFFFF" w:themeFill="background1"/>
            <w:noWrap/>
            <w:hideMark/>
          </w:tcPr>
          <w:p w14:paraId="33FBF7A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1.172,7</w:t>
            </w:r>
          </w:p>
        </w:tc>
        <w:tc>
          <w:tcPr>
            <w:tcW w:w="356" w:type="pct"/>
            <w:tcBorders>
              <w:top w:val="nil"/>
            </w:tcBorders>
            <w:shd w:val="clear" w:color="auto" w:fill="FFFFFF" w:themeFill="background1"/>
            <w:noWrap/>
          </w:tcPr>
          <w:p w14:paraId="6458142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tcPr>
          <w:p w14:paraId="220B457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2574996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52E06F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tcPr>
          <w:p w14:paraId="51CD356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887635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1.172,7</w:t>
            </w:r>
          </w:p>
        </w:tc>
        <w:tc>
          <w:tcPr>
            <w:tcW w:w="372" w:type="pct"/>
            <w:tcBorders>
              <w:top w:val="nil"/>
            </w:tcBorders>
            <w:shd w:val="clear" w:color="auto" w:fill="FFFFFF" w:themeFill="background1"/>
            <w:noWrap/>
            <w:hideMark/>
          </w:tcPr>
          <w:p w14:paraId="0CFA40F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1.172,7</w:t>
            </w:r>
          </w:p>
        </w:tc>
        <w:tc>
          <w:tcPr>
            <w:tcW w:w="372" w:type="pct"/>
            <w:tcBorders>
              <w:top w:val="nil"/>
            </w:tcBorders>
            <w:shd w:val="clear" w:color="auto" w:fill="FFFFFF" w:themeFill="background1"/>
            <w:noWrap/>
          </w:tcPr>
          <w:p w14:paraId="779C21F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BCF1A4E"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tcPr>
          <w:p w14:paraId="1330F0A4"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6A7014" w:rsidRPr="001B41AD" w14:paraId="7414C03D"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41AF120B"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Остали текући расходи</w:t>
            </w:r>
          </w:p>
        </w:tc>
        <w:tc>
          <w:tcPr>
            <w:tcW w:w="356" w:type="pct"/>
            <w:tcBorders>
              <w:top w:val="nil"/>
            </w:tcBorders>
            <w:shd w:val="clear" w:color="auto" w:fill="FFFFFF" w:themeFill="background1"/>
            <w:noWrap/>
            <w:hideMark/>
          </w:tcPr>
          <w:p w14:paraId="7454114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128,5</w:t>
            </w:r>
          </w:p>
        </w:tc>
        <w:tc>
          <w:tcPr>
            <w:tcW w:w="356" w:type="pct"/>
            <w:tcBorders>
              <w:top w:val="nil"/>
            </w:tcBorders>
            <w:shd w:val="clear" w:color="auto" w:fill="FFFFFF" w:themeFill="background1"/>
            <w:noWrap/>
            <w:hideMark/>
          </w:tcPr>
          <w:p w14:paraId="5826BB9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67,2</w:t>
            </w:r>
          </w:p>
        </w:tc>
        <w:tc>
          <w:tcPr>
            <w:tcW w:w="360" w:type="pct"/>
            <w:tcBorders>
              <w:top w:val="nil"/>
            </w:tcBorders>
            <w:shd w:val="clear" w:color="auto" w:fill="FFFFFF" w:themeFill="background1"/>
            <w:noWrap/>
            <w:hideMark/>
          </w:tcPr>
          <w:p w14:paraId="60F8372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51,0</w:t>
            </w:r>
          </w:p>
        </w:tc>
        <w:tc>
          <w:tcPr>
            <w:tcW w:w="348" w:type="pct"/>
            <w:tcBorders>
              <w:top w:val="nil"/>
            </w:tcBorders>
            <w:shd w:val="clear" w:color="auto" w:fill="FFFFFF" w:themeFill="background1"/>
            <w:noWrap/>
            <w:hideMark/>
          </w:tcPr>
          <w:p w14:paraId="2D6880B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36,5</w:t>
            </w:r>
          </w:p>
        </w:tc>
        <w:tc>
          <w:tcPr>
            <w:tcW w:w="372" w:type="pct"/>
            <w:tcBorders>
              <w:top w:val="nil"/>
            </w:tcBorders>
            <w:shd w:val="clear" w:color="auto" w:fill="FFFFFF" w:themeFill="background1"/>
            <w:noWrap/>
            <w:hideMark/>
          </w:tcPr>
          <w:p w14:paraId="1D1F23D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14,5</w:t>
            </w:r>
          </w:p>
        </w:tc>
        <w:tc>
          <w:tcPr>
            <w:tcW w:w="353" w:type="pct"/>
            <w:tcBorders>
              <w:top w:val="nil"/>
            </w:tcBorders>
            <w:shd w:val="clear" w:color="auto" w:fill="FFFFFF" w:themeFill="background1"/>
            <w:noWrap/>
            <w:hideMark/>
          </w:tcPr>
          <w:p w14:paraId="4EAE681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6,5</w:t>
            </w:r>
          </w:p>
        </w:tc>
        <w:tc>
          <w:tcPr>
            <w:tcW w:w="372" w:type="pct"/>
            <w:tcBorders>
              <w:top w:val="nil"/>
            </w:tcBorders>
            <w:shd w:val="clear" w:color="auto" w:fill="FFFFFF" w:themeFill="background1"/>
            <w:noWrap/>
            <w:hideMark/>
          </w:tcPr>
          <w:p w14:paraId="13DB04C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3,9</w:t>
            </w:r>
          </w:p>
        </w:tc>
        <w:tc>
          <w:tcPr>
            <w:tcW w:w="372" w:type="pct"/>
            <w:tcBorders>
              <w:top w:val="nil"/>
            </w:tcBorders>
            <w:shd w:val="clear" w:color="auto" w:fill="FFFFFF" w:themeFill="background1"/>
            <w:noWrap/>
            <w:hideMark/>
          </w:tcPr>
          <w:p w14:paraId="5454284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1,5</w:t>
            </w:r>
          </w:p>
        </w:tc>
        <w:tc>
          <w:tcPr>
            <w:tcW w:w="372" w:type="pct"/>
            <w:tcBorders>
              <w:top w:val="nil"/>
            </w:tcBorders>
            <w:shd w:val="clear" w:color="auto" w:fill="FFFFFF" w:themeFill="background1"/>
            <w:noWrap/>
          </w:tcPr>
          <w:p w14:paraId="3B99222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2,0</w:t>
            </w:r>
          </w:p>
        </w:tc>
        <w:tc>
          <w:tcPr>
            <w:tcW w:w="372" w:type="pct"/>
            <w:tcBorders>
              <w:top w:val="nil"/>
            </w:tcBorders>
            <w:shd w:val="clear" w:color="auto" w:fill="FFFFFF" w:themeFill="background1"/>
            <w:noWrap/>
          </w:tcPr>
          <w:p w14:paraId="7CBFF227"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0,3</w:t>
            </w:r>
          </w:p>
        </w:tc>
        <w:tc>
          <w:tcPr>
            <w:tcW w:w="371" w:type="pct"/>
            <w:tcBorders>
              <w:top w:val="nil"/>
            </w:tcBorders>
            <w:shd w:val="clear" w:color="auto" w:fill="FFFFFF" w:themeFill="background1"/>
            <w:noWrap/>
          </w:tcPr>
          <w:p w14:paraId="6AB9C703"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0,1</w:t>
            </w:r>
          </w:p>
        </w:tc>
      </w:tr>
      <w:tr w:rsidR="006A7014" w:rsidRPr="001B41AD" w14:paraId="6214B9CC"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5B1FD18E"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Капитални расходи</w:t>
            </w:r>
          </w:p>
        </w:tc>
        <w:tc>
          <w:tcPr>
            <w:tcW w:w="356" w:type="pct"/>
            <w:tcBorders>
              <w:top w:val="nil"/>
            </w:tcBorders>
            <w:shd w:val="clear" w:color="auto" w:fill="FFFFFF" w:themeFill="background1"/>
            <w:noWrap/>
            <w:hideMark/>
          </w:tcPr>
          <w:p w14:paraId="6EB715E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737,4</w:t>
            </w:r>
          </w:p>
        </w:tc>
        <w:tc>
          <w:tcPr>
            <w:tcW w:w="356" w:type="pct"/>
            <w:tcBorders>
              <w:top w:val="nil"/>
            </w:tcBorders>
            <w:shd w:val="clear" w:color="auto" w:fill="FFFFFF" w:themeFill="background1"/>
            <w:noWrap/>
            <w:hideMark/>
          </w:tcPr>
          <w:p w14:paraId="00D0B05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602,4</w:t>
            </w:r>
          </w:p>
        </w:tc>
        <w:tc>
          <w:tcPr>
            <w:tcW w:w="360" w:type="pct"/>
            <w:tcBorders>
              <w:top w:val="nil"/>
            </w:tcBorders>
            <w:shd w:val="clear" w:color="auto" w:fill="FFFFFF" w:themeFill="background1"/>
            <w:noWrap/>
            <w:hideMark/>
          </w:tcPr>
          <w:p w14:paraId="6109B6A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97,5</w:t>
            </w:r>
          </w:p>
        </w:tc>
        <w:tc>
          <w:tcPr>
            <w:tcW w:w="348" w:type="pct"/>
            <w:tcBorders>
              <w:top w:val="nil"/>
            </w:tcBorders>
            <w:shd w:val="clear" w:color="auto" w:fill="FFFFFF" w:themeFill="background1"/>
            <w:noWrap/>
            <w:hideMark/>
          </w:tcPr>
          <w:p w14:paraId="4CB1BFB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93,4</w:t>
            </w:r>
          </w:p>
        </w:tc>
        <w:tc>
          <w:tcPr>
            <w:tcW w:w="372" w:type="pct"/>
            <w:tcBorders>
              <w:top w:val="nil"/>
            </w:tcBorders>
            <w:shd w:val="clear" w:color="auto" w:fill="FFFFFF" w:themeFill="background1"/>
            <w:noWrap/>
            <w:hideMark/>
          </w:tcPr>
          <w:p w14:paraId="5A15F0D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4,2</w:t>
            </w:r>
          </w:p>
        </w:tc>
        <w:tc>
          <w:tcPr>
            <w:tcW w:w="353" w:type="pct"/>
            <w:tcBorders>
              <w:top w:val="nil"/>
            </w:tcBorders>
            <w:shd w:val="clear" w:color="auto" w:fill="FFFFFF" w:themeFill="background1"/>
            <w:noWrap/>
            <w:hideMark/>
          </w:tcPr>
          <w:p w14:paraId="16C4EB2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15,1</w:t>
            </w:r>
          </w:p>
        </w:tc>
        <w:tc>
          <w:tcPr>
            <w:tcW w:w="372" w:type="pct"/>
            <w:tcBorders>
              <w:top w:val="nil"/>
            </w:tcBorders>
            <w:shd w:val="clear" w:color="auto" w:fill="FFFFFF" w:themeFill="background1"/>
            <w:noWrap/>
            <w:hideMark/>
          </w:tcPr>
          <w:p w14:paraId="1B7F085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22,4</w:t>
            </w:r>
          </w:p>
        </w:tc>
        <w:tc>
          <w:tcPr>
            <w:tcW w:w="372" w:type="pct"/>
            <w:tcBorders>
              <w:top w:val="nil"/>
            </w:tcBorders>
            <w:shd w:val="clear" w:color="auto" w:fill="FFFFFF" w:themeFill="background1"/>
            <w:noWrap/>
            <w:hideMark/>
          </w:tcPr>
          <w:p w14:paraId="7370007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2,2</w:t>
            </w:r>
          </w:p>
        </w:tc>
        <w:tc>
          <w:tcPr>
            <w:tcW w:w="372" w:type="pct"/>
            <w:tcBorders>
              <w:top w:val="nil"/>
            </w:tcBorders>
            <w:shd w:val="clear" w:color="auto" w:fill="FFFFFF" w:themeFill="background1"/>
            <w:noWrap/>
            <w:hideMark/>
          </w:tcPr>
          <w:p w14:paraId="2ACFCA8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19,6</w:t>
            </w:r>
          </w:p>
        </w:tc>
        <w:tc>
          <w:tcPr>
            <w:tcW w:w="372" w:type="pct"/>
            <w:tcBorders>
              <w:top w:val="nil"/>
            </w:tcBorders>
            <w:shd w:val="clear" w:color="auto" w:fill="FFFFFF" w:themeFill="background1"/>
            <w:noWrap/>
            <w:hideMark/>
          </w:tcPr>
          <w:p w14:paraId="00994E20"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0,4</w:t>
            </w:r>
          </w:p>
        </w:tc>
        <w:tc>
          <w:tcPr>
            <w:tcW w:w="371" w:type="pct"/>
            <w:tcBorders>
              <w:top w:val="nil"/>
            </w:tcBorders>
            <w:shd w:val="clear" w:color="auto" w:fill="FFFFFF" w:themeFill="background1"/>
            <w:noWrap/>
            <w:hideMark/>
          </w:tcPr>
          <w:p w14:paraId="1456D421" w14:textId="77777777" w:rsidR="00DF656E" w:rsidRPr="001B41AD" w:rsidRDefault="00DF656E" w:rsidP="006A7014">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0,1</w:t>
            </w:r>
          </w:p>
        </w:tc>
      </w:tr>
      <w:tr w:rsidR="006A7014" w:rsidRPr="001B41AD" w14:paraId="72ED260E"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5028BB36"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Нето буџетске позајмице</w:t>
            </w:r>
          </w:p>
        </w:tc>
        <w:tc>
          <w:tcPr>
            <w:tcW w:w="356" w:type="pct"/>
            <w:tcBorders>
              <w:top w:val="nil"/>
            </w:tcBorders>
            <w:shd w:val="clear" w:color="auto" w:fill="FFFFFF" w:themeFill="background1"/>
            <w:noWrap/>
            <w:hideMark/>
          </w:tcPr>
          <w:p w14:paraId="45A2DE9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11,5</w:t>
            </w:r>
          </w:p>
        </w:tc>
        <w:tc>
          <w:tcPr>
            <w:tcW w:w="356" w:type="pct"/>
            <w:tcBorders>
              <w:top w:val="nil"/>
            </w:tcBorders>
            <w:shd w:val="clear" w:color="auto" w:fill="FFFFFF" w:themeFill="background1"/>
            <w:noWrap/>
            <w:hideMark/>
          </w:tcPr>
          <w:p w14:paraId="1441DD69"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11,5</w:t>
            </w:r>
          </w:p>
        </w:tc>
        <w:tc>
          <w:tcPr>
            <w:tcW w:w="360" w:type="pct"/>
            <w:tcBorders>
              <w:top w:val="nil"/>
            </w:tcBorders>
            <w:shd w:val="clear" w:color="auto" w:fill="FFFFFF" w:themeFill="background1"/>
            <w:noWrap/>
          </w:tcPr>
          <w:p w14:paraId="3DD7D279"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48" w:type="pct"/>
            <w:tcBorders>
              <w:top w:val="nil"/>
            </w:tcBorders>
            <w:shd w:val="clear" w:color="auto" w:fill="FFFFFF" w:themeFill="background1"/>
            <w:noWrap/>
          </w:tcPr>
          <w:p w14:paraId="1BB230D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1E0798F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hideMark/>
          </w:tcPr>
          <w:p w14:paraId="248524A9"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22DC3FD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7688CEE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7977350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6D3B6E11"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hideMark/>
          </w:tcPr>
          <w:p w14:paraId="1BFA787D" w14:textId="77777777" w:rsidR="00DF656E" w:rsidRPr="001B41AD" w:rsidRDefault="00DF656E" w:rsidP="006A7014">
            <w:pPr>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2C7A1FC4"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0ED9CE57" w14:textId="77777777" w:rsidR="00DF656E" w:rsidRPr="001B41AD" w:rsidRDefault="00DF656E" w:rsidP="006A7014">
            <w:pPr>
              <w:tabs>
                <w:tab w:val="center" w:pos="4680"/>
                <w:tab w:val="right" w:pos="9360"/>
              </w:tabs>
              <w:rPr>
                <w:rFonts w:cstheme="minorHAnsi"/>
                <w:b w:val="0"/>
                <w:color w:val="002060"/>
                <w:sz w:val="14"/>
                <w:szCs w:val="14"/>
                <w:lang w:val="sr-Cyrl-CS"/>
              </w:rPr>
            </w:pPr>
            <w:r w:rsidRPr="001B41AD">
              <w:rPr>
                <w:rFonts w:cstheme="minorHAnsi"/>
                <w:color w:val="002060"/>
                <w:sz w:val="14"/>
                <w:szCs w:val="14"/>
                <w:lang w:val="sr-Cyrl-CS"/>
              </w:rPr>
              <w:t xml:space="preserve">    Активиране гаранције</w:t>
            </w:r>
          </w:p>
        </w:tc>
        <w:tc>
          <w:tcPr>
            <w:tcW w:w="356" w:type="pct"/>
            <w:tcBorders>
              <w:top w:val="nil"/>
            </w:tcBorders>
            <w:shd w:val="clear" w:color="auto" w:fill="FFFFFF" w:themeFill="background1"/>
            <w:noWrap/>
            <w:hideMark/>
          </w:tcPr>
          <w:p w14:paraId="54CD9EC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23,7</w:t>
            </w:r>
          </w:p>
        </w:tc>
        <w:tc>
          <w:tcPr>
            <w:tcW w:w="356" w:type="pct"/>
            <w:tcBorders>
              <w:top w:val="nil"/>
            </w:tcBorders>
            <w:shd w:val="clear" w:color="auto" w:fill="FFFFFF" w:themeFill="background1"/>
            <w:noWrap/>
            <w:hideMark/>
          </w:tcPr>
          <w:p w14:paraId="6F50CA2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23,7</w:t>
            </w:r>
          </w:p>
        </w:tc>
        <w:tc>
          <w:tcPr>
            <w:tcW w:w="360" w:type="pct"/>
            <w:tcBorders>
              <w:top w:val="nil"/>
            </w:tcBorders>
            <w:shd w:val="clear" w:color="auto" w:fill="FFFFFF" w:themeFill="background1"/>
            <w:noWrap/>
          </w:tcPr>
          <w:p w14:paraId="0967104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51E962B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17CF34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318DBAB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541DD9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ADEFC0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776842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8B8768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hideMark/>
          </w:tcPr>
          <w:p w14:paraId="07A6FE6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6A7014" w:rsidRPr="001B41AD" w14:paraId="3F8AE492"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BFBFBF" w:themeFill="background1" w:themeFillShade="BF"/>
            <w:noWrap/>
            <w:hideMark/>
          </w:tcPr>
          <w:p w14:paraId="64216915" w14:textId="77777777" w:rsidR="00DF656E" w:rsidRPr="001B41AD" w:rsidRDefault="00DF656E" w:rsidP="006A7014">
            <w:pPr>
              <w:tabs>
                <w:tab w:val="center" w:pos="4680"/>
                <w:tab w:val="right" w:pos="9360"/>
              </w:tabs>
              <w:rPr>
                <w:rFonts w:cstheme="minorHAnsi"/>
                <w:color w:val="002060"/>
                <w:sz w:val="14"/>
                <w:szCs w:val="14"/>
                <w:lang w:val="sr-Cyrl-CS"/>
              </w:rPr>
            </w:pPr>
            <w:r w:rsidRPr="001B41AD">
              <w:rPr>
                <w:rFonts w:cstheme="minorHAnsi"/>
                <w:color w:val="002060"/>
                <w:sz w:val="14"/>
                <w:szCs w:val="14"/>
                <w:lang w:val="sr-Cyrl-CS"/>
              </w:rPr>
              <w:t>Фискални резултат искљ. трансфере</w:t>
            </w:r>
          </w:p>
        </w:tc>
        <w:tc>
          <w:tcPr>
            <w:tcW w:w="356" w:type="pct"/>
            <w:tcBorders>
              <w:top w:val="nil"/>
            </w:tcBorders>
            <w:shd w:val="clear" w:color="auto" w:fill="BFBFBF" w:themeFill="background1" w:themeFillShade="BF"/>
            <w:noWrap/>
            <w:hideMark/>
          </w:tcPr>
          <w:p w14:paraId="70C9446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-337,0</w:t>
            </w:r>
          </w:p>
        </w:tc>
        <w:tc>
          <w:tcPr>
            <w:tcW w:w="356" w:type="pct"/>
            <w:tcBorders>
              <w:top w:val="nil"/>
            </w:tcBorders>
            <w:shd w:val="clear" w:color="auto" w:fill="BFBFBF" w:themeFill="background1" w:themeFillShade="BF"/>
            <w:noWrap/>
            <w:hideMark/>
          </w:tcPr>
          <w:p w14:paraId="74516A2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135,9</w:t>
            </w:r>
          </w:p>
        </w:tc>
        <w:tc>
          <w:tcPr>
            <w:tcW w:w="360" w:type="pct"/>
            <w:tcBorders>
              <w:top w:val="nil"/>
            </w:tcBorders>
            <w:shd w:val="clear" w:color="auto" w:fill="BFBFBF" w:themeFill="background1" w:themeFillShade="BF"/>
            <w:noWrap/>
            <w:hideMark/>
          </w:tcPr>
          <w:p w14:paraId="7262FC8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-33,8</w:t>
            </w:r>
          </w:p>
        </w:tc>
        <w:tc>
          <w:tcPr>
            <w:tcW w:w="348" w:type="pct"/>
            <w:tcBorders>
              <w:top w:val="nil"/>
            </w:tcBorders>
            <w:shd w:val="clear" w:color="auto" w:fill="BFBFBF" w:themeFill="background1" w:themeFillShade="BF"/>
            <w:noWrap/>
            <w:hideMark/>
          </w:tcPr>
          <w:p w14:paraId="5A7E286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-33,2</w:t>
            </w:r>
          </w:p>
        </w:tc>
        <w:tc>
          <w:tcPr>
            <w:tcW w:w="372" w:type="pct"/>
            <w:tcBorders>
              <w:top w:val="nil"/>
            </w:tcBorders>
            <w:shd w:val="clear" w:color="auto" w:fill="BFBFBF" w:themeFill="background1" w:themeFillShade="BF"/>
            <w:noWrap/>
            <w:hideMark/>
          </w:tcPr>
          <w:p w14:paraId="34E09FC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-0,5</w:t>
            </w:r>
          </w:p>
        </w:tc>
        <w:tc>
          <w:tcPr>
            <w:tcW w:w="353" w:type="pct"/>
            <w:tcBorders>
              <w:top w:val="nil"/>
            </w:tcBorders>
            <w:shd w:val="clear" w:color="auto" w:fill="BFBFBF" w:themeFill="background1" w:themeFillShade="BF"/>
            <w:noWrap/>
            <w:hideMark/>
          </w:tcPr>
          <w:p w14:paraId="285F780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-36,2</w:t>
            </w:r>
          </w:p>
        </w:tc>
        <w:tc>
          <w:tcPr>
            <w:tcW w:w="372" w:type="pct"/>
            <w:tcBorders>
              <w:top w:val="nil"/>
            </w:tcBorders>
            <w:shd w:val="clear" w:color="auto" w:fill="BFBFBF" w:themeFill="background1" w:themeFillShade="BF"/>
            <w:noWrap/>
            <w:hideMark/>
          </w:tcPr>
          <w:p w14:paraId="718B93D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-403,0</w:t>
            </w:r>
          </w:p>
        </w:tc>
        <w:tc>
          <w:tcPr>
            <w:tcW w:w="372" w:type="pct"/>
            <w:tcBorders>
              <w:top w:val="nil"/>
            </w:tcBorders>
            <w:shd w:val="clear" w:color="auto" w:fill="BFBFBF" w:themeFill="background1" w:themeFillShade="BF"/>
            <w:noWrap/>
            <w:hideMark/>
          </w:tcPr>
          <w:p w14:paraId="12B41C1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-199,6</w:t>
            </w:r>
          </w:p>
        </w:tc>
        <w:tc>
          <w:tcPr>
            <w:tcW w:w="372" w:type="pct"/>
            <w:tcBorders>
              <w:top w:val="nil"/>
            </w:tcBorders>
            <w:shd w:val="clear" w:color="auto" w:fill="BFBFBF" w:themeFill="background1" w:themeFillShade="BF"/>
            <w:noWrap/>
            <w:hideMark/>
          </w:tcPr>
          <w:p w14:paraId="22A5740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-203,1</w:t>
            </w:r>
          </w:p>
        </w:tc>
        <w:tc>
          <w:tcPr>
            <w:tcW w:w="372" w:type="pct"/>
            <w:tcBorders>
              <w:top w:val="nil"/>
            </w:tcBorders>
            <w:shd w:val="clear" w:color="auto" w:fill="BFBFBF" w:themeFill="background1" w:themeFillShade="BF"/>
            <w:noWrap/>
            <w:hideMark/>
          </w:tcPr>
          <w:p w14:paraId="4061A8D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4,5</w:t>
            </w:r>
          </w:p>
        </w:tc>
        <w:tc>
          <w:tcPr>
            <w:tcW w:w="371" w:type="pct"/>
            <w:tcBorders>
              <w:top w:val="nil"/>
            </w:tcBorders>
            <w:shd w:val="clear" w:color="auto" w:fill="BFBFBF" w:themeFill="background1" w:themeFillShade="BF"/>
            <w:noWrap/>
            <w:hideMark/>
          </w:tcPr>
          <w:p w14:paraId="7D97B1B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1B41AD">
              <w:rPr>
                <w:rFonts w:cstheme="minorHAnsi"/>
                <w:b/>
                <w:bCs/>
                <w:color w:val="002060"/>
                <w:sz w:val="14"/>
                <w:szCs w:val="14"/>
                <w:lang w:val="sr-Cyrl-CS"/>
              </w:rPr>
              <w:t>-4,8</w:t>
            </w:r>
          </w:p>
        </w:tc>
      </w:tr>
      <w:tr w:rsidR="006A7014" w:rsidRPr="001B41AD" w14:paraId="2F4CA2F0"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4E6F9C5D" w14:textId="77777777" w:rsidR="00DF656E" w:rsidRPr="001B41AD" w:rsidRDefault="00DF656E" w:rsidP="006A7014">
            <w:pPr>
              <w:tabs>
                <w:tab w:val="center" w:pos="4680"/>
                <w:tab w:val="right" w:pos="9360"/>
              </w:tabs>
              <w:rPr>
                <w:rFonts w:cstheme="minorHAnsi"/>
                <w:color w:val="002060"/>
                <w:sz w:val="14"/>
                <w:szCs w:val="14"/>
                <w:lang w:val="sr-Cyrl-CS"/>
              </w:rPr>
            </w:pPr>
            <w:r w:rsidRPr="001B41AD">
              <w:rPr>
                <w:rFonts w:cstheme="minorHAnsi"/>
                <w:color w:val="002060"/>
                <w:sz w:val="14"/>
                <w:szCs w:val="14"/>
                <w:lang w:val="sr-Cyrl-CS"/>
              </w:rPr>
              <w:t>Трансфери од других нивоа власти</w:t>
            </w:r>
          </w:p>
        </w:tc>
        <w:tc>
          <w:tcPr>
            <w:tcW w:w="356" w:type="pct"/>
            <w:tcBorders>
              <w:top w:val="nil"/>
            </w:tcBorders>
            <w:shd w:val="clear" w:color="auto" w:fill="FFFFFF" w:themeFill="background1"/>
            <w:noWrap/>
            <w:hideMark/>
          </w:tcPr>
          <w:p w14:paraId="2ACE882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707,3</w:t>
            </w:r>
          </w:p>
        </w:tc>
        <w:tc>
          <w:tcPr>
            <w:tcW w:w="356" w:type="pct"/>
            <w:tcBorders>
              <w:top w:val="nil"/>
            </w:tcBorders>
            <w:shd w:val="clear" w:color="auto" w:fill="FFFFFF" w:themeFill="background1"/>
            <w:noWrap/>
            <w:hideMark/>
          </w:tcPr>
          <w:p w14:paraId="50494CD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40,0</w:t>
            </w:r>
          </w:p>
        </w:tc>
        <w:tc>
          <w:tcPr>
            <w:tcW w:w="360" w:type="pct"/>
            <w:tcBorders>
              <w:top w:val="nil"/>
            </w:tcBorders>
            <w:shd w:val="clear" w:color="auto" w:fill="FFFFFF" w:themeFill="background1"/>
            <w:noWrap/>
            <w:hideMark/>
          </w:tcPr>
          <w:p w14:paraId="2716327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91,0</w:t>
            </w:r>
          </w:p>
        </w:tc>
        <w:tc>
          <w:tcPr>
            <w:tcW w:w="348" w:type="pct"/>
            <w:tcBorders>
              <w:top w:val="nil"/>
            </w:tcBorders>
            <w:shd w:val="clear" w:color="auto" w:fill="FFFFFF" w:themeFill="background1"/>
            <w:noWrap/>
            <w:hideMark/>
          </w:tcPr>
          <w:p w14:paraId="199BE9D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76,6</w:t>
            </w:r>
          </w:p>
        </w:tc>
        <w:tc>
          <w:tcPr>
            <w:tcW w:w="372" w:type="pct"/>
            <w:tcBorders>
              <w:top w:val="nil"/>
            </w:tcBorders>
            <w:shd w:val="clear" w:color="auto" w:fill="FFFFFF" w:themeFill="background1"/>
            <w:noWrap/>
            <w:hideMark/>
          </w:tcPr>
          <w:p w14:paraId="0D65827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14,4</w:t>
            </w:r>
          </w:p>
        </w:tc>
        <w:tc>
          <w:tcPr>
            <w:tcW w:w="353" w:type="pct"/>
            <w:tcBorders>
              <w:top w:val="nil"/>
            </w:tcBorders>
            <w:shd w:val="clear" w:color="auto" w:fill="FFFFFF" w:themeFill="background1"/>
            <w:noWrap/>
            <w:hideMark/>
          </w:tcPr>
          <w:p w14:paraId="0A4AE80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36,2</w:t>
            </w:r>
          </w:p>
        </w:tc>
        <w:tc>
          <w:tcPr>
            <w:tcW w:w="372" w:type="pct"/>
            <w:tcBorders>
              <w:top w:val="nil"/>
            </w:tcBorders>
            <w:shd w:val="clear" w:color="auto" w:fill="FFFFFF" w:themeFill="background1"/>
            <w:noWrap/>
            <w:hideMark/>
          </w:tcPr>
          <w:p w14:paraId="76B3EB0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540,2</w:t>
            </w:r>
          </w:p>
        </w:tc>
        <w:tc>
          <w:tcPr>
            <w:tcW w:w="372" w:type="pct"/>
            <w:tcBorders>
              <w:top w:val="nil"/>
            </w:tcBorders>
            <w:shd w:val="clear" w:color="auto" w:fill="FFFFFF" w:themeFill="background1"/>
            <w:noWrap/>
            <w:hideMark/>
          </w:tcPr>
          <w:p w14:paraId="6F4C0B8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321,5</w:t>
            </w:r>
          </w:p>
        </w:tc>
        <w:tc>
          <w:tcPr>
            <w:tcW w:w="372" w:type="pct"/>
            <w:tcBorders>
              <w:top w:val="nil"/>
            </w:tcBorders>
            <w:shd w:val="clear" w:color="auto" w:fill="FFFFFF" w:themeFill="background1"/>
            <w:noWrap/>
            <w:hideMark/>
          </w:tcPr>
          <w:p w14:paraId="5363763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213,1</w:t>
            </w:r>
          </w:p>
        </w:tc>
        <w:tc>
          <w:tcPr>
            <w:tcW w:w="372" w:type="pct"/>
            <w:tcBorders>
              <w:top w:val="nil"/>
            </w:tcBorders>
            <w:shd w:val="clear" w:color="auto" w:fill="FFFFFF" w:themeFill="background1"/>
            <w:noWrap/>
            <w:hideMark/>
          </w:tcPr>
          <w:p w14:paraId="29B9ED2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0,7</w:t>
            </w:r>
          </w:p>
        </w:tc>
        <w:tc>
          <w:tcPr>
            <w:tcW w:w="371" w:type="pct"/>
            <w:tcBorders>
              <w:top w:val="nil"/>
            </w:tcBorders>
            <w:shd w:val="clear" w:color="auto" w:fill="FFFFFF" w:themeFill="background1"/>
            <w:noWrap/>
            <w:hideMark/>
          </w:tcPr>
          <w:p w14:paraId="5CCC93B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4,8</w:t>
            </w:r>
          </w:p>
        </w:tc>
      </w:tr>
      <w:tr w:rsidR="006A7014" w:rsidRPr="001B41AD" w14:paraId="05B00D9E"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2A138C88"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Буџет Републике</w:t>
            </w:r>
          </w:p>
        </w:tc>
        <w:tc>
          <w:tcPr>
            <w:tcW w:w="356" w:type="pct"/>
            <w:tcBorders>
              <w:top w:val="nil"/>
            </w:tcBorders>
            <w:shd w:val="clear" w:color="auto" w:fill="FFFFFF" w:themeFill="background1"/>
            <w:noWrap/>
            <w:hideMark/>
          </w:tcPr>
          <w:p w14:paraId="4B0311D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512,9</w:t>
            </w:r>
          </w:p>
        </w:tc>
        <w:tc>
          <w:tcPr>
            <w:tcW w:w="356" w:type="pct"/>
            <w:tcBorders>
              <w:top w:val="nil"/>
            </w:tcBorders>
            <w:shd w:val="clear" w:color="auto" w:fill="FFFFFF" w:themeFill="background1"/>
            <w:noWrap/>
            <w:hideMark/>
          </w:tcPr>
          <w:p w14:paraId="4FD0A6D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60" w:type="pct"/>
            <w:tcBorders>
              <w:top w:val="nil"/>
            </w:tcBorders>
            <w:shd w:val="clear" w:color="auto" w:fill="FFFFFF" w:themeFill="background1"/>
            <w:noWrap/>
            <w:hideMark/>
          </w:tcPr>
          <w:p w14:paraId="129E883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82,6</w:t>
            </w:r>
          </w:p>
        </w:tc>
        <w:tc>
          <w:tcPr>
            <w:tcW w:w="348" w:type="pct"/>
            <w:tcBorders>
              <w:top w:val="nil"/>
            </w:tcBorders>
            <w:shd w:val="clear" w:color="auto" w:fill="FFFFFF" w:themeFill="background1"/>
            <w:noWrap/>
            <w:hideMark/>
          </w:tcPr>
          <w:p w14:paraId="66DC593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68,2</w:t>
            </w:r>
          </w:p>
        </w:tc>
        <w:tc>
          <w:tcPr>
            <w:tcW w:w="372" w:type="pct"/>
            <w:tcBorders>
              <w:top w:val="nil"/>
            </w:tcBorders>
            <w:shd w:val="clear" w:color="auto" w:fill="FFFFFF" w:themeFill="background1"/>
            <w:noWrap/>
            <w:hideMark/>
          </w:tcPr>
          <w:p w14:paraId="2E580F9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14,4</w:t>
            </w:r>
          </w:p>
        </w:tc>
        <w:tc>
          <w:tcPr>
            <w:tcW w:w="353" w:type="pct"/>
            <w:tcBorders>
              <w:top w:val="nil"/>
            </w:tcBorders>
            <w:shd w:val="clear" w:color="auto" w:fill="FFFFFF" w:themeFill="background1"/>
            <w:noWrap/>
            <w:hideMark/>
          </w:tcPr>
          <w:p w14:paraId="0359ED1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36,2</w:t>
            </w:r>
          </w:p>
        </w:tc>
        <w:tc>
          <w:tcPr>
            <w:tcW w:w="372" w:type="pct"/>
            <w:tcBorders>
              <w:top w:val="nil"/>
            </w:tcBorders>
            <w:shd w:val="clear" w:color="auto" w:fill="FFFFFF" w:themeFill="background1"/>
            <w:noWrap/>
            <w:hideMark/>
          </w:tcPr>
          <w:p w14:paraId="2BE8724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394,1</w:t>
            </w:r>
          </w:p>
        </w:tc>
        <w:tc>
          <w:tcPr>
            <w:tcW w:w="372" w:type="pct"/>
            <w:tcBorders>
              <w:top w:val="nil"/>
            </w:tcBorders>
            <w:shd w:val="clear" w:color="auto" w:fill="FFFFFF" w:themeFill="background1"/>
            <w:noWrap/>
            <w:hideMark/>
          </w:tcPr>
          <w:p w14:paraId="0F74E41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307,8</w:t>
            </w:r>
          </w:p>
        </w:tc>
        <w:tc>
          <w:tcPr>
            <w:tcW w:w="372" w:type="pct"/>
            <w:tcBorders>
              <w:top w:val="nil"/>
            </w:tcBorders>
            <w:shd w:val="clear" w:color="auto" w:fill="FFFFFF" w:themeFill="background1"/>
            <w:noWrap/>
            <w:hideMark/>
          </w:tcPr>
          <w:p w14:paraId="125FE99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85,2</w:t>
            </w:r>
          </w:p>
        </w:tc>
        <w:tc>
          <w:tcPr>
            <w:tcW w:w="372" w:type="pct"/>
            <w:tcBorders>
              <w:top w:val="nil"/>
            </w:tcBorders>
            <w:shd w:val="clear" w:color="auto" w:fill="FFFFFF" w:themeFill="background1"/>
            <w:noWrap/>
            <w:hideMark/>
          </w:tcPr>
          <w:p w14:paraId="0491943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0,7</w:t>
            </w:r>
          </w:p>
        </w:tc>
        <w:tc>
          <w:tcPr>
            <w:tcW w:w="371" w:type="pct"/>
            <w:tcBorders>
              <w:top w:val="nil"/>
            </w:tcBorders>
            <w:shd w:val="clear" w:color="auto" w:fill="FFFFFF" w:themeFill="background1"/>
            <w:noWrap/>
            <w:hideMark/>
          </w:tcPr>
          <w:p w14:paraId="5FEF983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0,3</w:t>
            </w:r>
          </w:p>
        </w:tc>
      </w:tr>
      <w:tr w:rsidR="006A7014" w:rsidRPr="001B41AD" w14:paraId="6DE7583F"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4E071561"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Градови и општине</w:t>
            </w:r>
          </w:p>
        </w:tc>
        <w:tc>
          <w:tcPr>
            <w:tcW w:w="356" w:type="pct"/>
            <w:tcBorders>
              <w:top w:val="nil"/>
            </w:tcBorders>
            <w:shd w:val="clear" w:color="auto" w:fill="FFFFFF" w:themeFill="background1"/>
            <w:noWrap/>
          </w:tcPr>
          <w:p w14:paraId="00CBFFD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43,4</w:t>
            </w:r>
          </w:p>
        </w:tc>
        <w:tc>
          <w:tcPr>
            <w:tcW w:w="356" w:type="pct"/>
            <w:tcBorders>
              <w:top w:val="nil"/>
            </w:tcBorders>
            <w:shd w:val="clear" w:color="auto" w:fill="FFFFFF" w:themeFill="background1"/>
            <w:noWrap/>
            <w:hideMark/>
          </w:tcPr>
          <w:p w14:paraId="2D216C4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40,0</w:t>
            </w:r>
          </w:p>
        </w:tc>
        <w:tc>
          <w:tcPr>
            <w:tcW w:w="360" w:type="pct"/>
            <w:tcBorders>
              <w:top w:val="nil"/>
            </w:tcBorders>
            <w:shd w:val="clear" w:color="auto" w:fill="FFFFFF" w:themeFill="background1"/>
            <w:noWrap/>
            <w:hideMark/>
          </w:tcPr>
          <w:p w14:paraId="7644F0C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DD71FE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0F0F74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474A53E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9809B5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3,4</w:t>
            </w:r>
          </w:p>
        </w:tc>
        <w:tc>
          <w:tcPr>
            <w:tcW w:w="372" w:type="pct"/>
            <w:tcBorders>
              <w:top w:val="nil"/>
            </w:tcBorders>
            <w:shd w:val="clear" w:color="auto" w:fill="FFFFFF" w:themeFill="background1"/>
            <w:noWrap/>
            <w:hideMark/>
          </w:tcPr>
          <w:p w14:paraId="25D4C9E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F516BB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3,4</w:t>
            </w:r>
          </w:p>
        </w:tc>
        <w:tc>
          <w:tcPr>
            <w:tcW w:w="372" w:type="pct"/>
            <w:tcBorders>
              <w:top w:val="nil"/>
            </w:tcBorders>
            <w:shd w:val="clear" w:color="auto" w:fill="FFFFFF" w:themeFill="background1"/>
            <w:noWrap/>
            <w:hideMark/>
          </w:tcPr>
          <w:p w14:paraId="219E476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hideMark/>
          </w:tcPr>
          <w:p w14:paraId="502671C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6A7014" w:rsidRPr="001B41AD" w14:paraId="657E1788"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5F31663D"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 xml:space="preserve"> AП Војводина</w:t>
            </w:r>
          </w:p>
        </w:tc>
        <w:tc>
          <w:tcPr>
            <w:tcW w:w="356" w:type="pct"/>
            <w:tcBorders>
              <w:top w:val="nil"/>
            </w:tcBorders>
            <w:shd w:val="clear" w:color="auto" w:fill="FFFFFF" w:themeFill="background1"/>
            <w:noWrap/>
          </w:tcPr>
          <w:p w14:paraId="052C2E0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13,9</w:t>
            </w:r>
          </w:p>
        </w:tc>
        <w:tc>
          <w:tcPr>
            <w:tcW w:w="356" w:type="pct"/>
            <w:tcBorders>
              <w:top w:val="nil"/>
            </w:tcBorders>
            <w:shd w:val="clear" w:color="auto" w:fill="FFFFFF" w:themeFill="background1"/>
            <w:noWrap/>
            <w:hideMark/>
          </w:tcPr>
          <w:p w14:paraId="0AEE32F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60" w:type="pct"/>
            <w:tcBorders>
              <w:top w:val="nil"/>
            </w:tcBorders>
            <w:shd w:val="clear" w:color="auto" w:fill="FFFFFF" w:themeFill="background1"/>
            <w:noWrap/>
            <w:hideMark/>
          </w:tcPr>
          <w:p w14:paraId="6F25C33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8,4</w:t>
            </w:r>
          </w:p>
        </w:tc>
        <w:tc>
          <w:tcPr>
            <w:tcW w:w="348" w:type="pct"/>
            <w:tcBorders>
              <w:top w:val="nil"/>
            </w:tcBorders>
            <w:shd w:val="clear" w:color="auto" w:fill="FFFFFF" w:themeFill="background1"/>
            <w:noWrap/>
            <w:hideMark/>
          </w:tcPr>
          <w:p w14:paraId="16BFB3A9"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8,4</w:t>
            </w:r>
          </w:p>
        </w:tc>
        <w:tc>
          <w:tcPr>
            <w:tcW w:w="372" w:type="pct"/>
            <w:tcBorders>
              <w:top w:val="nil"/>
            </w:tcBorders>
            <w:shd w:val="clear" w:color="auto" w:fill="FFFFFF" w:themeFill="background1"/>
            <w:noWrap/>
            <w:hideMark/>
          </w:tcPr>
          <w:p w14:paraId="535C0C5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hideMark/>
          </w:tcPr>
          <w:p w14:paraId="0D53784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5639CE2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5,5</w:t>
            </w:r>
          </w:p>
        </w:tc>
        <w:tc>
          <w:tcPr>
            <w:tcW w:w="372" w:type="pct"/>
            <w:tcBorders>
              <w:top w:val="nil"/>
            </w:tcBorders>
            <w:shd w:val="clear" w:color="auto" w:fill="FFFFFF" w:themeFill="background1"/>
            <w:noWrap/>
            <w:hideMark/>
          </w:tcPr>
          <w:p w14:paraId="02A674E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46DF876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5,5</w:t>
            </w:r>
          </w:p>
        </w:tc>
        <w:tc>
          <w:tcPr>
            <w:tcW w:w="372" w:type="pct"/>
            <w:tcBorders>
              <w:top w:val="nil"/>
            </w:tcBorders>
            <w:shd w:val="clear" w:color="auto" w:fill="FFFFFF" w:themeFill="background1"/>
            <w:noWrap/>
            <w:hideMark/>
          </w:tcPr>
          <w:p w14:paraId="0859565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hideMark/>
          </w:tcPr>
          <w:p w14:paraId="6651A6E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25244F37"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3159AE26"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Фонд ПИО</w:t>
            </w:r>
          </w:p>
        </w:tc>
        <w:tc>
          <w:tcPr>
            <w:tcW w:w="356" w:type="pct"/>
            <w:tcBorders>
              <w:top w:val="nil"/>
            </w:tcBorders>
            <w:shd w:val="clear" w:color="auto" w:fill="FFFFFF" w:themeFill="background1"/>
            <w:noWrap/>
            <w:hideMark/>
          </w:tcPr>
          <w:p w14:paraId="587AB74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122,0</w:t>
            </w:r>
          </w:p>
        </w:tc>
        <w:tc>
          <w:tcPr>
            <w:tcW w:w="356" w:type="pct"/>
            <w:tcBorders>
              <w:top w:val="nil"/>
            </w:tcBorders>
            <w:shd w:val="clear" w:color="auto" w:fill="FFFFFF" w:themeFill="background1"/>
            <w:noWrap/>
            <w:hideMark/>
          </w:tcPr>
          <w:p w14:paraId="76D6FA7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3053538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07B7AFEB"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CE4905B"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5782BF8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DFBBC3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122,0</w:t>
            </w:r>
          </w:p>
        </w:tc>
        <w:tc>
          <w:tcPr>
            <w:tcW w:w="372" w:type="pct"/>
            <w:tcBorders>
              <w:top w:val="nil"/>
            </w:tcBorders>
            <w:shd w:val="clear" w:color="auto" w:fill="FFFFFF" w:themeFill="background1"/>
            <w:noWrap/>
            <w:hideMark/>
          </w:tcPr>
          <w:p w14:paraId="4D719AE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A51280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117,4</w:t>
            </w:r>
          </w:p>
        </w:tc>
        <w:tc>
          <w:tcPr>
            <w:tcW w:w="372" w:type="pct"/>
            <w:tcBorders>
              <w:top w:val="nil"/>
            </w:tcBorders>
            <w:shd w:val="clear" w:color="auto" w:fill="FFFFFF" w:themeFill="background1"/>
            <w:noWrap/>
          </w:tcPr>
          <w:p w14:paraId="367860C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hideMark/>
          </w:tcPr>
          <w:p w14:paraId="4326089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4,5</w:t>
            </w:r>
          </w:p>
        </w:tc>
      </w:tr>
      <w:tr w:rsidR="006A7014" w:rsidRPr="001B41AD" w14:paraId="3BB70A76"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7CFFB9F5"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РФЗО</w:t>
            </w:r>
          </w:p>
        </w:tc>
        <w:tc>
          <w:tcPr>
            <w:tcW w:w="356" w:type="pct"/>
            <w:tcBorders>
              <w:top w:val="nil"/>
            </w:tcBorders>
            <w:shd w:val="clear" w:color="auto" w:fill="FFFFFF" w:themeFill="background1"/>
            <w:noWrap/>
            <w:hideMark/>
          </w:tcPr>
          <w:p w14:paraId="798DE90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10,0</w:t>
            </w:r>
          </w:p>
        </w:tc>
        <w:tc>
          <w:tcPr>
            <w:tcW w:w="356" w:type="pct"/>
            <w:tcBorders>
              <w:top w:val="nil"/>
            </w:tcBorders>
            <w:shd w:val="clear" w:color="auto" w:fill="FFFFFF" w:themeFill="background1"/>
            <w:noWrap/>
            <w:hideMark/>
          </w:tcPr>
          <w:p w14:paraId="5432C46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60" w:type="pct"/>
            <w:tcBorders>
              <w:top w:val="nil"/>
            </w:tcBorders>
            <w:shd w:val="clear" w:color="auto" w:fill="FFFFFF" w:themeFill="background1"/>
            <w:noWrap/>
            <w:hideMark/>
          </w:tcPr>
          <w:p w14:paraId="3AA6A40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48" w:type="pct"/>
            <w:tcBorders>
              <w:top w:val="nil"/>
            </w:tcBorders>
            <w:shd w:val="clear" w:color="auto" w:fill="FFFFFF" w:themeFill="background1"/>
            <w:noWrap/>
            <w:hideMark/>
          </w:tcPr>
          <w:p w14:paraId="25EF61E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6B8ADD9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hideMark/>
          </w:tcPr>
          <w:p w14:paraId="4962BB9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6BC2BD5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10,0</w:t>
            </w:r>
          </w:p>
        </w:tc>
        <w:tc>
          <w:tcPr>
            <w:tcW w:w="372" w:type="pct"/>
            <w:tcBorders>
              <w:top w:val="nil"/>
            </w:tcBorders>
            <w:shd w:val="clear" w:color="auto" w:fill="FFFFFF" w:themeFill="background1"/>
            <w:noWrap/>
            <w:hideMark/>
          </w:tcPr>
          <w:p w14:paraId="28E74CC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10,0</w:t>
            </w:r>
          </w:p>
        </w:tc>
        <w:tc>
          <w:tcPr>
            <w:tcW w:w="372" w:type="pct"/>
            <w:tcBorders>
              <w:top w:val="nil"/>
            </w:tcBorders>
            <w:shd w:val="clear" w:color="auto" w:fill="FFFFFF" w:themeFill="background1"/>
            <w:noWrap/>
          </w:tcPr>
          <w:p w14:paraId="4C79974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6FAC897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tcPr>
          <w:p w14:paraId="4922161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78BD03C6"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781925FC"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НСЗ</w:t>
            </w:r>
          </w:p>
        </w:tc>
        <w:tc>
          <w:tcPr>
            <w:tcW w:w="356" w:type="pct"/>
            <w:tcBorders>
              <w:top w:val="nil"/>
            </w:tcBorders>
            <w:shd w:val="clear" w:color="auto" w:fill="FFFFFF" w:themeFill="background1"/>
            <w:noWrap/>
            <w:hideMark/>
          </w:tcPr>
          <w:p w14:paraId="77D31B9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5,3</w:t>
            </w:r>
          </w:p>
        </w:tc>
        <w:tc>
          <w:tcPr>
            <w:tcW w:w="356" w:type="pct"/>
            <w:tcBorders>
              <w:top w:val="nil"/>
            </w:tcBorders>
            <w:shd w:val="clear" w:color="auto" w:fill="FFFFFF" w:themeFill="background1"/>
            <w:noWrap/>
            <w:hideMark/>
          </w:tcPr>
          <w:p w14:paraId="78D5A6F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37729C4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2E3490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4768D6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731C8BA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926659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5,3</w:t>
            </w:r>
          </w:p>
        </w:tc>
        <w:tc>
          <w:tcPr>
            <w:tcW w:w="372" w:type="pct"/>
            <w:tcBorders>
              <w:top w:val="nil"/>
            </w:tcBorders>
            <w:shd w:val="clear" w:color="auto" w:fill="FFFFFF" w:themeFill="background1"/>
            <w:noWrap/>
            <w:hideMark/>
          </w:tcPr>
          <w:p w14:paraId="4113A56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3,8</w:t>
            </w:r>
          </w:p>
        </w:tc>
        <w:tc>
          <w:tcPr>
            <w:tcW w:w="372" w:type="pct"/>
            <w:tcBorders>
              <w:top w:val="nil"/>
            </w:tcBorders>
            <w:shd w:val="clear" w:color="auto" w:fill="FFFFFF" w:themeFill="background1"/>
            <w:noWrap/>
            <w:hideMark/>
          </w:tcPr>
          <w:p w14:paraId="29BE051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1,5</w:t>
            </w:r>
          </w:p>
        </w:tc>
        <w:tc>
          <w:tcPr>
            <w:tcW w:w="372" w:type="pct"/>
            <w:tcBorders>
              <w:top w:val="nil"/>
            </w:tcBorders>
            <w:shd w:val="clear" w:color="auto" w:fill="FFFFFF" w:themeFill="background1"/>
            <w:noWrap/>
          </w:tcPr>
          <w:p w14:paraId="79D6098F"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tcPr>
          <w:p w14:paraId="2339BAB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6A7014" w:rsidRPr="001B41AD" w14:paraId="1B540C70"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0646C875"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Фонд СОВО</w:t>
            </w:r>
          </w:p>
        </w:tc>
        <w:tc>
          <w:tcPr>
            <w:tcW w:w="356" w:type="pct"/>
            <w:tcBorders>
              <w:top w:val="nil"/>
            </w:tcBorders>
            <w:shd w:val="clear" w:color="auto" w:fill="FFFFFF" w:themeFill="background1"/>
            <w:noWrap/>
          </w:tcPr>
          <w:p w14:paraId="6484D7F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56" w:type="pct"/>
            <w:tcBorders>
              <w:top w:val="nil"/>
            </w:tcBorders>
            <w:shd w:val="clear" w:color="auto" w:fill="FFFFFF" w:themeFill="background1"/>
            <w:noWrap/>
            <w:hideMark/>
          </w:tcPr>
          <w:p w14:paraId="575EFA8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60" w:type="pct"/>
            <w:tcBorders>
              <w:top w:val="nil"/>
            </w:tcBorders>
            <w:shd w:val="clear" w:color="auto" w:fill="FFFFFF" w:themeFill="background1"/>
            <w:noWrap/>
            <w:hideMark/>
          </w:tcPr>
          <w:p w14:paraId="71BEAD7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48" w:type="pct"/>
            <w:tcBorders>
              <w:top w:val="nil"/>
            </w:tcBorders>
            <w:shd w:val="clear" w:color="auto" w:fill="FFFFFF" w:themeFill="background1"/>
            <w:noWrap/>
            <w:hideMark/>
          </w:tcPr>
          <w:p w14:paraId="3B10A70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08E5D09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hideMark/>
          </w:tcPr>
          <w:p w14:paraId="737F875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7E78230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61E5425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33302D9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5A512BE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tcPr>
          <w:p w14:paraId="770F26E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Cs/>
                <w:color w:val="002060"/>
                <w:sz w:val="14"/>
                <w:szCs w:val="14"/>
                <w:lang w:val="sr-Cyrl-CS"/>
              </w:rPr>
            </w:pPr>
          </w:p>
        </w:tc>
      </w:tr>
      <w:tr w:rsidR="006A7014" w:rsidRPr="001B41AD" w14:paraId="350F878E"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026DF83D" w14:textId="77777777" w:rsidR="00DF656E" w:rsidRPr="001B41AD" w:rsidRDefault="001A6EF6"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Ванбуџетски корисници</w:t>
            </w:r>
          </w:p>
        </w:tc>
        <w:tc>
          <w:tcPr>
            <w:tcW w:w="356" w:type="pct"/>
            <w:tcBorders>
              <w:top w:val="nil"/>
            </w:tcBorders>
            <w:shd w:val="clear" w:color="auto" w:fill="FFFFFF" w:themeFill="background1"/>
            <w:noWrap/>
          </w:tcPr>
          <w:p w14:paraId="4FD8DD9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hideMark/>
          </w:tcPr>
          <w:p w14:paraId="4DB9510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5967723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7095393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7C0C44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2936B4C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2C2201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C55FE7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A106C4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316D77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tcPr>
          <w:p w14:paraId="6E545A0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6A7014" w:rsidRPr="001B41AD" w14:paraId="446D07FC"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2FD01C8B" w14:textId="77777777" w:rsidR="00DF656E" w:rsidRPr="001B41AD" w:rsidRDefault="00DF656E" w:rsidP="006A7014">
            <w:pPr>
              <w:tabs>
                <w:tab w:val="center" w:pos="4680"/>
                <w:tab w:val="right" w:pos="9360"/>
              </w:tabs>
              <w:rPr>
                <w:rFonts w:cstheme="minorHAnsi"/>
                <w:color w:val="002060"/>
                <w:sz w:val="14"/>
                <w:szCs w:val="14"/>
                <w:lang w:val="sr-Cyrl-CS"/>
              </w:rPr>
            </w:pPr>
            <w:r w:rsidRPr="001B41AD">
              <w:rPr>
                <w:rFonts w:cstheme="minorHAnsi"/>
                <w:color w:val="002060"/>
                <w:sz w:val="14"/>
                <w:szCs w:val="14"/>
                <w:lang w:val="sr-Cyrl-CS"/>
              </w:rPr>
              <w:t>Трансфери  другим нивоима власти</w:t>
            </w:r>
          </w:p>
        </w:tc>
        <w:tc>
          <w:tcPr>
            <w:tcW w:w="356" w:type="pct"/>
            <w:tcBorders>
              <w:top w:val="nil"/>
            </w:tcBorders>
            <w:shd w:val="clear" w:color="auto" w:fill="FFFFFF" w:themeFill="background1"/>
            <w:noWrap/>
            <w:hideMark/>
          </w:tcPr>
          <w:p w14:paraId="5DE3BEA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707,3</w:t>
            </w:r>
          </w:p>
        </w:tc>
        <w:tc>
          <w:tcPr>
            <w:tcW w:w="356" w:type="pct"/>
            <w:tcBorders>
              <w:top w:val="nil"/>
            </w:tcBorders>
            <w:shd w:val="clear" w:color="auto" w:fill="FFFFFF" w:themeFill="background1"/>
            <w:noWrap/>
            <w:hideMark/>
          </w:tcPr>
          <w:p w14:paraId="051736A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512,9</w:t>
            </w:r>
          </w:p>
        </w:tc>
        <w:tc>
          <w:tcPr>
            <w:tcW w:w="360" w:type="pct"/>
            <w:tcBorders>
              <w:top w:val="nil"/>
            </w:tcBorders>
            <w:shd w:val="clear" w:color="auto" w:fill="FFFFFF" w:themeFill="background1"/>
            <w:noWrap/>
            <w:hideMark/>
          </w:tcPr>
          <w:p w14:paraId="6697D6B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57,3</w:t>
            </w:r>
          </w:p>
        </w:tc>
        <w:tc>
          <w:tcPr>
            <w:tcW w:w="348" w:type="pct"/>
            <w:tcBorders>
              <w:top w:val="nil"/>
            </w:tcBorders>
            <w:shd w:val="clear" w:color="auto" w:fill="FFFFFF" w:themeFill="background1"/>
            <w:noWrap/>
            <w:hideMark/>
          </w:tcPr>
          <w:p w14:paraId="6A16147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43,4</w:t>
            </w:r>
          </w:p>
        </w:tc>
        <w:tc>
          <w:tcPr>
            <w:tcW w:w="372" w:type="pct"/>
            <w:tcBorders>
              <w:top w:val="nil"/>
            </w:tcBorders>
            <w:shd w:val="clear" w:color="auto" w:fill="FFFFFF" w:themeFill="background1"/>
            <w:noWrap/>
          </w:tcPr>
          <w:p w14:paraId="6C1BB9B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13,9</w:t>
            </w:r>
          </w:p>
        </w:tc>
        <w:tc>
          <w:tcPr>
            <w:tcW w:w="353" w:type="pct"/>
            <w:tcBorders>
              <w:top w:val="nil"/>
            </w:tcBorders>
            <w:shd w:val="clear" w:color="auto" w:fill="FFFFFF" w:themeFill="background1"/>
            <w:noWrap/>
          </w:tcPr>
          <w:p w14:paraId="7EB1CE2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p>
        </w:tc>
        <w:tc>
          <w:tcPr>
            <w:tcW w:w="372" w:type="pct"/>
            <w:tcBorders>
              <w:top w:val="nil"/>
            </w:tcBorders>
            <w:shd w:val="clear" w:color="auto" w:fill="FFFFFF" w:themeFill="background1"/>
            <w:noWrap/>
            <w:hideMark/>
          </w:tcPr>
          <w:p w14:paraId="063E41B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137,2</w:t>
            </w:r>
          </w:p>
        </w:tc>
        <w:tc>
          <w:tcPr>
            <w:tcW w:w="372" w:type="pct"/>
            <w:tcBorders>
              <w:top w:val="nil"/>
            </w:tcBorders>
            <w:shd w:val="clear" w:color="auto" w:fill="FFFFFF" w:themeFill="background1"/>
            <w:noWrap/>
            <w:hideMark/>
          </w:tcPr>
          <w:p w14:paraId="1D6C3FC9"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122,0</w:t>
            </w:r>
          </w:p>
        </w:tc>
        <w:tc>
          <w:tcPr>
            <w:tcW w:w="372" w:type="pct"/>
            <w:tcBorders>
              <w:top w:val="nil"/>
            </w:tcBorders>
            <w:shd w:val="clear" w:color="auto" w:fill="FFFFFF" w:themeFill="background1"/>
            <w:noWrap/>
            <w:hideMark/>
          </w:tcPr>
          <w:p w14:paraId="5CD7B2D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10,0</w:t>
            </w:r>
          </w:p>
        </w:tc>
        <w:tc>
          <w:tcPr>
            <w:tcW w:w="372" w:type="pct"/>
            <w:tcBorders>
              <w:top w:val="nil"/>
            </w:tcBorders>
            <w:shd w:val="clear" w:color="auto" w:fill="FFFFFF" w:themeFill="background1"/>
            <w:noWrap/>
            <w:hideMark/>
          </w:tcPr>
          <w:p w14:paraId="59F5FF5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5,3</w:t>
            </w:r>
          </w:p>
        </w:tc>
        <w:tc>
          <w:tcPr>
            <w:tcW w:w="371" w:type="pct"/>
            <w:tcBorders>
              <w:top w:val="nil"/>
            </w:tcBorders>
            <w:shd w:val="clear" w:color="auto" w:fill="FFFFFF" w:themeFill="background1"/>
            <w:noWrap/>
          </w:tcPr>
          <w:p w14:paraId="4D51566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p>
        </w:tc>
      </w:tr>
      <w:tr w:rsidR="006A7014" w:rsidRPr="001B41AD" w14:paraId="3014B8FF"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25D82278"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Буџет Републике</w:t>
            </w:r>
          </w:p>
        </w:tc>
        <w:tc>
          <w:tcPr>
            <w:tcW w:w="356" w:type="pct"/>
            <w:tcBorders>
              <w:top w:val="nil"/>
            </w:tcBorders>
            <w:shd w:val="clear" w:color="auto" w:fill="FFFFFF" w:themeFill="background1"/>
            <w:noWrap/>
            <w:hideMark/>
          </w:tcPr>
          <w:p w14:paraId="6FAF19D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40,0</w:t>
            </w:r>
          </w:p>
        </w:tc>
        <w:tc>
          <w:tcPr>
            <w:tcW w:w="356" w:type="pct"/>
            <w:tcBorders>
              <w:top w:val="nil"/>
            </w:tcBorders>
            <w:shd w:val="clear" w:color="auto" w:fill="FFFFFF" w:themeFill="background1"/>
            <w:noWrap/>
            <w:hideMark/>
          </w:tcPr>
          <w:p w14:paraId="2B7FAC3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60" w:type="pct"/>
            <w:tcBorders>
              <w:top w:val="nil"/>
            </w:tcBorders>
            <w:shd w:val="clear" w:color="auto" w:fill="FFFFFF" w:themeFill="background1"/>
            <w:noWrap/>
            <w:hideMark/>
          </w:tcPr>
          <w:p w14:paraId="5BFF9DA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40,0</w:t>
            </w:r>
          </w:p>
        </w:tc>
        <w:tc>
          <w:tcPr>
            <w:tcW w:w="348" w:type="pct"/>
            <w:tcBorders>
              <w:top w:val="nil"/>
            </w:tcBorders>
            <w:shd w:val="clear" w:color="auto" w:fill="FFFFFF" w:themeFill="background1"/>
            <w:noWrap/>
            <w:hideMark/>
          </w:tcPr>
          <w:p w14:paraId="7850661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40,0</w:t>
            </w:r>
          </w:p>
        </w:tc>
        <w:tc>
          <w:tcPr>
            <w:tcW w:w="372" w:type="pct"/>
            <w:tcBorders>
              <w:top w:val="nil"/>
            </w:tcBorders>
            <w:shd w:val="clear" w:color="auto" w:fill="FFFFFF" w:themeFill="background1"/>
            <w:noWrap/>
            <w:hideMark/>
          </w:tcPr>
          <w:p w14:paraId="3F6A3AD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hideMark/>
          </w:tcPr>
          <w:p w14:paraId="695FBE3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19103C3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1EE2B85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7AC78BF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54518E2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hideMark/>
          </w:tcPr>
          <w:p w14:paraId="57C8092C"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r>
      <w:tr w:rsidR="006A7014" w:rsidRPr="001B41AD" w14:paraId="4F59EF1B"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2609EA93"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Градови и општине</w:t>
            </w:r>
          </w:p>
        </w:tc>
        <w:tc>
          <w:tcPr>
            <w:tcW w:w="356" w:type="pct"/>
            <w:tcBorders>
              <w:top w:val="nil"/>
            </w:tcBorders>
            <w:shd w:val="clear" w:color="auto" w:fill="FFFFFF" w:themeFill="background1"/>
            <w:noWrap/>
            <w:hideMark/>
          </w:tcPr>
          <w:p w14:paraId="6578DE5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76,6</w:t>
            </w:r>
          </w:p>
        </w:tc>
        <w:tc>
          <w:tcPr>
            <w:tcW w:w="356" w:type="pct"/>
            <w:tcBorders>
              <w:top w:val="nil"/>
            </w:tcBorders>
            <w:shd w:val="clear" w:color="auto" w:fill="FFFFFF" w:themeFill="background1"/>
            <w:noWrap/>
            <w:hideMark/>
          </w:tcPr>
          <w:p w14:paraId="68F7BB99"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68,2</w:t>
            </w:r>
          </w:p>
        </w:tc>
        <w:tc>
          <w:tcPr>
            <w:tcW w:w="360" w:type="pct"/>
            <w:tcBorders>
              <w:top w:val="nil"/>
            </w:tcBorders>
            <w:shd w:val="clear" w:color="auto" w:fill="FFFFFF" w:themeFill="background1"/>
            <w:noWrap/>
            <w:hideMark/>
          </w:tcPr>
          <w:p w14:paraId="02E4DBA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8,4</w:t>
            </w:r>
          </w:p>
        </w:tc>
        <w:tc>
          <w:tcPr>
            <w:tcW w:w="348" w:type="pct"/>
            <w:tcBorders>
              <w:top w:val="nil"/>
            </w:tcBorders>
            <w:shd w:val="clear" w:color="auto" w:fill="FFFFFF" w:themeFill="background1"/>
            <w:noWrap/>
          </w:tcPr>
          <w:p w14:paraId="20CBBEA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35D175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8,4</w:t>
            </w:r>
          </w:p>
        </w:tc>
        <w:tc>
          <w:tcPr>
            <w:tcW w:w="353" w:type="pct"/>
            <w:tcBorders>
              <w:top w:val="nil"/>
            </w:tcBorders>
            <w:shd w:val="clear" w:color="auto" w:fill="FFFFFF" w:themeFill="background1"/>
            <w:noWrap/>
            <w:hideMark/>
          </w:tcPr>
          <w:p w14:paraId="6554F77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7A7479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77107E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649D3D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94F755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hideMark/>
          </w:tcPr>
          <w:p w14:paraId="5854FC2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6A7014" w:rsidRPr="001B41AD" w14:paraId="5E7F6C32"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4836CC94"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 xml:space="preserve"> AП Војводина</w:t>
            </w:r>
          </w:p>
        </w:tc>
        <w:tc>
          <w:tcPr>
            <w:tcW w:w="356" w:type="pct"/>
            <w:tcBorders>
              <w:top w:val="nil"/>
            </w:tcBorders>
            <w:shd w:val="clear" w:color="auto" w:fill="FFFFFF" w:themeFill="background1"/>
            <w:noWrap/>
            <w:hideMark/>
          </w:tcPr>
          <w:p w14:paraId="7953279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14,4</w:t>
            </w:r>
          </w:p>
        </w:tc>
        <w:tc>
          <w:tcPr>
            <w:tcW w:w="356" w:type="pct"/>
            <w:tcBorders>
              <w:top w:val="nil"/>
            </w:tcBorders>
            <w:shd w:val="clear" w:color="auto" w:fill="FFFFFF" w:themeFill="background1"/>
            <w:noWrap/>
            <w:hideMark/>
          </w:tcPr>
          <w:p w14:paraId="06221C2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14,4</w:t>
            </w:r>
          </w:p>
        </w:tc>
        <w:tc>
          <w:tcPr>
            <w:tcW w:w="360" w:type="pct"/>
            <w:tcBorders>
              <w:top w:val="nil"/>
            </w:tcBorders>
            <w:shd w:val="clear" w:color="auto" w:fill="FFFFFF" w:themeFill="background1"/>
            <w:noWrap/>
            <w:hideMark/>
          </w:tcPr>
          <w:p w14:paraId="659DDCD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48" w:type="pct"/>
            <w:tcBorders>
              <w:top w:val="nil"/>
            </w:tcBorders>
            <w:shd w:val="clear" w:color="auto" w:fill="FFFFFF" w:themeFill="background1"/>
            <w:noWrap/>
          </w:tcPr>
          <w:p w14:paraId="742E803E"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36FABDB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tcPr>
          <w:p w14:paraId="4C4BE9D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1755F1D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572A67D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10DE948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45F598D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hideMark/>
          </w:tcPr>
          <w:p w14:paraId="79F59C7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r>
      <w:tr w:rsidR="006A7014" w:rsidRPr="001B41AD" w14:paraId="1D969CFE"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5966AF93"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Фонд ПИО</w:t>
            </w:r>
          </w:p>
        </w:tc>
        <w:tc>
          <w:tcPr>
            <w:tcW w:w="356" w:type="pct"/>
            <w:tcBorders>
              <w:top w:val="nil"/>
            </w:tcBorders>
            <w:shd w:val="clear" w:color="auto" w:fill="FFFFFF" w:themeFill="background1"/>
            <w:noWrap/>
            <w:hideMark/>
          </w:tcPr>
          <w:p w14:paraId="536A8C7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321,5</w:t>
            </w:r>
          </w:p>
        </w:tc>
        <w:tc>
          <w:tcPr>
            <w:tcW w:w="356" w:type="pct"/>
            <w:tcBorders>
              <w:top w:val="nil"/>
            </w:tcBorders>
            <w:shd w:val="clear" w:color="auto" w:fill="FFFFFF" w:themeFill="background1"/>
            <w:noWrap/>
            <w:hideMark/>
          </w:tcPr>
          <w:p w14:paraId="399AB66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307,8</w:t>
            </w:r>
          </w:p>
        </w:tc>
        <w:tc>
          <w:tcPr>
            <w:tcW w:w="360" w:type="pct"/>
            <w:tcBorders>
              <w:top w:val="nil"/>
            </w:tcBorders>
            <w:shd w:val="clear" w:color="auto" w:fill="FFFFFF" w:themeFill="background1"/>
            <w:noWrap/>
            <w:hideMark/>
          </w:tcPr>
          <w:p w14:paraId="7F55323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0275224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2B1E39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tcPr>
          <w:p w14:paraId="5D74650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555B515"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13,7</w:t>
            </w:r>
          </w:p>
        </w:tc>
        <w:tc>
          <w:tcPr>
            <w:tcW w:w="372" w:type="pct"/>
            <w:tcBorders>
              <w:top w:val="nil"/>
            </w:tcBorders>
            <w:shd w:val="clear" w:color="auto" w:fill="FFFFFF" w:themeFill="background1"/>
            <w:noWrap/>
          </w:tcPr>
          <w:p w14:paraId="5410CF27"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3E7F3EB"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10,0</w:t>
            </w:r>
          </w:p>
        </w:tc>
        <w:tc>
          <w:tcPr>
            <w:tcW w:w="372" w:type="pct"/>
            <w:tcBorders>
              <w:top w:val="nil"/>
            </w:tcBorders>
            <w:shd w:val="clear" w:color="auto" w:fill="FFFFFF" w:themeFill="background1"/>
            <w:noWrap/>
            <w:hideMark/>
          </w:tcPr>
          <w:p w14:paraId="148555A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3,8</w:t>
            </w:r>
          </w:p>
        </w:tc>
        <w:tc>
          <w:tcPr>
            <w:tcW w:w="371" w:type="pct"/>
            <w:tcBorders>
              <w:top w:val="nil"/>
            </w:tcBorders>
            <w:shd w:val="clear" w:color="auto" w:fill="FFFFFF" w:themeFill="background1"/>
            <w:noWrap/>
          </w:tcPr>
          <w:p w14:paraId="5A3425A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6A7014" w:rsidRPr="001B41AD" w14:paraId="6729D6EC"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36117DC3"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РФЗО</w:t>
            </w:r>
          </w:p>
        </w:tc>
        <w:tc>
          <w:tcPr>
            <w:tcW w:w="356" w:type="pct"/>
            <w:tcBorders>
              <w:top w:val="nil"/>
            </w:tcBorders>
            <w:shd w:val="clear" w:color="auto" w:fill="FFFFFF" w:themeFill="background1"/>
            <w:noWrap/>
            <w:hideMark/>
          </w:tcPr>
          <w:p w14:paraId="5812723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213,1</w:t>
            </w:r>
          </w:p>
        </w:tc>
        <w:tc>
          <w:tcPr>
            <w:tcW w:w="356" w:type="pct"/>
            <w:tcBorders>
              <w:top w:val="nil"/>
            </w:tcBorders>
            <w:shd w:val="clear" w:color="auto" w:fill="FFFFFF" w:themeFill="background1"/>
            <w:noWrap/>
            <w:hideMark/>
          </w:tcPr>
          <w:p w14:paraId="56B5642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85,2</w:t>
            </w:r>
          </w:p>
        </w:tc>
        <w:tc>
          <w:tcPr>
            <w:tcW w:w="360" w:type="pct"/>
            <w:tcBorders>
              <w:top w:val="nil"/>
            </w:tcBorders>
            <w:shd w:val="clear" w:color="auto" w:fill="FFFFFF" w:themeFill="background1"/>
            <w:noWrap/>
            <w:hideMark/>
          </w:tcPr>
          <w:p w14:paraId="07D1004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8,9</w:t>
            </w:r>
          </w:p>
        </w:tc>
        <w:tc>
          <w:tcPr>
            <w:tcW w:w="348" w:type="pct"/>
            <w:tcBorders>
              <w:top w:val="nil"/>
            </w:tcBorders>
            <w:shd w:val="clear" w:color="auto" w:fill="FFFFFF" w:themeFill="background1"/>
            <w:noWrap/>
            <w:hideMark/>
          </w:tcPr>
          <w:p w14:paraId="78041C7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3,4</w:t>
            </w:r>
          </w:p>
        </w:tc>
        <w:tc>
          <w:tcPr>
            <w:tcW w:w="372" w:type="pct"/>
            <w:tcBorders>
              <w:top w:val="nil"/>
            </w:tcBorders>
            <w:shd w:val="clear" w:color="auto" w:fill="FFFFFF" w:themeFill="background1"/>
            <w:noWrap/>
            <w:hideMark/>
          </w:tcPr>
          <w:p w14:paraId="50C4494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5,5</w:t>
            </w:r>
          </w:p>
        </w:tc>
        <w:tc>
          <w:tcPr>
            <w:tcW w:w="353" w:type="pct"/>
            <w:tcBorders>
              <w:top w:val="nil"/>
            </w:tcBorders>
            <w:shd w:val="clear" w:color="auto" w:fill="FFFFFF" w:themeFill="background1"/>
            <w:noWrap/>
            <w:hideMark/>
          </w:tcPr>
          <w:p w14:paraId="153B4EF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1F50C8A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119,0</w:t>
            </w:r>
          </w:p>
        </w:tc>
        <w:tc>
          <w:tcPr>
            <w:tcW w:w="372" w:type="pct"/>
            <w:tcBorders>
              <w:top w:val="nil"/>
            </w:tcBorders>
            <w:shd w:val="clear" w:color="auto" w:fill="FFFFFF" w:themeFill="background1"/>
            <w:noWrap/>
            <w:hideMark/>
          </w:tcPr>
          <w:p w14:paraId="792E524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117,4</w:t>
            </w:r>
          </w:p>
        </w:tc>
        <w:tc>
          <w:tcPr>
            <w:tcW w:w="372" w:type="pct"/>
            <w:tcBorders>
              <w:top w:val="nil"/>
            </w:tcBorders>
            <w:shd w:val="clear" w:color="auto" w:fill="FFFFFF" w:themeFill="background1"/>
            <w:noWrap/>
          </w:tcPr>
          <w:p w14:paraId="0116928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5A003C4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1,5</w:t>
            </w:r>
          </w:p>
        </w:tc>
        <w:tc>
          <w:tcPr>
            <w:tcW w:w="371" w:type="pct"/>
            <w:tcBorders>
              <w:top w:val="nil"/>
            </w:tcBorders>
            <w:shd w:val="clear" w:color="auto" w:fill="FFFFFF" w:themeFill="background1"/>
            <w:noWrap/>
          </w:tcPr>
          <w:p w14:paraId="5614631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r>
      <w:tr w:rsidR="006A7014" w:rsidRPr="001B41AD" w14:paraId="72EB6CF0"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4B2701B6"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НСЗ</w:t>
            </w:r>
          </w:p>
        </w:tc>
        <w:tc>
          <w:tcPr>
            <w:tcW w:w="356" w:type="pct"/>
            <w:tcBorders>
              <w:top w:val="nil"/>
            </w:tcBorders>
            <w:shd w:val="clear" w:color="auto" w:fill="FFFFFF" w:themeFill="background1"/>
            <w:noWrap/>
            <w:hideMark/>
          </w:tcPr>
          <w:p w14:paraId="32798520"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0,7</w:t>
            </w:r>
          </w:p>
        </w:tc>
        <w:tc>
          <w:tcPr>
            <w:tcW w:w="356" w:type="pct"/>
            <w:tcBorders>
              <w:top w:val="nil"/>
            </w:tcBorders>
            <w:shd w:val="clear" w:color="auto" w:fill="FFFFFF" w:themeFill="background1"/>
            <w:noWrap/>
            <w:hideMark/>
          </w:tcPr>
          <w:p w14:paraId="7AF4E69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0,7</w:t>
            </w:r>
          </w:p>
        </w:tc>
        <w:tc>
          <w:tcPr>
            <w:tcW w:w="360" w:type="pct"/>
            <w:tcBorders>
              <w:top w:val="nil"/>
            </w:tcBorders>
            <w:shd w:val="clear" w:color="auto" w:fill="FFFFFF" w:themeFill="background1"/>
            <w:noWrap/>
            <w:hideMark/>
          </w:tcPr>
          <w:p w14:paraId="203EA052"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1D993AA4"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A6B58A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2335E06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4EEBD69"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5E557DC"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A68704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3A8606F"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tcPr>
          <w:p w14:paraId="7D8859D6"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6A7014" w:rsidRPr="001B41AD" w14:paraId="2B90A6A7"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4CBF1950" w14:textId="77777777" w:rsidR="00DF656E" w:rsidRPr="001B41AD" w:rsidRDefault="00DF656E"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Фонд СОВО</w:t>
            </w:r>
          </w:p>
        </w:tc>
        <w:tc>
          <w:tcPr>
            <w:tcW w:w="356" w:type="pct"/>
            <w:tcBorders>
              <w:top w:val="nil"/>
            </w:tcBorders>
            <w:shd w:val="clear" w:color="auto" w:fill="FFFFFF" w:themeFill="background1"/>
            <w:noWrap/>
            <w:hideMark/>
          </w:tcPr>
          <w:p w14:paraId="5A3B0214"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4,8</w:t>
            </w:r>
          </w:p>
        </w:tc>
        <w:tc>
          <w:tcPr>
            <w:tcW w:w="356" w:type="pct"/>
            <w:tcBorders>
              <w:top w:val="nil"/>
            </w:tcBorders>
            <w:shd w:val="clear" w:color="auto" w:fill="FFFFFF" w:themeFill="background1"/>
            <w:noWrap/>
            <w:hideMark/>
          </w:tcPr>
          <w:p w14:paraId="24CBA85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0,3</w:t>
            </w:r>
          </w:p>
        </w:tc>
        <w:tc>
          <w:tcPr>
            <w:tcW w:w="360" w:type="pct"/>
            <w:tcBorders>
              <w:top w:val="nil"/>
            </w:tcBorders>
            <w:shd w:val="clear" w:color="auto" w:fill="FFFFFF" w:themeFill="background1"/>
            <w:noWrap/>
            <w:hideMark/>
          </w:tcPr>
          <w:p w14:paraId="3404BFE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48" w:type="pct"/>
            <w:tcBorders>
              <w:top w:val="nil"/>
            </w:tcBorders>
            <w:shd w:val="clear" w:color="auto" w:fill="FFFFFF" w:themeFill="background1"/>
            <w:noWrap/>
          </w:tcPr>
          <w:p w14:paraId="35420B22"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41B1DC8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53" w:type="pct"/>
            <w:tcBorders>
              <w:top w:val="nil"/>
            </w:tcBorders>
            <w:shd w:val="clear" w:color="auto" w:fill="FFFFFF" w:themeFill="background1"/>
            <w:noWrap/>
            <w:hideMark/>
          </w:tcPr>
          <w:p w14:paraId="5F655A2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hideMark/>
          </w:tcPr>
          <w:p w14:paraId="4E40EF8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4,5</w:t>
            </w:r>
          </w:p>
        </w:tc>
        <w:tc>
          <w:tcPr>
            <w:tcW w:w="372" w:type="pct"/>
            <w:tcBorders>
              <w:top w:val="nil"/>
            </w:tcBorders>
            <w:shd w:val="clear" w:color="auto" w:fill="FFFFFF" w:themeFill="background1"/>
            <w:noWrap/>
            <w:hideMark/>
          </w:tcPr>
          <w:p w14:paraId="2C31C198"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r w:rsidRPr="001B41AD">
              <w:rPr>
                <w:rFonts w:cstheme="minorHAnsi"/>
                <w:bCs/>
                <w:color w:val="002060"/>
                <w:sz w:val="14"/>
                <w:szCs w:val="14"/>
                <w:lang w:val="sr-Cyrl-CS"/>
              </w:rPr>
              <w:t>4,5</w:t>
            </w:r>
          </w:p>
        </w:tc>
        <w:tc>
          <w:tcPr>
            <w:tcW w:w="372" w:type="pct"/>
            <w:tcBorders>
              <w:top w:val="nil"/>
            </w:tcBorders>
            <w:shd w:val="clear" w:color="auto" w:fill="FFFFFF" w:themeFill="background1"/>
            <w:noWrap/>
          </w:tcPr>
          <w:p w14:paraId="0BDCBCD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2" w:type="pct"/>
            <w:tcBorders>
              <w:top w:val="nil"/>
            </w:tcBorders>
            <w:shd w:val="clear" w:color="auto" w:fill="FFFFFF" w:themeFill="background1"/>
            <w:noWrap/>
          </w:tcPr>
          <w:p w14:paraId="2E461931"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c>
          <w:tcPr>
            <w:tcW w:w="371" w:type="pct"/>
            <w:tcBorders>
              <w:top w:val="nil"/>
            </w:tcBorders>
            <w:shd w:val="clear" w:color="auto" w:fill="FFFFFF" w:themeFill="background1"/>
            <w:noWrap/>
          </w:tcPr>
          <w:p w14:paraId="52413B66"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Cs/>
                <w:color w:val="002060"/>
                <w:sz w:val="14"/>
                <w:szCs w:val="14"/>
                <w:lang w:val="sr-Cyrl-CS"/>
              </w:rPr>
            </w:pPr>
          </w:p>
        </w:tc>
      </w:tr>
      <w:tr w:rsidR="006A7014" w:rsidRPr="001B41AD" w14:paraId="49CEEE38" w14:textId="77777777" w:rsidTr="006A7014">
        <w:trPr>
          <w:cnfStyle w:val="000000100000" w:firstRow="0" w:lastRow="0" w:firstColumn="0" w:lastColumn="0" w:oddVBand="0" w:evenVBand="0" w:oddHBand="1" w:evenHBand="0" w:firstRowFirstColumn="0" w:firstRowLastColumn="0" w:lastRowFirstColumn="0" w:lastRowLastColumn="0"/>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tcBorders>
            <w:shd w:val="clear" w:color="auto" w:fill="FFFFFF" w:themeFill="background1"/>
            <w:noWrap/>
            <w:hideMark/>
          </w:tcPr>
          <w:p w14:paraId="67560C0A" w14:textId="77777777" w:rsidR="00DF656E" w:rsidRPr="001B41AD" w:rsidRDefault="001A6EF6" w:rsidP="00D021C5">
            <w:pPr>
              <w:tabs>
                <w:tab w:val="center" w:pos="4680"/>
                <w:tab w:val="right" w:pos="9360"/>
              </w:tabs>
              <w:ind w:left="225"/>
              <w:rPr>
                <w:rFonts w:cstheme="minorHAnsi"/>
                <w:b w:val="0"/>
                <w:color w:val="002060"/>
                <w:sz w:val="14"/>
                <w:szCs w:val="14"/>
                <w:lang w:val="sr-Cyrl-CS"/>
              </w:rPr>
            </w:pPr>
            <w:r w:rsidRPr="001B41AD">
              <w:rPr>
                <w:rFonts w:cstheme="minorHAnsi"/>
                <w:color w:val="002060"/>
                <w:sz w:val="14"/>
                <w:szCs w:val="14"/>
                <w:lang w:val="sr-Cyrl-CS"/>
              </w:rPr>
              <w:t>Ванбуџетски корисници</w:t>
            </w:r>
          </w:p>
        </w:tc>
        <w:tc>
          <w:tcPr>
            <w:tcW w:w="356" w:type="pct"/>
            <w:tcBorders>
              <w:top w:val="nil"/>
            </w:tcBorders>
            <w:shd w:val="clear" w:color="auto" w:fill="FFFFFF" w:themeFill="background1"/>
            <w:noWrap/>
            <w:hideMark/>
          </w:tcPr>
          <w:p w14:paraId="6B18BE6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36,2</w:t>
            </w:r>
          </w:p>
        </w:tc>
        <w:tc>
          <w:tcPr>
            <w:tcW w:w="356" w:type="pct"/>
            <w:tcBorders>
              <w:top w:val="nil"/>
            </w:tcBorders>
            <w:shd w:val="clear" w:color="auto" w:fill="FFFFFF" w:themeFill="background1"/>
            <w:noWrap/>
            <w:hideMark/>
          </w:tcPr>
          <w:p w14:paraId="2F4CC53E"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1B41AD">
              <w:rPr>
                <w:rFonts w:cstheme="minorHAnsi"/>
                <w:color w:val="002060"/>
                <w:sz w:val="14"/>
                <w:szCs w:val="14"/>
                <w:lang w:val="sr-Cyrl-CS"/>
              </w:rPr>
              <w:t>36,2</w:t>
            </w:r>
          </w:p>
        </w:tc>
        <w:tc>
          <w:tcPr>
            <w:tcW w:w="360" w:type="pct"/>
            <w:tcBorders>
              <w:top w:val="nil"/>
            </w:tcBorders>
            <w:shd w:val="clear" w:color="auto" w:fill="FFFFFF" w:themeFill="background1"/>
            <w:noWrap/>
            <w:hideMark/>
          </w:tcPr>
          <w:p w14:paraId="2F3796F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02A676F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472EAC49"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64943C18"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5D251D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0998463"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C788C0D"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7A1B081"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1" w:type="pct"/>
            <w:tcBorders>
              <w:top w:val="nil"/>
            </w:tcBorders>
            <w:shd w:val="clear" w:color="auto" w:fill="FFFFFF" w:themeFill="background1"/>
            <w:noWrap/>
          </w:tcPr>
          <w:p w14:paraId="40FD205A" w14:textId="77777777" w:rsidR="00DF656E" w:rsidRPr="001B41AD" w:rsidRDefault="00DF656E" w:rsidP="006A7014">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6A7014" w:rsidRPr="001B41AD" w14:paraId="2C87AA79" w14:textId="77777777" w:rsidTr="006A7014">
        <w:trPr>
          <w:trHeight w:val="28"/>
        </w:trPr>
        <w:tc>
          <w:tcPr>
            <w:cnfStyle w:val="001000000000" w:firstRow="0" w:lastRow="0" w:firstColumn="1" w:lastColumn="0" w:oddVBand="0" w:evenVBand="0" w:oddHBand="0" w:evenHBand="0" w:firstRowFirstColumn="0" w:firstRowLastColumn="0" w:lastRowFirstColumn="0" w:lastRowLastColumn="0"/>
            <w:tcW w:w="996" w:type="pct"/>
            <w:tcBorders>
              <w:top w:val="nil"/>
              <w:bottom w:val="single" w:sz="4" w:space="0" w:color="auto"/>
            </w:tcBorders>
            <w:shd w:val="clear" w:color="auto" w:fill="BFBFBF" w:themeFill="background1" w:themeFillShade="BF"/>
            <w:noWrap/>
            <w:hideMark/>
          </w:tcPr>
          <w:p w14:paraId="2295A5CC" w14:textId="77777777" w:rsidR="00DF656E" w:rsidRPr="001B41AD" w:rsidRDefault="00DF656E" w:rsidP="006A7014">
            <w:pPr>
              <w:tabs>
                <w:tab w:val="center" w:pos="4680"/>
                <w:tab w:val="right" w:pos="9360"/>
              </w:tabs>
              <w:rPr>
                <w:rFonts w:cstheme="minorHAnsi"/>
                <w:color w:val="002060"/>
                <w:sz w:val="14"/>
                <w:szCs w:val="14"/>
                <w:lang w:val="sr-Cyrl-CS"/>
              </w:rPr>
            </w:pPr>
            <w:r w:rsidRPr="001B41AD">
              <w:rPr>
                <w:rFonts w:cstheme="minorHAnsi"/>
                <w:color w:val="002060"/>
                <w:sz w:val="14"/>
                <w:szCs w:val="14"/>
                <w:lang w:val="sr-Cyrl-CS"/>
              </w:rPr>
              <w:t>Фискални резултат</w:t>
            </w:r>
          </w:p>
        </w:tc>
        <w:tc>
          <w:tcPr>
            <w:tcW w:w="356" w:type="pct"/>
            <w:tcBorders>
              <w:top w:val="nil"/>
              <w:bottom w:val="single" w:sz="4" w:space="0" w:color="auto"/>
            </w:tcBorders>
            <w:shd w:val="clear" w:color="auto" w:fill="BFBFBF" w:themeFill="background1" w:themeFillShade="BF"/>
            <w:noWrap/>
            <w:hideMark/>
          </w:tcPr>
          <w:p w14:paraId="62065993"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-337,0</w:t>
            </w:r>
          </w:p>
        </w:tc>
        <w:tc>
          <w:tcPr>
            <w:tcW w:w="356" w:type="pct"/>
            <w:tcBorders>
              <w:top w:val="nil"/>
              <w:bottom w:val="single" w:sz="4" w:space="0" w:color="auto"/>
            </w:tcBorders>
            <w:shd w:val="clear" w:color="auto" w:fill="BFBFBF" w:themeFill="background1" w:themeFillShade="BF"/>
            <w:noWrap/>
            <w:hideMark/>
          </w:tcPr>
          <w:p w14:paraId="28A74DC5"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-337,0</w:t>
            </w:r>
          </w:p>
        </w:tc>
        <w:tc>
          <w:tcPr>
            <w:tcW w:w="360" w:type="pct"/>
            <w:tcBorders>
              <w:top w:val="nil"/>
              <w:bottom w:val="single" w:sz="4" w:space="0" w:color="auto"/>
            </w:tcBorders>
            <w:shd w:val="clear" w:color="auto" w:fill="BFBFBF" w:themeFill="background1" w:themeFillShade="BF"/>
            <w:noWrap/>
            <w:hideMark/>
          </w:tcPr>
          <w:p w14:paraId="355F519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0,0</w:t>
            </w:r>
          </w:p>
        </w:tc>
        <w:tc>
          <w:tcPr>
            <w:tcW w:w="348" w:type="pct"/>
            <w:tcBorders>
              <w:top w:val="nil"/>
              <w:bottom w:val="single" w:sz="4" w:space="0" w:color="auto"/>
            </w:tcBorders>
            <w:shd w:val="clear" w:color="auto" w:fill="BFBFBF" w:themeFill="background1" w:themeFillShade="BF"/>
            <w:noWrap/>
            <w:hideMark/>
          </w:tcPr>
          <w:p w14:paraId="24C9CB39"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6C861A7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0,0</w:t>
            </w:r>
          </w:p>
        </w:tc>
        <w:tc>
          <w:tcPr>
            <w:tcW w:w="353" w:type="pct"/>
            <w:tcBorders>
              <w:top w:val="nil"/>
              <w:bottom w:val="single" w:sz="4" w:space="0" w:color="auto"/>
            </w:tcBorders>
            <w:shd w:val="clear" w:color="auto" w:fill="BFBFBF" w:themeFill="background1" w:themeFillShade="BF"/>
            <w:noWrap/>
            <w:hideMark/>
          </w:tcPr>
          <w:p w14:paraId="6FB2B32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3590C51A"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0DE644C0"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55E8261B"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460AC807"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0,0</w:t>
            </w:r>
          </w:p>
        </w:tc>
        <w:tc>
          <w:tcPr>
            <w:tcW w:w="371" w:type="pct"/>
            <w:tcBorders>
              <w:top w:val="nil"/>
              <w:bottom w:val="single" w:sz="4" w:space="0" w:color="auto"/>
            </w:tcBorders>
            <w:shd w:val="clear" w:color="auto" w:fill="BFBFBF" w:themeFill="background1" w:themeFillShade="BF"/>
            <w:noWrap/>
            <w:hideMark/>
          </w:tcPr>
          <w:p w14:paraId="26A895CD" w14:textId="77777777" w:rsidR="00DF656E" w:rsidRPr="001B41AD" w:rsidRDefault="00DF656E" w:rsidP="006A7014">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1B41AD">
              <w:rPr>
                <w:rFonts w:cstheme="minorHAnsi"/>
                <w:b/>
                <w:color w:val="002060"/>
                <w:sz w:val="14"/>
                <w:szCs w:val="14"/>
                <w:lang w:val="sr-Cyrl-CS"/>
              </w:rPr>
              <w:t>0,0</w:t>
            </w:r>
          </w:p>
        </w:tc>
      </w:tr>
    </w:tbl>
    <w:p w14:paraId="6BA3A4FE" w14:textId="77777777" w:rsidR="00DF656E" w:rsidRPr="001B41AD" w:rsidRDefault="00DF656E" w:rsidP="006A7014">
      <w:pPr>
        <w:tabs>
          <w:tab w:val="center" w:pos="4680"/>
          <w:tab w:val="right" w:pos="9360"/>
        </w:tabs>
        <w:spacing w:before="40" w:after="60" w:line="240" w:lineRule="auto"/>
        <w:ind w:left="360" w:right="340"/>
        <w:rPr>
          <w:rFonts w:cstheme="minorHAnsi"/>
          <w:sz w:val="16"/>
          <w:szCs w:val="16"/>
          <w:lang w:val="sr-Cyrl-CS"/>
        </w:rPr>
      </w:pPr>
      <w:r w:rsidRPr="001B41AD">
        <w:rPr>
          <w:rFonts w:cstheme="minorHAnsi"/>
          <w:sz w:val="16"/>
          <w:szCs w:val="16"/>
          <w:lang w:val="sr-Cyrl-CS"/>
        </w:rPr>
        <w:t>У табели је приказан оквирни износ прихода и расхода у 2026. години који је у већој мери заснован на статистичкој методологији рачуна јавних финансија него на рачуноводственој. Будући да током буџетског процеса може доћи до измена у висини и структури појединих категорија, ови износи нису законски обавезујући.</w:t>
      </w:r>
    </w:p>
    <w:p w14:paraId="7FFD9796" w14:textId="77777777" w:rsidR="00DF656E" w:rsidRPr="001B41AD" w:rsidRDefault="00DF656E" w:rsidP="00DF656E">
      <w:pPr>
        <w:rPr>
          <w:lang w:val="sr-Cyrl-CS"/>
        </w:rPr>
        <w:sectPr w:rsidR="00DF656E" w:rsidRPr="001B41AD" w:rsidSect="004D78F1">
          <w:type w:val="continuous"/>
          <w:pgSz w:w="15840" w:h="12240" w:orient="landscape" w:code="1"/>
          <w:pgMar w:top="720" w:right="0" w:bottom="1440" w:left="0" w:header="720" w:footer="720" w:gutter="0"/>
          <w:cols w:space="720"/>
          <w:docGrid w:linePitch="360"/>
        </w:sectPr>
      </w:pPr>
    </w:p>
    <w:p w14:paraId="3EAD4450" w14:textId="77777777" w:rsidR="00DF656E" w:rsidRPr="001B41AD" w:rsidRDefault="00DF656E" w:rsidP="00DF656E">
      <w:pPr>
        <w:rPr>
          <w:lang w:val="sr-Cyrl-CS"/>
        </w:rPr>
      </w:pPr>
    </w:p>
    <w:p w14:paraId="18227D6B" w14:textId="77777777" w:rsidR="00B63247" w:rsidRPr="001B41AD" w:rsidRDefault="00B63247" w:rsidP="00B63247">
      <w:pPr>
        <w:rPr>
          <w:lang w:val="sr-Cyrl-CS"/>
        </w:rPr>
      </w:pPr>
    </w:p>
    <w:p w14:paraId="7E3228DD" w14:textId="77777777" w:rsidR="006A7014" w:rsidRPr="001B41AD" w:rsidRDefault="006A7014" w:rsidP="006A7014">
      <w:pPr>
        <w:pStyle w:val="Heading1"/>
        <w:spacing w:after="160"/>
        <w:rPr>
          <w:rFonts w:asciiTheme="minorHAnsi" w:hAnsiTheme="minorHAnsi" w:cstheme="minorHAnsi"/>
          <w:color w:val="002060"/>
          <w:sz w:val="24"/>
          <w:szCs w:val="26"/>
          <w:lang w:val="sr-Cyrl-CS"/>
        </w:rPr>
        <w:sectPr w:rsidR="006A7014" w:rsidRPr="001B41AD" w:rsidSect="00DF656E">
          <w:type w:val="continuous"/>
          <w:pgSz w:w="15840" w:h="12240" w:orient="landscape" w:code="1"/>
          <w:pgMar w:top="1440" w:right="0" w:bottom="1440" w:left="0" w:header="720" w:footer="720" w:gutter="0"/>
          <w:cols w:num="2" w:space="720"/>
          <w:docGrid w:linePitch="360"/>
        </w:sectPr>
      </w:pPr>
    </w:p>
    <w:p w14:paraId="6556B2EC" w14:textId="77777777" w:rsidR="006A7014" w:rsidRPr="001B41AD" w:rsidRDefault="006A7014" w:rsidP="006A7014">
      <w:pPr>
        <w:pStyle w:val="Heading1"/>
        <w:spacing w:after="160"/>
        <w:ind w:left="450"/>
        <w:rPr>
          <w:rFonts w:asciiTheme="minorHAnsi" w:hAnsiTheme="minorHAnsi" w:cstheme="minorHAnsi"/>
          <w:color w:val="002060"/>
          <w:sz w:val="24"/>
          <w:szCs w:val="26"/>
          <w:lang w:val="sr-Cyrl-CS"/>
        </w:rPr>
      </w:pPr>
      <w:bookmarkStart w:id="84" w:name="_Toc212642479"/>
      <w:r w:rsidRPr="001B41AD">
        <w:rPr>
          <w:rFonts w:asciiTheme="minorHAnsi" w:hAnsiTheme="minorHAnsi" w:cstheme="minorHAnsi"/>
          <w:color w:val="002060"/>
          <w:sz w:val="24"/>
          <w:szCs w:val="26"/>
          <w:lang w:val="sr-Cyrl-CS"/>
        </w:rPr>
        <w:lastRenderedPageBreak/>
        <w:t>Прилог 3 – Укупни приходи, расходи и резултат у периоду 2024 – 2028. године, у млрд динара</w:t>
      </w:r>
      <w:bookmarkEnd w:id="84"/>
    </w:p>
    <w:tbl>
      <w:tblPr>
        <w:tblStyle w:val="TableGrid1"/>
        <w:tblW w:w="474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0"/>
        <w:gridCol w:w="1703"/>
        <w:gridCol w:w="1703"/>
        <w:gridCol w:w="1703"/>
        <w:gridCol w:w="1703"/>
        <w:gridCol w:w="1694"/>
      </w:tblGrid>
      <w:tr w:rsidR="006A7014" w:rsidRPr="001B41AD" w14:paraId="522B4A0C" w14:textId="77777777" w:rsidTr="006A7014">
        <w:trPr>
          <w:trHeight w:val="345"/>
          <w:jc w:val="center"/>
        </w:trPr>
        <w:tc>
          <w:tcPr>
            <w:tcW w:w="2168" w:type="pct"/>
            <w:tcBorders>
              <w:top w:val="single" w:sz="4" w:space="0" w:color="002060"/>
              <w:bottom w:val="single" w:sz="4" w:space="0" w:color="002060"/>
            </w:tcBorders>
            <w:hideMark/>
          </w:tcPr>
          <w:p w14:paraId="4A1B05B0" w14:textId="77777777" w:rsidR="006A7014" w:rsidRPr="001B41AD" w:rsidRDefault="006A7014" w:rsidP="00405489">
            <w:pPr>
              <w:jc w:val="left"/>
              <w:rPr>
                <w:rFonts w:eastAsia="Calibri" w:cstheme="minorHAnsi"/>
                <w:color w:val="002060"/>
                <w:sz w:val="18"/>
                <w:szCs w:val="18"/>
                <w:lang w:val="sr-Cyrl-CS"/>
              </w:rPr>
            </w:pPr>
          </w:p>
        </w:tc>
        <w:tc>
          <w:tcPr>
            <w:tcW w:w="567" w:type="pct"/>
            <w:tcBorders>
              <w:top w:val="single" w:sz="4" w:space="0" w:color="002060"/>
              <w:bottom w:val="single" w:sz="4" w:space="0" w:color="002060"/>
            </w:tcBorders>
            <w:noWrap/>
            <w:hideMark/>
          </w:tcPr>
          <w:p w14:paraId="09B617BE"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2024</w:t>
            </w:r>
          </w:p>
        </w:tc>
        <w:tc>
          <w:tcPr>
            <w:tcW w:w="567" w:type="pct"/>
            <w:tcBorders>
              <w:top w:val="single" w:sz="4" w:space="0" w:color="002060"/>
              <w:bottom w:val="single" w:sz="4" w:space="0" w:color="002060"/>
            </w:tcBorders>
            <w:noWrap/>
            <w:hideMark/>
          </w:tcPr>
          <w:p w14:paraId="29B98F98"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2025</w:t>
            </w:r>
          </w:p>
        </w:tc>
        <w:tc>
          <w:tcPr>
            <w:tcW w:w="567" w:type="pct"/>
            <w:tcBorders>
              <w:top w:val="single" w:sz="4" w:space="0" w:color="002060"/>
              <w:bottom w:val="single" w:sz="4" w:space="0" w:color="002060"/>
            </w:tcBorders>
            <w:noWrap/>
            <w:hideMark/>
          </w:tcPr>
          <w:p w14:paraId="4EC67D34"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2026</w:t>
            </w:r>
          </w:p>
        </w:tc>
        <w:tc>
          <w:tcPr>
            <w:tcW w:w="567" w:type="pct"/>
            <w:tcBorders>
              <w:top w:val="single" w:sz="4" w:space="0" w:color="002060"/>
              <w:bottom w:val="single" w:sz="4" w:space="0" w:color="002060"/>
            </w:tcBorders>
          </w:tcPr>
          <w:p w14:paraId="2FBE1C91"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2027</w:t>
            </w:r>
          </w:p>
        </w:tc>
        <w:tc>
          <w:tcPr>
            <w:tcW w:w="564" w:type="pct"/>
            <w:tcBorders>
              <w:top w:val="single" w:sz="4" w:space="0" w:color="002060"/>
              <w:bottom w:val="single" w:sz="4" w:space="0" w:color="002060"/>
            </w:tcBorders>
          </w:tcPr>
          <w:p w14:paraId="2B5AB700"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2028</w:t>
            </w:r>
          </w:p>
        </w:tc>
      </w:tr>
      <w:tr w:rsidR="006A7014" w:rsidRPr="001B41AD" w14:paraId="06A1A103" w14:textId="77777777" w:rsidTr="006A7014">
        <w:trPr>
          <w:trHeight w:val="270"/>
          <w:jc w:val="center"/>
        </w:trPr>
        <w:tc>
          <w:tcPr>
            <w:tcW w:w="2168" w:type="pct"/>
            <w:tcBorders>
              <w:top w:val="single" w:sz="4" w:space="0" w:color="002060"/>
            </w:tcBorders>
            <w:shd w:val="clear" w:color="auto" w:fill="E7E6E6" w:themeFill="background2"/>
            <w:noWrap/>
            <w:hideMark/>
          </w:tcPr>
          <w:p w14:paraId="61C4A066"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Јавни приходи (1 + 2)</w:t>
            </w:r>
          </w:p>
        </w:tc>
        <w:tc>
          <w:tcPr>
            <w:tcW w:w="567" w:type="pct"/>
            <w:tcBorders>
              <w:top w:val="nil"/>
              <w:left w:val="nil"/>
              <w:bottom w:val="nil"/>
              <w:right w:val="nil"/>
            </w:tcBorders>
            <w:shd w:val="clear" w:color="auto" w:fill="E7E6E6" w:themeFill="background2"/>
            <w:noWrap/>
          </w:tcPr>
          <w:p w14:paraId="4F4A546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3.941,0</w:t>
            </w:r>
          </w:p>
        </w:tc>
        <w:tc>
          <w:tcPr>
            <w:tcW w:w="567" w:type="pct"/>
            <w:tcBorders>
              <w:top w:val="nil"/>
              <w:left w:val="nil"/>
              <w:bottom w:val="nil"/>
              <w:right w:val="nil"/>
            </w:tcBorders>
            <w:shd w:val="clear" w:color="auto" w:fill="E7E6E6" w:themeFill="background2"/>
            <w:noWrap/>
          </w:tcPr>
          <w:p w14:paraId="7195BE99"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4.244,3</w:t>
            </w:r>
          </w:p>
        </w:tc>
        <w:tc>
          <w:tcPr>
            <w:tcW w:w="567" w:type="pct"/>
            <w:tcBorders>
              <w:top w:val="nil"/>
              <w:left w:val="nil"/>
              <w:bottom w:val="nil"/>
              <w:right w:val="nil"/>
            </w:tcBorders>
            <w:shd w:val="clear" w:color="auto" w:fill="E7E6E6" w:themeFill="background2"/>
            <w:noWrap/>
          </w:tcPr>
          <w:p w14:paraId="18BDEE18"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4.534,5</w:t>
            </w:r>
          </w:p>
        </w:tc>
        <w:tc>
          <w:tcPr>
            <w:tcW w:w="567" w:type="pct"/>
            <w:tcBorders>
              <w:top w:val="nil"/>
              <w:left w:val="nil"/>
              <w:bottom w:val="nil"/>
              <w:right w:val="nil"/>
            </w:tcBorders>
            <w:shd w:val="clear" w:color="auto" w:fill="E7E6E6" w:themeFill="background2"/>
          </w:tcPr>
          <w:p w14:paraId="4963C198"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4.826,7</w:t>
            </w:r>
          </w:p>
        </w:tc>
        <w:tc>
          <w:tcPr>
            <w:tcW w:w="564" w:type="pct"/>
            <w:tcBorders>
              <w:top w:val="nil"/>
              <w:left w:val="nil"/>
              <w:bottom w:val="nil"/>
              <w:right w:val="nil"/>
            </w:tcBorders>
            <w:shd w:val="clear" w:color="auto" w:fill="E7E6E6" w:themeFill="background2"/>
          </w:tcPr>
          <w:p w14:paraId="1306CAE0"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5.120,4</w:t>
            </w:r>
          </w:p>
        </w:tc>
      </w:tr>
      <w:tr w:rsidR="006A7014" w:rsidRPr="001B41AD" w14:paraId="17368396" w14:textId="77777777" w:rsidTr="006A7014">
        <w:trPr>
          <w:trHeight w:val="270"/>
          <w:jc w:val="center"/>
        </w:trPr>
        <w:tc>
          <w:tcPr>
            <w:tcW w:w="2168" w:type="pct"/>
            <w:noWrap/>
            <w:hideMark/>
          </w:tcPr>
          <w:p w14:paraId="01AA94F5"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 Текући приходи (1.1 + 1.2)</w:t>
            </w:r>
          </w:p>
        </w:tc>
        <w:tc>
          <w:tcPr>
            <w:tcW w:w="567" w:type="pct"/>
            <w:tcBorders>
              <w:top w:val="nil"/>
              <w:left w:val="nil"/>
              <w:bottom w:val="nil"/>
              <w:right w:val="nil"/>
            </w:tcBorders>
            <w:noWrap/>
          </w:tcPr>
          <w:p w14:paraId="08213C92"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3.919,7</w:t>
            </w:r>
          </w:p>
        </w:tc>
        <w:tc>
          <w:tcPr>
            <w:tcW w:w="567" w:type="pct"/>
            <w:tcBorders>
              <w:top w:val="nil"/>
              <w:left w:val="nil"/>
              <w:bottom w:val="nil"/>
              <w:right w:val="nil"/>
            </w:tcBorders>
            <w:noWrap/>
          </w:tcPr>
          <w:p w14:paraId="7E1D5E0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4.206,0</w:t>
            </w:r>
          </w:p>
        </w:tc>
        <w:tc>
          <w:tcPr>
            <w:tcW w:w="567" w:type="pct"/>
            <w:tcBorders>
              <w:top w:val="nil"/>
              <w:left w:val="nil"/>
              <w:bottom w:val="nil"/>
              <w:right w:val="nil"/>
            </w:tcBorders>
            <w:noWrap/>
          </w:tcPr>
          <w:p w14:paraId="47ADB4E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4.500,7</w:t>
            </w:r>
          </w:p>
        </w:tc>
        <w:tc>
          <w:tcPr>
            <w:tcW w:w="567" w:type="pct"/>
            <w:tcBorders>
              <w:top w:val="nil"/>
              <w:left w:val="nil"/>
              <w:bottom w:val="nil"/>
              <w:right w:val="nil"/>
            </w:tcBorders>
          </w:tcPr>
          <w:p w14:paraId="6E013E8E"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4.792,0</w:t>
            </w:r>
          </w:p>
        </w:tc>
        <w:tc>
          <w:tcPr>
            <w:tcW w:w="564" w:type="pct"/>
            <w:tcBorders>
              <w:top w:val="nil"/>
              <w:left w:val="nil"/>
              <w:bottom w:val="nil"/>
              <w:right w:val="nil"/>
            </w:tcBorders>
          </w:tcPr>
          <w:p w14:paraId="40C9C279"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5.083,8</w:t>
            </w:r>
          </w:p>
        </w:tc>
      </w:tr>
      <w:tr w:rsidR="006A7014" w:rsidRPr="001B41AD" w14:paraId="15062361" w14:textId="77777777" w:rsidTr="006A7014">
        <w:trPr>
          <w:trHeight w:val="270"/>
          <w:jc w:val="center"/>
        </w:trPr>
        <w:tc>
          <w:tcPr>
            <w:tcW w:w="2168" w:type="pct"/>
            <w:noWrap/>
            <w:hideMark/>
          </w:tcPr>
          <w:p w14:paraId="2162CCFD"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1.1 Порески приходи (1.1.1 + ... + 1.1.7)</w:t>
            </w:r>
          </w:p>
        </w:tc>
        <w:tc>
          <w:tcPr>
            <w:tcW w:w="567" w:type="pct"/>
            <w:tcBorders>
              <w:top w:val="nil"/>
              <w:left w:val="nil"/>
              <w:bottom w:val="nil"/>
              <w:right w:val="nil"/>
            </w:tcBorders>
          </w:tcPr>
          <w:p w14:paraId="665EC1E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3.497,4</w:t>
            </w:r>
          </w:p>
        </w:tc>
        <w:tc>
          <w:tcPr>
            <w:tcW w:w="567" w:type="pct"/>
            <w:tcBorders>
              <w:top w:val="nil"/>
              <w:left w:val="nil"/>
              <w:bottom w:val="nil"/>
              <w:right w:val="nil"/>
            </w:tcBorders>
          </w:tcPr>
          <w:p w14:paraId="5C428DE4"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3.750,8</w:t>
            </w:r>
          </w:p>
        </w:tc>
        <w:tc>
          <w:tcPr>
            <w:tcW w:w="567" w:type="pct"/>
            <w:tcBorders>
              <w:top w:val="nil"/>
              <w:left w:val="nil"/>
              <w:bottom w:val="nil"/>
              <w:right w:val="nil"/>
            </w:tcBorders>
          </w:tcPr>
          <w:p w14:paraId="004A5A2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4.041,3</w:t>
            </w:r>
          </w:p>
        </w:tc>
        <w:tc>
          <w:tcPr>
            <w:tcW w:w="567" w:type="pct"/>
            <w:tcBorders>
              <w:top w:val="nil"/>
              <w:left w:val="nil"/>
              <w:bottom w:val="nil"/>
              <w:right w:val="nil"/>
            </w:tcBorders>
          </w:tcPr>
          <w:p w14:paraId="3F70E9A6"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4.343,6</w:t>
            </w:r>
          </w:p>
        </w:tc>
        <w:tc>
          <w:tcPr>
            <w:tcW w:w="564" w:type="pct"/>
            <w:tcBorders>
              <w:top w:val="nil"/>
              <w:left w:val="nil"/>
              <w:bottom w:val="nil"/>
              <w:right w:val="nil"/>
            </w:tcBorders>
          </w:tcPr>
          <w:p w14:paraId="69C06596"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4.622,9</w:t>
            </w:r>
          </w:p>
        </w:tc>
      </w:tr>
      <w:tr w:rsidR="006A7014" w:rsidRPr="001B41AD" w14:paraId="4A21B68B" w14:textId="77777777" w:rsidTr="006A7014">
        <w:trPr>
          <w:trHeight w:val="270"/>
          <w:jc w:val="center"/>
        </w:trPr>
        <w:tc>
          <w:tcPr>
            <w:tcW w:w="2168" w:type="pct"/>
            <w:noWrap/>
            <w:hideMark/>
          </w:tcPr>
          <w:p w14:paraId="27880BB1"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1.1.1 Порез на доходак грађана</w:t>
            </w:r>
          </w:p>
        </w:tc>
        <w:tc>
          <w:tcPr>
            <w:tcW w:w="567" w:type="pct"/>
            <w:tcBorders>
              <w:top w:val="nil"/>
              <w:left w:val="nil"/>
              <w:bottom w:val="nil"/>
              <w:right w:val="nil"/>
            </w:tcBorders>
            <w:noWrap/>
          </w:tcPr>
          <w:p w14:paraId="29355BC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403,0</w:t>
            </w:r>
          </w:p>
        </w:tc>
        <w:tc>
          <w:tcPr>
            <w:tcW w:w="567" w:type="pct"/>
            <w:tcBorders>
              <w:top w:val="nil"/>
              <w:left w:val="nil"/>
              <w:bottom w:val="nil"/>
              <w:right w:val="nil"/>
            </w:tcBorders>
            <w:noWrap/>
          </w:tcPr>
          <w:p w14:paraId="7F0E5F91"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434,3</w:t>
            </w:r>
          </w:p>
        </w:tc>
        <w:tc>
          <w:tcPr>
            <w:tcW w:w="567" w:type="pct"/>
            <w:tcBorders>
              <w:top w:val="nil"/>
              <w:left w:val="nil"/>
              <w:bottom w:val="nil"/>
              <w:right w:val="nil"/>
            </w:tcBorders>
            <w:noWrap/>
          </w:tcPr>
          <w:p w14:paraId="6575370F"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465,0</w:t>
            </w:r>
          </w:p>
        </w:tc>
        <w:tc>
          <w:tcPr>
            <w:tcW w:w="567" w:type="pct"/>
            <w:tcBorders>
              <w:top w:val="nil"/>
              <w:left w:val="nil"/>
              <w:bottom w:val="nil"/>
              <w:right w:val="nil"/>
            </w:tcBorders>
          </w:tcPr>
          <w:p w14:paraId="5CCE1E2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507,5</w:t>
            </w:r>
          </w:p>
        </w:tc>
        <w:tc>
          <w:tcPr>
            <w:tcW w:w="564" w:type="pct"/>
            <w:tcBorders>
              <w:top w:val="nil"/>
              <w:left w:val="nil"/>
              <w:bottom w:val="nil"/>
              <w:right w:val="nil"/>
            </w:tcBorders>
          </w:tcPr>
          <w:p w14:paraId="6A689B7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545,7</w:t>
            </w:r>
          </w:p>
        </w:tc>
      </w:tr>
      <w:tr w:rsidR="006A7014" w:rsidRPr="001B41AD" w14:paraId="68CD9B90" w14:textId="77777777" w:rsidTr="006A7014">
        <w:trPr>
          <w:trHeight w:val="270"/>
          <w:jc w:val="center"/>
        </w:trPr>
        <w:tc>
          <w:tcPr>
            <w:tcW w:w="2168" w:type="pct"/>
            <w:noWrap/>
            <w:hideMark/>
          </w:tcPr>
          <w:p w14:paraId="0A64CBD0"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1.1.2 Порез на добит предузећа</w:t>
            </w:r>
          </w:p>
        </w:tc>
        <w:tc>
          <w:tcPr>
            <w:tcW w:w="567" w:type="pct"/>
            <w:tcBorders>
              <w:top w:val="nil"/>
              <w:left w:val="nil"/>
              <w:bottom w:val="nil"/>
              <w:right w:val="nil"/>
            </w:tcBorders>
            <w:noWrap/>
          </w:tcPr>
          <w:p w14:paraId="57EBB1D1"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297,1</w:t>
            </w:r>
          </w:p>
        </w:tc>
        <w:tc>
          <w:tcPr>
            <w:tcW w:w="567" w:type="pct"/>
            <w:tcBorders>
              <w:top w:val="nil"/>
              <w:left w:val="nil"/>
              <w:bottom w:val="nil"/>
              <w:right w:val="nil"/>
            </w:tcBorders>
            <w:noWrap/>
          </w:tcPr>
          <w:p w14:paraId="0811952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288,8</w:t>
            </w:r>
          </w:p>
        </w:tc>
        <w:tc>
          <w:tcPr>
            <w:tcW w:w="567" w:type="pct"/>
            <w:tcBorders>
              <w:top w:val="nil"/>
              <w:left w:val="nil"/>
              <w:bottom w:val="nil"/>
              <w:right w:val="nil"/>
            </w:tcBorders>
            <w:noWrap/>
          </w:tcPr>
          <w:p w14:paraId="259437D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299,0</w:t>
            </w:r>
          </w:p>
        </w:tc>
        <w:tc>
          <w:tcPr>
            <w:tcW w:w="567" w:type="pct"/>
            <w:tcBorders>
              <w:top w:val="nil"/>
              <w:left w:val="nil"/>
              <w:bottom w:val="nil"/>
              <w:right w:val="nil"/>
            </w:tcBorders>
          </w:tcPr>
          <w:p w14:paraId="422FD75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312,9</w:t>
            </w:r>
          </w:p>
        </w:tc>
        <w:tc>
          <w:tcPr>
            <w:tcW w:w="564" w:type="pct"/>
            <w:tcBorders>
              <w:top w:val="nil"/>
              <w:left w:val="nil"/>
              <w:bottom w:val="nil"/>
              <w:right w:val="nil"/>
            </w:tcBorders>
          </w:tcPr>
          <w:p w14:paraId="40647447"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328,6</w:t>
            </w:r>
          </w:p>
        </w:tc>
      </w:tr>
      <w:tr w:rsidR="006A7014" w:rsidRPr="001B41AD" w14:paraId="6AB9B6EC" w14:textId="77777777" w:rsidTr="006A7014">
        <w:trPr>
          <w:trHeight w:val="270"/>
          <w:jc w:val="center"/>
        </w:trPr>
        <w:tc>
          <w:tcPr>
            <w:tcW w:w="2168" w:type="pct"/>
            <w:noWrap/>
            <w:hideMark/>
          </w:tcPr>
          <w:p w14:paraId="32D5C000"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1.1.3 Порез на додату вредност</w:t>
            </w:r>
          </w:p>
        </w:tc>
        <w:tc>
          <w:tcPr>
            <w:tcW w:w="567" w:type="pct"/>
            <w:tcBorders>
              <w:top w:val="nil"/>
              <w:left w:val="nil"/>
              <w:bottom w:val="nil"/>
              <w:right w:val="nil"/>
            </w:tcBorders>
            <w:noWrap/>
          </w:tcPr>
          <w:p w14:paraId="4D338DE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951,8</w:t>
            </w:r>
          </w:p>
        </w:tc>
        <w:tc>
          <w:tcPr>
            <w:tcW w:w="567" w:type="pct"/>
            <w:tcBorders>
              <w:top w:val="nil"/>
              <w:left w:val="nil"/>
              <w:bottom w:val="nil"/>
              <w:right w:val="nil"/>
            </w:tcBorders>
            <w:noWrap/>
          </w:tcPr>
          <w:p w14:paraId="4DD89357"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1.002,0</w:t>
            </w:r>
          </w:p>
        </w:tc>
        <w:tc>
          <w:tcPr>
            <w:tcW w:w="567" w:type="pct"/>
            <w:tcBorders>
              <w:top w:val="nil"/>
              <w:left w:val="nil"/>
              <w:bottom w:val="nil"/>
              <w:right w:val="nil"/>
            </w:tcBorders>
            <w:noWrap/>
          </w:tcPr>
          <w:p w14:paraId="08994D12"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1.084,0</w:t>
            </w:r>
          </w:p>
        </w:tc>
        <w:tc>
          <w:tcPr>
            <w:tcW w:w="567" w:type="pct"/>
            <w:tcBorders>
              <w:top w:val="nil"/>
              <w:left w:val="nil"/>
              <w:bottom w:val="nil"/>
              <w:right w:val="nil"/>
            </w:tcBorders>
          </w:tcPr>
          <w:p w14:paraId="7C2E648E"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1.165,6</w:t>
            </w:r>
          </w:p>
        </w:tc>
        <w:tc>
          <w:tcPr>
            <w:tcW w:w="564" w:type="pct"/>
            <w:tcBorders>
              <w:top w:val="nil"/>
              <w:left w:val="nil"/>
              <w:bottom w:val="nil"/>
              <w:right w:val="nil"/>
            </w:tcBorders>
          </w:tcPr>
          <w:p w14:paraId="1AD4A48F"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1.243,9</w:t>
            </w:r>
          </w:p>
        </w:tc>
      </w:tr>
      <w:tr w:rsidR="006A7014" w:rsidRPr="001B41AD" w14:paraId="79830C2D" w14:textId="77777777" w:rsidTr="006A7014">
        <w:trPr>
          <w:trHeight w:val="270"/>
          <w:jc w:val="center"/>
        </w:trPr>
        <w:tc>
          <w:tcPr>
            <w:tcW w:w="2168" w:type="pct"/>
            <w:noWrap/>
            <w:hideMark/>
          </w:tcPr>
          <w:p w14:paraId="71AB65AE"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1.1.4 Акцизе</w:t>
            </w:r>
          </w:p>
        </w:tc>
        <w:tc>
          <w:tcPr>
            <w:tcW w:w="567" w:type="pct"/>
            <w:tcBorders>
              <w:top w:val="nil"/>
              <w:left w:val="nil"/>
              <w:bottom w:val="nil"/>
              <w:right w:val="nil"/>
            </w:tcBorders>
            <w:noWrap/>
          </w:tcPr>
          <w:p w14:paraId="5768BE4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415,1</w:t>
            </w:r>
          </w:p>
        </w:tc>
        <w:tc>
          <w:tcPr>
            <w:tcW w:w="567" w:type="pct"/>
            <w:tcBorders>
              <w:top w:val="nil"/>
              <w:left w:val="nil"/>
              <w:bottom w:val="nil"/>
              <w:right w:val="nil"/>
            </w:tcBorders>
            <w:noWrap/>
          </w:tcPr>
          <w:p w14:paraId="685832D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435,3</w:t>
            </w:r>
          </w:p>
        </w:tc>
        <w:tc>
          <w:tcPr>
            <w:tcW w:w="567" w:type="pct"/>
            <w:tcBorders>
              <w:top w:val="nil"/>
              <w:left w:val="nil"/>
              <w:bottom w:val="nil"/>
              <w:right w:val="nil"/>
            </w:tcBorders>
            <w:noWrap/>
          </w:tcPr>
          <w:p w14:paraId="1AA3FAF0"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453,3</w:t>
            </w:r>
          </w:p>
        </w:tc>
        <w:tc>
          <w:tcPr>
            <w:tcW w:w="567" w:type="pct"/>
            <w:tcBorders>
              <w:top w:val="nil"/>
              <w:left w:val="nil"/>
              <w:bottom w:val="nil"/>
              <w:right w:val="nil"/>
            </w:tcBorders>
          </w:tcPr>
          <w:p w14:paraId="1FDE9AF0"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465,3</w:t>
            </w:r>
          </w:p>
        </w:tc>
        <w:tc>
          <w:tcPr>
            <w:tcW w:w="564" w:type="pct"/>
            <w:tcBorders>
              <w:top w:val="nil"/>
              <w:left w:val="nil"/>
              <w:bottom w:val="nil"/>
              <w:right w:val="nil"/>
            </w:tcBorders>
          </w:tcPr>
          <w:p w14:paraId="39EAA32F"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478,1</w:t>
            </w:r>
          </w:p>
        </w:tc>
      </w:tr>
      <w:tr w:rsidR="006A7014" w:rsidRPr="001B41AD" w14:paraId="2A0B7428" w14:textId="77777777" w:rsidTr="006A7014">
        <w:trPr>
          <w:trHeight w:val="270"/>
          <w:jc w:val="center"/>
        </w:trPr>
        <w:tc>
          <w:tcPr>
            <w:tcW w:w="2168" w:type="pct"/>
            <w:noWrap/>
          </w:tcPr>
          <w:p w14:paraId="33770CD7"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1.1.5 Царине</w:t>
            </w:r>
          </w:p>
        </w:tc>
        <w:tc>
          <w:tcPr>
            <w:tcW w:w="567" w:type="pct"/>
            <w:tcBorders>
              <w:top w:val="nil"/>
              <w:left w:val="nil"/>
              <w:bottom w:val="nil"/>
              <w:right w:val="nil"/>
            </w:tcBorders>
            <w:noWrap/>
          </w:tcPr>
          <w:p w14:paraId="79345C8F"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89,4</w:t>
            </w:r>
          </w:p>
        </w:tc>
        <w:tc>
          <w:tcPr>
            <w:tcW w:w="567" w:type="pct"/>
            <w:tcBorders>
              <w:top w:val="nil"/>
              <w:left w:val="nil"/>
              <w:bottom w:val="nil"/>
              <w:right w:val="nil"/>
            </w:tcBorders>
            <w:noWrap/>
          </w:tcPr>
          <w:p w14:paraId="68CFCC96"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93,5</w:t>
            </w:r>
          </w:p>
        </w:tc>
        <w:tc>
          <w:tcPr>
            <w:tcW w:w="567" w:type="pct"/>
            <w:tcBorders>
              <w:top w:val="nil"/>
              <w:left w:val="nil"/>
              <w:bottom w:val="nil"/>
              <w:right w:val="nil"/>
            </w:tcBorders>
            <w:noWrap/>
          </w:tcPr>
          <w:p w14:paraId="06E89367"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99,9</w:t>
            </w:r>
          </w:p>
        </w:tc>
        <w:tc>
          <w:tcPr>
            <w:tcW w:w="567" w:type="pct"/>
            <w:tcBorders>
              <w:top w:val="nil"/>
              <w:left w:val="nil"/>
              <w:bottom w:val="nil"/>
              <w:right w:val="nil"/>
            </w:tcBorders>
          </w:tcPr>
          <w:p w14:paraId="236B8207"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105,5</w:t>
            </w:r>
          </w:p>
        </w:tc>
        <w:tc>
          <w:tcPr>
            <w:tcW w:w="564" w:type="pct"/>
            <w:tcBorders>
              <w:top w:val="nil"/>
              <w:left w:val="nil"/>
              <w:bottom w:val="nil"/>
              <w:right w:val="nil"/>
            </w:tcBorders>
          </w:tcPr>
          <w:p w14:paraId="6E681571"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110,2</w:t>
            </w:r>
          </w:p>
        </w:tc>
      </w:tr>
      <w:tr w:rsidR="006A7014" w:rsidRPr="001B41AD" w14:paraId="73F0C392" w14:textId="77777777" w:rsidTr="006A7014">
        <w:trPr>
          <w:trHeight w:val="270"/>
          <w:jc w:val="center"/>
        </w:trPr>
        <w:tc>
          <w:tcPr>
            <w:tcW w:w="2168" w:type="pct"/>
            <w:noWrap/>
            <w:hideMark/>
          </w:tcPr>
          <w:p w14:paraId="1473EFC9"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1.1.6 Остали порески приходи</w:t>
            </w:r>
          </w:p>
        </w:tc>
        <w:tc>
          <w:tcPr>
            <w:tcW w:w="567" w:type="pct"/>
            <w:tcBorders>
              <w:top w:val="nil"/>
              <w:left w:val="nil"/>
              <w:bottom w:val="nil"/>
              <w:right w:val="nil"/>
            </w:tcBorders>
            <w:noWrap/>
          </w:tcPr>
          <w:p w14:paraId="3EC2AFE9"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116,0</w:t>
            </w:r>
          </w:p>
        </w:tc>
        <w:tc>
          <w:tcPr>
            <w:tcW w:w="567" w:type="pct"/>
            <w:tcBorders>
              <w:top w:val="nil"/>
              <w:left w:val="nil"/>
              <w:bottom w:val="nil"/>
              <w:right w:val="nil"/>
            </w:tcBorders>
            <w:noWrap/>
          </w:tcPr>
          <w:p w14:paraId="4DE358D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124,7</w:t>
            </w:r>
          </w:p>
        </w:tc>
        <w:tc>
          <w:tcPr>
            <w:tcW w:w="567" w:type="pct"/>
            <w:tcBorders>
              <w:top w:val="nil"/>
              <w:left w:val="nil"/>
              <w:bottom w:val="nil"/>
              <w:right w:val="nil"/>
            </w:tcBorders>
            <w:noWrap/>
          </w:tcPr>
          <w:p w14:paraId="25D3BF6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130,8</w:t>
            </w:r>
          </w:p>
        </w:tc>
        <w:tc>
          <w:tcPr>
            <w:tcW w:w="567" w:type="pct"/>
            <w:tcBorders>
              <w:top w:val="nil"/>
              <w:left w:val="nil"/>
              <w:bottom w:val="nil"/>
              <w:right w:val="nil"/>
            </w:tcBorders>
          </w:tcPr>
          <w:p w14:paraId="47623B44"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135,0</w:t>
            </w:r>
          </w:p>
        </w:tc>
        <w:tc>
          <w:tcPr>
            <w:tcW w:w="564" w:type="pct"/>
            <w:tcBorders>
              <w:top w:val="nil"/>
              <w:left w:val="nil"/>
              <w:bottom w:val="nil"/>
              <w:right w:val="nil"/>
            </w:tcBorders>
          </w:tcPr>
          <w:p w14:paraId="1E8874A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139,1</w:t>
            </w:r>
          </w:p>
        </w:tc>
      </w:tr>
      <w:tr w:rsidR="006A7014" w:rsidRPr="001B41AD" w14:paraId="35C9FB5A" w14:textId="77777777" w:rsidTr="006A7014">
        <w:trPr>
          <w:trHeight w:val="270"/>
          <w:jc w:val="center"/>
        </w:trPr>
        <w:tc>
          <w:tcPr>
            <w:tcW w:w="2168" w:type="pct"/>
            <w:noWrap/>
            <w:hideMark/>
          </w:tcPr>
          <w:p w14:paraId="768BB71D"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1.1.7 Доприноси за обавезно социјално осигурање</w:t>
            </w:r>
          </w:p>
        </w:tc>
        <w:tc>
          <w:tcPr>
            <w:tcW w:w="567" w:type="pct"/>
            <w:tcBorders>
              <w:top w:val="nil"/>
              <w:left w:val="nil"/>
              <w:bottom w:val="nil"/>
              <w:right w:val="nil"/>
            </w:tcBorders>
            <w:noWrap/>
          </w:tcPr>
          <w:p w14:paraId="68FCD622"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1.225,0</w:t>
            </w:r>
          </w:p>
        </w:tc>
        <w:tc>
          <w:tcPr>
            <w:tcW w:w="567" w:type="pct"/>
            <w:tcBorders>
              <w:top w:val="nil"/>
              <w:left w:val="nil"/>
              <w:bottom w:val="nil"/>
              <w:right w:val="nil"/>
            </w:tcBorders>
            <w:noWrap/>
          </w:tcPr>
          <w:p w14:paraId="46AFC74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1.372,2</w:t>
            </w:r>
          </w:p>
        </w:tc>
        <w:tc>
          <w:tcPr>
            <w:tcW w:w="567" w:type="pct"/>
            <w:tcBorders>
              <w:top w:val="nil"/>
              <w:left w:val="nil"/>
              <w:bottom w:val="nil"/>
              <w:right w:val="nil"/>
            </w:tcBorders>
            <w:noWrap/>
          </w:tcPr>
          <w:p w14:paraId="607C71A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1.509,4</w:t>
            </w:r>
          </w:p>
        </w:tc>
        <w:tc>
          <w:tcPr>
            <w:tcW w:w="567" w:type="pct"/>
            <w:tcBorders>
              <w:top w:val="nil"/>
              <w:left w:val="nil"/>
              <w:bottom w:val="nil"/>
              <w:right w:val="nil"/>
            </w:tcBorders>
          </w:tcPr>
          <w:p w14:paraId="212076AC"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1.651,7</w:t>
            </w:r>
          </w:p>
        </w:tc>
        <w:tc>
          <w:tcPr>
            <w:tcW w:w="564" w:type="pct"/>
            <w:tcBorders>
              <w:top w:val="nil"/>
              <w:left w:val="nil"/>
              <w:bottom w:val="nil"/>
              <w:right w:val="nil"/>
            </w:tcBorders>
          </w:tcPr>
          <w:p w14:paraId="75757302"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1.777,3</w:t>
            </w:r>
          </w:p>
        </w:tc>
      </w:tr>
      <w:tr w:rsidR="006A7014" w:rsidRPr="001B41AD" w14:paraId="06F5C383" w14:textId="77777777" w:rsidTr="006A7014">
        <w:trPr>
          <w:trHeight w:val="270"/>
          <w:jc w:val="center"/>
        </w:trPr>
        <w:tc>
          <w:tcPr>
            <w:tcW w:w="2168" w:type="pct"/>
            <w:noWrap/>
            <w:hideMark/>
          </w:tcPr>
          <w:p w14:paraId="20BC8DA1"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1.2 Непорески приходи</w:t>
            </w:r>
          </w:p>
        </w:tc>
        <w:tc>
          <w:tcPr>
            <w:tcW w:w="567" w:type="pct"/>
            <w:tcBorders>
              <w:top w:val="nil"/>
              <w:left w:val="nil"/>
              <w:bottom w:val="nil"/>
              <w:right w:val="nil"/>
            </w:tcBorders>
            <w:noWrap/>
          </w:tcPr>
          <w:p w14:paraId="7C921C79"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422,3</w:t>
            </w:r>
          </w:p>
        </w:tc>
        <w:tc>
          <w:tcPr>
            <w:tcW w:w="567" w:type="pct"/>
            <w:tcBorders>
              <w:top w:val="nil"/>
              <w:left w:val="nil"/>
              <w:bottom w:val="nil"/>
              <w:right w:val="nil"/>
            </w:tcBorders>
            <w:noWrap/>
          </w:tcPr>
          <w:p w14:paraId="0C5B36A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455,2</w:t>
            </w:r>
          </w:p>
        </w:tc>
        <w:tc>
          <w:tcPr>
            <w:tcW w:w="567" w:type="pct"/>
            <w:tcBorders>
              <w:top w:val="nil"/>
              <w:left w:val="nil"/>
              <w:bottom w:val="nil"/>
              <w:right w:val="nil"/>
            </w:tcBorders>
            <w:noWrap/>
          </w:tcPr>
          <w:p w14:paraId="224BB540"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459,4</w:t>
            </w:r>
          </w:p>
        </w:tc>
        <w:tc>
          <w:tcPr>
            <w:tcW w:w="567" w:type="pct"/>
            <w:tcBorders>
              <w:top w:val="nil"/>
              <w:left w:val="nil"/>
              <w:bottom w:val="nil"/>
              <w:right w:val="nil"/>
            </w:tcBorders>
          </w:tcPr>
          <w:p w14:paraId="4D752E44"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448,4</w:t>
            </w:r>
          </w:p>
        </w:tc>
        <w:tc>
          <w:tcPr>
            <w:tcW w:w="564" w:type="pct"/>
            <w:tcBorders>
              <w:top w:val="nil"/>
              <w:left w:val="nil"/>
              <w:bottom w:val="nil"/>
              <w:right w:val="nil"/>
            </w:tcBorders>
          </w:tcPr>
          <w:p w14:paraId="237CD4A0"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460,9</w:t>
            </w:r>
          </w:p>
        </w:tc>
      </w:tr>
      <w:tr w:rsidR="006A7014" w:rsidRPr="001B41AD" w14:paraId="4888B5A9" w14:textId="77777777" w:rsidTr="006A7014">
        <w:trPr>
          <w:trHeight w:val="270"/>
          <w:jc w:val="center"/>
        </w:trPr>
        <w:tc>
          <w:tcPr>
            <w:tcW w:w="2168" w:type="pct"/>
          </w:tcPr>
          <w:p w14:paraId="1D5A33B6"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2. Донације</w:t>
            </w:r>
          </w:p>
        </w:tc>
        <w:tc>
          <w:tcPr>
            <w:tcW w:w="567" w:type="pct"/>
            <w:tcBorders>
              <w:top w:val="nil"/>
              <w:left w:val="nil"/>
              <w:bottom w:val="nil"/>
              <w:right w:val="nil"/>
            </w:tcBorders>
            <w:noWrap/>
          </w:tcPr>
          <w:p w14:paraId="287E8CA8"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21,2</w:t>
            </w:r>
          </w:p>
        </w:tc>
        <w:tc>
          <w:tcPr>
            <w:tcW w:w="567" w:type="pct"/>
            <w:tcBorders>
              <w:top w:val="nil"/>
              <w:left w:val="nil"/>
              <w:bottom w:val="nil"/>
              <w:right w:val="nil"/>
            </w:tcBorders>
            <w:noWrap/>
          </w:tcPr>
          <w:p w14:paraId="19E6E412"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38,3</w:t>
            </w:r>
          </w:p>
        </w:tc>
        <w:tc>
          <w:tcPr>
            <w:tcW w:w="567" w:type="pct"/>
            <w:tcBorders>
              <w:top w:val="nil"/>
              <w:left w:val="nil"/>
              <w:bottom w:val="nil"/>
              <w:right w:val="nil"/>
            </w:tcBorders>
            <w:noWrap/>
          </w:tcPr>
          <w:p w14:paraId="49C8549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33,8</w:t>
            </w:r>
          </w:p>
        </w:tc>
        <w:tc>
          <w:tcPr>
            <w:tcW w:w="567" w:type="pct"/>
            <w:tcBorders>
              <w:top w:val="nil"/>
              <w:left w:val="nil"/>
              <w:bottom w:val="nil"/>
              <w:right w:val="nil"/>
            </w:tcBorders>
          </w:tcPr>
          <w:p w14:paraId="2562EF37"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34,7</w:t>
            </w:r>
          </w:p>
        </w:tc>
        <w:tc>
          <w:tcPr>
            <w:tcW w:w="564" w:type="pct"/>
            <w:tcBorders>
              <w:top w:val="nil"/>
              <w:left w:val="nil"/>
              <w:bottom w:val="nil"/>
              <w:right w:val="nil"/>
            </w:tcBorders>
          </w:tcPr>
          <w:p w14:paraId="5F7FE53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36,7</w:t>
            </w:r>
          </w:p>
        </w:tc>
      </w:tr>
      <w:tr w:rsidR="006A7014" w:rsidRPr="001B41AD" w14:paraId="596F0F66" w14:textId="77777777" w:rsidTr="006A7014">
        <w:trPr>
          <w:trHeight w:val="270"/>
          <w:jc w:val="center"/>
        </w:trPr>
        <w:tc>
          <w:tcPr>
            <w:tcW w:w="2168" w:type="pct"/>
            <w:shd w:val="clear" w:color="auto" w:fill="E7E6E6" w:themeFill="background2"/>
            <w:hideMark/>
          </w:tcPr>
          <w:p w14:paraId="3FADEFF5"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Јавни расходи (1 + 2 + 3 + 4)</w:t>
            </w:r>
          </w:p>
        </w:tc>
        <w:tc>
          <w:tcPr>
            <w:tcW w:w="567" w:type="pct"/>
            <w:tcBorders>
              <w:top w:val="nil"/>
              <w:left w:val="nil"/>
              <w:bottom w:val="nil"/>
              <w:right w:val="nil"/>
            </w:tcBorders>
            <w:shd w:val="clear" w:color="auto" w:fill="E7E6E6" w:themeFill="background2"/>
            <w:noWrap/>
          </w:tcPr>
          <w:p w14:paraId="0EDB627F"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4.132,8</w:t>
            </w:r>
          </w:p>
        </w:tc>
        <w:tc>
          <w:tcPr>
            <w:tcW w:w="567" w:type="pct"/>
            <w:tcBorders>
              <w:top w:val="nil"/>
              <w:left w:val="nil"/>
              <w:bottom w:val="nil"/>
              <w:right w:val="nil"/>
            </w:tcBorders>
            <w:shd w:val="clear" w:color="auto" w:fill="E7E6E6" w:themeFill="background2"/>
            <w:noWrap/>
          </w:tcPr>
          <w:p w14:paraId="115E6979"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4.558,2</w:t>
            </w:r>
          </w:p>
        </w:tc>
        <w:tc>
          <w:tcPr>
            <w:tcW w:w="567" w:type="pct"/>
            <w:tcBorders>
              <w:top w:val="nil"/>
              <w:left w:val="nil"/>
              <w:bottom w:val="nil"/>
              <w:right w:val="nil"/>
            </w:tcBorders>
            <w:shd w:val="clear" w:color="auto" w:fill="E7E6E6" w:themeFill="background2"/>
            <w:noWrap/>
          </w:tcPr>
          <w:p w14:paraId="6E00F76F"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4.871,4</w:t>
            </w:r>
          </w:p>
        </w:tc>
        <w:tc>
          <w:tcPr>
            <w:tcW w:w="567" w:type="pct"/>
            <w:tcBorders>
              <w:top w:val="nil"/>
              <w:left w:val="nil"/>
              <w:bottom w:val="nil"/>
              <w:right w:val="nil"/>
            </w:tcBorders>
            <w:shd w:val="clear" w:color="auto" w:fill="E7E6E6" w:themeFill="background2"/>
          </w:tcPr>
          <w:p w14:paraId="36214B2C"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5.192,6</w:t>
            </w:r>
          </w:p>
        </w:tc>
        <w:tc>
          <w:tcPr>
            <w:tcW w:w="564" w:type="pct"/>
            <w:tcBorders>
              <w:top w:val="nil"/>
              <w:left w:val="nil"/>
              <w:bottom w:val="nil"/>
              <w:right w:val="nil"/>
            </w:tcBorders>
            <w:shd w:val="clear" w:color="auto" w:fill="E7E6E6" w:themeFill="background2"/>
          </w:tcPr>
          <w:p w14:paraId="364D958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5.442,4</w:t>
            </w:r>
          </w:p>
        </w:tc>
      </w:tr>
      <w:tr w:rsidR="006A7014" w:rsidRPr="001B41AD" w14:paraId="045D59B9" w14:textId="77777777" w:rsidTr="006A7014">
        <w:trPr>
          <w:trHeight w:val="270"/>
          <w:jc w:val="center"/>
        </w:trPr>
        <w:tc>
          <w:tcPr>
            <w:tcW w:w="2168" w:type="pct"/>
            <w:noWrap/>
            <w:hideMark/>
          </w:tcPr>
          <w:p w14:paraId="14AE9958"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 Текући расходи (1.1 + ... + 1.6)</w:t>
            </w:r>
          </w:p>
        </w:tc>
        <w:tc>
          <w:tcPr>
            <w:tcW w:w="567" w:type="pct"/>
            <w:tcBorders>
              <w:top w:val="nil"/>
              <w:left w:val="nil"/>
              <w:bottom w:val="nil"/>
              <w:right w:val="nil"/>
            </w:tcBorders>
            <w:noWrap/>
          </w:tcPr>
          <w:p w14:paraId="093D7DE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3.379,3</w:t>
            </w:r>
          </w:p>
        </w:tc>
        <w:tc>
          <w:tcPr>
            <w:tcW w:w="567" w:type="pct"/>
            <w:tcBorders>
              <w:top w:val="nil"/>
              <w:left w:val="nil"/>
              <w:bottom w:val="nil"/>
              <w:right w:val="nil"/>
            </w:tcBorders>
            <w:noWrap/>
          </w:tcPr>
          <w:p w14:paraId="171455A6"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3.771,4</w:t>
            </w:r>
          </w:p>
        </w:tc>
        <w:tc>
          <w:tcPr>
            <w:tcW w:w="567" w:type="pct"/>
            <w:tcBorders>
              <w:top w:val="nil"/>
              <w:left w:val="nil"/>
              <w:bottom w:val="nil"/>
              <w:right w:val="nil"/>
            </w:tcBorders>
            <w:noWrap/>
          </w:tcPr>
          <w:p w14:paraId="02267A67"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4.098,9</w:t>
            </w:r>
          </w:p>
        </w:tc>
        <w:tc>
          <w:tcPr>
            <w:tcW w:w="567" w:type="pct"/>
            <w:tcBorders>
              <w:top w:val="nil"/>
              <w:left w:val="nil"/>
              <w:bottom w:val="nil"/>
              <w:right w:val="nil"/>
            </w:tcBorders>
          </w:tcPr>
          <w:p w14:paraId="193284A2"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4.385,7</w:t>
            </w:r>
          </w:p>
        </w:tc>
        <w:tc>
          <w:tcPr>
            <w:tcW w:w="564" w:type="pct"/>
            <w:tcBorders>
              <w:top w:val="nil"/>
              <w:left w:val="nil"/>
              <w:bottom w:val="nil"/>
              <w:right w:val="nil"/>
            </w:tcBorders>
          </w:tcPr>
          <w:p w14:paraId="4216EBB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4.624,0</w:t>
            </w:r>
          </w:p>
        </w:tc>
      </w:tr>
      <w:tr w:rsidR="006A7014" w:rsidRPr="001B41AD" w14:paraId="0DDA7BBA" w14:textId="77777777" w:rsidTr="006A7014">
        <w:trPr>
          <w:trHeight w:val="270"/>
          <w:jc w:val="center"/>
        </w:trPr>
        <w:tc>
          <w:tcPr>
            <w:tcW w:w="2168" w:type="pct"/>
            <w:noWrap/>
            <w:hideMark/>
          </w:tcPr>
          <w:p w14:paraId="0C47AEF4"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1.1 Расходи за запослене </w:t>
            </w:r>
          </w:p>
        </w:tc>
        <w:tc>
          <w:tcPr>
            <w:tcW w:w="567" w:type="pct"/>
            <w:tcBorders>
              <w:top w:val="nil"/>
              <w:left w:val="nil"/>
              <w:bottom w:val="nil"/>
              <w:right w:val="nil"/>
            </w:tcBorders>
          </w:tcPr>
          <w:p w14:paraId="350F8894"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907,2</w:t>
            </w:r>
          </w:p>
        </w:tc>
        <w:tc>
          <w:tcPr>
            <w:tcW w:w="567" w:type="pct"/>
            <w:tcBorders>
              <w:top w:val="nil"/>
              <w:left w:val="nil"/>
              <w:bottom w:val="nil"/>
              <w:right w:val="nil"/>
            </w:tcBorders>
          </w:tcPr>
          <w:p w14:paraId="2FF7699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1.030,0</w:t>
            </w:r>
          </w:p>
        </w:tc>
        <w:tc>
          <w:tcPr>
            <w:tcW w:w="567" w:type="pct"/>
            <w:tcBorders>
              <w:top w:val="nil"/>
              <w:left w:val="nil"/>
              <w:bottom w:val="nil"/>
              <w:right w:val="nil"/>
            </w:tcBorders>
          </w:tcPr>
          <w:p w14:paraId="419B6954"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1.128,5</w:t>
            </w:r>
          </w:p>
        </w:tc>
        <w:tc>
          <w:tcPr>
            <w:tcW w:w="567" w:type="pct"/>
            <w:tcBorders>
              <w:top w:val="nil"/>
              <w:left w:val="nil"/>
              <w:bottom w:val="nil"/>
              <w:right w:val="nil"/>
            </w:tcBorders>
          </w:tcPr>
          <w:p w14:paraId="0224855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1.221,5</w:t>
            </w:r>
          </w:p>
        </w:tc>
        <w:tc>
          <w:tcPr>
            <w:tcW w:w="564" w:type="pct"/>
            <w:tcBorders>
              <w:top w:val="nil"/>
              <w:left w:val="nil"/>
              <w:bottom w:val="nil"/>
              <w:right w:val="nil"/>
            </w:tcBorders>
          </w:tcPr>
          <w:p w14:paraId="4E1B7168"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1.309,8</w:t>
            </w:r>
          </w:p>
        </w:tc>
      </w:tr>
      <w:tr w:rsidR="006A7014" w:rsidRPr="001B41AD" w14:paraId="48441BFE" w14:textId="77777777" w:rsidTr="006A7014">
        <w:trPr>
          <w:trHeight w:val="270"/>
          <w:jc w:val="center"/>
        </w:trPr>
        <w:tc>
          <w:tcPr>
            <w:tcW w:w="2168" w:type="pct"/>
            <w:noWrap/>
            <w:hideMark/>
          </w:tcPr>
          <w:p w14:paraId="11C949FE"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1.2 Куповина роба и услуга </w:t>
            </w:r>
          </w:p>
        </w:tc>
        <w:tc>
          <w:tcPr>
            <w:tcW w:w="567" w:type="pct"/>
            <w:tcBorders>
              <w:top w:val="nil"/>
              <w:left w:val="nil"/>
              <w:bottom w:val="nil"/>
              <w:right w:val="nil"/>
            </w:tcBorders>
            <w:noWrap/>
          </w:tcPr>
          <w:p w14:paraId="72284A52"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676,1</w:t>
            </w:r>
          </w:p>
        </w:tc>
        <w:tc>
          <w:tcPr>
            <w:tcW w:w="567" w:type="pct"/>
            <w:tcBorders>
              <w:top w:val="nil"/>
              <w:left w:val="nil"/>
              <w:bottom w:val="nil"/>
              <w:right w:val="nil"/>
            </w:tcBorders>
            <w:noWrap/>
          </w:tcPr>
          <w:p w14:paraId="0EB81CB6"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773,4</w:t>
            </w:r>
          </w:p>
        </w:tc>
        <w:tc>
          <w:tcPr>
            <w:tcW w:w="567" w:type="pct"/>
            <w:tcBorders>
              <w:top w:val="nil"/>
              <w:left w:val="nil"/>
              <w:bottom w:val="nil"/>
              <w:right w:val="nil"/>
            </w:tcBorders>
            <w:noWrap/>
          </w:tcPr>
          <w:p w14:paraId="48321B67"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846,2</w:t>
            </w:r>
          </w:p>
        </w:tc>
        <w:tc>
          <w:tcPr>
            <w:tcW w:w="567" w:type="pct"/>
            <w:tcBorders>
              <w:top w:val="nil"/>
              <w:left w:val="nil"/>
              <w:bottom w:val="nil"/>
              <w:right w:val="nil"/>
            </w:tcBorders>
          </w:tcPr>
          <w:p w14:paraId="45521B7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898,0</w:t>
            </w:r>
          </w:p>
        </w:tc>
        <w:tc>
          <w:tcPr>
            <w:tcW w:w="564" w:type="pct"/>
            <w:tcBorders>
              <w:top w:val="nil"/>
              <w:left w:val="nil"/>
              <w:bottom w:val="nil"/>
              <w:right w:val="nil"/>
            </w:tcBorders>
          </w:tcPr>
          <w:p w14:paraId="79F50816"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944,5</w:t>
            </w:r>
          </w:p>
        </w:tc>
      </w:tr>
      <w:tr w:rsidR="006A7014" w:rsidRPr="001B41AD" w14:paraId="471E6415" w14:textId="77777777" w:rsidTr="006A7014">
        <w:trPr>
          <w:trHeight w:val="270"/>
          <w:jc w:val="center"/>
        </w:trPr>
        <w:tc>
          <w:tcPr>
            <w:tcW w:w="2168" w:type="pct"/>
            <w:noWrap/>
            <w:hideMark/>
          </w:tcPr>
          <w:p w14:paraId="77F2BD9B"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1.3 Отплата камата </w:t>
            </w:r>
          </w:p>
        </w:tc>
        <w:tc>
          <w:tcPr>
            <w:tcW w:w="567" w:type="pct"/>
            <w:tcBorders>
              <w:top w:val="nil"/>
              <w:left w:val="nil"/>
              <w:bottom w:val="nil"/>
              <w:right w:val="nil"/>
            </w:tcBorders>
            <w:noWrap/>
          </w:tcPr>
          <w:p w14:paraId="3660D77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180,5</w:t>
            </w:r>
          </w:p>
        </w:tc>
        <w:tc>
          <w:tcPr>
            <w:tcW w:w="567" w:type="pct"/>
            <w:tcBorders>
              <w:top w:val="nil"/>
              <w:left w:val="nil"/>
              <w:bottom w:val="nil"/>
              <w:right w:val="nil"/>
            </w:tcBorders>
            <w:noWrap/>
          </w:tcPr>
          <w:p w14:paraId="3C361F3C"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197,8</w:t>
            </w:r>
          </w:p>
        </w:tc>
        <w:tc>
          <w:tcPr>
            <w:tcW w:w="567" w:type="pct"/>
            <w:tcBorders>
              <w:top w:val="nil"/>
              <w:left w:val="nil"/>
              <w:bottom w:val="nil"/>
              <w:right w:val="nil"/>
            </w:tcBorders>
            <w:noWrap/>
          </w:tcPr>
          <w:p w14:paraId="03590D14"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215,0</w:t>
            </w:r>
          </w:p>
        </w:tc>
        <w:tc>
          <w:tcPr>
            <w:tcW w:w="567" w:type="pct"/>
            <w:tcBorders>
              <w:top w:val="nil"/>
              <w:left w:val="nil"/>
              <w:bottom w:val="nil"/>
              <w:right w:val="nil"/>
            </w:tcBorders>
          </w:tcPr>
          <w:p w14:paraId="0A57684C"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228,9</w:t>
            </w:r>
          </w:p>
        </w:tc>
        <w:tc>
          <w:tcPr>
            <w:tcW w:w="564" w:type="pct"/>
            <w:tcBorders>
              <w:top w:val="nil"/>
              <w:left w:val="nil"/>
              <w:bottom w:val="nil"/>
              <w:right w:val="nil"/>
            </w:tcBorders>
          </w:tcPr>
          <w:p w14:paraId="5648EFA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249,6</w:t>
            </w:r>
          </w:p>
        </w:tc>
      </w:tr>
      <w:tr w:rsidR="006A7014" w:rsidRPr="001B41AD" w14:paraId="7595B9E4" w14:textId="77777777" w:rsidTr="006A7014">
        <w:trPr>
          <w:trHeight w:val="270"/>
          <w:jc w:val="center"/>
        </w:trPr>
        <w:tc>
          <w:tcPr>
            <w:tcW w:w="2168" w:type="pct"/>
            <w:noWrap/>
            <w:hideMark/>
          </w:tcPr>
          <w:p w14:paraId="73F25CFB"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1.4 Субвенције</w:t>
            </w:r>
          </w:p>
        </w:tc>
        <w:tc>
          <w:tcPr>
            <w:tcW w:w="567" w:type="pct"/>
            <w:tcBorders>
              <w:top w:val="nil"/>
              <w:left w:val="nil"/>
              <w:bottom w:val="nil"/>
              <w:right w:val="nil"/>
            </w:tcBorders>
            <w:noWrap/>
          </w:tcPr>
          <w:p w14:paraId="33E603D8"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236,7</w:t>
            </w:r>
          </w:p>
        </w:tc>
        <w:tc>
          <w:tcPr>
            <w:tcW w:w="567" w:type="pct"/>
            <w:tcBorders>
              <w:top w:val="nil"/>
              <w:left w:val="nil"/>
              <w:bottom w:val="nil"/>
              <w:right w:val="nil"/>
            </w:tcBorders>
            <w:noWrap/>
          </w:tcPr>
          <w:p w14:paraId="1A2E3649"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245,4</w:t>
            </w:r>
          </w:p>
        </w:tc>
        <w:tc>
          <w:tcPr>
            <w:tcW w:w="567" w:type="pct"/>
            <w:tcBorders>
              <w:top w:val="nil"/>
              <w:left w:val="nil"/>
              <w:bottom w:val="nil"/>
              <w:right w:val="nil"/>
            </w:tcBorders>
            <w:noWrap/>
          </w:tcPr>
          <w:p w14:paraId="79E54690"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242,8</w:t>
            </w:r>
          </w:p>
        </w:tc>
        <w:tc>
          <w:tcPr>
            <w:tcW w:w="567" w:type="pct"/>
            <w:tcBorders>
              <w:top w:val="nil"/>
              <w:left w:val="nil"/>
              <w:bottom w:val="nil"/>
              <w:right w:val="nil"/>
            </w:tcBorders>
          </w:tcPr>
          <w:p w14:paraId="6BD0FD6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253,7</w:t>
            </w:r>
          </w:p>
        </w:tc>
        <w:tc>
          <w:tcPr>
            <w:tcW w:w="564" w:type="pct"/>
            <w:tcBorders>
              <w:top w:val="nil"/>
              <w:left w:val="nil"/>
              <w:bottom w:val="nil"/>
              <w:right w:val="nil"/>
            </w:tcBorders>
          </w:tcPr>
          <w:p w14:paraId="4B96DC7E"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264,7</w:t>
            </w:r>
          </w:p>
        </w:tc>
      </w:tr>
      <w:tr w:rsidR="006A7014" w:rsidRPr="001B41AD" w14:paraId="3D2DB769" w14:textId="77777777" w:rsidTr="006A7014">
        <w:trPr>
          <w:trHeight w:val="270"/>
          <w:jc w:val="center"/>
        </w:trPr>
        <w:tc>
          <w:tcPr>
            <w:tcW w:w="2168" w:type="pct"/>
            <w:noWrap/>
            <w:hideMark/>
          </w:tcPr>
          <w:p w14:paraId="0C096428"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1.5 Социјална помоћ и остали трансфери становништву</w:t>
            </w:r>
          </w:p>
        </w:tc>
        <w:tc>
          <w:tcPr>
            <w:tcW w:w="567" w:type="pct"/>
            <w:tcBorders>
              <w:top w:val="nil"/>
              <w:left w:val="nil"/>
              <w:bottom w:val="nil"/>
              <w:right w:val="nil"/>
            </w:tcBorders>
            <w:noWrap/>
          </w:tcPr>
          <w:p w14:paraId="5F53FD9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1.260,2</w:t>
            </w:r>
          </w:p>
        </w:tc>
        <w:tc>
          <w:tcPr>
            <w:tcW w:w="567" w:type="pct"/>
            <w:tcBorders>
              <w:top w:val="nil"/>
              <w:left w:val="nil"/>
              <w:bottom w:val="nil"/>
              <w:right w:val="nil"/>
            </w:tcBorders>
            <w:noWrap/>
          </w:tcPr>
          <w:p w14:paraId="34355AE2"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1.390,4</w:t>
            </w:r>
          </w:p>
        </w:tc>
        <w:tc>
          <w:tcPr>
            <w:tcW w:w="567" w:type="pct"/>
            <w:tcBorders>
              <w:top w:val="nil"/>
              <w:left w:val="nil"/>
              <w:bottom w:val="nil"/>
              <w:right w:val="nil"/>
            </w:tcBorders>
            <w:noWrap/>
          </w:tcPr>
          <w:p w14:paraId="7DEC6AB0"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1.537,9</w:t>
            </w:r>
          </w:p>
        </w:tc>
        <w:tc>
          <w:tcPr>
            <w:tcW w:w="567" w:type="pct"/>
            <w:tcBorders>
              <w:top w:val="nil"/>
              <w:left w:val="nil"/>
              <w:bottom w:val="nil"/>
              <w:right w:val="nil"/>
            </w:tcBorders>
          </w:tcPr>
          <w:p w14:paraId="71C5D2E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1.650,9</w:t>
            </w:r>
          </w:p>
        </w:tc>
        <w:tc>
          <w:tcPr>
            <w:tcW w:w="564" w:type="pct"/>
            <w:tcBorders>
              <w:top w:val="nil"/>
              <w:left w:val="nil"/>
              <w:bottom w:val="nil"/>
              <w:right w:val="nil"/>
            </w:tcBorders>
          </w:tcPr>
          <w:p w14:paraId="4D39CB01"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1.719,1</w:t>
            </w:r>
          </w:p>
        </w:tc>
      </w:tr>
      <w:tr w:rsidR="006A7014" w:rsidRPr="001B41AD" w14:paraId="5A9A128F" w14:textId="77777777" w:rsidTr="006A7014">
        <w:trPr>
          <w:trHeight w:val="270"/>
          <w:jc w:val="center"/>
        </w:trPr>
        <w:tc>
          <w:tcPr>
            <w:tcW w:w="2168" w:type="pct"/>
            <w:noWrap/>
          </w:tcPr>
          <w:p w14:paraId="1DE20D04" w14:textId="77777777" w:rsidR="006A7014" w:rsidRPr="001B41AD" w:rsidRDefault="006A7014" w:rsidP="00405489">
            <w:pPr>
              <w:jc w:val="left"/>
              <w:rPr>
                <w:rFonts w:eastAsia="Calibri" w:cstheme="minorHAnsi"/>
                <w:i/>
                <w:color w:val="002060"/>
                <w:sz w:val="18"/>
                <w:szCs w:val="18"/>
                <w:lang w:val="sr-Cyrl-CS"/>
              </w:rPr>
            </w:pPr>
            <w:r w:rsidRPr="001B41AD">
              <w:rPr>
                <w:rFonts w:eastAsia="Calibri" w:cstheme="minorHAnsi"/>
                <w:i/>
                <w:color w:val="002060"/>
                <w:sz w:val="18"/>
                <w:szCs w:val="18"/>
                <w:lang w:val="sr-Cyrl-CS"/>
              </w:rPr>
              <w:t>од чега пензије</w:t>
            </w:r>
          </w:p>
        </w:tc>
        <w:tc>
          <w:tcPr>
            <w:tcW w:w="567" w:type="pct"/>
            <w:tcBorders>
              <w:top w:val="nil"/>
              <w:left w:val="nil"/>
              <w:bottom w:val="nil"/>
              <w:right w:val="nil"/>
            </w:tcBorders>
            <w:noWrap/>
          </w:tcPr>
          <w:p w14:paraId="041A0C14" w14:textId="77777777" w:rsidR="006A7014" w:rsidRPr="001B41AD" w:rsidRDefault="006A7014" w:rsidP="00405489">
            <w:pPr>
              <w:jc w:val="right"/>
              <w:rPr>
                <w:rFonts w:eastAsia="Calibri" w:cstheme="minorHAnsi"/>
                <w:i/>
                <w:color w:val="002060"/>
                <w:sz w:val="18"/>
                <w:szCs w:val="18"/>
                <w:lang w:val="sr-Cyrl-CS"/>
              </w:rPr>
            </w:pPr>
            <w:r w:rsidRPr="001B41AD">
              <w:rPr>
                <w:rFonts w:eastAsia="Calibri" w:cstheme="minorHAnsi"/>
                <w:i/>
                <w:color w:val="002060"/>
                <w:sz w:val="18"/>
                <w:szCs w:val="18"/>
                <w:lang w:val="sr-Cyrl-CS"/>
              </w:rPr>
              <w:t>929,6</w:t>
            </w:r>
          </w:p>
        </w:tc>
        <w:tc>
          <w:tcPr>
            <w:tcW w:w="567" w:type="pct"/>
            <w:tcBorders>
              <w:top w:val="nil"/>
              <w:left w:val="nil"/>
              <w:bottom w:val="nil"/>
              <w:right w:val="nil"/>
            </w:tcBorders>
            <w:noWrap/>
          </w:tcPr>
          <w:p w14:paraId="764E0286" w14:textId="77777777" w:rsidR="006A7014" w:rsidRPr="001B41AD" w:rsidRDefault="006A7014" w:rsidP="00405489">
            <w:pPr>
              <w:jc w:val="right"/>
              <w:rPr>
                <w:rFonts w:eastAsia="Calibri" w:cstheme="minorHAnsi"/>
                <w:i/>
                <w:color w:val="002060"/>
                <w:sz w:val="18"/>
                <w:szCs w:val="18"/>
                <w:lang w:val="sr-Cyrl-CS"/>
              </w:rPr>
            </w:pPr>
            <w:r w:rsidRPr="001B41AD">
              <w:rPr>
                <w:rFonts w:eastAsia="Calibri" w:cstheme="minorHAnsi"/>
                <w:i/>
                <w:color w:val="002060"/>
                <w:sz w:val="18"/>
                <w:szCs w:val="18"/>
                <w:lang w:val="sr-Cyrl-CS"/>
              </w:rPr>
              <w:t>1.044,9</w:t>
            </w:r>
          </w:p>
        </w:tc>
        <w:tc>
          <w:tcPr>
            <w:tcW w:w="567" w:type="pct"/>
            <w:tcBorders>
              <w:top w:val="nil"/>
              <w:left w:val="nil"/>
              <w:bottom w:val="nil"/>
              <w:right w:val="nil"/>
            </w:tcBorders>
            <w:noWrap/>
          </w:tcPr>
          <w:p w14:paraId="29C3D5C7" w14:textId="77777777" w:rsidR="006A7014" w:rsidRPr="001B41AD" w:rsidRDefault="006A7014" w:rsidP="00405489">
            <w:pPr>
              <w:jc w:val="right"/>
              <w:rPr>
                <w:rFonts w:eastAsia="Calibri" w:cstheme="minorHAnsi"/>
                <w:i/>
                <w:color w:val="002060"/>
                <w:sz w:val="18"/>
                <w:szCs w:val="18"/>
                <w:lang w:val="sr-Cyrl-CS"/>
              </w:rPr>
            </w:pPr>
            <w:r w:rsidRPr="001B41AD">
              <w:rPr>
                <w:rFonts w:eastAsia="Calibri" w:cstheme="minorHAnsi"/>
                <w:i/>
                <w:color w:val="002060"/>
                <w:sz w:val="18"/>
                <w:szCs w:val="18"/>
                <w:lang w:val="sr-Cyrl-CS"/>
              </w:rPr>
              <w:t>1.172,7</w:t>
            </w:r>
          </w:p>
        </w:tc>
        <w:tc>
          <w:tcPr>
            <w:tcW w:w="567" w:type="pct"/>
            <w:tcBorders>
              <w:top w:val="nil"/>
              <w:left w:val="nil"/>
              <w:bottom w:val="nil"/>
              <w:right w:val="nil"/>
            </w:tcBorders>
          </w:tcPr>
          <w:p w14:paraId="58ECF9F3" w14:textId="77777777" w:rsidR="006A7014" w:rsidRPr="001B41AD" w:rsidRDefault="006A7014" w:rsidP="00405489">
            <w:pPr>
              <w:jc w:val="right"/>
              <w:rPr>
                <w:rFonts w:eastAsia="Calibri" w:cstheme="minorHAnsi"/>
                <w:i/>
                <w:color w:val="002060"/>
                <w:sz w:val="18"/>
                <w:szCs w:val="18"/>
                <w:lang w:val="sr-Cyrl-CS"/>
              </w:rPr>
            </w:pPr>
            <w:r w:rsidRPr="001B41AD">
              <w:rPr>
                <w:rFonts w:eastAsia="Calibri" w:cstheme="minorHAnsi"/>
                <w:i/>
                <w:color w:val="002060"/>
                <w:sz w:val="18"/>
                <w:szCs w:val="18"/>
                <w:lang w:val="sr-Cyrl-CS"/>
              </w:rPr>
              <w:t>1.260,3</w:t>
            </w:r>
          </w:p>
        </w:tc>
        <w:tc>
          <w:tcPr>
            <w:tcW w:w="564" w:type="pct"/>
            <w:tcBorders>
              <w:top w:val="nil"/>
              <w:left w:val="nil"/>
              <w:bottom w:val="nil"/>
              <w:right w:val="nil"/>
            </w:tcBorders>
          </w:tcPr>
          <w:p w14:paraId="163DC422" w14:textId="77777777" w:rsidR="006A7014" w:rsidRPr="001B41AD" w:rsidRDefault="006A7014" w:rsidP="00405489">
            <w:pPr>
              <w:jc w:val="right"/>
              <w:rPr>
                <w:rFonts w:eastAsia="Calibri" w:cstheme="minorHAnsi"/>
                <w:i/>
                <w:color w:val="002060"/>
                <w:sz w:val="18"/>
                <w:szCs w:val="18"/>
                <w:lang w:val="sr-Cyrl-CS"/>
              </w:rPr>
            </w:pPr>
            <w:r w:rsidRPr="001B41AD">
              <w:rPr>
                <w:rFonts w:eastAsia="Calibri" w:cstheme="minorHAnsi"/>
                <w:i/>
                <w:color w:val="002060"/>
                <w:sz w:val="18"/>
                <w:szCs w:val="18"/>
                <w:lang w:val="sr-Cyrl-CS"/>
              </w:rPr>
              <w:t>1.306,8</w:t>
            </w:r>
          </w:p>
        </w:tc>
      </w:tr>
      <w:tr w:rsidR="006A7014" w:rsidRPr="001B41AD" w14:paraId="6819DE76" w14:textId="77777777" w:rsidTr="006A7014">
        <w:trPr>
          <w:trHeight w:val="270"/>
          <w:jc w:val="center"/>
        </w:trPr>
        <w:tc>
          <w:tcPr>
            <w:tcW w:w="2168" w:type="pct"/>
            <w:noWrap/>
            <w:hideMark/>
          </w:tcPr>
          <w:p w14:paraId="63C6D95B"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 xml:space="preserve">  1.6 Остали текући расходи</w:t>
            </w:r>
          </w:p>
        </w:tc>
        <w:tc>
          <w:tcPr>
            <w:tcW w:w="567" w:type="pct"/>
            <w:tcBorders>
              <w:top w:val="nil"/>
              <w:left w:val="nil"/>
              <w:bottom w:val="nil"/>
              <w:right w:val="nil"/>
            </w:tcBorders>
          </w:tcPr>
          <w:p w14:paraId="5E8D56FE"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118,6</w:t>
            </w:r>
          </w:p>
        </w:tc>
        <w:tc>
          <w:tcPr>
            <w:tcW w:w="567" w:type="pct"/>
            <w:tcBorders>
              <w:top w:val="nil"/>
              <w:left w:val="nil"/>
              <w:bottom w:val="nil"/>
              <w:right w:val="nil"/>
            </w:tcBorders>
          </w:tcPr>
          <w:p w14:paraId="6F4F2D6E"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134,4</w:t>
            </w:r>
          </w:p>
        </w:tc>
        <w:tc>
          <w:tcPr>
            <w:tcW w:w="567" w:type="pct"/>
            <w:tcBorders>
              <w:top w:val="nil"/>
              <w:left w:val="nil"/>
              <w:bottom w:val="nil"/>
              <w:right w:val="nil"/>
            </w:tcBorders>
          </w:tcPr>
          <w:p w14:paraId="4B8EC906"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128,5</w:t>
            </w:r>
          </w:p>
        </w:tc>
        <w:tc>
          <w:tcPr>
            <w:tcW w:w="567" w:type="pct"/>
            <w:tcBorders>
              <w:top w:val="nil"/>
              <w:left w:val="nil"/>
              <w:bottom w:val="nil"/>
              <w:right w:val="nil"/>
            </w:tcBorders>
          </w:tcPr>
          <w:p w14:paraId="3FC2D2F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132,6</w:t>
            </w:r>
          </w:p>
        </w:tc>
        <w:tc>
          <w:tcPr>
            <w:tcW w:w="564" w:type="pct"/>
            <w:tcBorders>
              <w:top w:val="nil"/>
              <w:left w:val="nil"/>
              <w:bottom w:val="nil"/>
              <w:right w:val="nil"/>
            </w:tcBorders>
          </w:tcPr>
          <w:p w14:paraId="3023CA6F"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136,3</w:t>
            </w:r>
          </w:p>
        </w:tc>
      </w:tr>
      <w:tr w:rsidR="006A7014" w:rsidRPr="001B41AD" w14:paraId="5ADD108B" w14:textId="77777777" w:rsidTr="006A7014">
        <w:trPr>
          <w:trHeight w:val="270"/>
          <w:jc w:val="center"/>
        </w:trPr>
        <w:tc>
          <w:tcPr>
            <w:tcW w:w="2168" w:type="pct"/>
            <w:noWrap/>
            <w:hideMark/>
          </w:tcPr>
          <w:p w14:paraId="4378426A"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2. Капитални расходи</w:t>
            </w:r>
          </w:p>
        </w:tc>
        <w:tc>
          <w:tcPr>
            <w:tcW w:w="567" w:type="pct"/>
            <w:tcBorders>
              <w:top w:val="nil"/>
              <w:left w:val="nil"/>
              <w:bottom w:val="nil"/>
              <w:right w:val="nil"/>
            </w:tcBorders>
            <w:noWrap/>
          </w:tcPr>
          <w:p w14:paraId="7798A569"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704,6</w:t>
            </w:r>
          </w:p>
        </w:tc>
        <w:tc>
          <w:tcPr>
            <w:tcW w:w="567" w:type="pct"/>
            <w:tcBorders>
              <w:top w:val="nil"/>
              <w:left w:val="nil"/>
              <w:bottom w:val="nil"/>
              <w:right w:val="nil"/>
            </w:tcBorders>
            <w:noWrap/>
          </w:tcPr>
          <w:p w14:paraId="360EA33C"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739,8</w:t>
            </w:r>
          </w:p>
        </w:tc>
        <w:tc>
          <w:tcPr>
            <w:tcW w:w="567" w:type="pct"/>
            <w:tcBorders>
              <w:top w:val="nil"/>
              <w:left w:val="nil"/>
              <w:bottom w:val="nil"/>
              <w:right w:val="nil"/>
            </w:tcBorders>
            <w:noWrap/>
          </w:tcPr>
          <w:p w14:paraId="6A98F276"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737,4</w:t>
            </w:r>
          </w:p>
        </w:tc>
        <w:tc>
          <w:tcPr>
            <w:tcW w:w="567" w:type="pct"/>
            <w:tcBorders>
              <w:top w:val="nil"/>
              <w:left w:val="nil"/>
              <w:bottom w:val="nil"/>
              <w:right w:val="nil"/>
            </w:tcBorders>
          </w:tcPr>
          <w:p w14:paraId="089A8584"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773,0</w:t>
            </w:r>
          </w:p>
        </w:tc>
        <w:tc>
          <w:tcPr>
            <w:tcW w:w="564" w:type="pct"/>
            <w:tcBorders>
              <w:top w:val="nil"/>
              <w:left w:val="nil"/>
              <w:bottom w:val="nil"/>
              <w:right w:val="nil"/>
            </w:tcBorders>
          </w:tcPr>
          <w:p w14:paraId="2B00DAF7"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784,1</w:t>
            </w:r>
          </w:p>
        </w:tc>
      </w:tr>
      <w:tr w:rsidR="006A7014" w:rsidRPr="001B41AD" w14:paraId="113A54D3" w14:textId="77777777" w:rsidTr="006A7014">
        <w:trPr>
          <w:trHeight w:val="270"/>
          <w:jc w:val="center"/>
        </w:trPr>
        <w:tc>
          <w:tcPr>
            <w:tcW w:w="2168" w:type="pct"/>
            <w:noWrap/>
            <w:hideMark/>
          </w:tcPr>
          <w:p w14:paraId="6DD08407"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3. Нето буџетске позајмице</w:t>
            </w:r>
          </w:p>
        </w:tc>
        <w:tc>
          <w:tcPr>
            <w:tcW w:w="567" w:type="pct"/>
            <w:tcBorders>
              <w:top w:val="nil"/>
              <w:left w:val="nil"/>
              <w:bottom w:val="nil"/>
              <w:right w:val="nil"/>
            </w:tcBorders>
            <w:noWrap/>
          </w:tcPr>
          <w:p w14:paraId="7365F115"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20,9</w:t>
            </w:r>
          </w:p>
        </w:tc>
        <w:tc>
          <w:tcPr>
            <w:tcW w:w="567" w:type="pct"/>
            <w:tcBorders>
              <w:top w:val="nil"/>
              <w:left w:val="nil"/>
              <w:bottom w:val="nil"/>
              <w:right w:val="nil"/>
            </w:tcBorders>
            <w:noWrap/>
          </w:tcPr>
          <w:p w14:paraId="28DEAC3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24,8</w:t>
            </w:r>
          </w:p>
        </w:tc>
        <w:tc>
          <w:tcPr>
            <w:tcW w:w="567" w:type="pct"/>
            <w:tcBorders>
              <w:top w:val="nil"/>
              <w:left w:val="nil"/>
              <w:bottom w:val="nil"/>
              <w:right w:val="nil"/>
            </w:tcBorders>
            <w:noWrap/>
          </w:tcPr>
          <w:p w14:paraId="0182728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11,5</w:t>
            </w:r>
          </w:p>
        </w:tc>
        <w:tc>
          <w:tcPr>
            <w:tcW w:w="567" w:type="pct"/>
            <w:tcBorders>
              <w:top w:val="nil"/>
              <w:left w:val="nil"/>
              <w:bottom w:val="nil"/>
              <w:right w:val="nil"/>
            </w:tcBorders>
          </w:tcPr>
          <w:p w14:paraId="046FB09C"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11,9</w:t>
            </w:r>
          </w:p>
        </w:tc>
        <w:tc>
          <w:tcPr>
            <w:tcW w:w="564" w:type="pct"/>
            <w:tcBorders>
              <w:top w:val="nil"/>
              <w:left w:val="nil"/>
              <w:bottom w:val="nil"/>
              <w:right w:val="nil"/>
            </w:tcBorders>
          </w:tcPr>
          <w:p w14:paraId="4BD6F9CF"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12,3</w:t>
            </w:r>
          </w:p>
        </w:tc>
      </w:tr>
      <w:tr w:rsidR="006A7014" w:rsidRPr="001B41AD" w14:paraId="40924129" w14:textId="77777777" w:rsidTr="006A7014">
        <w:trPr>
          <w:trHeight w:val="270"/>
          <w:jc w:val="center"/>
        </w:trPr>
        <w:tc>
          <w:tcPr>
            <w:tcW w:w="2168" w:type="pct"/>
            <w:tcBorders>
              <w:bottom w:val="single" w:sz="4" w:space="0" w:color="002060"/>
            </w:tcBorders>
            <w:noWrap/>
            <w:hideMark/>
          </w:tcPr>
          <w:p w14:paraId="05D4D5FB"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4. Активиране гаранције</w:t>
            </w:r>
          </w:p>
        </w:tc>
        <w:tc>
          <w:tcPr>
            <w:tcW w:w="567" w:type="pct"/>
            <w:tcBorders>
              <w:top w:val="nil"/>
              <w:left w:val="nil"/>
              <w:bottom w:val="single" w:sz="4" w:space="0" w:color="002060"/>
              <w:right w:val="nil"/>
            </w:tcBorders>
            <w:noWrap/>
          </w:tcPr>
          <w:p w14:paraId="5121C1E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27,9</w:t>
            </w:r>
          </w:p>
        </w:tc>
        <w:tc>
          <w:tcPr>
            <w:tcW w:w="567" w:type="pct"/>
            <w:tcBorders>
              <w:top w:val="nil"/>
              <w:left w:val="nil"/>
              <w:bottom w:val="single" w:sz="4" w:space="0" w:color="002060"/>
              <w:right w:val="nil"/>
            </w:tcBorders>
            <w:noWrap/>
          </w:tcPr>
          <w:p w14:paraId="17193601"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22,1</w:t>
            </w:r>
          </w:p>
        </w:tc>
        <w:tc>
          <w:tcPr>
            <w:tcW w:w="567" w:type="pct"/>
            <w:tcBorders>
              <w:top w:val="nil"/>
              <w:left w:val="nil"/>
              <w:bottom w:val="single" w:sz="4" w:space="0" w:color="002060"/>
              <w:right w:val="nil"/>
            </w:tcBorders>
            <w:noWrap/>
          </w:tcPr>
          <w:p w14:paraId="3D3991D7"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23,7</w:t>
            </w:r>
          </w:p>
        </w:tc>
        <w:tc>
          <w:tcPr>
            <w:tcW w:w="567" w:type="pct"/>
            <w:tcBorders>
              <w:top w:val="nil"/>
              <w:left w:val="nil"/>
              <w:bottom w:val="single" w:sz="4" w:space="0" w:color="002060"/>
              <w:right w:val="nil"/>
            </w:tcBorders>
          </w:tcPr>
          <w:p w14:paraId="649CB7E6"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22,1</w:t>
            </w:r>
          </w:p>
        </w:tc>
        <w:tc>
          <w:tcPr>
            <w:tcW w:w="564" w:type="pct"/>
            <w:tcBorders>
              <w:top w:val="nil"/>
              <w:left w:val="nil"/>
              <w:bottom w:val="single" w:sz="4" w:space="0" w:color="002060"/>
              <w:right w:val="nil"/>
            </w:tcBorders>
          </w:tcPr>
          <w:p w14:paraId="6B47E7BD"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22,1</w:t>
            </w:r>
          </w:p>
        </w:tc>
      </w:tr>
      <w:tr w:rsidR="006A7014" w:rsidRPr="001B41AD" w14:paraId="7F993C81" w14:textId="77777777" w:rsidTr="006A7014">
        <w:trPr>
          <w:trHeight w:val="270"/>
          <w:jc w:val="center"/>
        </w:trPr>
        <w:tc>
          <w:tcPr>
            <w:tcW w:w="2168" w:type="pct"/>
            <w:tcBorders>
              <w:top w:val="single" w:sz="4" w:space="0" w:color="002060"/>
              <w:bottom w:val="single" w:sz="4" w:space="0" w:color="002060"/>
            </w:tcBorders>
            <w:shd w:val="clear" w:color="auto" w:fill="E7E6E6" w:themeFill="background2"/>
            <w:noWrap/>
            <w:hideMark/>
          </w:tcPr>
          <w:p w14:paraId="45DA9357" w14:textId="77777777" w:rsidR="006A7014" w:rsidRPr="001B41AD" w:rsidRDefault="006A7014" w:rsidP="00405489">
            <w:pPr>
              <w:jc w:val="left"/>
              <w:rPr>
                <w:rFonts w:eastAsia="Calibri" w:cstheme="minorHAnsi"/>
                <w:color w:val="002060"/>
                <w:sz w:val="18"/>
                <w:szCs w:val="18"/>
                <w:lang w:val="sr-Cyrl-CS"/>
              </w:rPr>
            </w:pPr>
            <w:r w:rsidRPr="001B41AD">
              <w:rPr>
                <w:rFonts w:eastAsia="Calibri" w:cstheme="minorHAnsi"/>
                <w:color w:val="002060"/>
                <w:sz w:val="18"/>
                <w:szCs w:val="18"/>
                <w:lang w:val="sr-Cyrl-CS"/>
              </w:rPr>
              <w:t>Консолидовани фискални резултат</w:t>
            </w:r>
          </w:p>
        </w:tc>
        <w:tc>
          <w:tcPr>
            <w:tcW w:w="567" w:type="pct"/>
            <w:tcBorders>
              <w:top w:val="single" w:sz="4" w:space="0" w:color="002060"/>
              <w:left w:val="nil"/>
              <w:bottom w:val="single" w:sz="4" w:space="0" w:color="002060"/>
              <w:right w:val="nil"/>
            </w:tcBorders>
            <w:shd w:val="clear" w:color="auto" w:fill="E7E6E6" w:themeFill="background2"/>
            <w:noWrap/>
          </w:tcPr>
          <w:p w14:paraId="6D535B7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-191,9</w:t>
            </w:r>
          </w:p>
        </w:tc>
        <w:tc>
          <w:tcPr>
            <w:tcW w:w="567" w:type="pct"/>
            <w:tcBorders>
              <w:top w:val="single" w:sz="4" w:space="0" w:color="002060"/>
              <w:left w:val="nil"/>
              <w:bottom w:val="single" w:sz="4" w:space="0" w:color="002060"/>
              <w:right w:val="nil"/>
            </w:tcBorders>
            <w:shd w:val="clear" w:color="auto" w:fill="E7E6E6" w:themeFill="background2"/>
            <w:noWrap/>
          </w:tcPr>
          <w:p w14:paraId="31E84BB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-313,9</w:t>
            </w:r>
          </w:p>
        </w:tc>
        <w:tc>
          <w:tcPr>
            <w:tcW w:w="567" w:type="pct"/>
            <w:tcBorders>
              <w:top w:val="single" w:sz="4" w:space="0" w:color="002060"/>
              <w:left w:val="nil"/>
              <w:bottom w:val="single" w:sz="4" w:space="0" w:color="002060"/>
              <w:right w:val="nil"/>
            </w:tcBorders>
            <w:shd w:val="clear" w:color="auto" w:fill="E7E6E6" w:themeFill="background2"/>
            <w:noWrap/>
          </w:tcPr>
          <w:p w14:paraId="37AE0FA3"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-337,0</w:t>
            </w:r>
          </w:p>
        </w:tc>
        <w:tc>
          <w:tcPr>
            <w:tcW w:w="567" w:type="pct"/>
            <w:tcBorders>
              <w:top w:val="single" w:sz="4" w:space="0" w:color="002060"/>
              <w:left w:val="nil"/>
              <w:bottom w:val="single" w:sz="4" w:space="0" w:color="002060"/>
              <w:right w:val="nil"/>
            </w:tcBorders>
            <w:shd w:val="clear" w:color="auto" w:fill="E7E6E6" w:themeFill="background2"/>
          </w:tcPr>
          <w:p w14:paraId="2B9ABDBA"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-366,0</w:t>
            </w:r>
          </w:p>
        </w:tc>
        <w:tc>
          <w:tcPr>
            <w:tcW w:w="564" w:type="pct"/>
            <w:tcBorders>
              <w:top w:val="single" w:sz="4" w:space="0" w:color="002060"/>
              <w:left w:val="nil"/>
              <w:bottom w:val="single" w:sz="4" w:space="0" w:color="002060"/>
              <w:right w:val="nil"/>
            </w:tcBorders>
            <w:shd w:val="clear" w:color="auto" w:fill="E7E6E6" w:themeFill="background2"/>
          </w:tcPr>
          <w:p w14:paraId="6A6D566B" w14:textId="77777777" w:rsidR="006A7014" w:rsidRPr="001B41AD" w:rsidRDefault="006A7014" w:rsidP="00405489">
            <w:pPr>
              <w:jc w:val="right"/>
              <w:rPr>
                <w:rFonts w:eastAsia="Calibri" w:cstheme="minorHAnsi"/>
                <w:color w:val="002060"/>
                <w:sz w:val="18"/>
                <w:szCs w:val="18"/>
                <w:lang w:val="sr-Cyrl-CS"/>
              </w:rPr>
            </w:pPr>
            <w:r w:rsidRPr="001B41AD">
              <w:rPr>
                <w:rFonts w:eastAsia="Calibri" w:cstheme="minorHAnsi"/>
                <w:color w:val="002060"/>
                <w:sz w:val="18"/>
                <w:szCs w:val="18"/>
                <w:lang w:val="sr-Cyrl-CS"/>
              </w:rPr>
              <w:t>-322,0</w:t>
            </w:r>
          </w:p>
        </w:tc>
      </w:tr>
    </w:tbl>
    <w:p w14:paraId="34B327CF" w14:textId="77777777" w:rsidR="006A7014" w:rsidRPr="001B41AD" w:rsidRDefault="006A7014" w:rsidP="00B63247">
      <w:pPr>
        <w:rPr>
          <w:lang w:val="sr-Cyrl-CS"/>
        </w:rPr>
        <w:sectPr w:rsidR="006A7014" w:rsidRPr="001B41AD" w:rsidSect="006A7014">
          <w:type w:val="continuous"/>
          <w:pgSz w:w="15840" w:h="12240" w:orient="landscape" w:code="1"/>
          <w:pgMar w:top="1440" w:right="0" w:bottom="1440" w:left="0" w:header="720" w:footer="720" w:gutter="0"/>
          <w:cols w:space="720"/>
          <w:docGrid w:linePitch="360"/>
        </w:sectPr>
      </w:pPr>
    </w:p>
    <w:p w14:paraId="580B0F48" w14:textId="77777777" w:rsidR="00B63247" w:rsidRPr="001B41AD" w:rsidRDefault="00B63247" w:rsidP="00B63247">
      <w:pPr>
        <w:rPr>
          <w:lang w:val="sr-Cyrl-CS"/>
        </w:rPr>
      </w:pPr>
    </w:p>
    <w:p w14:paraId="3B562A41" w14:textId="77777777" w:rsidR="00B63247" w:rsidRPr="001B41AD" w:rsidRDefault="00B63247" w:rsidP="00B63247">
      <w:pPr>
        <w:rPr>
          <w:lang w:val="sr-Cyrl-CS"/>
        </w:rPr>
      </w:pPr>
    </w:p>
    <w:p w14:paraId="739FC512" w14:textId="77777777" w:rsidR="00027AE9" w:rsidRPr="001B41AD" w:rsidRDefault="00BD4B78" w:rsidP="005D7F7D">
      <w:pPr>
        <w:pStyle w:val="Heading1"/>
        <w:ind w:left="720"/>
        <w:rPr>
          <w:rFonts w:asciiTheme="minorHAnsi" w:hAnsiTheme="minorHAnsi" w:cstheme="minorHAnsi"/>
          <w:lang w:val="sr-Cyrl-CS"/>
        </w:rPr>
      </w:pPr>
      <w:r w:rsidRPr="001B41AD">
        <w:rPr>
          <w:lang w:val="sr-Cyrl-CS"/>
        </w:rPr>
        <w:br w:type="page"/>
      </w:r>
      <w:bookmarkStart w:id="85" w:name="_Toc212642480"/>
      <w:r w:rsidR="00027AE9" w:rsidRPr="001B41AD">
        <w:rPr>
          <w:rFonts w:asciiTheme="minorHAnsi" w:hAnsiTheme="minorHAnsi" w:cstheme="minorHAnsi"/>
          <w:color w:val="002060"/>
          <w:sz w:val="24"/>
          <w:lang w:val="sr-Cyrl-CS"/>
        </w:rPr>
        <w:lastRenderedPageBreak/>
        <w:t>Прилог 4 – Преглед инвестиционих пројеката у републичком буџету (издаци за нефинансијску имовину изнад 20 милиона евра)</w:t>
      </w:r>
      <w:bookmarkEnd w:id="85"/>
    </w:p>
    <w:p w14:paraId="53582BFD" w14:textId="2F9016DD" w:rsidR="00027AE9" w:rsidRPr="001B41AD" w:rsidRDefault="00027AE9" w:rsidP="00B63247">
      <w:pPr>
        <w:rPr>
          <w:lang w:val="sr-Cyrl-CS"/>
        </w:rPr>
      </w:pPr>
    </w:p>
    <w:tbl>
      <w:tblPr>
        <w:tblW w:w="14832" w:type="dxa"/>
        <w:jc w:val="center"/>
        <w:tblBorders>
          <w:insideH w:val="single" w:sz="4" w:space="0" w:color="auto"/>
          <w:insideV w:val="single" w:sz="4" w:space="0" w:color="auto"/>
        </w:tblBorders>
        <w:tblLook w:val="04A0" w:firstRow="1" w:lastRow="0" w:firstColumn="1" w:lastColumn="0" w:noHBand="0" w:noVBand="1"/>
      </w:tblPr>
      <w:tblGrid>
        <w:gridCol w:w="540"/>
        <w:gridCol w:w="982"/>
        <w:gridCol w:w="2850"/>
        <w:gridCol w:w="1680"/>
        <w:gridCol w:w="1680"/>
        <w:gridCol w:w="1680"/>
        <w:gridCol w:w="1660"/>
        <w:gridCol w:w="1660"/>
        <w:gridCol w:w="2100"/>
      </w:tblGrid>
      <w:tr w:rsidR="009C1585" w:rsidRPr="001B41AD" w14:paraId="492430D1" w14:textId="77777777" w:rsidTr="00147C90">
        <w:trPr>
          <w:trHeight w:val="20"/>
          <w:tblHeader/>
          <w:jc w:val="center"/>
        </w:trPr>
        <w:tc>
          <w:tcPr>
            <w:tcW w:w="540" w:type="dxa"/>
            <w:shd w:val="clear" w:color="000000" w:fill="DDEBF7"/>
            <w:vAlign w:val="center"/>
            <w:hideMark/>
          </w:tcPr>
          <w:p w14:paraId="64F9D2AA" w14:textId="77777777" w:rsidR="009C1585" w:rsidRPr="001B41AD" w:rsidRDefault="009C1585" w:rsidP="009C1585">
            <w:pPr>
              <w:spacing w:after="0" w:line="240" w:lineRule="auto"/>
              <w:jc w:val="center"/>
              <w:rPr>
                <w:rFonts w:ascii="Calibri" w:eastAsia="Times New Roman" w:hAnsi="Calibri" w:cs="Calibri"/>
                <w:b/>
                <w:bCs/>
                <w:i/>
                <w:iCs/>
                <w:color w:val="000000"/>
                <w:sz w:val="18"/>
                <w:szCs w:val="18"/>
                <w:lang w:val="sr-Cyrl-CS"/>
              </w:rPr>
            </w:pPr>
            <w:r w:rsidRPr="001B41AD">
              <w:rPr>
                <w:rFonts w:ascii="Calibri" w:eastAsia="Times New Roman" w:hAnsi="Calibri" w:cs="Calibri"/>
                <w:b/>
                <w:bCs/>
                <w:i/>
                <w:iCs/>
                <w:color w:val="000000"/>
                <w:sz w:val="18"/>
                <w:szCs w:val="18"/>
                <w:lang w:val="sr-Cyrl-CS"/>
              </w:rPr>
              <w:t>Р. Бр.</w:t>
            </w:r>
          </w:p>
        </w:tc>
        <w:tc>
          <w:tcPr>
            <w:tcW w:w="1020" w:type="dxa"/>
            <w:shd w:val="clear" w:color="000000" w:fill="DDEBF7"/>
            <w:vAlign w:val="center"/>
            <w:hideMark/>
          </w:tcPr>
          <w:p w14:paraId="5F13B366" w14:textId="77777777" w:rsidR="009C1585" w:rsidRPr="001B41AD" w:rsidRDefault="009C1585" w:rsidP="009C1585">
            <w:pPr>
              <w:spacing w:after="0" w:line="240" w:lineRule="auto"/>
              <w:jc w:val="center"/>
              <w:rPr>
                <w:rFonts w:ascii="Calibri" w:eastAsia="Times New Roman" w:hAnsi="Calibri" w:cs="Calibri"/>
                <w:b/>
                <w:bCs/>
                <w:i/>
                <w:iCs/>
                <w:color w:val="000000"/>
                <w:sz w:val="18"/>
                <w:szCs w:val="18"/>
                <w:lang w:val="sr-Cyrl-CS"/>
              </w:rPr>
            </w:pPr>
            <w:r w:rsidRPr="001B41AD">
              <w:rPr>
                <w:rFonts w:ascii="Calibri" w:eastAsia="Times New Roman" w:hAnsi="Calibri" w:cs="Calibri"/>
                <w:b/>
                <w:bCs/>
                <w:i/>
                <w:iCs/>
                <w:color w:val="000000"/>
                <w:sz w:val="18"/>
                <w:szCs w:val="18"/>
                <w:lang w:val="sr-Cyrl-CS"/>
              </w:rPr>
              <w:t>Шифра пројекта</w:t>
            </w:r>
          </w:p>
        </w:tc>
        <w:tc>
          <w:tcPr>
            <w:tcW w:w="5780" w:type="dxa"/>
            <w:shd w:val="clear" w:color="000000" w:fill="DDEBF7"/>
            <w:vAlign w:val="center"/>
            <w:hideMark/>
          </w:tcPr>
          <w:p w14:paraId="11D642A0" w14:textId="77777777" w:rsidR="009C1585" w:rsidRPr="001B41AD" w:rsidRDefault="009C1585" w:rsidP="009C1585">
            <w:pPr>
              <w:spacing w:after="0" w:line="240" w:lineRule="auto"/>
              <w:jc w:val="center"/>
              <w:rPr>
                <w:rFonts w:ascii="Calibri" w:eastAsia="Times New Roman" w:hAnsi="Calibri" w:cs="Calibri"/>
                <w:b/>
                <w:bCs/>
                <w:i/>
                <w:iCs/>
                <w:color w:val="000000"/>
                <w:sz w:val="18"/>
                <w:szCs w:val="18"/>
                <w:lang w:val="sr-Cyrl-CS"/>
              </w:rPr>
            </w:pPr>
            <w:r w:rsidRPr="001B41AD">
              <w:rPr>
                <w:rFonts w:ascii="Calibri" w:eastAsia="Times New Roman" w:hAnsi="Calibri" w:cs="Calibri"/>
                <w:b/>
                <w:bCs/>
                <w:i/>
                <w:iCs/>
                <w:color w:val="000000"/>
                <w:sz w:val="18"/>
                <w:szCs w:val="18"/>
                <w:lang w:val="sr-Cyrl-CS"/>
              </w:rPr>
              <w:t>Назив капиталног пројекта</w:t>
            </w:r>
          </w:p>
        </w:tc>
        <w:tc>
          <w:tcPr>
            <w:tcW w:w="1680" w:type="dxa"/>
            <w:shd w:val="clear" w:color="000000" w:fill="DDEBF7"/>
            <w:vAlign w:val="center"/>
            <w:hideMark/>
          </w:tcPr>
          <w:p w14:paraId="63C69D2F" w14:textId="77777777" w:rsidR="009C1585" w:rsidRPr="001B41AD" w:rsidRDefault="009C1585" w:rsidP="009C1585">
            <w:pPr>
              <w:spacing w:after="0" w:line="240" w:lineRule="auto"/>
              <w:jc w:val="center"/>
              <w:rPr>
                <w:rFonts w:ascii="Calibri" w:eastAsia="Times New Roman" w:hAnsi="Calibri" w:cs="Calibri"/>
                <w:b/>
                <w:bCs/>
                <w:i/>
                <w:iCs/>
                <w:color w:val="000000"/>
                <w:sz w:val="18"/>
                <w:szCs w:val="18"/>
                <w:lang w:val="sr-Cyrl-CS"/>
              </w:rPr>
            </w:pPr>
            <w:r w:rsidRPr="001B41AD">
              <w:rPr>
                <w:rFonts w:ascii="Calibri" w:eastAsia="Times New Roman" w:hAnsi="Calibri" w:cs="Calibri"/>
                <w:b/>
                <w:bCs/>
                <w:i/>
                <w:iCs/>
                <w:color w:val="000000"/>
                <w:sz w:val="18"/>
                <w:szCs w:val="18"/>
                <w:lang w:val="sr-Cyrl-CS"/>
              </w:rPr>
              <w:t>Трошак до 2025. год.</w:t>
            </w:r>
          </w:p>
        </w:tc>
        <w:tc>
          <w:tcPr>
            <w:tcW w:w="1680" w:type="dxa"/>
            <w:shd w:val="clear" w:color="000000" w:fill="DDEBF7"/>
            <w:vAlign w:val="center"/>
            <w:hideMark/>
          </w:tcPr>
          <w:p w14:paraId="55890298" w14:textId="77777777" w:rsidR="009C1585" w:rsidRPr="001B41AD" w:rsidRDefault="009C1585" w:rsidP="009C1585">
            <w:pPr>
              <w:spacing w:after="0" w:line="240" w:lineRule="auto"/>
              <w:jc w:val="center"/>
              <w:rPr>
                <w:rFonts w:ascii="Calibri" w:eastAsia="Times New Roman" w:hAnsi="Calibri" w:cs="Calibri"/>
                <w:b/>
                <w:bCs/>
                <w:i/>
                <w:iCs/>
                <w:color w:val="000000"/>
                <w:sz w:val="18"/>
                <w:szCs w:val="18"/>
                <w:lang w:val="sr-Cyrl-CS"/>
              </w:rPr>
            </w:pPr>
            <w:r w:rsidRPr="001B41AD">
              <w:rPr>
                <w:rFonts w:ascii="Calibri" w:eastAsia="Times New Roman" w:hAnsi="Calibri" w:cs="Calibri"/>
                <w:b/>
                <w:bCs/>
                <w:i/>
                <w:iCs/>
                <w:color w:val="000000"/>
                <w:sz w:val="18"/>
                <w:szCs w:val="18"/>
                <w:lang w:val="sr-Cyrl-CS"/>
              </w:rPr>
              <w:t xml:space="preserve">Пројектовани трошак у 2025 год. </w:t>
            </w:r>
          </w:p>
        </w:tc>
        <w:tc>
          <w:tcPr>
            <w:tcW w:w="1680" w:type="dxa"/>
            <w:shd w:val="clear" w:color="000000" w:fill="DDEBF7"/>
            <w:vAlign w:val="center"/>
            <w:hideMark/>
          </w:tcPr>
          <w:p w14:paraId="043557FD" w14:textId="77777777" w:rsidR="009C1585" w:rsidRPr="001B41AD" w:rsidRDefault="009C1585" w:rsidP="009C1585">
            <w:pPr>
              <w:spacing w:after="0" w:line="240" w:lineRule="auto"/>
              <w:jc w:val="center"/>
              <w:rPr>
                <w:rFonts w:ascii="Calibri" w:eastAsia="Times New Roman" w:hAnsi="Calibri" w:cs="Calibri"/>
                <w:b/>
                <w:bCs/>
                <w:i/>
                <w:iCs/>
                <w:color w:val="000000"/>
                <w:sz w:val="18"/>
                <w:szCs w:val="18"/>
                <w:lang w:val="sr-Cyrl-CS"/>
              </w:rPr>
            </w:pPr>
            <w:r w:rsidRPr="001B41AD">
              <w:rPr>
                <w:rFonts w:ascii="Calibri" w:eastAsia="Times New Roman" w:hAnsi="Calibri" w:cs="Calibri"/>
                <w:b/>
                <w:bCs/>
                <w:i/>
                <w:iCs/>
                <w:color w:val="000000"/>
                <w:sz w:val="18"/>
                <w:szCs w:val="18"/>
                <w:lang w:val="sr-Cyrl-CS"/>
              </w:rPr>
              <w:t>Пројектовани трошак у 2026. год.</w:t>
            </w:r>
          </w:p>
        </w:tc>
        <w:tc>
          <w:tcPr>
            <w:tcW w:w="1660" w:type="dxa"/>
            <w:shd w:val="clear" w:color="000000" w:fill="DDEBF7"/>
            <w:vAlign w:val="center"/>
            <w:hideMark/>
          </w:tcPr>
          <w:p w14:paraId="0D7D456D" w14:textId="77777777" w:rsidR="009C1585" w:rsidRPr="001B41AD" w:rsidRDefault="009C1585" w:rsidP="009C1585">
            <w:pPr>
              <w:spacing w:after="0" w:line="240" w:lineRule="auto"/>
              <w:jc w:val="center"/>
              <w:rPr>
                <w:rFonts w:ascii="Calibri" w:eastAsia="Times New Roman" w:hAnsi="Calibri" w:cs="Calibri"/>
                <w:b/>
                <w:bCs/>
                <w:i/>
                <w:iCs/>
                <w:color w:val="000000"/>
                <w:sz w:val="18"/>
                <w:szCs w:val="18"/>
                <w:lang w:val="sr-Cyrl-CS"/>
              </w:rPr>
            </w:pPr>
            <w:r w:rsidRPr="001B41AD">
              <w:rPr>
                <w:rFonts w:ascii="Calibri" w:eastAsia="Times New Roman" w:hAnsi="Calibri" w:cs="Calibri"/>
                <w:b/>
                <w:bCs/>
                <w:i/>
                <w:iCs/>
                <w:color w:val="000000"/>
                <w:sz w:val="18"/>
                <w:szCs w:val="18"/>
                <w:lang w:val="sr-Cyrl-CS"/>
              </w:rPr>
              <w:t>Пројектовани трошак у 2027. год.</w:t>
            </w:r>
          </w:p>
        </w:tc>
        <w:tc>
          <w:tcPr>
            <w:tcW w:w="1660" w:type="dxa"/>
            <w:shd w:val="clear" w:color="000000" w:fill="DDEBF7"/>
            <w:vAlign w:val="center"/>
            <w:hideMark/>
          </w:tcPr>
          <w:p w14:paraId="19DD2923" w14:textId="77777777" w:rsidR="009C1585" w:rsidRPr="001B41AD" w:rsidRDefault="009C1585" w:rsidP="009C1585">
            <w:pPr>
              <w:spacing w:after="0" w:line="240" w:lineRule="auto"/>
              <w:jc w:val="center"/>
              <w:rPr>
                <w:rFonts w:ascii="Calibri" w:eastAsia="Times New Roman" w:hAnsi="Calibri" w:cs="Calibri"/>
                <w:b/>
                <w:bCs/>
                <w:i/>
                <w:iCs/>
                <w:color w:val="000000"/>
                <w:sz w:val="18"/>
                <w:szCs w:val="18"/>
                <w:lang w:val="sr-Cyrl-CS"/>
              </w:rPr>
            </w:pPr>
            <w:r w:rsidRPr="001B41AD">
              <w:rPr>
                <w:rFonts w:ascii="Calibri" w:eastAsia="Times New Roman" w:hAnsi="Calibri" w:cs="Calibri"/>
                <w:b/>
                <w:bCs/>
                <w:i/>
                <w:iCs/>
                <w:color w:val="000000"/>
                <w:sz w:val="18"/>
                <w:szCs w:val="18"/>
                <w:lang w:val="sr-Cyrl-CS"/>
              </w:rPr>
              <w:t>Пројектовани трошак у 2028. год.</w:t>
            </w:r>
          </w:p>
        </w:tc>
        <w:tc>
          <w:tcPr>
            <w:tcW w:w="2100" w:type="dxa"/>
            <w:shd w:val="clear" w:color="000000" w:fill="DDEBF7"/>
            <w:vAlign w:val="center"/>
            <w:hideMark/>
          </w:tcPr>
          <w:p w14:paraId="547FE294" w14:textId="77777777" w:rsidR="009C1585" w:rsidRPr="001B41AD" w:rsidRDefault="009C1585" w:rsidP="009C1585">
            <w:pPr>
              <w:spacing w:after="0" w:line="240" w:lineRule="auto"/>
              <w:jc w:val="center"/>
              <w:rPr>
                <w:rFonts w:ascii="Calibri" w:eastAsia="Times New Roman" w:hAnsi="Calibri" w:cs="Calibri"/>
                <w:b/>
                <w:bCs/>
                <w:i/>
                <w:iCs/>
                <w:color w:val="000000"/>
                <w:sz w:val="18"/>
                <w:szCs w:val="18"/>
                <w:lang w:val="sr-Cyrl-CS"/>
              </w:rPr>
            </w:pPr>
            <w:r w:rsidRPr="001B41AD">
              <w:rPr>
                <w:rFonts w:ascii="Calibri" w:eastAsia="Times New Roman" w:hAnsi="Calibri" w:cs="Calibri"/>
                <w:b/>
                <w:bCs/>
                <w:i/>
                <w:iCs/>
                <w:color w:val="000000"/>
                <w:sz w:val="18"/>
                <w:szCs w:val="18"/>
                <w:lang w:val="sr-Cyrl-CS"/>
              </w:rPr>
              <w:t>Процењена укупна вредност пројекта</w:t>
            </w:r>
          </w:p>
        </w:tc>
      </w:tr>
      <w:tr w:rsidR="009C1585" w:rsidRPr="001B41AD" w14:paraId="7A2F88CF" w14:textId="77777777" w:rsidTr="00147C90">
        <w:trPr>
          <w:trHeight w:val="20"/>
          <w:jc w:val="center"/>
        </w:trPr>
        <w:tc>
          <w:tcPr>
            <w:tcW w:w="540" w:type="dxa"/>
            <w:shd w:val="clear" w:color="000000" w:fill="FFFFFF"/>
            <w:noWrap/>
            <w:vAlign w:val="center"/>
            <w:hideMark/>
          </w:tcPr>
          <w:p w14:paraId="0C718EBB"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w:t>
            </w:r>
          </w:p>
        </w:tc>
        <w:tc>
          <w:tcPr>
            <w:tcW w:w="1020" w:type="dxa"/>
            <w:shd w:val="clear" w:color="000000" w:fill="FFFFFF"/>
            <w:vAlign w:val="center"/>
            <w:hideMark/>
          </w:tcPr>
          <w:p w14:paraId="7B7D566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5001</w:t>
            </w:r>
          </w:p>
        </w:tc>
        <w:tc>
          <w:tcPr>
            <w:tcW w:w="5780" w:type="dxa"/>
            <w:vAlign w:val="center"/>
            <w:hideMark/>
          </w:tcPr>
          <w:p w14:paraId="126794CB"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 xml:space="preserve">Набавка опреме,изградња хангара и пратећих објеката </w:t>
            </w:r>
          </w:p>
        </w:tc>
        <w:tc>
          <w:tcPr>
            <w:tcW w:w="1680" w:type="dxa"/>
            <w:noWrap/>
            <w:vAlign w:val="center"/>
            <w:hideMark/>
          </w:tcPr>
          <w:p w14:paraId="2AC3E33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2,852,269,436</w:t>
            </w:r>
          </w:p>
        </w:tc>
        <w:tc>
          <w:tcPr>
            <w:tcW w:w="1680" w:type="dxa"/>
            <w:noWrap/>
            <w:vAlign w:val="center"/>
            <w:hideMark/>
          </w:tcPr>
          <w:p w14:paraId="37F0D36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5,469,803,378</w:t>
            </w:r>
          </w:p>
        </w:tc>
        <w:tc>
          <w:tcPr>
            <w:tcW w:w="1680" w:type="dxa"/>
            <w:noWrap/>
            <w:vAlign w:val="center"/>
            <w:hideMark/>
          </w:tcPr>
          <w:p w14:paraId="2CEA09A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30,560,000</w:t>
            </w:r>
          </w:p>
        </w:tc>
        <w:tc>
          <w:tcPr>
            <w:tcW w:w="1660" w:type="dxa"/>
            <w:noWrap/>
            <w:vAlign w:val="center"/>
            <w:hideMark/>
          </w:tcPr>
          <w:p w14:paraId="298033B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364CBF3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39512CC6"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8,352,632,814</w:t>
            </w:r>
          </w:p>
        </w:tc>
      </w:tr>
      <w:tr w:rsidR="009C1585" w:rsidRPr="001B41AD" w14:paraId="0DA93AB7" w14:textId="77777777" w:rsidTr="00147C90">
        <w:trPr>
          <w:trHeight w:val="20"/>
          <w:jc w:val="center"/>
        </w:trPr>
        <w:tc>
          <w:tcPr>
            <w:tcW w:w="540" w:type="dxa"/>
            <w:noWrap/>
            <w:vAlign w:val="center"/>
            <w:hideMark/>
          </w:tcPr>
          <w:p w14:paraId="0CA06816"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w:t>
            </w:r>
          </w:p>
        </w:tc>
        <w:tc>
          <w:tcPr>
            <w:tcW w:w="1020" w:type="dxa"/>
            <w:vAlign w:val="center"/>
            <w:hideMark/>
          </w:tcPr>
          <w:p w14:paraId="00C5C347"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5073</w:t>
            </w:r>
          </w:p>
        </w:tc>
        <w:tc>
          <w:tcPr>
            <w:tcW w:w="5780" w:type="dxa"/>
            <w:vAlign w:val="center"/>
            <w:hideMark/>
          </w:tcPr>
          <w:p w14:paraId="3DE11F82"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Националног фудбалског стадиона</w:t>
            </w:r>
          </w:p>
        </w:tc>
        <w:tc>
          <w:tcPr>
            <w:tcW w:w="1680" w:type="dxa"/>
            <w:noWrap/>
            <w:vAlign w:val="center"/>
            <w:hideMark/>
          </w:tcPr>
          <w:p w14:paraId="0082983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27,359,213,093</w:t>
            </w:r>
          </w:p>
        </w:tc>
        <w:tc>
          <w:tcPr>
            <w:tcW w:w="1680" w:type="dxa"/>
            <w:noWrap/>
            <w:vAlign w:val="center"/>
            <w:hideMark/>
          </w:tcPr>
          <w:p w14:paraId="2D16610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2,800,000,000</w:t>
            </w:r>
          </w:p>
        </w:tc>
        <w:tc>
          <w:tcPr>
            <w:tcW w:w="1680" w:type="dxa"/>
            <w:noWrap/>
            <w:vAlign w:val="center"/>
            <w:hideMark/>
          </w:tcPr>
          <w:p w14:paraId="4E961F3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21,200,000,000</w:t>
            </w:r>
          </w:p>
        </w:tc>
        <w:tc>
          <w:tcPr>
            <w:tcW w:w="1660" w:type="dxa"/>
            <w:noWrap/>
            <w:vAlign w:val="center"/>
            <w:hideMark/>
          </w:tcPr>
          <w:p w14:paraId="7038711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16,400,000,000</w:t>
            </w:r>
          </w:p>
        </w:tc>
        <w:tc>
          <w:tcPr>
            <w:tcW w:w="1660" w:type="dxa"/>
            <w:noWrap/>
            <w:vAlign w:val="center"/>
            <w:hideMark/>
          </w:tcPr>
          <w:p w14:paraId="4058258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7,200,000,000</w:t>
            </w:r>
          </w:p>
        </w:tc>
        <w:tc>
          <w:tcPr>
            <w:tcW w:w="2100" w:type="dxa"/>
            <w:noWrap/>
            <w:vAlign w:val="center"/>
            <w:hideMark/>
          </w:tcPr>
          <w:p w14:paraId="10A46451"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74,959,213,093</w:t>
            </w:r>
          </w:p>
        </w:tc>
      </w:tr>
      <w:tr w:rsidR="009C1585" w:rsidRPr="001B41AD" w14:paraId="743F449E" w14:textId="77777777" w:rsidTr="00147C90">
        <w:trPr>
          <w:trHeight w:val="20"/>
          <w:jc w:val="center"/>
        </w:trPr>
        <w:tc>
          <w:tcPr>
            <w:tcW w:w="540" w:type="dxa"/>
            <w:noWrap/>
            <w:vAlign w:val="center"/>
            <w:hideMark/>
          </w:tcPr>
          <w:p w14:paraId="303E364E"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w:t>
            </w:r>
          </w:p>
        </w:tc>
        <w:tc>
          <w:tcPr>
            <w:tcW w:w="1020" w:type="dxa"/>
            <w:vAlign w:val="center"/>
            <w:hideMark/>
          </w:tcPr>
          <w:p w14:paraId="5DB60E2C"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5088</w:t>
            </w:r>
          </w:p>
        </w:tc>
        <w:tc>
          <w:tcPr>
            <w:tcW w:w="5780" w:type="dxa"/>
            <w:vAlign w:val="center"/>
            <w:hideMark/>
          </w:tcPr>
          <w:p w14:paraId="2C4AA4E6"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Линијска инфраструктура и топлотни извор</w:t>
            </w:r>
          </w:p>
        </w:tc>
        <w:tc>
          <w:tcPr>
            <w:tcW w:w="1680" w:type="dxa"/>
            <w:noWrap/>
            <w:vAlign w:val="center"/>
            <w:hideMark/>
          </w:tcPr>
          <w:p w14:paraId="46A4C92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21,036,515,302</w:t>
            </w:r>
          </w:p>
        </w:tc>
        <w:tc>
          <w:tcPr>
            <w:tcW w:w="1680" w:type="dxa"/>
            <w:noWrap/>
            <w:vAlign w:val="center"/>
            <w:hideMark/>
          </w:tcPr>
          <w:p w14:paraId="3AC5761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20,167,716,278</w:t>
            </w:r>
          </w:p>
        </w:tc>
        <w:tc>
          <w:tcPr>
            <w:tcW w:w="1680" w:type="dxa"/>
            <w:noWrap/>
            <w:vAlign w:val="center"/>
            <w:hideMark/>
          </w:tcPr>
          <w:p w14:paraId="4451496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18,600,000,000</w:t>
            </w:r>
          </w:p>
        </w:tc>
        <w:tc>
          <w:tcPr>
            <w:tcW w:w="1660" w:type="dxa"/>
            <w:noWrap/>
            <w:vAlign w:val="center"/>
            <w:hideMark/>
          </w:tcPr>
          <w:p w14:paraId="7D79822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2,650,000,000</w:t>
            </w:r>
          </w:p>
        </w:tc>
        <w:tc>
          <w:tcPr>
            <w:tcW w:w="1660" w:type="dxa"/>
            <w:noWrap/>
            <w:vAlign w:val="center"/>
            <w:hideMark/>
          </w:tcPr>
          <w:p w14:paraId="39820F0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4D87F7EE"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62,454,231,580</w:t>
            </w:r>
          </w:p>
        </w:tc>
      </w:tr>
      <w:tr w:rsidR="009C1585" w:rsidRPr="001B41AD" w14:paraId="2BFFCD99" w14:textId="77777777" w:rsidTr="00147C90">
        <w:trPr>
          <w:trHeight w:val="20"/>
          <w:jc w:val="center"/>
        </w:trPr>
        <w:tc>
          <w:tcPr>
            <w:tcW w:w="540" w:type="dxa"/>
            <w:shd w:val="clear" w:color="000000" w:fill="FFFFFF"/>
            <w:noWrap/>
            <w:vAlign w:val="center"/>
            <w:hideMark/>
          </w:tcPr>
          <w:p w14:paraId="3A385577"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w:t>
            </w:r>
          </w:p>
        </w:tc>
        <w:tc>
          <w:tcPr>
            <w:tcW w:w="1020" w:type="dxa"/>
            <w:vAlign w:val="center"/>
            <w:hideMark/>
          </w:tcPr>
          <w:p w14:paraId="1E3377A5"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5081</w:t>
            </w:r>
          </w:p>
        </w:tc>
        <w:tc>
          <w:tcPr>
            <w:tcW w:w="5780" w:type="dxa"/>
            <w:vAlign w:val="center"/>
            <w:hideMark/>
          </w:tcPr>
          <w:p w14:paraId="3781BE5F"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 xml:space="preserve">EXPO Београд 2027 </w:t>
            </w:r>
          </w:p>
        </w:tc>
        <w:tc>
          <w:tcPr>
            <w:tcW w:w="1680" w:type="dxa"/>
            <w:noWrap/>
            <w:vAlign w:val="center"/>
            <w:hideMark/>
          </w:tcPr>
          <w:p w14:paraId="07711CA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47,040,272,159</w:t>
            </w:r>
          </w:p>
        </w:tc>
        <w:tc>
          <w:tcPr>
            <w:tcW w:w="1680" w:type="dxa"/>
            <w:noWrap/>
            <w:vAlign w:val="center"/>
            <w:hideMark/>
          </w:tcPr>
          <w:p w14:paraId="1964F9D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38,232,283,722</w:t>
            </w:r>
          </w:p>
        </w:tc>
        <w:tc>
          <w:tcPr>
            <w:tcW w:w="1680" w:type="dxa"/>
            <w:noWrap/>
            <w:vAlign w:val="center"/>
            <w:hideMark/>
          </w:tcPr>
          <w:p w14:paraId="51D1E91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42,577,000,000</w:t>
            </w:r>
          </w:p>
        </w:tc>
        <w:tc>
          <w:tcPr>
            <w:tcW w:w="1660" w:type="dxa"/>
            <w:noWrap/>
            <w:vAlign w:val="center"/>
            <w:hideMark/>
          </w:tcPr>
          <w:p w14:paraId="7CE85A2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14,400,000,000</w:t>
            </w:r>
          </w:p>
        </w:tc>
        <w:tc>
          <w:tcPr>
            <w:tcW w:w="1660" w:type="dxa"/>
            <w:noWrap/>
            <w:vAlign w:val="center"/>
            <w:hideMark/>
          </w:tcPr>
          <w:p w14:paraId="78D807A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12AA5807"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142,249,555,881</w:t>
            </w:r>
          </w:p>
        </w:tc>
      </w:tr>
      <w:tr w:rsidR="009C1585" w:rsidRPr="001B41AD" w14:paraId="13EEA5A9" w14:textId="77777777" w:rsidTr="00147C90">
        <w:trPr>
          <w:trHeight w:val="20"/>
          <w:jc w:val="center"/>
        </w:trPr>
        <w:tc>
          <w:tcPr>
            <w:tcW w:w="540" w:type="dxa"/>
            <w:noWrap/>
            <w:vAlign w:val="center"/>
            <w:hideMark/>
          </w:tcPr>
          <w:p w14:paraId="0F7F443F"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w:t>
            </w:r>
          </w:p>
        </w:tc>
        <w:tc>
          <w:tcPr>
            <w:tcW w:w="1020" w:type="dxa"/>
            <w:shd w:val="clear" w:color="000000" w:fill="FFFFFF"/>
            <w:vAlign w:val="center"/>
            <w:hideMark/>
          </w:tcPr>
          <w:p w14:paraId="2069DA5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5086</w:t>
            </w:r>
          </w:p>
        </w:tc>
        <w:tc>
          <w:tcPr>
            <w:tcW w:w="5780" w:type="dxa"/>
            <w:vAlign w:val="center"/>
            <w:hideMark/>
          </w:tcPr>
          <w:p w14:paraId="17E8F619"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Тунел од Карађорђеве улице до Дунавске падине</w:t>
            </w:r>
          </w:p>
        </w:tc>
        <w:tc>
          <w:tcPr>
            <w:tcW w:w="1680" w:type="dxa"/>
            <w:noWrap/>
            <w:vAlign w:val="center"/>
            <w:hideMark/>
          </w:tcPr>
          <w:p w14:paraId="5F35D80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80" w:type="dxa"/>
            <w:noWrap/>
            <w:vAlign w:val="center"/>
            <w:hideMark/>
          </w:tcPr>
          <w:p w14:paraId="2FAE42B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6,000,000,000</w:t>
            </w:r>
          </w:p>
        </w:tc>
        <w:tc>
          <w:tcPr>
            <w:tcW w:w="1680" w:type="dxa"/>
            <w:noWrap/>
            <w:vAlign w:val="center"/>
            <w:hideMark/>
          </w:tcPr>
          <w:p w14:paraId="4B413D3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5,000,000,000</w:t>
            </w:r>
          </w:p>
        </w:tc>
        <w:tc>
          <w:tcPr>
            <w:tcW w:w="1660" w:type="dxa"/>
            <w:noWrap/>
            <w:vAlign w:val="center"/>
            <w:hideMark/>
          </w:tcPr>
          <w:p w14:paraId="20D65AA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5,000,000,000</w:t>
            </w:r>
          </w:p>
        </w:tc>
        <w:tc>
          <w:tcPr>
            <w:tcW w:w="1660" w:type="dxa"/>
            <w:noWrap/>
            <w:vAlign w:val="center"/>
            <w:hideMark/>
          </w:tcPr>
          <w:p w14:paraId="5A613D5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10,000,000,000</w:t>
            </w:r>
          </w:p>
        </w:tc>
        <w:tc>
          <w:tcPr>
            <w:tcW w:w="2100" w:type="dxa"/>
            <w:noWrap/>
            <w:vAlign w:val="center"/>
            <w:hideMark/>
          </w:tcPr>
          <w:p w14:paraId="5F7B3009"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26,000,000,000</w:t>
            </w:r>
          </w:p>
        </w:tc>
      </w:tr>
      <w:tr w:rsidR="009C1585" w:rsidRPr="001B41AD" w14:paraId="1FC99788" w14:textId="77777777" w:rsidTr="00147C90">
        <w:trPr>
          <w:trHeight w:val="20"/>
          <w:jc w:val="center"/>
        </w:trPr>
        <w:tc>
          <w:tcPr>
            <w:tcW w:w="540" w:type="dxa"/>
            <w:noWrap/>
            <w:vAlign w:val="center"/>
            <w:hideMark/>
          </w:tcPr>
          <w:p w14:paraId="4555F672"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w:t>
            </w:r>
          </w:p>
        </w:tc>
        <w:tc>
          <w:tcPr>
            <w:tcW w:w="1020" w:type="dxa"/>
            <w:vAlign w:val="center"/>
            <w:hideMark/>
          </w:tcPr>
          <w:p w14:paraId="0DDC5A25"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5008</w:t>
            </w:r>
          </w:p>
        </w:tc>
        <w:tc>
          <w:tcPr>
            <w:tcW w:w="5780" w:type="dxa"/>
            <w:vAlign w:val="center"/>
            <w:hideMark/>
          </w:tcPr>
          <w:p w14:paraId="597AF20A"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Брза саобраћајница Iб реда Нови Сад-Рума</w:t>
            </w:r>
          </w:p>
        </w:tc>
        <w:tc>
          <w:tcPr>
            <w:tcW w:w="1680" w:type="dxa"/>
            <w:noWrap/>
            <w:vAlign w:val="center"/>
            <w:hideMark/>
          </w:tcPr>
          <w:p w14:paraId="5CA4571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44,846,509,398</w:t>
            </w:r>
          </w:p>
        </w:tc>
        <w:tc>
          <w:tcPr>
            <w:tcW w:w="1680" w:type="dxa"/>
            <w:noWrap/>
            <w:vAlign w:val="center"/>
            <w:hideMark/>
          </w:tcPr>
          <w:p w14:paraId="27AE68B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29,400,000,000</w:t>
            </w:r>
          </w:p>
        </w:tc>
        <w:tc>
          <w:tcPr>
            <w:tcW w:w="1680" w:type="dxa"/>
            <w:noWrap/>
            <w:vAlign w:val="center"/>
            <w:hideMark/>
          </w:tcPr>
          <w:p w14:paraId="68F53B3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16,500,000,000</w:t>
            </w:r>
          </w:p>
        </w:tc>
        <w:tc>
          <w:tcPr>
            <w:tcW w:w="1660" w:type="dxa"/>
            <w:noWrap/>
            <w:vAlign w:val="center"/>
            <w:hideMark/>
          </w:tcPr>
          <w:p w14:paraId="22EE2A1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15,500,000,000</w:t>
            </w:r>
          </w:p>
        </w:tc>
        <w:tc>
          <w:tcPr>
            <w:tcW w:w="1660" w:type="dxa"/>
            <w:noWrap/>
            <w:vAlign w:val="center"/>
            <w:hideMark/>
          </w:tcPr>
          <w:p w14:paraId="25D17E2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70E1C182"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106,246,509,398</w:t>
            </w:r>
          </w:p>
        </w:tc>
      </w:tr>
      <w:tr w:rsidR="009C1585" w:rsidRPr="001B41AD" w14:paraId="0FC644C3" w14:textId="77777777" w:rsidTr="00147C90">
        <w:trPr>
          <w:trHeight w:val="20"/>
          <w:jc w:val="center"/>
        </w:trPr>
        <w:tc>
          <w:tcPr>
            <w:tcW w:w="540" w:type="dxa"/>
            <w:shd w:val="clear" w:color="000000" w:fill="FFFFFF"/>
            <w:noWrap/>
            <w:vAlign w:val="center"/>
            <w:hideMark/>
          </w:tcPr>
          <w:p w14:paraId="13C70743"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w:t>
            </w:r>
          </w:p>
        </w:tc>
        <w:tc>
          <w:tcPr>
            <w:tcW w:w="1020" w:type="dxa"/>
            <w:vAlign w:val="center"/>
            <w:hideMark/>
          </w:tcPr>
          <w:p w14:paraId="556E5A6C"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5015</w:t>
            </w:r>
          </w:p>
        </w:tc>
        <w:tc>
          <w:tcPr>
            <w:tcW w:w="5780" w:type="dxa"/>
            <w:vAlign w:val="center"/>
            <w:hideMark/>
          </w:tcPr>
          <w:p w14:paraId="058FCD36"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Пројекат мађарско - српске железнице</w:t>
            </w:r>
          </w:p>
        </w:tc>
        <w:tc>
          <w:tcPr>
            <w:tcW w:w="1680" w:type="dxa"/>
            <w:noWrap/>
            <w:vAlign w:val="center"/>
            <w:hideMark/>
          </w:tcPr>
          <w:p w14:paraId="78C03A4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130,944,069,643</w:t>
            </w:r>
          </w:p>
        </w:tc>
        <w:tc>
          <w:tcPr>
            <w:tcW w:w="1680" w:type="dxa"/>
            <w:noWrap/>
            <w:vAlign w:val="center"/>
            <w:hideMark/>
          </w:tcPr>
          <w:p w14:paraId="01888F5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9,754,687,432</w:t>
            </w:r>
          </w:p>
        </w:tc>
        <w:tc>
          <w:tcPr>
            <w:tcW w:w="1680" w:type="dxa"/>
            <w:noWrap/>
            <w:vAlign w:val="center"/>
            <w:hideMark/>
          </w:tcPr>
          <w:p w14:paraId="6EEF8C1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14,775,858,000</w:t>
            </w:r>
          </w:p>
        </w:tc>
        <w:tc>
          <w:tcPr>
            <w:tcW w:w="1660" w:type="dxa"/>
            <w:noWrap/>
            <w:vAlign w:val="center"/>
            <w:hideMark/>
          </w:tcPr>
          <w:p w14:paraId="76DF256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69A9CE6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325F5ED8"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155,474,615,075</w:t>
            </w:r>
          </w:p>
        </w:tc>
      </w:tr>
      <w:tr w:rsidR="009C1585" w:rsidRPr="001B41AD" w14:paraId="61076725" w14:textId="77777777" w:rsidTr="00147C90">
        <w:trPr>
          <w:trHeight w:val="20"/>
          <w:jc w:val="center"/>
        </w:trPr>
        <w:tc>
          <w:tcPr>
            <w:tcW w:w="540" w:type="dxa"/>
            <w:noWrap/>
            <w:vAlign w:val="center"/>
            <w:hideMark/>
          </w:tcPr>
          <w:p w14:paraId="44489A79"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w:t>
            </w:r>
          </w:p>
        </w:tc>
        <w:tc>
          <w:tcPr>
            <w:tcW w:w="1020" w:type="dxa"/>
            <w:shd w:val="clear" w:color="000000" w:fill="FFFFFF"/>
            <w:vAlign w:val="center"/>
            <w:hideMark/>
          </w:tcPr>
          <w:p w14:paraId="305ADF3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5019</w:t>
            </w:r>
          </w:p>
        </w:tc>
        <w:tc>
          <w:tcPr>
            <w:tcW w:w="5780" w:type="dxa"/>
            <w:vAlign w:val="center"/>
            <w:hideMark/>
          </w:tcPr>
          <w:p w14:paraId="2930F600"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београдске обилазнице на аутопуту E-70/E-75, деоница: Мост преко реке Саве код Остружнице-Бубањ Поток (сектори 4, 5 и 6)</w:t>
            </w:r>
          </w:p>
        </w:tc>
        <w:tc>
          <w:tcPr>
            <w:tcW w:w="1680" w:type="dxa"/>
            <w:noWrap/>
            <w:vAlign w:val="center"/>
            <w:hideMark/>
          </w:tcPr>
          <w:p w14:paraId="565A355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43,939,813,915</w:t>
            </w:r>
          </w:p>
        </w:tc>
        <w:tc>
          <w:tcPr>
            <w:tcW w:w="1680" w:type="dxa"/>
            <w:noWrap/>
            <w:vAlign w:val="center"/>
            <w:hideMark/>
          </w:tcPr>
          <w:p w14:paraId="5DBE290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785,611,545</w:t>
            </w:r>
          </w:p>
        </w:tc>
        <w:tc>
          <w:tcPr>
            <w:tcW w:w="1680" w:type="dxa"/>
            <w:noWrap/>
            <w:vAlign w:val="center"/>
            <w:hideMark/>
          </w:tcPr>
          <w:p w14:paraId="6339794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1,000,000</w:t>
            </w:r>
          </w:p>
        </w:tc>
        <w:tc>
          <w:tcPr>
            <w:tcW w:w="1660" w:type="dxa"/>
            <w:noWrap/>
            <w:vAlign w:val="center"/>
            <w:hideMark/>
          </w:tcPr>
          <w:p w14:paraId="2EEEF41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2017A30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45D6EB23"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44,726,425,460</w:t>
            </w:r>
          </w:p>
        </w:tc>
      </w:tr>
      <w:tr w:rsidR="009C1585" w:rsidRPr="001B41AD" w14:paraId="5B7DD964" w14:textId="77777777" w:rsidTr="00147C90">
        <w:trPr>
          <w:trHeight w:val="20"/>
          <w:jc w:val="center"/>
        </w:trPr>
        <w:tc>
          <w:tcPr>
            <w:tcW w:w="540" w:type="dxa"/>
            <w:noWrap/>
            <w:vAlign w:val="center"/>
            <w:hideMark/>
          </w:tcPr>
          <w:p w14:paraId="740CD094"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9</w:t>
            </w:r>
          </w:p>
        </w:tc>
        <w:tc>
          <w:tcPr>
            <w:tcW w:w="1020" w:type="dxa"/>
            <w:shd w:val="clear" w:color="000000" w:fill="FFFFFF"/>
            <w:vAlign w:val="center"/>
            <w:hideMark/>
          </w:tcPr>
          <w:p w14:paraId="2AAAAB5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5027</w:t>
            </w:r>
          </w:p>
        </w:tc>
        <w:tc>
          <w:tcPr>
            <w:tcW w:w="5780" w:type="dxa"/>
            <w:vAlign w:val="center"/>
            <w:hideMark/>
          </w:tcPr>
          <w:p w14:paraId="707AE51D"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Реконструкција железничке пруге Ниш - Димитровград</w:t>
            </w:r>
          </w:p>
        </w:tc>
        <w:tc>
          <w:tcPr>
            <w:tcW w:w="1680" w:type="dxa"/>
            <w:noWrap/>
            <w:vAlign w:val="center"/>
            <w:hideMark/>
          </w:tcPr>
          <w:p w14:paraId="35B48D8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4,603,127,991</w:t>
            </w:r>
          </w:p>
        </w:tc>
        <w:tc>
          <w:tcPr>
            <w:tcW w:w="1680" w:type="dxa"/>
            <w:noWrap/>
            <w:vAlign w:val="center"/>
            <w:hideMark/>
          </w:tcPr>
          <w:p w14:paraId="6AA782E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13,000,000,000</w:t>
            </w:r>
          </w:p>
        </w:tc>
        <w:tc>
          <w:tcPr>
            <w:tcW w:w="1680" w:type="dxa"/>
            <w:noWrap/>
            <w:vAlign w:val="center"/>
            <w:hideMark/>
          </w:tcPr>
          <w:p w14:paraId="3755136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10,870,000,000</w:t>
            </w:r>
          </w:p>
        </w:tc>
        <w:tc>
          <w:tcPr>
            <w:tcW w:w="1660" w:type="dxa"/>
            <w:noWrap/>
            <w:vAlign w:val="center"/>
            <w:hideMark/>
          </w:tcPr>
          <w:p w14:paraId="55D7626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10,213,323,000</w:t>
            </w:r>
          </w:p>
        </w:tc>
        <w:tc>
          <w:tcPr>
            <w:tcW w:w="1660" w:type="dxa"/>
            <w:noWrap/>
            <w:vAlign w:val="center"/>
            <w:hideMark/>
          </w:tcPr>
          <w:p w14:paraId="42E7553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3,839,366,000</w:t>
            </w:r>
          </w:p>
        </w:tc>
        <w:tc>
          <w:tcPr>
            <w:tcW w:w="2100" w:type="dxa"/>
            <w:noWrap/>
            <w:vAlign w:val="center"/>
            <w:hideMark/>
          </w:tcPr>
          <w:p w14:paraId="3FBD47F2"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46,737,645,320</w:t>
            </w:r>
          </w:p>
        </w:tc>
      </w:tr>
      <w:tr w:rsidR="009C1585" w:rsidRPr="001B41AD" w14:paraId="2CB0AED0" w14:textId="77777777" w:rsidTr="00147C90">
        <w:trPr>
          <w:trHeight w:val="20"/>
          <w:jc w:val="center"/>
        </w:trPr>
        <w:tc>
          <w:tcPr>
            <w:tcW w:w="540" w:type="dxa"/>
            <w:shd w:val="clear" w:color="000000" w:fill="FFFFFF"/>
            <w:noWrap/>
            <w:vAlign w:val="center"/>
            <w:hideMark/>
          </w:tcPr>
          <w:p w14:paraId="0609C04D"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w:t>
            </w:r>
          </w:p>
        </w:tc>
        <w:tc>
          <w:tcPr>
            <w:tcW w:w="1020" w:type="dxa"/>
            <w:shd w:val="clear" w:color="000000" w:fill="FFFFFF"/>
            <w:vAlign w:val="center"/>
            <w:hideMark/>
          </w:tcPr>
          <w:p w14:paraId="3F22FDD3"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5034</w:t>
            </w:r>
          </w:p>
        </w:tc>
        <w:tc>
          <w:tcPr>
            <w:tcW w:w="5780" w:type="dxa"/>
            <w:vAlign w:val="center"/>
            <w:hideMark/>
          </w:tcPr>
          <w:p w14:paraId="3C7055CE"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аутопута Е-763, деоница: Прељина - Пожега</w:t>
            </w:r>
          </w:p>
        </w:tc>
        <w:tc>
          <w:tcPr>
            <w:tcW w:w="1680" w:type="dxa"/>
            <w:noWrap/>
            <w:vAlign w:val="center"/>
            <w:hideMark/>
          </w:tcPr>
          <w:p w14:paraId="3C98849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56,476,138,798</w:t>
            </w:r>
          </w:p>
        </w:tc>
        <w:tc>
          <w:tcPr>
            <w:tcW w:w="1680" w:type="dxa"/>
            <w:noWrap/>
            <w:vAlign w:val="center"/>
            <w:hideMark/>
          </w:tcPr>
          <w:p w14:paraId="422497D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13,751,591,721</w:t>
            </w:r>
          </w:p>
        </w:tc>
        <w:tc>
          <w:tcPr>
            <w:tcW w:w="1680" w:type="dxa"/>
            <w:noWrap/>
            <w:vAlign w:val="center"/>
            <w:hideMark/>
          </w:tcPr>
          <w:p w14:paraId="10E2B36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4,200,000,000</w:t>
            </w:r>
          </w:p>
        </w:tc>
        <w:tc>
          <w:tcPr>
            <w:tcW w:w="1660" w:type="dxa"/>
            <w:noWrap/>
            <w:vAlign w:val="center"/>
            <w:hideMark/>
          </w:tcPr>
          <w:p w14:paraId="640A5B0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7C51F93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6FD3D574"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74,427,730,519</w:t>
            </w:r>
          </w:p>
        </w:tc>
      </w:tr>
      <w:tr w:rsidR="009C1585" w:rsidRPr="001B41AD" w14:paraId="145A31F7" w14:textId="77777777" w:rsidTr="00147C90">
        <w:trPr>
          <w:trHeight w:val="20"/>
          <w:jc w:val="center"/>
        </w:trPr>
        <w:tc>
          <w:tcPr>
            <w:tcW w:w="540" w:type="dxa"/>
            <w:noWrap/>
            <w:vAlign w:val="center"/>
            <w:hideMark/>
          </w:tcPr>
          <w:p w14:paraId="112F3C27"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11</w:t>
            </w:r>
          </w:p>
        </w:tc>
        <w:tc>
          <w:tcPr>
            <w:tcW w:w="1020" w:type="dxa"/>
            <w:shd w:val="clear" w:color="000000" w:fill="FFFFFF"/>
            <w:vAlign w:val="center"/>
            <w:hideMark/>
          </w:tcPr>
          <w:p w14:paraId="5C236ECC"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5035</w:t>
            </w:r>
          </w:p>
        </w:tc>
        <w:tc>
          <w:tcPr>
            <w:tcW w:w="5780" w:type="dxa"/>
            <w:vAlign w:val="center"/>
            <w:hideMark/>
          </w:tcPr>
          <w:p w14:paraId="565E5EA7"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аутопута Е-761, деоница: Појате - Прељина</w:t>
            </w:r>
          </w:p>
        </w:tc>
        <w:tc>
          <w:tcPr>
            <w:tcW w:w="1680" w:type="dxa"/>
            <w:noWrap/>
            <w:vAlign w:val="center"/>
            <w:hideMark/>
          </w:tcPr>
          <w:p w14:paraId="7D61FEA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180,544,401,297</w:t>
            </w:r>
          </w:p>
        </w:tc>
        <w:tc>
          <w:tcPr>
            <w:tcW w:w="1680" w:type="dxa"/>
            <w:noWrap/>
            <w:vAlign w:val="center"/>
            <w:hideMark/>
          </w:tcPr>
          <w:p w14:paraId="3372A87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35,645,957,364</w:t>
            </w:r>
          </w:p>
        </w:tc>
        <w:tc>
          <w:tcPr>
            <w:tcW w:w="1680" w:type="dxa"/>
            <w:noWrap/>
            <w:vAlign w:val="center"/>
            <w:hideMark/>
          </w:tcPr>
          <w:p w14:paraId="50B6348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28,500,000,000</w:t>
            </w:r>
          </w:p>
        </w:tc>
        <w:tc>
          <w:tcPr>
            <w:tcW w:w="1660" w:type="dxa"/>
            <w:noWrap/>
            <w:vAlign w:val="center"/>
            <w:hideMark/>
          </w:tcPr>
          <w:p w14:paraId="7908E6B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7,350,000,000</w:t>
            </w:r>
          </w:p>
        </w:tc>
        <w:tc>
          <w:tcPr>
            <w:tcW w:w="1660" w:type="dxa"/>
            <w:noWrap/>
            <w:vAlign w:val="center"/>
            <w:hideMark/>
          </w:tcPr>
          <w:p w14:paraId="658800F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2D9A5276"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252,040,358,661</w:t>
            </w:r>
          </w:p>
        </w:tc>
      </w:tr>
      <w:tr w:rsidR="009C1585" w:rsidRPr="001B41AD" w14:paraId="0E588549" w14:textId="77777777" w:rsidTr="00147C90">
        <w:trPr>
          <w:trHeight w:val="20"/>
          <w:jc w:val="center"/>
        </w:trPr>
        <w:tc>
          <w:tcPr>
            <w:tcW w:w="540" w:type="dxa"/>
            <w:noWrap/>
            <w:vAlign w:val="center"/>
            <w:hideMark/>
          </w:tcPr>
          <w:p w14:paraId="633B93F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12</w:t>
            </w:r>
          </w:p>
        </w:tc>
        <w:tc>
          <w:tcPr>
            <w:tcW w:w="1020" w:type="dxa"/>
            <w:shd w:val="clear" w:color="000000" w:fill="FFFFFF"/>
            <w:vAlign w:val="center"/>
            <w:hideMark/>
          </w:tcPr>
          <w:p w14:paraId="7FA75BC4"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5042</w:t>
            </w:r>
          </w:p>
        </w:tc>
        <w:tc>
          <w:tcPr>
            <w:tcW w:w="5780" w:type="dxa"/>
            <w:vAlign w:val="center"/>
            <w:hideMark/>
          </w:tcPr>
          <w:p w14:paraId="52785887"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Вађење потонуле немачке флоте из Другог светског рата</w:t>
            </w:r>
          </w:p>
        </w:tc>
        <w:tc>
          <w:tcPr>
            <w:tcW w:w="1680" w:type="dxa"/>
            <w:noWrap/>
            <w:vAlign w:val="center"/>
            <w:hideMark/>
          </w:tcPr>
          <w:p w14:paraId="6DE9034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919,312,536</w:t>
            </w:r>
          </w:p>
        </w:tc>
        <w:tc>
          <w:tcPr>
            <w:tcW w:w="1680" w:type="dxa"/>
            <w:noWrap/>
            <w:vAlign w:val="center"/>
            <w:hideMark/>
          </w:tcPr>
          <w:p w14:paraId="1F301C5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527,400,000</w:t>
            </w:r>
          </w:p>
        </w:tc>
        <w:tc>
          <w:tcPr>
            <w:tcW w:w="1680" w:type="dxa"/>
            <w:noWrap/>
            <w:vAlign w:val="center"/>
            <w:hideMark/>
          </w:tcPr>
          <w:p w14:paraId="13BB927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640,000,000</w:t>
            </w:r>
          </w:p>
        </w:tc>
        <w:tc>
          <w:tcPr>
            <w:tcW w:w="1660" w:type="dxa"/>
            <w:noWrap/>
            <w:vAlign w:val="center"/>
            <w:hideMark/>
          </w:tcPr>
          <w:p w14:paraId="1DEEB1C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620,000,000</w:t>
            </w:r>
          </w:p>
        </w:tc>
        <w:tc>
          <w:tcPr>
            <w:tcW w:w="1660" w:type="dxa"/>
            <w:noWrap/>
            <w:vAlign w:val="center"/>
            <w:hideMark/>
          </w:tcPr>
          <w:p w14:paraId="6927E5C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1,073,013,000</w:t>
            </w:r>
          </w:p>
        </w:tc>
        <w:tc>
          <w:tcPr>
            <w:tcW w:w="2100" w:type="dxa"/>
            <w:noWrap/>
            <w:vAlign w:val="center"/>
            <w:hideMark/>
          </w:tcPr>
          <w:p w14:paraId="3AA6069D"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4,106,955,999</w:t>
            </w:r>
          </w:p>
        </w:tc>
      </w:tr>
      <w:tr w:rsidR="009C1585" w:rsidRPr="001B41AD" w14:paraId="7B988837" w14:textId="77777777" w:rsidTr="00147C90">
        <w:trPr>
          <w:trHeight w:val="20"/>
          <w:jc w:val="center"/>
        </w:trPr>
        <w:tc>
          <w:tcPr>
            <w:tcW w:w="540" w:type="dxa"/>
            <w:shd w:val="clear" w:color="000000" w:fill="FFFFFF"/>
            <w:noWrap/>
            <w:vAlign w:val="center"/>
            <w:hideMark/>
          </w:tcPr>
          <w:p w14:paraId="74FE0999"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13</w:t>
            </w:r>
          </w:p>
        </w:tc>
        <w:tc>
          <w:tcPr>
            <w:tcW w:w="1020" w:type="dxa"/>
            <w:shd w:val="clear" w:color="000000" w:fill="FFFFFF"/>
            <w:vAlign w:val="center"/>
            <w:hideMark/>
          </w:tcPr>
          <w:p w14:paraId="50C328BE"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5043</w:t>
            </w:r>
          </w:p>
        </w:tc>
        <w:tc>
          <w:tcPr>
            <w:tcW w:w="5780" w:type="dxa"/>
            <w:vAlign w:val="center"/>
            <w:hideMark/>
          </w:tcPr>
          <w:p w14:paraId="69FEEC18"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аутопута Е-761 Београд-Сарајево</w:t>
            </w:r>
          </w:p>
        </w:tc>
        <w:tc>
          <w:tcPr>
            <w:tcW w:w="1680" w:type="dxa"/>
            <w:noWrap/>
            <w:vAlign w:val="center"/>
            <w:hideMark/>
          </w:tcPr>
          <w:p w14:paraId="73B4443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34,601,087,019</w:t>
            </w:r>
          </w:p>
        </w:tc>
        <w:tc>
          <w:tcPr>
            <w:tcW w:w="1680" w:type="dxa"/>
            <w:noWrap/>
            <w:vAlign w:val="center"/>
            <w:hideMark/>
          </w:tcPr>
          <w:p w14:paraId="65A9B03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9,398,912,981</w:t>
            </w:r>
          </w:p>
        </w:tc>
        <w:tc>
          <w:tcPr>
            <w:tcW w:w="1680" w:type="dxa"/>
            <w:noWrap/>
            <w:vAlign w:val="center"/>
            <w:hideMark/>
          </w:tcPr>
          <w:p w14:paraId="39DB38A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4,000,000,000</w:t>
            </w:r>
          </w:p>
        </w:tc>
        <w:tc>
          <w:tcPr>
            <w:tcW w:w="1660" w:type="dxa"/>
            <w:noWrap/>
            <w:vAlign w:val="center"/>
            <w:hideMark/>
          </w:tcPr>
          <w:p w14:paraId="2A1846D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006365F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004BEB8F"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48,000,000,000</w:t>
            </w:r>
          </w:p>
        </w:tc>
      </w:tr>
      <w:tr w:rsidR="009C1585" w:rsidRPr="001B41AD" w14:paraId="1547BBF6" w14:textId="77777777" w:rsidTr="00147C90">
        <w:trPr>
          <w:trHeight w:val="20"/>
          <w:jc w:val="center"/>
        </w:trPr>
        <w:tc>
          <w:tcPr>
            <w:tcW w:w="540" w:type="dxa"/>
            <w:noWrap/>
            <w:vAlign w:val="center"/>
            <w:hideMark/>
          </w:tcPr>
          <w:p w14:paraId="25AEA832"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14</w:t>
            </w:r>
          </w:p>
        </w:tc>
        <w:tc>
          <w:tcPr>
            <w:tcW w:w="1020" w:type="dxa"/>
            <w:shd w:val="clear" w:color="000000" w:fill="FFFFFF"/>
            <w:vAlign w:val="center"/>
            <w:hideMark/>
          </w:tcPr>
          <w:p w14:paraId="38774E9F"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5045</w:t>
            </w:r>
          </w:p>
        </w:tc>
        <w:tc>
          <w:tcPr>
            <w:tcW w:w="5780" w:type="dxa"/>
            <w:vAlign w:val="center"/>
            <w:hideMark/>
          </w:tcPr>
          <w:p w14:paraId="540FF60A"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саобраћајнице Рума - Шабац - Лозница</w:t>
            </w:r>
          </w:p>
        </w:tc>
        <w:tc>
          <w:tcPr>
            <w:tcW w:w="1680" w:type="dxa"/>
            <w:noWrap/>
            <w:vAlign w:val="center"/>
            <w:hideMark/>
          </w:tcPr>
          <w:p w14:paraId="035EB40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89,565,112,050</w:t>
            </w:r>
          </w:p>
        </w:tc>
        <w:tc>
          <w:tcPr>
            <w:tcW w:w="1680" w:type="dxa"/>
            <w:noWrap/>
            <w:vAlign w:val="center"/>
            <w:hideMark/>
          </w:tcPr>
          <w:p w14:paraId="632D349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19,170,000,000</w:t>
            </w:r>
          </w:p>
        </w:tc>
        <w:tc>
          <w:tcPr>
            <w:tcW w:w="1680" w:type="dxa"/>
            <w:noWrap/>
            <w:vAlign w:val="center"/>
            <w:hideMark/>
          </w:tcPr>
          <w:p w14:paraId="5846E8E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5,250,000,000</w:t>
            </w:r>
          </w:p>
        </w:tc>
        <w:tc>
          <w:tcPr>
            <w:tcW w:w="1660" w:type="dxa"/>
            <w:noWrap/>
            <w:vAlign w:val="center"/>
            <w:hideMark/>
          </w:tcPr>
          <w:p w14:paraId="3361EFA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3,900,000,000</w:t>
            </w:r>
          </w:p>
        </w:tc>
        <w:tc>
          <w:tcPr>
            <w:tcW w:w="1660" w:type="dxa"/>
            <w:noWrap/>
            <w:vAlign w:val="center"/>
            <w:hideMark/>
          </w:tcPr>
          <w:p w14:paraId="4F33148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5,000,000,000</w:t>
            </w:r>
          </w:p>
        </w:tc>
        <w:tc>
          <w:tcPr>
            <w:tcW w:w="2100" w:type="dxa"/>
            <w:noWrap/>
            <w:vAlign w:val="center"/>
            <w:hideMark/>
          </w:tcPr>
          <w:p w14:paraId="75A6A653"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122,885,112,050</w:t>
            </w:r>
          </w:p>
        </w:tc>
      </w:tr>
      <w:tr w:rsidR="009C1585" w:rsidRPr="001B41AD" w14:paraId="28254B1A" w14:textId="77777777" w:rsidTr="00147C90">
        <w:trPr>
          <w:trHeight w:val="20"/>
          <w:jc w:val="center"/>
        </w:trPr>
        <w:tc>
          <w:tcPr>
            <w:tcW w:w="540" w:type="dxa"/>
            <w:noWrap/>
            <w:vAlign w:val="center"/>
            <w:hideMark/>
          </w:tcPr>
          <w:p w14:paraId="7C027EF1"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15</w:t>
            </w:r>
          </w:p>
        </w:tc>
        <w:tc>
          <w:tcPr>
            <w:tcW w:w="1020" w:type="dxa"/>
            <w:shd w:val="clear" w:color="000000" w:fill="FFFFFF"/>
            <w:vAlign w:val="center"/>
            <w:hideMark/>
          </w:tcPr>
          <w:p w14:paraId="06CCD4B2"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5046</w:t>
            </w:r>
          </w:p>
        </w:tc>
        <w:tc>
          <w:tcPr>
            <w:tcW w:w="5780" w:type="dxa"/>
            <w:vAlign w:val="center"/>
            <w:hideMark/>
          </w:tcPr>
          <w:p w14:paraId="7B086EED"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Реализација пројеката железничке инфраструктуре</w:t>
            </w:r>
          </w:p>
        </w:tc>
        <w:tc>
          <w:tcPr>
            <w:tcW w:w="1680" w:type="dxa"/>
            <w:noWrap/>
            <w:vAlign w:val="center"/>
            <w:hideMark/>
          </w:tcPr>
          <w:p w14:paraId="0D94782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11,396,535,367</w:t>
            </w:r>
          </w:p>
        </w:tc>
        <w:tc>
          <w:tcPr>
            <w:tcW w:w="1680" w:type="dxa"/>
            <w:noWrap/>
            <w:vAlign w:val="center"/>
            <w:hideMark/>
          </w:tcPr>
          <w:p w14:paraId="13D1518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4,041,521,043</w:t>
            </w:r>
          </w:p>
        </w:tc>
        <w:tc>
          <w:tcPr>
            <w:tcW w:w="1680" w:type="dxa"/>
            <w:noWrap/>
            <w:vAlign w:val="center"/>
            <w:hideMark/>
          </w:tcPr>
          <w:p w14:paraId="60322D3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3,304,000,000</w:t>
            </w:r>
          </w:p>
        </w:tc>
        <w:tc>
          <w:tcPr>
            <w:tcW w:w="1660" w:type="dxa"/>
            <w:noWrap/>
            <w:vAlign w:val="center"/>
            <w:hideMark/>
          </w:tcPr>
          <w:p w14:paraId="7FFE850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772,130,000</w:t>
            </w:r>
          </w:p>
        </w:tc>
        <w:tc>
          <w:tcPr>
            <w:tcW w:w="1660" w:type="dxa"/>
            <w:noWrap/>
            <w:vAlign w:val="center"/>
            <w:hideMark/>
          </w:tcPr>
          <w:p w14:paraId="62415D4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00A3D4BF"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19,514,186,411</w:t>
            </w:r>
          </w:p>
        </w:tc>
      </w:tr>
      <w:tr w:rsidR="009C1585" w:rsidRPr="001B41AD" w14:paraId="02B93F13" w14:textId="77777777" w:rsidTr="00147C90">
        <w:trPr>
          <w:trHeight w:val="20"/>
          <w:jc w:val="center"/>
        </w:trPr>
        <w:tc>
          <w:tcPr>
            <w:tcW w:w="540" w:type="dxa"/>
            <w:shd w:val="clear" w:color="000000" w:fill="FFFFFF"/>
            <w:noWrap/>
            <w:vAlign w:val="center"/>
            <w:hideMark/>
          </w:tcPr>
          <w:p w14:paraId="39BEE243"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w:t>
            </w:r>
          </w:p>
        </w:tc>
        <w:tc>
          <w:tcPr>
            <w:tcW w:w="1020" w:type="dxa"/>
            <w:shd w:val="clear" w:color="000000" w:fill="FFFFFF"/>
            <w:vAlign w:val="center"/>
            <w:hideMark/>
          </w:tcPr>
          <w:p w14:paraId="6AFB040F"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5050</w:t>
            </w:r>
          </w:p>
        </w:tc>
        <w:tc>
          <w:tcPr>
            <w:tcW w:w="5780" w:type="dxa"/>
            <w:vAlign w:val="center"/>
            <w:hideMark/>
          </w:tcPr>
          <w:p w14:paraId="3AD7A232"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аутопута Ниш-Мердаре, деоница: Ниш-Плочник</w:t>
            </w:r>
          </w:p>
        </w:tc>
        <w:tc>
          <w:tcPr>
            <w:tcW w:w="1680" w:type="dxa"/>
            <w:noWrap/>
            <w:vAlign w:val="center"/>
            <w:hideMark/>
          </w:tcPr>
          <w:p w14:paraId="7D761D9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2,808,996,355</w:t>
            </w:r>
          </w:p>
        </w:tc>
        <w:tc>
          <w:tcPr>
            <w:tcW w:w="1680" w:type="dxa"/>
            <w:noWrap/>
            <w:vAlign w:val="center"/>
            <w:hideMark/>
          </w:tcPr>
          <w:p w14:paraId="375B453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200,000,000</w:t>
            </w:r>
          </w:p>
        </w:tc>
        <w:tc>
          <w:tcPr>
            <w:tcW w:w="1680" w:type="dxa"/>
            <w:noWrap/>
            <w:vAlign w:val="center"/>
            <w:hideMark/>
          </w:tcPr>
          <w:p w14:paraId="437B0A8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1,300,000,000</w:t>
            </w:r>
          </w:p>
        </w:tc>
        <w:tc>
          <w:tcPr>
            <w:tcW w:w="1660" w:type="dxa"/>
            <w:noWrap/>
            <w:vAlign w:val="center"/>
            <w:hideMark/>
          </w:tcPr>
          <w:p w14:paraId="6250863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4,900,000,000</w:t>
            </w:r>
          </w:p>
        </w:tc>
        <w:tc>
          <w:tcPr>
            <w:tcW w:w="1660" w:type="dxa"/>
            <w:noWrap/>
            <w:vAlign w:val="center"/>
            <w:hideMark/>
          </w:tcPr>
          <w:p w14:paraId="463987E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8,300,000,000</w:t>
            </w:r>
          </w:p>
        </w:tc>
        <w:tc>
          <w:tcPr>
            <w:tcW w:w="2100" w:type="dxa"/>
            <w:noWrap/>
            <w:vAlign w:val="center"/>
            <w:hideMark/>
          </w:tcPr>
          <w:p w14:paraId="282085C9"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37,310,000,000</w:t>
            </w:r>
          </w:p>
        </w:tc>
      </w:tr>
      <w:tr w:rsidR="009C1585" w:rsidRPr="001B41AD" w14:paraId="08B6213B" w14:textId="77777777" w:rsidTr="00147C90">
        <w:trPr>
          <w:trHeight w:val="20"/>
          <w:jc w:val="center"/>
        </w:trPr>
        <w:tc>
          <w:tcPr>
            <w:tcW w:w="540" w:type="dxa"/>
            <w:noWrap/>
            <w:vAlign w:val="center"/>
            <w:hideMark/>
          </w:tcPr>
          <w:p w14:paraId="17B56138"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lastRenderedPageBreak/>
              <w:t>17</w:t>
            </w:r>
          </w:p>
        </w:tc>
        <w:tc>
          <w:tcPr>
            <w:tcW w:w="1020" w:type="dxa"/>
            <w:vAlign w:val="center"/>
            <w:hideMark/>
          </w:tcPr>
          <w:p w14:paraId="245F665B"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5054</w:t>
            </w:r>
          </w:p>
        </w:tc>
        <w:tc>
          <w:tcPr>
            <w:tcW w:w="5780" w:type="dxa"/>
            <w:vAlign w:val="center"/>
            <w:hideMark/>
          </w:tcPr>
          <w:p w14:paraId="7AE686B3"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Унапређење услова за превођење бродова у оквиру бране на Тиси код Новог Бечеја</w:t>
            </w:r>
          </w:p>
        </w:tc>
        <w:tc>
          <w:tcPr>
            <w:tcW w:w="1680" w:type="dxa"/>
            <w:noWrap/>
            <w:vAlign w:val="center"/>
            <w:hideMark/>
          </w:tcPr>
          <w:p w14:paraId="78CA727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76,487,776</w:t>
            </w:r>
          </w:p>
        </w:tc>
        <w:tc>
          <w:tcPr>
            <w:tcW w:w="1680" w:type="dxa"/>
            <w:noWrap/>
            <w:vAlign w:val="center"/>
            <w:hideMark/>
          </w:tcPr>
          <w:p w14:paraId="09963FB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21,000,000</w:t>
            </w:r>
          </w:p>
        </w:tc>
        <w:tc>
          <w:tcPr>
            <w:tcW w:w="1680" w:type="dxa"/>
            <w:noWrap/>
            <w:vAlign w:val="center"/>
            <w:hideMark/>
          </w:tcPr>
          <w:p w14:paraId="6417D68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137,300,000</w:t>
            </w:r>
          </w:p>
        </w:tc>
        <w:tc>
          <w:tcPr>
            <w:tcW w:w="1660" w:type="dxa"/>
            <w:noWrap/>
            <w:vAlign w:val="center"/>
            <w:hideMark/>
          </w:tcPr>
          <w:p w14:paraId="018ED57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118,800,000</w:t>
            </w:r>
          </w:p>
        </w:tc>
        <w:tc>
          <w:tcPr>
            <w:tcW w:w="1660" w:type="dxa"/>
            <w:noWrap/>
            <w:vAlign w:val="center"/>
            <w:hideMark/>
          </w:tcPr>
          <w:p w14:paraId="5F9FDB7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59,400,000</w:t>
            </w:r>
          </w:p>
        </w:tc>
        <w:tc>
          <w:tcPr>
            <w:tcW w:w="2100" w:type="dxa"/>
            <w:noWrap/>
            <w:vAlign w:val="center"/>
            <w:hideMark/>
          </w:tcPr>
          <w:p w14:paraId="12B36F00"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9,599,325,000</w:t>
            </w:r>
          </w:p>
        </w:tc>
      </w:tr>
      <w:tr w:rsidR="009C1585" w:rsidRPr="001B41AD" w14:paraId="7715808C" w14:textId="77777777" w:rsidTr="00147C90">
        <w:trPr>
          <w:trHeight w:val="20"/>
          <w:jc w:val="center"/>
        </w:trPr>
        <w:tc>
          <w:tcPr>
            <w:tcW w:w="540" w:type="dxa"/>
            <w:noWrap/>
            <w:vAlign w:val="center"/>
            <w:hideMark/>
          </w:tcPr>
          <w:p w14:paraId="4E2579D3"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18</w:t>
            </w:r>
          </w:p>
        </w:tc>
        <w:tc>
          <w:tcPr>
            <w:tcW w:w="1020" w:type="dxa"/>
            <w:vAlign w:val="center"/>
            <w:hideMark/>
          </w:tcPr>
          <w:p w14:paraId="0EBF5FA2"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5056</w:t>
            </w:r>
          </w:p>
        </w:tc>
        <w:tc>
          <w:tcPr>
            <w:tcW w:w="5780" w:type="dxa"/>
            <w:vAlign w:val="center"/>
            <w:hideMark/>
          </w:tcPr>
          <w:p w14:paraId="5EC4845E"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Проширење капацитета Луке Сремска Митровица</w:t>
            </w:r>
          </w:p>
        </w:tc>
        <w:tc>
          <w:tcPr>
            <w:tcW w:w="1680" w:type="dxa"/>
            <w:noWrap/>
            <w:vAlign w:val="center"/>
            <w:hideMark/>
          </w:tcPr>
          <w:p w14:paraId="3417050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27,137,507</w:t>
            </w:r>
          </w:p>
        </w:tc>
        <w:tc>
          <w:tcPr>
            <w:tcW w:w="1680" w:type="dxa"/>
            <w:noWrap/>
            <w:vAlign w:val="center"/>
            <w:hideMark/>
          </w:tcPr>
          <w:p w14:paraId="7228D98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80" w:type="dxa"/>
            <w:noWrap/>
            <w:vAlign w:val="center"/>
            <w:hideMark/>
          </w:tcPr>
          <w:p w14:paraId="242EC14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30BA811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2,947,200,000</w:t>
            </w:r>
          </w:p>
        </w:tc>
        <w:tc>
          <w:tcPr>
            <w:tcW w:w="1660" w:type="dxa"/>
            <w:noWrap/>
            <w:vAlign w:val="center"/>
            <w:hideMark/>
          </w:tcPr>
          <w:p w14:paraId="7DF7FCB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1,688,857,000</w:t>
            </w:r>
          </w:p>
        </w:tc>
        <w:tc>
          <w:tcPr>
            <w:tcW w:w="2100" w:type="dxa"/>
            <w:noWrap/>
            <w:vAlign w:val="center"/>
            <w:hideMark/>
          </w:tcPr>
          <w:p w14:paraId="2DA6E7C0"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6,626,400,000</w:t>
            </w:r>
          </w:p>
        </w:tc>
      </w:tr>
      <w:tr w:rsidR="009C1585" w:rsidRPr="001B41AD" w14:paraId="5CD0C0D1" w14:textId="77777777" w:rsidTr="00147C90">
        <w:trPr>
          <w:trHeight w:val="20"/>
          <w:jc w:val="center"/>
        </w:trPr>
        <w:tc>
          <w:tcPr>
            <w:tcW w:w="540" w:type="dxa"/>
            <w:shd w:val="clear" w:color="000000" w:fill="FFFFFF"/>
            <w:noWrap/>
            <w:vAlign w:val="center"/>
            <w:hideMark/>
          </w:tcPr>
          <w:p w14:paraId="0EF165DC"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19</w:t>
            </w:r>
          </w:p>
        </w:tc>
        <w:tc>
          <w:tcPr>
            <w:tcW w:w="1020" w:type="dxa"/>
            <w:vAlign w:val="center"/>
            <w:hideMark/>
          </w:tcPr>
          <w:p w14:paraId="5DDD6B15"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5057</w:t>
            </w:r>
          </w:p>
        </w:tc>
        <w:tc>
          <w:tcPr>
            <w:tcW w:w="5780" w:type="dxa"/>
            <w:vAlign w:val="center"/>
            <w:hideMark/>
          </w:tcPr>
          <w:p w14:paraId="1261ED62"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Проширење капацитета Луке Богојево</w:t>
            </w:r>
          </w:p>
        </w:tc>
        <w:tc>
          <w:tcPr>
            <w:tcW w:w="1680" w:type="dxa"/>
            <w:noWrap/>
            <w:vAlign w:val="center"/>
            <w:hideMark/>
          </w:tcPr>
          <w:p w14:paraId="51DC798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230,373,220</w:t>
            </w:r>
          </w:p>
        </w:tc>
        <w:tc>
          <w:tcPr>
            <w:tcW w:w="1680" w:type="dxa"/>
            <w:noWrap/>
            <w:vAlign w:val="center"/>
            <w:hideMark/>
          </w:tcPr>
          <w:p w14:paraId="122F215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400,000,000</w:t>
            </w:r>
          </w:p>
        </w:tc>
        <w:tc>
          <w:tcPr>
            <w:tcW w:w="1680" w:type="dxa"/>
            <w:noWrap/>
            <w:vAlign w:val="center"/>
            <w:hideMark/>
          </w:tcPr>
          <w:p w14:paraId="351EAC4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432,000,000</w:t>
            </w:r>
          </w:p>
        </w:tc>
        <w:tc>
          <w:tcPr>
            <w:tcW w:w="1660" w:type="dxa"/>
            <w:noWrap/>
            <w:vAlign w:val="center"/>
            <w:hideMark/>
          </w:tcPr>
          <w:p w14:paraId="74C4A11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2,197,798,000</w:t>
            </w:r>
          </w:p>
        </w:tc>
        <w:tc>
          <w:tcPr>
            <w:tcW w:w="1660" w:type="dxa"/>
            <w:noWrap/>
            <w:vAlign w:val="center"/>
            <w:hideMark/>
          </w:tcPr>
          <w:p w14:paraId="36650C7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1,601,500,000</w:t>
            </w:r>
          </w:p>
        </w:tc>
        <w:tc>
          <w:tcPr>
            <w:tcW w:w="2100" w:type="dxa"/>
            <w:noWrap/>
            <w:vAlign w:val="center"/>
            <w:hideMark/>
          </w:tcPr>
          <w:p w14:paraId="5D9CA0C6"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7,896,476,900</w:t>
            </w:r>
          </w:p>
        </w:tc>
      </w:tr>
      <w:tr w:rsidR="009C1585" w:rsidRPr="001B41AD" w14:paraId="713834BE" w14:textId="77777777" w:rsidTr="00147C90">
        <w:trPr>
          <w:trHeight w:val="20"/>
          <w:jc w:val="center"/>
        </w:trPr>
        <w:tc>
          <w:tcPr>
            <w:tcW w:w="540" w:type="dxa"/>
            <w:noWrap/>
            <w:vAlign w:val="center"/>
            <w:hideMark/>
          </w:tcPr>
          <w:p w14:paraId="4F81F98D"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20</w:t>
            </w:r>
          </w:p>
        </w:tc>
        <w:tc>
          <w:tcPr>
            <w:tcW w:w="1020" w:type="dxa"/>
            <w:vAlign w:val="center"/>
            <w:hideMark/>
          </w:tcPr>
          <w:p w14:paraId="484F7814"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5058</w:t>
            </w:r>
          </w:p>
        </w:tc>
        <w:tc>
          <w:tcPr>
            <w:tcW w:w="5780" w:type="dxa"/>
            <w:vAlign w:val="center"/>
            <w:hideMark/>
          </w:tcPr>
          <w:p w14:paraId="2BBE79A6"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Проширење капацитета Луке Прахово</w:t>
            </w:r>
          </w:p>
        </w:tc>
        <w:tc>
          <w:tcPr>
            <w:tcW w:w="1680" w:type="dxa"/>
            <w:noWrap/>
            <w:vAlign w:val="center"/>
            <w:hideMark/>
          </w:tcPr>
          <w:p w14:paraId="454D9BB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856,368,146</w:t>
            </w:r>
          </w:p>
        </w:tc>
        <w:tc>
          <w:tcPr>
            <w:tcW w:w="1680" w:type="dxa"/>
            <w:noWrap/>
            <w:vAlign w:val="center"/>
            <w:hideMark/>
          </w:tcPr>
          <w:p w14:paraId="4D5C719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1,200,000,000</w:t>
            </w:r>
          </w:p>
        </w:tc>
        <w:tc>
          <w:tcPr>
            <w:tcW w:w="1680" w:type="dxa"/>
            <w:noWrap/>
            <w:vAlign w:val="center"/>
            <w:hideMark/>
          </w:tcPr>
          <w:p w14:paraId="6E7F403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1,300,000,000</w:t>
            </w:r>
          </w:p>
        </w:tc>
        <w:tc>
          <w:tcPr>
            <w:tcW w:w="1660" w:type="dxa"/>
            <w:noWrap/>
            <w:vAlign w:val="center"/>
            <w:hideMark/>
          </w:tcPr>
          <w:p w14:paraId="22D06AC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1,000,000,000</w:t>
            </w:r>
          </w:p>
        </w:tc>
        <w:tc>
          <w:tcPr>
            <w:tcW w:w="1660" w:type="dxa"/>
            <w:noWrap/>
            <w:vAlign w:val="center"/>
            <w:hideMark/>
          </w:tcPr>
          <w:p w14:paraId="309E4A6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w:t>
            </w:r>
          </w:p>
        </w:tc>
        <w:tc>
          <w:tcPr>
            <w:tcW w:w="2100" w:type="dxa"/>
            <w:noWrap/>
            <w:vAlign w:val="center"/>
            <w:hideMark/>
          </w:tcPr>
          <w:p w14:paraId="4399755C"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5,405,000,000</w:t>
            </w:r>
          </w:p>
        </w:tc>
      </w:tr>
      <w:tr w:rsidR="009C1585" w:rsidRPr="001B41AD" w14:paraId="64B80C43" w14:textId="77777777" w:rsidTr="00147C90">
        <w:trPr>
          <w:trHeight w:val="20"/>
          <w:jc w:val="center"/>
        </w:trPr>
        <w:tc>
          <w:tcPr>
            <w:tcW w:w="540" w:type="dxa"/>
            <w:noWrap/>
            <w:vAlign w:val="center"/>
            <w:hideMark/>
          </w:tcPr>
          <w:p w14:paraId="144C539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21</w:t>
            </w:r>
          </w:p>
        </w:tc>
        <w:tc>
          <w:tcPr>
            <w:tcW w:w="1020" w:type="dxa"/>
            <w:shd w:val="clear" w:color="000000" w:fill="FFFFFF"/>
            <w:vAlign w:val="center"/>
            <w:hideMark/>
          </w:tcPr>
          <w:p w14:paraId="4F2E7C93"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5059</w:t>
            </w:r>
          </w:p>
        </w:tc>
        <w:tc>
          <w:tcPr>
            <w:tcW w:w="5780" w:type="dxa"/>
            <w:vAlign w:val="center"/>
            <w:hideMark/>
          </w:tcPr>
          <w:p w14:paraId="456DF542"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Адаптација бродске преводнице у саставу ХЕПС „Ђердап 2”</w:t>
            </w:r>
          </w:p>
        </w:tc>
        <w:tc>
          <w:tcPr>
            <w:tcW w:w="1680" w:type="dxa"/>
            <w:noWrap/>
            <w:vAlign w:val="center"/>
            <w:hideMark/>
          </w:tcPr>
          <w:p w14:paraId="2666C75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3,639,709,454</w:t>
            </w:r>
          </w:p>
        </w:tc>
        <w:tc>
          <w:tcPr>
            <w:tcW w:w="1680" w:type="dxa"/>
            <w:noWrap/>
            <w:vAlign w:val="center"/>
            <w:hideMark/>
          </w:tcPr>
          <w:p w14:paraId="4FFADAD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1,258,175,640</w:t>
            </w:r>
          </w:p>
        </w:tc>
        <w:tc>
          <w:tcPr>
            <w:tcW w:w="1680" w:type="dxa"/>
            <w:noWrap/>
            <w:vAlign w:val="center"/>
            <w:hideMark/>
          </w:tcPr>
          <w:p w14:paraId="65AAD38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55,000,000</w:t>
            </w:r>
          </w:p>
        </w:tc>
        <w:tc>
          <w:tcPr>
            <w:tcW w:w="1660" w:type="dxa"/>
            <w:noWrap/>
            <w:vAlign w:val="center"/>
            <w:hideMark/>
          </w:tcPr>
          <w:p w14:paraId="6580F4C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1F3C166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5F33E3D3"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4,952,885,094</w:t>
            </w:r>
          </w:p>
        </w:tc>
      </w:tr>
      <w:tr w:rsidR="009C1585" w:rsidRPr="001B41AD" w14:paraId="563EA1E0" w14:textId="77777777" w:rsidTr="00147C90">
        <w:trPr>
          <w:trHeight w:val="20"/>
          <w:jc w:val="center"/>
        </w:trPr>
        <w:tc>
          <w:tcPr>
            <w:tcW w:w="540" w:type="dxa"/>
            <w:shd w:val="clear" w:color="000000" w:fill="FFFFFF"/>
            <w:noWrap/>
            <w:vAlign w:val="center"/>
            <w:hideMark/>
          </w:tcPr>
          <w:p w14:paraId="03BB54CA"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22</w:t>
            </w:r>
          </w:p>
        </w:tc>
        <w:tc>
          <w:tcPr>
            <w:tcW w:w="1020" w:type="dxa"/>
            <w:shd w:val="clear" w:color="000000" w:fill="FFFFFF"/>
            <w:vAlign w:val="center"/>
            <w:hideMark/>
          </w:tcPr>
          <w:p w14:paraId="44B072D1"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5061</w:t>
            </w:r>
          </w:p>
        </w:tc>
        <w:tc>
          <w:tcPr>
            <w:tcW w:w="5780" w:type="dxa"/>
            <w:vAlign w:val="center"/>
            <w:hideMark/>
          </w:tcPr>
          <w:p w14:paraId="4031A6EC"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Реконструкција и доградња граничног прелаза Хоргош</w:t>
            </w:r>
          </w:p>
        </w:tc>
        <w:tc>
          <w:tcPr>
            <w:tcW w:w="1680" w:type="dxa"/>
            <w:noWrap/>
            <w:vAlign w:val="center"/>
            <w:hideMark/>
          </w:tcPr>
          <w:p w14:paraId="4BDD944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2,489,209,751</w:t>
            </w:r>
          </w:p>
        </w:tc>
        <w:tc>
          <w:tcPr>
            <w:tcW w:w="1680" w:type="dxa"/>
            <w:noWrap/>
            <w:vAlign w:val="center"/>
            <w:hideMark/>
          </w:tcPr>
          <w:p w14:paraId="0E8D90B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356,590,249</w:t>
            </w:r>
          </w:p>
        </w:tc>
        <w:tc>
          <w:tcPr>
            <w:tcW w:w="1680" w:type="dxa"/>
            <w:noWrap/>
            <w:vAlign w:val="center"/>
            <w:hideMark/>
          </w:tcPr>
          <w:p w14:paraId="67F606D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200,000,000</w:t>
            </w:r>
          </w:p>
        </w:tc>
        <w:tc>
          <w:tcPr>
            <w:tcW w:w="1660" w:type="dxa"/>
            <w:noWrap/>
            <w:vAlign w:val="center"/>
            <w:hideMark/>
          </w:tcPr>
          <w:p w14:paraId="6472173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07F1650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52BDCBC2"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3,045,800,000</w:t>
            </w:r>
          </w:p>
        </w:tc>
      </w:tr>
      <w:tr w:rsidR="009C1585" w:rsidRPr="001B41AD" w14:paraId="02F4038B" w14:textId="77777777" w:rsidTr="00147C90">
        <w:trPr>
          <w:trHeight w:val="20"/>
          <w:jc w:val="center"/>
        </w:trPr>
        <w:tc>
          <w:tcPr>
            <w:tcW w:w="540" w:type="dxa"/>
            <w:noWrap/>
            <w:vAlign w:val="center"/>
            <w:hideMark/>
          </w:tcPr>
          <w:p w14:paraId="3BD4E465"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23</w:t>
            </w:r>
          </w:p>
        </w:tc>
        <w:tc>
          <w:tcPr>
            <w:tcW w:w="1020" w:type="dxa"/>
            <w:shd w:val="clear" w:color="000000" w:fill="FFFFFF"/>
            <w:vAlign w:val="center"/>
            <w:hideMark/>
          </w:tcPr>
          <w:p w14:paraId="714ABE3F"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5062</w:t>
            </w:r>
          </w:p>
        </w:tc>
        <w:tc>
          <w:tcPr>
            <w:tcW w:w="5780" w:type="dxa"/>
            <w:vAlign w:val="center"/>
            <w:hideMark/>
          </w:tcPr>
          <w:p w14:paraId="5B7162A2"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аутопута, деоница: Београд - Зрењанин</w:t>
            </w:r>
          </w:p>
        </w:tc>
        <w:tc>
          <w:tcPr>
            <w:tcW w:w="1680" w:type="dxa"/>
            <w:noWrap/>
            <w:vAlign w:val="center"/>
            <w:hideMark/>
          </w:tcPr>
          <w:p w14:paraId="27E1C27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80" w:type="dxa"/>
            <w:noWrap/>
            <w:vAlign w:val="center"/>
            <w:hideMark/>
          </w:tcPr>
          <w:p w14:paraId="1AEEDC8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12,013,000,000</w:t>
            </w:r>
          </w:p>
        </w:tc>
        <w:tc>
          <w:tcPr>
            <w:tcW w:w="1680" w:type="dxa"/>
            <w:noWrap/>
            <w:vAlign w:val="center"/>
            <w:hideMark/>
          </w:tcPr>
          <w:p w14:paraId="588ED37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12,000,000,000</w:t>
            </w:r>
          </w:p>
        </w:tc>
        <w:tc>
          <w:tcPr>
            <w:tcW w:w="1660" w:type="dxa"/>
            <w:noWrap/>
            <w:vAlign w:val="center"/>
            <w:hideMark/>
          </w:tcPr>
          <w:p w14:paraId="7A53BE2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10,795,000,000</w:t>
            </w:r>
          </w:p>
        </w:tc>
        <w:tc>
          <w:tcPr>
            <w:tcW w:w="1660" w:type="dxa"/>
            <w:noWrap/>
            <w:vAlign w:val="center"/>
            <w:hideMark/>
          </w:tcPr>
          <w:p w14:paraId="79B26E9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16,346,000,000</w:t>
            </w:r>
          </w:p>
        </w:tc>
        <w:tc>
          <w:tcPr>
            <w:tcW w:w="2100" w:type="dxa"/>
            <w:noWrap/>
            <w:vAlign w:val="center"/>
            <w:hideMark/>
          </w:tcPr>
          <w:p w14:paraId="4D48F536"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187,600,000,000</w:t>
            </w:r>
          </w:p>
        </w:tc>
      </w:tr>
      <w:tr w:rsidR="009C1585" w:rsidRPr="001B41AD" w14:paraId="161CDA83" w14:textId="77777777" w:rsidTr="00147C90">
        <w:trPr>
          <w:trHeight w:val="20"/>
          <w:jc w:val="center"/>
        </w:trPr>
        <w:tc>
          <w:tcPr>
            <w:tcW w:w="540" w:type="dxa"/>
            <w:noWrap/>
            <w:vAlign w:val="center"/>
            <w:hideMark/>
          </w:tcPr>
          <w:p w14:paraId="6638A6B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24</w:t>
            </w:r>
          </w:p>
        </w:tc>
        <w:tc>
          <w:tcPr>
            <w:tcW w:w="1020" w:type="dxa"/>
            <w:shd w:val="clear" w:color="000000" w:fill="FFFFFF"/>
            <w:vAlign w:val="center"/>
            <w:hideMark/>
          </w:tcPr>
          <w:p w14:paraId="265F9AD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5064</w:t>
            </w:r>
          </w:p>
        </w:tc>
        <w:tc>
          <w:tcPr>
            <w:tcW w:w="5780" w:type="dxa"/>
            <w:vAlign w:val="center"/>
            <w:hideMark/>
          </w:tcPr>
          <w:p w14:paraId="3CC2E51F"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новог моста преко реке Саве у Београду</w:t>
            </w:r>
          </w:p>
        </w:tc>
        <w:tc>
          <w:tcPr>
            <w:tcW w:w="1680" w:type="dxa"/>
            <w:noWrap/>
            <w:vAlign w:val="center"/>
            <w:hideMark/>
          </w:tcPr>
          <w:p w14:paraId="1BDC9BA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3,962,667,573</w:t>
            </w:r>
          </w:p>
        </w:tc>
        <w:tc>
          <w:tcPr>
            <w:tcW w:w="1680" w:type="dxa"/>
            <w:noWrap/>
            <w:vAlign w:val="center"/>
            <w:hideMark/>
          </w:tcPr>
          <w:p w14:paraId="794BEA6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617,332,427</w:t>
            </w:r>
          </w:p>
        </w:tc>
        <w:tc>
          <w:tcPr>
            <w:tcW w:w="1680" w:type="dxa"/>
            <w:noWrap/>
            <w:vAlign w:val="center"/>
            <w:hideMark/>
          </w:tcPr>
          <w:p w14:paraId="706D172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4,820,000,000</w:t>
            </w:r>
          </w:p>
        </w:tc>
        <w:tc>
          <w:tcPr>
            <w:tcW w:w="1660" w:type="dxa"/>
            <w:noWrap/>
            <w:vAlign w:val="center"/>
            <w:hideMark/>
          </w:tcPr>
          <w:p w14:paraId="241D74C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2,600,000,000</w:t>
            </w:r>
          </w:p>
        </w:tc>
        <w:tc>
          <w:tcPr>
            <w:tcW w:w="1660" w:type="dxa"/>
            <w:noWrap/>
            <w:vAlign w:val="center"/>
            <w:hideMark/>
          </w:tcPr>
          <w:p w14:paraId="1914DE4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509F9B7D"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12,000,000,000</w:t>
            </w:r>
          </w:p>
        </w:tc>
      </w:tr>
      <w:tr w:rsidR="009C1585" w:rsidRPr="001B41AD" w14:paraId="04222337" w14:textId="77777777" w:rsidTr="00147C90">
        <w:trPr>
          <w:trHeight w:val="20"/>
          <w:jc w:val="center"/>
        </w:trPr>
        <w:tc>
          <w:tcPr>
            <w:tcW w:w="540" w:type="dxa"/>
            <w:shd w:val="clear" w:color="000000" w:fill="FFFFFF"/>
            <w:noWrap/>
            <w:vAlign w:val="center"/>
            <w:hideMark/>
          </w:tcPr>
          <w:p w14:paraId="6BF78DBB"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25</w:t>
            </w:r>
          </w:p>
        </w:tc>
        <w:tc>
          <w:tcPr>
            <w:tcW w:w="1020" w:type="dxa"/>
            <w:shd w:val="clear" w:color="000000" w:fill="FFFFFF"/>
            <w:vAlign w:val="center"/>
            <w:hideMark/>
          </w:tcPr>
          <w:p w14:paraId="13053D57"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5066</w:t>
            </w:r>
          </w:p>
        </w:tc>
        <w:tc>
          <w:tcPr>
            <w:tcW w:w="5780" w:type="dxa"/>
            <w:vAlign w:val="center"/>
            <w:hideMark/>
          </w:tcPr>
          <w:p w14:paraId="4B0EF691"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брзе саобраћајнице, деоница: Иверак-Лајковац</w:t>
            </w:r>
          </w:p>
        </w:tc>
        <w:tc>
          <w:tcPr>
            <w:tcW w:w="1680" w:type="dxa"/>
            <w:noWrap/>
            <w:vAlign w:val="center"/>
            <w:hideMark/>
          </w:tcPr>
          <w:p w14:paraId="1815E8D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21,821,128,074</w:t>
            </w:r>
          </w:p>
        </w:tc>
        <w:tc>
          <w:tcPr>
            <w:tcW w:w="1680" w:type="dxa"/>
            <w:noWrap/>
            <w:vAlign w:val="center"/>
            <w:hideMark/>
          </w:tcPr>
          <w:p w14:paraId="1B92B45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8,241,818,921</w:t>
            </w:r>
          </w:p>
        </w:tc>
        <w:tc>
          <w:tcPr>
            <w:tcW w:w="1680" w:type="dxa"/>
            <w:noWrap/>
            <w:vAlign w:val="center"/>
            <w:hideMark/>
          </w:tcPr>
          <w:p w14:paraId="661C0E9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2,600,000,000</w:t>
            </w:r>
          </w:p>
        </w:tc>
        <w:tc>
          <w:tcPr>
            <w:tcW w:w="1660" w:type="dxa"/>
            <w:noWrap/>
            <w:vAlign w:val="center"/>
            <w:hideMark/>
          </w:tcPr>
          <w:p w14:paraId="5D69AE0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3A45E1D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25F6B247"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32,662,946,996</w:t>
            </w:r>
          </w:p>
        </w:tc>
      </w:tr>
      <w:tr w:rsidR="009C1585" w:rsidRPr="001B41AD" w14:paraId="479ECEEB" w14:textId="77777777" w:rsidTr="00147C90">
        <w:trPr>
          <w:trHeight w:val="20"/>
          <w:jc w:val="center"/>
        </w:trPr>
        <w:tc>
          <w:tcPr>
            <w:tcW w:w="540" w:type="dxa"/>
            <w:noWrap/>
            <w:vAlign w:val="center"/>
            <w:hideMark/>
          </w:tcPr>
          <w:p w14:paraId="2CADAB28"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26</w:t>
            </w:r>
          </w:p>
        </w:tc>
        <w:tc>
          <w:tcPr>
            <w:tcW w:w="1020" w:type="dxa"/>
            <w:shd w:val="clear" w:color="000000" w:fill="FFFFFF"/>
            <w:vAlign w:val="center"/>
            <w:hideMark/>
          </w:tcPr>
          <w:p w14:paraId="1D8BDD86"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5067</w:t>
            </w:r>
          </w:p>
        </w:tc>
        <w:tc>
          <w:tcPr>
            <w:tcW w:w="5780" w:type="dxa"/>
            <w:vAlign w:val="center"/>
            <w:hideMark/>
          </w:tcPr>
          <w:p w14:paraId="19BE15CE"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моста - обилазнице око Новог Сада са приступним саобраћајницама</w:t>
            </w:r>
          </w:p>
        </w:tc>
        <w:tc>
          <w:tcPr>
            <w:tcW w:w="1680" w:type="dxa"/>
            <w:noWrap/>
            <w:vAlign w:val="center"/>
            <w:hideMark/>
          </w:tcPr>
          <w:p w14:paraId="2C57353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4,514,198,853</w:t>
            </w:r>
          </w:p>
        </w:tc>
        <w:tc>
          <w:tcPr>
            <w:tcW w:w="1680" w:type="dxa"/>
            <w:noWrap/>
            <w:vAlign w:val="center"/>
            <w:hideMark/>
          </w:tcPr>
          <w:p w14:paraId="28A0328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5,630,801,147</w:t>
            </w:r>
          </w:p>
        </w:tc>
        <w:tc>
          <w:tcPr>
            <w:tcW w:w="1680" w:type="dxa"/>
            <w:noWrap/>
            <w:vAlign w:val="center"/>
            <w:hideMark/>
          </w:tcPr>
          <w:p w14:paraId="24BE3DF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7,600,000,000</w:t>
            </w:r>
          </w:p>
        </w:tc>
        <w:tc>
          <w:tcPr>
            <w:tcW w:w="1660" w:type="dxa"/>
            <w:noWrap/>
            <w:vAlign w:val="center"/>
            <w:hideMark/>
          </w:tcPr>
          <w:p w14:paraId="315B913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5,400,000,000</w:t>
            </w:r>
          </w:p>
        </w:tc>
        <w:tc>
          <w:tcPr>
            <w:tcW w:w="1660" w:type="dxa"/>
            <w:noWrap/>
            <w:vAlign w:val="center"/>
            <w:hideMark/>
          </w:tcPr>
          <w:p w14:paraId="20DF6B3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1,600,000,000</w:t>
            </w:r>
          </w:p>
        </w:tc>
        <w:tc>
          <w:tcPr>
            <w:tcW w:w="2100" w:type="dxa"/>
            <w:noWrap/>
            <w:vAlign w:val="center"/>
            <w:hideMark/>
          </w:tcPr>
          <w:p w14:paraId="3621BEBB"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24,745,000,000</w:t>
            </w:r>
          </w:p>
        </w:tc>
      </w:tr>
      <w:tr w:rsidR="009C1585" w:rsidRPr="001B41AD" w14:paraId="54532FEA" w14:textId="77777777" w:rsidTr="00147C90">
        <w:trPr>
          <w:trHeight w:val="20"/>
          <w:jc w:val="center"/>
        </w:trPr>
        <w:tc>
          <w:tcPr>
            <w:tcW w:w="540" w:type="dxa"/>
            <w:noWrap/>
            <w:vAlign w:val="center"/>
            <w:hideMark/>
          </w:tcPr>
          <w:p w14:paraId="3274F60C"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27</w:t>
            </w:r>
          </w:p>
        </w:tc>
        <w:tc>
          <w:tcPr>
            <w:tcW w:w="1020" w:type="dxa"/>
            <w:shd w:val="clear" w:color="000000" w:fill="FFFFFF"/>
            <w:vAlign w:val="center"/>
            <w:hideMark/>
          </w:tcPr>
          <w:p w14:paraId="4C0FFAAF"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5069</w:t>
            </w:r>
          </w:p>
        </w:tc>
        <w:tc>
          <w:tcPr>
            <w:tcW w:w="5780" w:type="dxa"/>
            <w:vAlign w:val="center"/>
            <w:hideMark/>
          </w:tcPr>
          <w:p w14:paraId="1C10DAA0"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Пројекат изградње обилазница и тунела</w:t>
            </w:r>
          </w:p>
        </w:tc>
        <w:tc>
          <w:tcPr>
            <w:tcW w:w="1680" w:type="dxa"/>
            <w:noWrap/>
            <w:vAlign w:val="center"/>
            <w:hideMark/>
          </w:tcPr>
          <w:p w14:paraId="4D9FF7C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5,570,131,319</w:t>
            </w:r>
          </w:p>
        </w:tc>
        <w:tc>
          <w:tcPr>
            <w:tcW w:w="1680" w:type="dxa"/>
            <w:noWrap/>
            <w:vAlign w:val="center"/>
            <w:hideMark/>
          </w:tcPr>
          <w:p w14:paraId="0CF25ED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2,554,000,000</w:t>
            </w:r>
          </w:p>
        </w:tc>
        <w:tc>
          <w:tcPr>
            <w:tcW w:w="1680" w:type="dxa"/>
            <w:noWrap/>
            <w:vAlign w:val="center"/>
            <w:hideMark/>
          </w:tcPr>
          <w:p w14:paraId="492D697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3,200,000,000</w:t>
            </w:r>
          </w:p>
        </w:tc>
        <w:tc>
          <w:tcPr>
            <w:tcW w:w="1660" w:type="dxa"/>
            <w:noWrap/>
            <w:vAlign w:val="center"/>
            <w:hideMark/>
          </w:tcPr>
          <w:p w14:paraId="6E341B1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3,200,000,000</w:t>
            </w:r>
          </w:p>
        </w:tc>
        <w:tc>
          <w:tcPr>
            <w:tcW w:w="1660" w:type="dxa"/>
            <w:noWrap/>
            <w:vAlign w:val="center"/>
            <w:hideMark/>
          </w:tcPr>
          <w:p w14:paraId="60008D9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5,350,831,000</w:t>
            </w:r>
          </w:p>
        </w:tc>
        <w:tc>
          <w:tcPr>
            <w:tcW w:w="2100" w:type="dxa"/>
            <w:noWrap/>
            <w:vAlign w:val="center"/>
            <w:hideMark/>
          </w:tcPr>
          <w:p w14:paraId="10457982"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23,370,131,319</w:t>
            </w:r>
          </w:p>
        </w:tc>
      </w:tr>
      <w:tr w:rsidR="009C1585" w:rsidRPr="001B41AD" w14:paraId="323277AB" w14:textId="77777777" w:rsidTr="00147C90">
        <w:trPr>
          <w:trHeight w:val="20"/>
          <w:jc w:val="center"/>
        </w:trPr>
        <w:tc>
          <w:tcPr>
            <w:tcW w:w="540" w:type="dxa"/>
            <w:shd w:val="clear" w:color="000000" w:fill="FFFFFF"/>
            <w:noWrap/>
            <w:vAlign w:val="center"/>
            <w:hideMark/>
          </w:tcPr>
          <w:p w14:paraId="16620CFC"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28</w:t>
            </w:r>
          </w:p>
        </w:tc>
        <w:tc>
          <w:tcPr>
            <w:tcW w:w="1020" w:type="dxa"/>
            <w:shd w:val="clear" w:color="000000" w:fill="FFFFFF"/>
            <w:vAlign w:val="center"/>
            <w:hideMark/>
          </w:tcPr>
          <w:p w14:paraId="4A98E561"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5070</w:t>
            </w:r>
          </w:p>
        </w:tc>
        <w:tc>
          <w:tcPr>
            <w:tcW w:w="5780" w:type="dxa"/>
            <w:vAlign w:val="center"/>
            <w:hideMark/>
          </w:tcPr>
          <w:p w14:paraId="66A49F2A"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Пројекат изградње комуналне (канализационе) инфраструктуре и инфраструктуре за одлагање комуналног чврстог отпада у Републици Србији</w:t>
            </w:r>
          </w:p>
        </w:tc>
        <w:tc>
          <w:tcPr>
            <w:tcW w:w="1680" w:type="dxa"/>
            <w:noWrap/>
            <w:vAlign w:val="center"/>
            <w:hideMark/>
          </w:tcPr>
          <w:p w14:paraId="547B01C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39,502,204,651</w:t>
            </w:r>
          </w:p>
        </w:tc>
        <w:tc>
          <w:tcPr>
            <w:tcW w:w="1680" w:type="dxa"/>
            <w:noWrap/>
            <w:vAlign w:val="center"/>
            <w:hideMark/>
          </w:tcPr>
          <w:p w14:paraId="0E00CC6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11,267,123,763</w:t>
            </w:r>
          </w:p>
        </w:tc>
        <w:tc>
          <w:tcPr>
            <w:tcW w:w="1680" w:type="dxa"/>
            <w:noWrap/>
            <w:vAlign w:val="center"/>
            <w:hideMark/>
          </w:tcPr>
          <w:p w14:paraId="4FAE1E0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8,000,000,000</w:t>
            </w:r>
          </w:p>
        </w:tc>
        <w:tc>
          <w:tcPr>
            <w:tcW w:w="1660" w:type="dxa"/>
            <w:noWrap/>
            <w:vAlign w:val="center"/>
            <w:hideMark/>
          </w:tcPr>
          <w:p w14:paraId="65C1C1A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6,000,000,000</w:t>
            </w:r>
          </w:p>
        </w:tc>
        <w:tc>
          <w:tcPr>
            <w:tcW w:w="1660" w:type="dxa"/>
            <w:noWrap/>
            <w:vAlign w:val="center"/>
            <w:hideMark/>
          </w:tcPr>
          <w:p w14:paraId="552E69A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4,000,000,000</w:t>
            </w:r>
          </w:p>
        </w:tc>
        <w:tc>
          <w:tcPr>
            <w:tcW w:w="2100" w:type="dxa"/>
            <w:noWrap/>
            <w:vAlign w:val="center"/>
            <w:hideMark/>
          </w:tcPr>
          <w:p w14:paraId="7098D50E"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367,895,069,040</w:t>
            </w:r>
          </w:p>
        </w:tc>
      </w:tr>
      <w:tr w:rsidR="009C1585" w:rsidRPr="001B41AD" w14:paraId="035685FA" w14:textId="77777777" w:rsidTr="00147C90">
        <w:trPr>
          <w:trHeight w:val="20"/>
          <w:jc w:val="center"/>
        </w:trPr>
        <w:tc>
          <w:tcPr>
            <w:tcW w:w="540" w:type="dxa"/>
            <w:noWrap/>
            <w:vAlign w:val="center"/>
            <w:hideMark/>
          </w:tcPr>
          <w:p w14:paraId="55259F15"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29</w:t>
            </w:r>
          </w:p>
        </w:tc>
        <w:tc>
          <w:tcPr>
            <w:tcW w:w="1020" w:type="dxa"/>
            <w:shd w:val="clear" w:color="000000" w:fill="FFFFFF"/>
            <w:vAlign w:val="center"/>
            <w:hideMark/>
          </w:tcPr>
          <w:p w14:paraId="1F54B8CE"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5071</w:t>
            </w:r>
          </w:p>
        </w:tc>
        <w:tc>
          <w:tcPr>
            <w:tcW w:w="5780" w:type="dxa"/>
            <w:vAlign w:val="center"/>
            <w:hideMark/>
          </w:tcPr>
          <w:p w14:paraId="104277F4"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Пројекат сакупљања и пречишћавања отпадних вода Централног канализационог система Града Београда</w:t>
            </w:r>
          </w:p>
        </w:tc>
        <w:tc>
          <w:tcPr>
            <w:tcW w:w="1680" w:type="dxa"/>
            <w:noWrap/>
            <w:vAlign w:val="center"/>
            <w:hideMark/>
          </w:tcPr>
          <w:p w14:paraId="6100793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846,095,280</w:t>
            </w:r>
          </w:p>
        </w:tc>
        <w:tc>
          <w:tcPr>
            <w:tcW w:w="1680" w:type="dxa"/>
            <w:noWrap/>
            <w:vAlign w:val="center"/>
            <w:hideMark/>
          </w:tcPr>
          <w:p w14:paraId="6A365DC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5,000,000,000</w:t>
            </w:r>
          </w:p>
        </w:tc>
        <w:tc>
          <w:tcPr>
            <w:tcW w:w="1680" w:type="dxa"/>
            <w:noWrap/>
            <w:vAlign w:val="center"/>
            <w:hideMark/>
          </w:tcPr>
          <w:p w14:paraId="42B8D41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2,000,000,000</w:t>
            </w:r>
          </w:p>
        </w:tc>
        <w:tc>
          <w:tcPr>
            <w:tcW w:w="1660" w:type="dxa"/>
            <w:noWrap/>
            <w:vAlign w:val="center"/>
            <w:hideMark/>
          </w:tcPr>
          <w:p w14:paraId="47AC672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2,000,000,000</w:t>
            </w:r>
          </w:p>
        </w:tc>
        <w:tc>
          <w:tcPr>
            <w:tcW w:w="1660" w:type="dxa"/>
            <w:noWrap/>
            <w:vAlign w:val="center"/>
            <w:hideMark/>
          </w:tcPr>
          <w:p w14:paraId="3BFEB20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2,000,000,000</w:t>
            </w:r>
          </w:p>
        </w:tc>
        <w:tc>
          <w:tcPr>
            <w:tcW w:w="2100" w:type="dxa"/>
            <w:noWrap/>
            <w:vAlign w:val="center"/>
            <w:hideMark/>
          </w:tcPr>
          <w:p w14:paraId="3501062C"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32,604,000,000</w:t>
            </w:r>
          </w:p>
        </w:tc>
      </w:tr>
      <w:tr w:rsidR="009C1585" w:rsidRPr="001B41AD" w14:paraId="619605A1" w14:textId="77777777" w:rsidTr="00147C90">
        <w:trPr>
          <w:trHeight w:val="20"/>
          <w:jc w:val="center"/>
        </w:trPr>
        <w:tc>
          <w:tcPr>
            <w:tcW w:w="540" w:type="dxa"/>
            <w:noWrap/>
            <w:vAlign w:val="center"/>
            <w:hideMark/>
          </w:tcPr>
          <w:p w14:paraId="295E7FF1"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30</w:t>
            </w:r>
          </w:p>
        </w:tc>
        <w:tc>
          <w:tcPr>
            <w:tcW w:w="1020" w:type="dxa"/>
            <w:shd w:val="clear" w:color="000000" w:fill="FFFFFF"/>
            <w:vAlign w:val="center"/>
            <w:hideMark/>
          </w:tcPr>
          <w:p w14:paraId="295F1C44"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5072</w:t>
            </w:r>
          </w:p>
        </w:tc>
        <w:tc>
          <w:tcPr>
            <w:tcW w:w="5780" w:type="dxa"/>
            <w:shd w:val="clear" w:color="000000" w:fill="FFFFFF"/>
            <w:vAlign w:val="center"/>
            <w:hideMark/>
          </w:tcPr>
          <w:p w14:paraId="40CC1CC4"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београдског метроа (Линија 1 - фазе 1 и 2)</w:t>
            </w:r>
          </w:p>
        </w:tc>
        <w:tc>
          <w:tcPr>
            <w:tcW w:w="1680" w:type="dxa"/>
            <w:noWrap/>
            <w:vAlign w:val="center"/>
            <w:hideMark/>
          </w:tcPr>
          <w:p w14:paraId="717870A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12,130,658,443</w:t>
            </w:r>
          </w:p>
        </w:tc>
        <w:tc>
          <w:tcPr>
            <w:tcW w:w="1680" w:type="dxa"/>
            <w:noWrap/>
            <w:vAlign w:val="center"/>
            <w:hideMark/>
          </w:tcPr>
          <w:p w14:paraId="3486B4A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6,452,356,000</w:t>
            </w:r>
          </w:p>
        </w:tc>
        <w:tc>
          <w:tcPr>
            <w:tcW w:w="1680" w:type="dxa"/>
            <w:noWrap/>
            <w:vAlign w:val="center"/>
            <w:hideMark/>
          </w:tcPr>
          <w:p w14:paraId="2ECC1EA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20,661,805,000</w:t>
            </w:r>
          </w:p>
        </w:tc>
        <w:tc>
          <w:tcPr>
            <w:tcW w:w="1660" w:type="dxa"/>
            <w:noWrap/>
            <w:vAlign w:val="center"/>
            <w:hideMark/>
          </w:tcPr>
          <w:p w14:paraId="67C03C1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27,846,025,000</w:t>
            </w:r>
          </w:p>
        </w:tc>
        <w:tc>
          <w:tcPr>
            <w:tcW w:w="1660" w:type="dxa"/>
            <w:noWrap/>
            <w:vAlign w:val="center"/>
            <w:hideMark/>
          </w:tcPr>
          <w:p w14:paraId="54CF09C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18,257,561,000</w:t>
            </w:r>
          </w:p>
        </w:tc>
        <w:tc>
          <w:tcPr>
            <w:tcW w:w="2100" w:type="dxa"/>
            <w:noWrap/>
            <w:vAlign w:val="center"/>
            <w:hideMark/>
          </w:tcPr>
          <w:p w14:paraId="25B666E4"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72,850,000,000</w:t>
            </w:r>
          </w:p>
        </w:tc>
      </w:tr>
      <w:tr w:rsidR="009C1585" w:rsidRPr="001B41AD" w14:paraId="611798AF" w14:textId="77777777" w:rsidTr="00147C90">
        <w:trPr>
          <w:trHeight w:val="20"/>
          <w:jc w:val="center"/>
        </w:trPr>
        <w:tc>
          <w:tcPr>
            <w:tcW w:w="540" w:type="dxa"/>
            <w:shd w:val="clear" w:color="000000" w:fill="FFFFFF"/>
            <w:noWrap/>
            <w:vAlign w:val="center"/>
            <w:hideMark/>
          </w:tcPr>
          <w:p w14:paraId="5362D24B"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31</w:t>
            </w:r>
          </w:p>
        </w:tc>
        <w:tc>
          <w:tcPr>
            <w:tcW w:w="1020" w:type="dxa"/>
            <w:shd w:val="clear" w:color="000000" w:fill="FFFFFF"/>
            <w:vAlign w:val="center"/>
            <w:hideMark/>
          </w:tcPr>
          <w:p w14:paraId="112A7B2A"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5074</w:t>
            </w:r>
          </w:p>
        </w:tc>
        <w:tc>
          <w:tcPr>
            <w:tcW w:w="5780" w:type="dxa"/>
            <w:vAlign w:val="center"/>
            <w:hideMark/>
          </w:tcPr>
          <w:p w14:paraId="25C3ADA9"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северне обилазнице око Крагујевца</w:t>
            </w:r>
          </w:p>
        </w:tc>
        <w:tc>
          <w:tcPr>
            <w:tcW w:w="1680" w:type="dxa"/>
            <w:noWrap/>
            <w:vAlign w:val="center"/>
            <w:hideMark/>
          </w:tcPr>
          <w:p w14:paraId="5EE9F71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5,559,509,191</w:t>
            </w:r>
          </w:p>
        </w:tc>
        <w:tc>
          <w:tcPr>
            <w:tcW w:w="1680" w:type="dxa"/>
            <w:noWrap/>
            <w:vAlign w:val="center"/>
            <w:hideMark/>
          </w:tcPr>
          <w:p w14:paraId="50B9579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10,000,000,000</w:t>
            </w:r>
          </w:p>
        </w:tc>
        <w:tc>
          <w:tcPr>
            <w:tcW w:w="1680" w:type="dxa"/>
            <w:noWrap/>
            <w:vAlign w:val="center"/>
            <w:hideMark/>
          </w:tcPr>
          <w:p w14:paraId="7162301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9,400,000,000</w:t>
            </w:r>
          </w:p>
        </w:tc>
        <w:tc>
          <w:tcPr>
            <w:tcW w:w="1660" w:type="dxa"/>
            <w:noWrap/>
            <w:vAlign w:val="center"/>
            <w:hideMark/>
          </w:tcPr>
          <w:p w14:paraId="5EDAF1D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9,000,000,000</w:t>
            </w:r>
          </w:p>
        </w:tc>
        <w:tc>
          <w:tcPr>
            <w:tcW w:w="1660" w:type="dxa"/>
            <w:noWrap/>
            <w:vAlign w:val="center"/>
            <w:hideMark/>
          </w:tcPr>
          <w:p w14:paraId="107B994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3,800,000,000</w:t>
            </w:r>
          </w:p>
        </w:tc>
        <w:tc>
          <w:tcPr>
            <w:tcW w:w="2100" w:type="dxa"/>
            <w:noWrap/>
            <w:vAlign w:val="center"/>
            <w:hideMark/>
          </w:tcPr>
          <w:p w14:paraId="70B4BF30"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40,200,000,000</w:t>
            </w:r>
          </w:p>
        </w:tc>
      </w:tr>
      <w:tr w:rsidR="009C1585" w:rsidRPr="001B41AD" w14:paraId="768A709C" w14:textId="77777777" w:rsidTr="00147C90">
        <w:trPr>
          <w:trHeight w:val="20"/>
          <w:jc w:val="center"/>
        </w:trPr>
        <w:tc>
          <w:tcPr>
            <w:tcW w:w="540" w:type="dxa"/>
            <w:noWrap/>
            <w:vAlign w:val="center"/>
            <w:hideMark/>
          </w:tcPr>
          <w:p w14:paraId="61496257"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lastRenderedPageBreak/>
              <w:t>32</w:t>
            </w:r>
          </w:p>
        </w:tc>
        <w:tc>
          <w:tcPr>
            <w:tcW w:w="1020" w:type="dxa"/>
            <w:shd w:val="clear" w:color="000000" w:fill="FFFFFF"/>
            <w:vAlign w:val="center"/>
            <w:hideMark/>
          </w:tcPr>
          <w:p w14:paraId="574E8B9B"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5076</w:t>
            </w:r>
          </w:p>
        </w:tc>
        <w:tc>
          <w:tcPr>
            <w:tcW w:w="5780" w:type="dxa"/>
            <w:vAlign w:val="center"/>
            <w:hideMark/>
          </w:tcPr>
          <w:p w14:paraId="7B4E97A4"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Брза саобраћајница Е-75, петља Пожаревац - Голубац</w:t>
            </w:r>
          </w:p>
        </w:tc>
        <w:tc>
          <w:tcPr>
            <w:tcW w:w="1680" w:type="dxa"/>
            <w:noWrap/>
            <w:vAlign w:val="center"/>
            <w:hideMark/>
          </w:tcPr>
          <w:p w14:paraId="111C62B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35,709,853,455</w:t>
            </w:r>
          </w:p>
        </w:tc>
        <w:tc>
          <w:tcPr>
            <w:tcW w:w="1680" w:type="dxa"/>
            <w:noWrap/>
            <w:vAlign w:val="center"/>
            <w:hideMark/>
          </w:tcPr>
          <w:p w14:paraId="0903F54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11,739,146,545</w:t>
            </w:r>
          </w:p>
        </w:tc>
        <w:tc>
          <w:tcPr>
            <w:tcW w:w="1680" w:type="dxa"/>
            <w:noWrap/>
            <w:vAlign w:val="center"/>
            <w:hideMark/>
          </w:tcPr>
          <w:p w14:paraId="77E6573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10,051,000,000</w:t>
            </w:r>
          </w:p>
        </w:tc>
        <w:tc>
          <w:tcPr>
            <w:tcW w:w="1660" w:type="dxa"/>
            <w:noWrap/>
            <w:vAlign w:val="center"/>
            <w:hideMark/>
          </w:tcPr>
          <w:p w14:paraId="5AAE08A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4,000,000,000</w:t>
            </w:r>
          </w:p>
        </w:tc>
        <w:tc>
          <w:tcPr>
            <w:tcW w:w="1660" w:type="dxa"/>
            <w:noWrap/>
            <w:vAlign w:val="center"/>
            <w:hideMark/>
          </w:tcPr>
          <w:p w14:paraId="618E660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2EEDDED5"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61,500,000,000</w:t>
            </w:r>
          </w:p>
        </w:tc>
      </w:tr>
      <w:tr w:rsidR="009C1585" w:rsidRPr="001B41AD" w14:paraId="479A40D8" w14:textId="77777777" w:rsidTr="00147C90">
        <w:trPr>
          <w:trHeight w:val="20"/>
          <w:jc w:val="center"/>
        </w:trPr>
        <w:tc>
          <w:tcPr>
            <w:tcW w:w="540" w:type="dxa"/>
            <w:noWrap/>
            <w:vAlign w:val="center"/>
            <w:hideMark/>
          </w:tcPr>
          <w:p w14:paraId="380F0BB4"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33</w:t>
            </w:r>
          </w:p>
        </w:tc>
        <w:tc>
          <w:tcPr>
            <w:tcW w:w="1020" w:type="dxa"/>
            <w:shd w:val="clear" w:color="000000" w:fill="FFFFFF"/>
            <w:vAlign w:val="center"/>
            <w:hideMark/>
          </w:tcPr>
          <w:p w14:paraId="3440DC1F"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5077</w:t>
            </w:r>
          </w:p>
        </w:tc>
        <w:tc>
          <w:tcPr>
            <w:tcW w:w="5780" w:type="dxa"/>
            <w:vAlign w:val="center"/>
            <w:hideMark/>
          </w:tcPr>
          <w:p w14:paraId="37496209"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центра за обуку чланова посаде бродова</w:t>
            </w:r>
          </w:p>
        </w:tc>
        <w:tc>
          <w:tcPr>
            <w:tcW w:w="1680" w:type="dxa"/>
            <w:noWrap/>
            <w:vAlign w:val="center"/>
            <w:hideMark/>
          </w:tcPr>
          <w:p w14:paraId="1542C5C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55,503,664</w:t>
            </w:r>
          </w:p>
        </w:tc>
        <w:tc>
          <w:tcPr>
            <w:tcW w:w="1680" w:type="dxa"/>
            <w:noWrap/>
            <w:vAlign w:val="center"/>
            <w:hideMark/>
          </w:tcPr>
          <w:p w14:paraId="3DA9C98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w:t>
            </w:r>
          </w:p>
        </w:tc>
        <w:tc>
          <w:tcPr>
            <w:tcW w:w="1680" w:type="dxa"/>
            <w:noWrap/>
            <w:vAlign w:val="center"/>
            <w:hideMark/>
          </w:tcPr>
          <w:p w14:paraId="35A4BA9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10,000,000</w:t>
            </w:r>
          </w:p>
        </w:tc>
        <w:tc>
          <w:tcPr>
            <w:tcW w:w="1660" w:type="dxa"/>
            <w:noWrap/>
            <w:vAlign w:val="center"/>
            <w:hideMark/>
          </w:tcPr>
          <w:p w14:paraId="0B96694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1,543,980,000</w:t>
            </w:r>
          </w:p>
        </w:tc>
        <w:tc>
          <w:tcPr>
            <w:tcW w:w="1660" w:type="dxa"/>
            <w:noWrap/>
            <w:vAlign w:val="center"/>
            <w:hideMark/>
          </w:tcPr>
          <w:p w14:paraId="2451946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1,610,000,000</w:t>
            </w:r>
          </w:p>
        </w:tc>
        <w:tc>
          <w:tcPr>
            <w:tcW w:w="2100" w:type="dxa"/>
            <w:noWrap/>
            <w:vAlign w:val="center"/>
            <w:hideMark/>
          </w:tcPr>
          <w:p w14:paraId="68B6CB18"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5,195,350,000</w:t>
            </w:r>
          </w:p>
        </w:tc>
      </w:tr>
      <w:tr w:rsidR="009C1585" w:rsidRPr="001B41AD" w14:paraId="7ABF48BD" w14:textId="77777777" w:rsidTr="00147C90">
        <w:trPr>
          <w:trHeight w:val="20"/>
          <w:jc w:val="center"/>
        </w:trPr>
        <w:tc>
          <w:tcPr>
            <w:tcW w:w="540" w:type="dxa"/>
            <w:shd w:val="clear" w:color="000000" w:fill="FFFFFF"/>
            <w:noWrap/>
            <w:vAlign w:val="center"/>
            <w:hideMark/>
          </w:tcPr>
          <w:p w14:paraId="03B6723E"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34</w:t>
            </w:r>
          </w:p>
        </w:tc>
        <w:tc>
          <w:tcPr>
            <w:tcW w:w="1020" w:type="dxa"/>
            <w:shd w:val="clear" w:color="000000" w:fill="FFFFFF"/>
            <w:vAlign w:val="center"/>
            <w:hideMark/>
          </w:tcPr>
          <w:p w14:paraId="09496ADA"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5078</w:t>
            </w:r>
          </w:p>
        </w:tc>
        <w:tc>
          <w:tcPr>
            <w:tcW w:w="5780" w:type="dxa"/>
            <w:vAlign w:val="center"/>
            <w:hideMark/>
          </w:tcPr>
          <w:p w14:paraId="6094D4C1"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Модернизација железничког сектора у Србији</w:t>
            </w:r>
          </w:p>
        </w:tc>
        <w:tc>
          <w:tcPr>
            <w:tcW w:w="1680" w:type="dxa"/>
            <w:noWrap/>
            <w:vAlign w:val="center"/>
            <w:hideMark/>
          </w:tcPr>
          <w:p w14:paraId="48B2ECB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404,018,018</w:t>
            </w:r>
          </w:p>
        </w:tc>
        <w:tc>
          <w:tcPr>
            <w:tcW w:w="1680" w:type="dxa"/>
            <w:noWrap/>
            <w:vAlign w:val="center"/>
            <w:hideMark/>
          </w:tcPr>
          <w:p w14:paraId="13302B4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3,186,742,982</w:t>
            </w:r>
          </w:p>
        </w:tc>
        <w:tc>
          <w:tcPr>
            <w:tcW w:w="1680" w:type="dxa"/>
            <w:noWrap/>
            <w:vAlign w:val="center"/>
            <w:hideMark/>
          </w:tcPr>
          <w:p w14:paraId="39FA2EB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1,245,239,000</w:t>
            </w:r>
          </w:p>
        </w:tc>
        <w:tc>
          <w:tcPr>
            <w:tcW w:w="1660" w:type="dxa"/>
            <w:noWrap/>
            <w:vAlign w:val="center"/>
            <w:hideMark/>
          </w:tcPr>
          <w:p w14:paraId="4DDF2B7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7,200,000,000</w:t>
            </w:r>
          </w:p>
        </w:tc>
        <w:tc>
          <w:tcPr>
            <w:tcW w:w="1660" w:type="dxa"/>
            <w:noWrap/>
            <w:vAlign w:val="center"/>
            <w:hideMark/>
          </w:tcPr>
          <w:p w14:paraId="0592B61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6861607B"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12,036,000,000</w:t>
            </w:r>
          </w:p>
        </w:tc>
      </w:tr>
      <w:tr w:rsidR="009C1585" w:rsidRPr="001B41AD" w14:paraId="507B1CBF" w14:textId="77777777" w:rsidTr="00147C90">
        <w:trPr>
          <w:trHeight w:val="20"/>
          <w:jc w:val="center"/>
        </w:trPr>
        <w:tc>
          <w:tcPr>
            <w:tcW w:w="540" w:type="dxa"/>
            <w:noWrap/>
            <w:vAlign w:val="center"/>
            <w:hideMark/>
          </w:tcPr>
          <w:p w14:paraId="175676BF"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35</w:t>
            </w:r>
          </w:p>
        </w:tc>
        <w:tc>
          <w:tcPr>
            <w:tcW w:w="1020" w:type="dxa"/>
            <w:shd w:val="clear" w:color="000000" w:fill="FFFFFF"/>
            <w:vAlign w:val="center"/>
            <w:hideMark/>
          </w:tcPr>
          <w:p w14:paraId="6B162911"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5048</w:t>
            </w:r>
          </w:p>
        </w:tc>
        <w:tc>
          <w:tcPr>
            <w:tcW w:w="5780" w:type="dxa"/>
            <w:vAlign w:val="center"/>
            <w:hideMark/>
          </w:tcPr>
          <w:p w14:paraId="4C326D68"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аутопута Е-763, деоница: Нови Београд-Сурчин</w:t>
            </w:r>
          </w:p>
        </w:tc>
        <w:tc>
          <w:tcPr>
            <w:tcW w:w="1680" w:type="dxa"/>
            <w:noWrap/>
            <w:vAlign w:val="center"/>
            <w:hideMark/>
          </w:tcPr>
          <w:p w14:paraId="459C0EE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10,061,069,170</w:t>
            </w:r>
          </w:p>
        </w:tc>
        <w:tc>
          <w:tcPr>
            <w:tcW w:w="1680" w:type="dxa"/>
            <w:noWrap/>
            <w:vAlign w:val="center"/>
            <w:hideMark/>
          </w:tcPr>
          <w:p w14:paraId="0EF5029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1,052,347,438</w:t>
            </w:r>
          </w:p>
        </w:tc>
        <w:tc>
          <w:tcPr>
            <w:tcW w:w="1680" w:type="dxa"/>
            <w:noWrap/>
            <w:vAlign w:val="center"/>
            <w:hideMark/>
          </w:tcPr>
          <w:p w14:paraId="6870738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800,000,000</w:t>
            </w:r>
          </w:p>
        </w:tc>
        <w:tc>
          <w:tcPr>
            <w:tcW w:w="1660" w:type="dxa"/>
            <w:noWrap/>
            <w:vAlign w:val="center"/>
            <w:hideMark/>
          </w:tcPr>
          <w:p w14:paraId="3D0CEFB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3455FC8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61C4A858"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11,913,416,608</w:t>
            </w:r>
          </w:p>
        </w:tc>
      </w:tr>
      <w:tr w:rsidR="009C1585" w:rsidRPr="001B41AD" w14:paraId="74C2AC6A" w14:textId="77777777" w:rsidTr="00147C90">
        <w:trPr>
          <w:trHeight w:val="20"/>
          <w:jc w:val="center"/>
        </w:trPr>
        <w:tc>
          <w:tcPr>
            <w:tcW w:w="540" w:type="dxa"/>
            <w:noWrap/>
            <w:vAlign w:val="center"/>
            <w:hideMark/>
          </w:tcPr>
          <w:p w14:paraId="1E0AB0FE"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36</w:t>
            </w:r>
          </w:p>
        </w:tc>
        <w:tc>
          <w:tcPr>
            <w:tcW w:w="1020" w:type="dxa"/>
            <w:shd w:val="clear" w:color="000000" w:fill="FFFFFF"/>
            <w:vAlign w:val="center"/>
            <w:hideMark/>
          </w:tcPr>
          <w:p w14:paraId="1B34BF71"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5082</w:t>
            </w:r>
          </w:p>
        </w:tc>
        <w:tc>
          <w:tcPr>
            <w:tcW w:w="5780" w:type="dxa"/>
            <w:vAlign w:val="center"/>
            <w:hideMark/>
          </w:tcPr>
          <w:p w14:paraId="51A10A3F"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пруге између Земун поља и Националног стадиона</w:t>
            </w:r>
          </w:p>
        </w:tc>
        <w:tc>
          <w:tcPr>
            <w:tcW w:w="1680" w:type="dxa"/>
            <w:noWrap/>
            <w:vAlign w:val="center"/>
            <w:hideMark/>
          </w:tcPr>
          <w:p w14:paraId="2A12F59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11,768,461,559</w:t>
            </w:r>
          </w:p>
        </w:tc>
        <w:tc>
          <w:tcPr>
            <w:tcW w:w="1680" w:type="dxa"/>
            <w:noWrap/>
            <w:vAlign w:val="center"/>
            <w:hideMark/>
          </w:tcPr>
          <w:p w14:paraId="34639DF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10,013,369,105</w:t>
            </w:r>
          </w:p>
        </w:tc>
        <w:tc>
          <w:tcPr>
            <w:tcW w:w="1680" w:type="dxa"/>
            <w:noWrap/>
            <w:vAlign w:val="center"/>
            <w:hideMark/>
          </w:tcPr>
          <w:p w14:paraId="6CB08C0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17,004,185,000</w:t>
            </w:r>
          </w:p>
        </w:tc>
        <w:tc>
          <w:tcPr>
            <w:tcW w:w="1660" w:type="dxa"/>
            <w:noWrap/>
            <w:vAlign w:val="center"/>
            <w:hideMark/>
          </w:tcPr>
          <w:p w14:paraId="4BF8232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8,242,072,000</w:t>
            </w:r>
          </w:p>
        </w:tc>
        <w:tc>
          <w:tcPr>
            <w:tcW w:w="1660" w:type="dxa"/>
            <w:noWrap/>
            <w:vAlign w:val="center"/>
            <w:hideMark/>
          </w:tcPr>
          <w:p w14:paraId="0969AE3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126,900,000</w:t>
            </w:r>
          </w:p>
        </w:tc>
        <w:tc>
          <w:tcPr>
            <w:tcW w:w="2100" w:type="dxa"/>
            <w:noWrap/>
            <w:vAlign w:val="center"/>
            <w:hideMark/>
          </w:tcPr>
          <w:p w14:paraId="364E4BE7"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47,154,987,664</w:t>
            </w:r>
          </w:p>
        </w:tc>
      </w:tr>
      <w:tr w:rsidR="009C1585" w:rsidRPr="001B41AD" w14:paraId="69A0D8A2" w14:textId="77777777" w:rsidTr="00147C90">
        <w:trPr>
          <w:trHeight w:val="20"/>
          <w:jc w:val="center"/>
        </w:trPr>
        <w:tc>
          <w:tcPr>
            <w:tcW w:w="540" w:type="dxa"/>
            <w:shd w:val="clear" w:color="000000" w:fill="FFFFFF"/>
            <w:noWrap/>
            <w:vAlign w:val="center"/>
            <w:hideMark/>
          </w:tcPr>
          <w:p w14:paraId="6B5D53FE"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37</w:t>
            </w:r>
          </w:p>
        </w:tc>
        <w:tc>
          <w:tcPr>
            <w:tcW w:w="1020" w:type="dxa"/>
            <w:shd w:val="clear" w:color="000000" w:fill="FFFFFF"/>
            <w:vAlign w:val="center"/>
            <w:hideMark/>
          </w:tcPr>
          <w:p w14:paraId="766C3048"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5084</w:t>
            </w:r>
          </w:p>
        </w:tc>
        <w:tc>
          <w:tcPr>
            <w:tcW w:w="5780" w:type="dxa"/>
            <w:vAlign w:val="center"/>
            <w:hideMark/>
          </w:tcPr>
          <w:p w14:paraId="2F85217C"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Реконструкција и модернизација деонице пруге Београд – Ниш</w:t>
            </w:r>
          </w:p>
        </w:tc>
        <w:tc>
          <w:tcPr>
            <w:tcW w:w="1680" w:type="dxa"/>
            <w:noWrap/>
            <w:vAlign w:val="center"/>
            <w:hideMark/>
          </w:tcPr>
          <w:p w14:paraId="2162581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80" w:type="dxa"/>
            <w:noWrap/>
            <w:vAlign w:val="center"/>
            <w:hideMark/>
          </w:tcPr>
          <w:p w14:paraId="54DAD74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80" w:type="dxa"/>
            <w:noWrap/>
            <w:vAlign w:val="center"/>
            <w:hideMark/>
          </w:tcPr>
          <w:p w14:paraId="6A81A5F8"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1,000,000</w:t>
            </w:r>
          </w:p>
        </w:tc>
        <w:tc>
          <w:tcPr>
            <w:tcW w:w="1660" w:type="dxa"/>
            <w:noWrap/>
            <w:vAlign w:val="center"/>
            <w:hideMark/>
          </w:tcPr>
          <w:p w14:paraId="0AC8F98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4,096,000,000</w:t>
            </w:r>
          </w:p>
        </w:tc>
        <w:tc>
          <w:tcPr>
            <w:tcW w:w="1660" w:type="dxa"/>
            <w:noWrap/>
            <w:vAlign w:val="center"/>
            <w:hideMark/>
          </w:tcPr>
          <w:p w14:paraId="5B189E9B"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17,015,000,000</w:t>
            </w:r>
          </w:p>
        </w:tc>
        <w:tc>
          <w:tcPr>
            <w:tcW w:w="2100" w:type="dxa"/>
            <w:noWrap/>
            <w:vAlign w:val="center"/>
            <w:hideMark/>
          </w:tcPr>
          <w:p w14:paraId="5A898ADB"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208,618,748,882</w:t>
            </w:r>
          </w:p>
        </w:tc>
      </w:tr>
      <w:tr w:rsidR="009C1585" w:rsidRPr="001B41AD" w14:paraId="29358298" w14:textId="77777777" w:rsidTr="00147C90">
        <w:trPr>
          <w:trHeight w:val="20"/>
          <w:jc w:val="center"/>
        </w:trPr>
        <w:tc>
          <w:tcPr>
            <w:tcW w:w="540" w:type="dxa"/>
            <w:noWrap/>
            <w:vAlign w:val="center"/>
            <w:hideMark/>
          </w:tcPr>
          <w:p w14:paraId="5AA3C054"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38</w:t>
            </w:r>
          </w:p>
        </w:tc>
        <w:tc>
          <w:tcPr>
            <w:tcW w:w="1020" w:type="dxa"/>
            <w:shd w:val="clear" w:color="000000" w:fill="FFFFFF"/>
            <w:vAlign w:val="center"/>
            <w:hideMark/>
          </w:tcPr>
          <w:p w14:paraId="57162B8F"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5085</w:t>
            </w:r>
          </w:p>
        </w:tc>
        <w:tc>
          <w:tcPr>
            <w:tcW w:w="5780" w:type="dxa"/>
            <w:vAlign w:val="center"/>
            <w:hideMark/>
          </w:tcPr>
          <w:p w14:paraId="0891ED03"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пешачко-бициклистичког моста на стубовима старог моста у Новом Саду</w:t>
            </w:r>
          </w:p>
        </w:tc>
        <w:tc>
          <w:tcPr>
            <w:tcW w:w="1680" w:type="dxa"/>
            <w:noWrap/>
            <w:vAlign w:val="center"/>
            <w:hideMark/>
          </w:tcPr>
          <w:p w14:paraId="613E3A5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80" w:type="dxa"/>
            <w:noWrap/>
            <w:vAlign w:val="center"/>
            <w:hideMark/>
          </w:tcPr>
          <w:p w14:paraId="2B50386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w:t>
            </w:r>
          </w:p>
        </w:tc>
        <w:tc>
          <w:tcPr>
            <w:tcW w:w="1680" w:type="dxa"/>
            <w:noWrap/>
            <w:vAlign w:val="center"/>
            <w:hideMark/>
          </w:tcPr>
          <w:p w14:paraId="3F908E6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w:t>
            </w:r>
          </w:p>
        </w:tc>
        <w:tc>
          <w:tcPr>
            <w:tcW w:w="1660" w:type="dxa"/>
            <w:noWrap/>
            <w:vAlign w:val="center"/>
            <w:hideMark/>
          </w:tcPr>
          <w:p w14:paraId="27B2D33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5,000,000,000</w:t>
            </w:r>
          </w:p>
        </w:tc>
        <w:tc>
          <w:tcPr>
            <w:tcW w:w="1660" w:type="dxa"/>
            <w:noWrap/>
            <w:vAlign w:val="center"/>
            <w:hideMark/>
          </w:tcPr>
          <w:p w14:paraId="125EA74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5442FECB"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6,000,000,000</w:t>
            </w:r>
          </w:p>
        </w:tc>
      </w:tr>
      <w:tr w:rsidR="009C1585" w:rsidRPr="001B41AD" w14:paraId="5BF11E68" w14:textId="77777777" w:rsidTr="00147C90">
        <w:trPr>
          <w:trHeight w:val="20"/>
          <w:jc w:val="center"/>
        </w:trPr>
        <w:tc>
          <w:tcPr>
            <w:tcW w:w="540" w:type="dxa"/>
            <w:noWrap/>
            <w:vAlign w:val="center"/>
            <w:hideMark/>
          </w:tcPr>
          <w:p w14:paraId="04DFDAB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39</w:t>
            </w:r>
          </w:p>
        </w:tc>
        <w:tc>
          <w:tcPr>
            <w:tcW w:w="1020" w:type="dxa"/>
            <w:shd w:val="clear" w:color="000000" w:fill="FFFFFF"/>
            <w:vAlign w:val="center"/>
            <w:hideMark/>
          </w:tcPr>
          <w:p w14:paraId="1AD540C5"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5001</w:t>
            </w:r>
          </w:p>
        </w:tc>
        <w:tc>
          <w:tcPr>
            <w:tcW w:w="5780" w:type="dxa"/>
            <w:vAlign w:val="center"/>
            <w:hideMark/>
          </w:tcPr>
          <w:p w14:paraId="02228D34"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система за наводњавање - прва фаза</w:t>
            </w:r>
          </w:p>
        </w:tc>
        <w:tc>
          <w:tcPr>
            <w:tcW w:w="1680" w:type="dxa"/>
            <w:noWrap/>
            <w:vAlign w:val="center"/>
            <w:hideMark/>
          </w:tcPr>
          <w:p w14:paraId="028FA9E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9,620,176,502</w:t>
            </w:r>
          </w:p>
        </w:tc>
        <w:tc>
          <w:tcPr>
            <w:tcW w:w="1680" w:type="dxa"/>
            <w:noWrap/>
            <w:vAlign w:val="center"/>
            <w:hideMark/>
          </w:tcPr>
          <w:p w14:paraId="5C74FA1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458,108,498</w:t>
            </w:r>
          </w:p>
        </w:tc>
        <w:tc>
          <w:tcPr>
            <w:tcW w:w="1680" w:type="dxa"/>
            <w:noWrap/>
            <w:vAlign w:val="center"/>
            <w:hideMark/>
          </w:tcPr>
          <w:p w14:paraId="0EAB8E5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57,715,000</w:t>
            </w:r>
          </w:p>
        </w:tc>
        <w:tc>
          <w:tcPr>
            <w:tcW w:w="1660" w:type="dxa"/>
            <w:noWrap/>
            <w:vAlign w:val="center"/>
            <w:hideMark/>
          </w:tcPr>
          <w:p w14:paraId="6681263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03A471D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56B0E940"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10,136,000,000</w:t>
            </w:r>
          </w:p>
        </w:tc>
      </w:tr>
      <w:tr w:rsidR="009C1585" w:rsidRPr="001B41AD" w14:paraId="7868C6F3" w14:textId="77777777" w:rsidTr="00147C90">
        <w:trPr>
          <w:trHeight w:val="20"/>
          <w:jc w:val="center"/>
        </w:trPr>
        <w:tc>
          <w:tcPr>
            <w:tcW w:w="540" w:type="dxa"/>
            <w:shd w:val="clear" w:color="000000" w:fill="FFFFFF"/>
            <w:noWrap/>
            <w:vAlign w:val="center"/>
            <w:hideMark/>
          </w:tcPr>
          <w:p w14:paraId="4C2853AC"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40</w:t>
            </w:r>
          </w:p>
        </w:tc>
        <w:tc>
          <w:tcPr>
            <w:tcW w:w="1020" w:type="dxa"/>
            <w:shd w:val="clear" w:color="000000" w:fill="FFFFFF"/>
            <w:vAlign w:val="center"/>
            <w:hideMark/>
          </w:tcPr>
          <w:p w14:paraId="421EC9CC"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5003</w:t>
            </w:r>
          </w:p>
        </w:tc>
        <w:tc>
          <w:tcPr>
            <w:tcW w:w="5780" w:type="dxa"/>
            <w:vAlign w:val="center"/>
            <w:hideMark/>
          </w:tcPr>
          <w:p w14:paraId="3230688F"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Брана са акумулацијом „АРИЉЕ” профил „СВРАЧКОВО” Ариље</w:t>
            </w:r>
          </w:p>
        </w:tc>
        <w:tc>
          <w:tcPr>
            <w:tcW w:w="1680" w:type="dxa"/>
            <w:noWrap/>
            <w:vAlign w:val="center"/>
            <w:hideMark/>
          </w:tcPr>
          <w:p w14:paraId="0627FA7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6,505,486,755</w:t>
            </w:r>
          </w:p>
        </w:tc>
        <w:tc>
          <w:tcPr>
            <w:tcW w:w="1680" w:type="dxa"/>
            <w:noWrap/>
            <w:vAlign w:val="center"/>
            <w:hideMark/>
          </w:tcPr>
          <w:p w14:paraId="46BF4EE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701,209,000</w:t>
            </w:r>
          </w:p>
        </w:tc>
        <w:tc>
          <w:tcPr>
            <w:tcW w:w="1680" w:type="dxa"/>
            <w:noWrap/>
            <w:vAlign w:val="center"/>
            <w:hideMark/>
          </w:tcPr>
          <w:p w14:paraId="344331A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701,209,000</w:t>
            </w:r>
          </w:p>
        </w:tc>
        <w:tc>
          <w:tcPr>
            <w:tcW w:w="1660" w:type="dxa"/>
            <w:noWrap/>
            <w:vAlign w:val="center"/>
            <w:hideMark/>
          </w:tcPr>
          <w:p w14:paraId="10D410C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1,523,330,000</w:t>
            </w:r>
          </w:p>
        </w:tc>
        <w:tc>
          <w:tcPr>
            <w:tcW w:w="1660" w:type="dxa"/>
            <w:noWrap/>
            <w:vAlign w:val="center"/>
            <w:hideMark/>
          </w:tcPr>
          <w:p w14:paraId="3293B47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1,523,330,000</w:t>
            </w:r>
          </w:p>
        </w:tc>
        <w:tc>
          <w:tcPr>
            <w:tcW w:w="2100" w:type="dxa"/>
            <w:noWrap/>
            <w:vAlign w:val="center"/>
            <w:hideMark/>
          </w:tcPr>
          <w:p w14:paraId="677E6EAD"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19,111,000,000</w:t>
            </w:r>
          </w:p>
        </w:tc>
      </w:tr>
      <w:tr w:rsidR="009C1585" w:rsidRPr="001B41AD" w14:paraId="1CC2C5EA" w14:textId="77777777" w:rsidTr="00147C90">
        <w:trPr>
          <w:trHeight w:val="20"/>
          <w:jc w:val="center"/>
        </w:trPr>
        <w:tc>
          <w:tcPr>
            <w:tcW w:w="540" w:type="dxa"/>
            <w:noWrap/>
            <w:vAlign w:val="center"/>
            <w:hideMark/>
          </w:tcPr>
          <w:p w14:paraId="66A54BE4"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41</w:t>
            </w:r>
          </w:p>
        </w:tc>
        <w:tc>
          <w:tcPr>
            <w:tcW w:w="1020" w:type="dxa"/>
            <w:shd w:val="clear" w:color="000000" w:fill="FFFFFF"/>
            <w:vAlign w:val="center"/>
            <w:hideMark/>
          </w:tcPr>
          <w:p w14:paraId="6E5D4E28"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5003</w:t>
            </w:r>
          </w:p>
        </w:tc>
        <w:tc>
          <w:tcPr>
            <w:tcW w:w="5780" w:type="dxa"/>
            <w:vAlign w:val="center"/>
            <w:hideMark/>
          </w:tcPr>
          <w:p w14:paraId="0C8C36B1"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Набавка опреме за сакупљање и рециклажу</w:t>
            </w:r>
          </w:p>
        </w:tc>
        <w:tc>
          <w:tcPr>
            <w:tcW w:w="1680" w:type="dxa"/>
            <w:noWrap/>
            <w:vAlign w:val="center"/>
            <w:hideMark/>
          </w:tcPr>
          <w:p w14:paraId="7A1AD5F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1,848,694,304</w:t>
            </w:r>
          </w:p>
        </w:tc>
        <w:tc>
          <w:tcPr>
            <w:tcW w:w="1680" w:type="dxa"/>
            <w:noWrap/>
            <w:vAlign w:val="center"/>
            <w:hideMark/>
          </w:tcPr>
          <w:p w14:paraId="728FC21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230,000,000</w:t>
            </w:r>
          </w:p>
        </w:tc>
        <w:tc>
          <w:tcPr>
            <w:tcW w:w="1680" w:type="dxa"/>
            <w:noWrap/>
            <w:vAlign w:val="center"/>
            <w:hideMark/>
          </w:tcPr>
          <w:p w14:paraId="1014F5E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w:t>
            </w:r>
          </w:p>
        </w:tc>
        <w:tc>
          <w:tcPr>
            <w:tcW w:w="1660" w:type="dxa"/>
            <w:noWrap/>
            <w:vAlign w:val="center"/>
            <w:hideMark/>
          </w:tcPr>
          <w:p w14:paraId="0F2A257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600,000,000</w:t>
            </w:r>
          </w:p>
        </w:tc>
        <w:tc>
          <w:tcPr>
            <w:tcW w:w="1660" w:type="dxa"/>
            <w:noWrap/>
            <w:vAlign w:val="center"/>
            <w:hideMark/>
          </w:tcPr>
          <w:p w14:paraId="5EEB0BF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600,000,000</w:t>
            </w:r>
          </w:p>
        </w:tc>
        <w:tc>
          <w:tcPr>
            <w:tcW w:w="2100" w:type="dxa"/>
            <w:noWrap/>
            <w:vAlign w:val="center"/>
            <w:hideMark/>
          </w:tcPr>
          <w:p w14:paraId="7A36A0C6"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3,778,694,304</w:t>
            </w:r>
          </w:p>
        </w:tc>
      </w:tr>
      <w:tr w:rsidR="009C1585" w:rsidRPr="001B41AD" w14:paraId="6E0B8945" w14:textId="77777777" w:rsidTr="00147C90">
        <w:trPr>
          <w:trHeight w:val="20"/>
          <w:jc w:val="center"/>
        </w:trPr>
        <w:tc>
          <w:tcPr>
            <w:tcW w:w="540" w:type="dxa"/>
            <w:noWrap/>
            <w:vAlign w:val="center"/>
            <w:hideMark/>
          </w:tcPr>
          <w:p w14:paraId="772F70C1"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42</w:t>
            </w:r>
          </w:p>
        </w:tc>
        <w:tc>
          <w:tcPr>
            <w:tcW w:w="1020" w:type="dxa"/>
            <w:shd w:val="clear" w:color="000000" w:fill="FFFFFF"/>
            <w:vAlign w:val="center"/>
            <w:hideMark/>
          </w:tcPr>
          <w:p w14:paraId="720598A4"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5002</w:t>
            </w:r>
          </w:p>
        </w:tc>
        <w:tc>
          <w:tcPr>
            <w:tcW w:w="5780" w:type="dxa"/>
            <w:vAlign w:val="center"/>
            <w:hideMark/>
          </w:tcPr>
          <w:p w14:paraId="5BBDC795"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образовно-научних центара</w:t>
            </w:r>
          </w:p>
        </w:tc>
        <w:tc>
          <w:tcPr>
            <w:tcW w:w="1680" w:type="dxa"/>
            <w:noWrap/>
            <w:vAlign w:val="center"/>
            <w:hideMark/>
          </w:tcPr>
          <w:p w14:paraId="1A9E90A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80" w:type="dxa"/>
            <w:noWrap/>
            <w:vAlign w:val="center"/>
            <w:hideMark/>
          </w:tcPr>
          <w:p w14:paraId="501FEAE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3,701,224,000</w:t>
            </w:r>
          </w:p>
        </w:tc>
        <w:tc>
          <w:tcPr>
            <w:tcW w:w="1680" w:type="dxa"/>
            <w:noWrap/>
            <w:vAlign w:val="center"/>
            <w:hideMark/>
          </w:tcPr>
          <w:p w14:paraId="7383550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139,340,000</w:t>
            </w:r>
          </w:p>
        </w:tc>
        <w:tc>
          <w:tcPr>
            <w:tcW w:w="1660" w:type="dxa"/>
            <w:noWrap/>
            <w:vAlign w:val="center"/>
            <w:hideMark/>
          </w:tcPr>
          <w:p w14:paraId="1062588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455,370,000</w:t>
            </w:r>
          </w:p>
        </w:tc>
        <w:tc>
          <w:tcPr>
            <w:tcW w:w="1660" w:type="dxa"/>
            <w:noWrap/>
            <w:vAlign w:val="center"/>
            <w:hideMark/>
          </w:tcPr>
          <w:p w14:paraId="27EAB1C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455,370,000</w:t>
            </w:r>
          </w:p>
        </w:tc>
        <w:tc>
          <w:tcPr>
            <w:tcW w:w="2100" w:type="dxa"/>
            <w:noWrap/>
            <w:vAlign w:val="center"/>
            <w:hideMark/>
          </w:tcPr>
          <w:p w14:paraId="71B2A908"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4,751,304,000</w:t>
            </w:r>
          </w:p>
        </w:tc>
      </w:tr>
      <w:tr w:rsidR="009C1585" w:rsidRPr="001B41AD" w14:paraId="3FE91D61" w14:textId="77777777" w:rsidTr="00147C90">
        <w:trPr>
          <w:trHeight w:val="20"/>
          <w:jc w:val="center"/>
        </w:trPr>
        <w:tc>
          <w:tcPr>
            <w:tcW w:w="540" w:type="dxa"/>
            <w:shd w:val="clear" w:color="000000" w:fill="FFFFFF"/>
            <w:noWrap/>
            <w:vAlign w:val="center"/>
            <w:hideMark/>
          </w:tcPr>
          <w:p w14:paraId="4B9E1586"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43</w:t>
            </w:r>
          </w:p>
        </w:tc>
        <w:tc>
          <w:tcPr>
            <w:tcW w:w="1020" w:type="dxa"/>
            <w:shd w:val="clear" w:color="000000" w:fill="FFFFFF"/>
            <w:vAlign w:val="center"/>
            <w:hideMark/>
          </w:tcPr>
          <w:p w14:paraId="0AACA075"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5001</w:t>
            </w:r>
          </w:p>
        </w:tc>
        <w:tc>
          <w:tcPr>
            <w:tcW w:w="5780" w:type="dxa"/>
            <w:vAlign w:val="center"/>
            <w:hideMark/>
          </w:tcPr>
          <w:p w14:paraId="1B9455C3"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Реконструкција Универзитетског клиничког центра Србије, Београд</w:t>
            </w:r>
          </w:p>
        </w:tc>
        <w:tc>
          <w:tcPr>
            <w:tcW w:w="1680" w:type="dxa"/>
            <w:noWrap/>
            <w:vAlign w:val="center"/>
            <w:hideMark/>
          </w:tcPr>
          <w:p w14:paraId="24AAE89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14,359,133,063</w:t>
            </w:r>
          </w:p>
        </w:tc>
        <w:tc>
          <w:tcPr>
            <w:tcW w:w="1680" w:type="dxa"/>
            <w:noWrap/>
            <w:vAlign w:val="center"/>
            <w:hideMark/>
          </w:tcPr>
          <w:p w14:paraId="4BA9BF0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w:t>
            </w:r>
          </w:p>
        </w:tc>
        <w:tc>
          <w:tcPr>
            <w:tcW w:w="1680" w:type="dxa"/>
            <w:noWrap/>
            <w:vAlign w:val="center"/>
            <w:hideMark/>
          </w:tcPr>
          <w:p w14:paraId="4A121EA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1,155,000,000</w:t>
            </w:r>
          </w:p>
        </w:tc>
        <w:tc>
          <w:tcPr>
            <w:tcW w:w="1660" w:type="dxa"/>
            <w:noWrap/>
            <w:vAlign w:val="center"/>
            <w:hideMark/>
          </w:tcPr>
          <w:p w14:paraId="342F8FF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325,000,000</w:t>
            </w:r>
          </w:p>
        </w:tc>
        <w:tc>
          <w:tcPr>
            <w:tcW w:w="1660" w:type="dxa"/>
            <w:noWrap/>
            <w:vAlign w:val="center"/>
            <w:hideMark/>
          </w:tcPr>
          <w:p w14:paraId="1FB3BF2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1,100,000,000</w:t>
            </w:r>
          </w:p>
        </w:tc>
        <w:tc>
          <w:tcPr>
            <w:tcW w:w="2100" w:type="dxa"/>
            <w:noWrap/>
            <w:vAlign w:val="center"/>
            <w:hideMark/>
          </w:tcPr>
          <w:p w14:paraId="4DB8A6F0"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17,439,133,063</w:t>
            </w:r>
          </w:p>
        </w:tc>
      </w:tr>
      <w:tr w:rsidR="009C1585" w:rsidRPr="001B41AD" w14:paraId="309770A7" w14:textId="77777777" w:rsidTr="00147C90">
        <w:trPr>
          <w:trHeight w:val="20"/>
          <w:jc w:val="center"/>
        </w:trPr>
        <w:tc>
          <w:tcPr>
            <w:tcW w:w="540" w:type="dxa"/>
            <w:noWrap/>
            <w:vAlign w:val="center"/>
            <w:hideMark/>
          </w:tcPr>
          <w:p w14:paraId="6D18E40F"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44</w:t>
            </w:r>
          </w:p>
        </w:tc>
        <w:tc>
          <w:tcPr>
            <w:tcW w:w="1020" w:type="dxa"/>
            <w:shd w:val="clear" w:color="000000" w:fill="FFFFFF"/>
            <w:vAlign w:val="center"/>
            <w:hideMark/>
          </w:tcPr>
          <w:p w14:paraId="6EF1FAC6"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5003</w:t>
            </w:r>
          </w:p>
        </w:tc>
        <w:tc>
          <w:tcPr>
            <w:tcW w:w="5780" w:type="dxa"/>
            <w:vAlign w:val="center"/>
            <w:hideMark/>
          </w:tcPr>
          <w:p w14:paraId="542E6A5A"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Набавка опреме за УКЦ Војводине, Нови Сад</w:t>
            </w:r>
          </w:p>
        </w:tc>
        <w:tc>
          <w:tcPr>
            <w:tcW w:w="1680" w:type="dxa"/>
            <w:noWrap/>
            <w:vAlign w:val="center"/>
            <w:hideMark/>
          </w:tcPr>
          <w:p w14:paraId="13B2D23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3,697,511,435</w:t>
            </w:r>
          </w:p>
        </w:tc>
        <w:tc>
          <w:tcPr>
            <w:tcW w:w="1680" w:type="dxa"/>
            <w:noWrap/>
            <w:vAlign w:val="center"/>
            <w:hideMark/>
          </w:tcPr>
          <w:p w14:paraId="4E385C4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1,548,488,565</w:t>
            </w:r>
          </w:p>
        </w:tc>
        <w:tc>
          <w:tcPr>
            <w:tcW w:w="1680" w:type="dxa"/>
            <w:noWrap/>
            <w:vAlign w:val="center"/>
            <w:hideMark/>
          </w:tcPr>
          <w:p w14:paraId="6339F69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354,000,000</w:t>
            </w:r>
          </w:p>
        </w:tc>
        <w:tc>
          <w:tcPr>
            <w:tcW w:w="1660" w:type="dxa"/>
            <w:noWrap/>
            <w:vAlign w:val="center"/>
            <w:hideMark/>
          </w:tcPr>
          <w:p w14:paraId="41B72D3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2B4F8A8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258313B3"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5,600,000,000</w:t>
            </w:r>
          </w:p>
        </w:tc>
      </w:tr>
      <w:tr w:rsidR="009C1585" w:rsidRPr="001B41AD" w14:paraId="7A1B84FC" w14:textId="77777777" w:rsidTr="00147C90">
        <w:trPr>
          <w:trHeight w:val="20"/>
          <w:jc w:val="center"/>
        </w:trPr>
        <w:tc>
          <w:tcPr>
            <w:tcW w:w="540" w:type="dxa"/>
            <w:noWrap/>
            <w:vAlign w:val="center"/>
            <w:hideMark/>
          </w:tcPr>
          <w:p w14:paraId="3CC97A1B"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45</w:t>
            </w:r>
          </w:p>
        </w:tc>
        <w:tc>
          <w:tcPr>
            <w:tcW w:w="1020" w:type="dxa"/>
            <w:shd w:val="clear" w:color="000000" w:fill="FFFFFF"/>
            <w:vAlign w:val="center"/>
            <w:hideMark/>
          </w:tcPr>
          <w:p w14:paraId="185E2392"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5001</w:t>
            </w:r>
          </w:p>
        </w:tc>
        <w:tc>
          <w:tcPr>
            <w:tcW w:w="5780" w:type="dxa"/>
            <w:vAlign w:val="center"/>
            <w:hideMark/>
          </w:tcPr>
          <w:p w14:paraId="6E874FA2"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резервоара у складишту деривата нафте у Смедереву</w:t>
            </w:r>
          </w:p>
        </w:tc>
        <w:tc>
          <w:tcPr>
            <w:tcW w:w="1680" w:type="dxa"/>
            <w:noWrap/>
            <w:vAlign w:val="center"/>
            <w:hideMark/>
          </w:tcPr>
          <w:p w14:paraId="5806F18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2,884,999,646</w:t>
            </w:r>
          </w:p>
        </w:tc>
        <w:tc>
          <w:tcPr>
            <w:tcW w:w="1680" w:type="dxa"/>
            <w:noWrap/>
            <w:vAlign w:val="center"/>
            <w:hideMark/>
          </w:tcPr>
          <w:p w14:paraId="1D6C0B9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16,170,000</w:t>
            </w:r>
          </w:p>
        </w:tc>
        <w:tc>
          <w:tcPr>
            <w:tcW w:w="1680" w:type="dxa"/>
            <w:noWrap/>
            <w:vAlign w:val="center"/>
            <w:hideMark/>
          </w:tcPr>
          <w:p w14:paraId="5504F03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250,000</w:t>
            </w:r>
          </w:p>
        </w:tc>
        <w:tc>
          <w:tcPr>
            <w:tcW w:w="1660" w:type="dxa"/>
            <w:noWrap/>
            <w:vAlign w:val="center"/>
            <w:hideMark/>
          </w:tcPr>
          <w:p w14:paraId="397FC0A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60" w:type="dxa"/>
            <w:noWrap/>
            <w:vAlign w:val="center"/>
            <w:hideMark/>
          </w:tcPr>
          <w:p w14:paraId="750E7E4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2100" w:type="dxa"/>
            <w:noWrap/>
            <w:vAlign w:val="center"/>
            <w:hideMark/>
          </w:tcPr>
          <w:p w14:paraId="480EC800"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2,901,419,646</w:t>
            </w:r>
          </w:p>
        </w:tc>
      </w:tr>
      <w:tr w:rsidR="009C1585" w:rsidRPr="001B41AD" w14:paraId="21CC0F10" w14:textId="77777777" w:rsidTr="00147C90">
        <w:trPr>
          <w:trHeight w:val="20"/>
          <w:jc w:val="center"/>
        </w:trPr>
        <w:tc>
          <w:tcPr>
            <w:tcW w:w="540" w:type="dxa"/>
            <w:shd w:val="clear" w:color="000000" w:fill="FFFFFF"/>
            <w:noWrap/>
            <w:vAlign w:val="center"/>
            <w:hideMark/>
          </w:tcPr>
          <w:p w14:paraId="0CC9A159"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46</w:t>
            </w:r>
          </w:p>
        </w:tc>
        <w:tc>
          <w:tcPr>
            <w:tcW w:w="1020" w:type="dxa"/>
            <w:shd w:val="clear" w:color="000000" w:fill="FFFFFF"/>
            <w:vAlign w:val="center"/>
            <w:hideMark/>
          </w:tcPr>
          <w:p w14:paraId="2E3F9917"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5008</w:t>
            </w:r>
          </w:p>
        </w:tc>
        <w:tc>
          <w:tcPr>
            <w:tcW w:w="5780" w:type="dxa"/>
            <w:vAlign w:val="center"/>
            <w:hideMark/>
          </w:tcPr>
          <w:p w14:paraId="58E0E550"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нове зграде Природњачког музеја</w:t>
            </w:r>
          </w:p>
        </w:tc>
        <w:tc>
          <w:tcPr>
            <w:tcW w:w="1680" w:type="dxa"/>
            <w:noWrap/>
            <w:vAlign w:val="center"/>
            <w:hideMark/>
          </w:tcPr>
          <w:p w14:paraId="46CA25B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80" w:type="dxa"/>
            <w:noWrap/>
            <w:vAlign w:val="center"/>
            <w:hideMark/>
          </w:tcPr>
          <w:p w14:paraId="5416071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0</w:t>
            </w:r>
          </w:p>
        </w:tc>
        <w:tc>
          <w:tcPr>
            <w:tcW w:w="1680" w:type="dxa"/>
            <w:noWrap/>
            <w:vAlign w:val="center"/>
            <w:hideMark/>
          </w:tcPr>
          <w:p w14:paraId="6C1BECB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2,891,000,000</w:t>
            </w:r>
          </w:p>
        </w:tc>
        <w:tc>
          <w:tcPr>
            <w:tcW w:w="1660" w:type="dxa"/>
            <w:noWrap/>
            <w:vAlign w:val="center"/>
            <w:hideMark/>
          </w:tcPr>
          <w:p w14:paraId="06558BD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3,717,000,000</w:t>
            </w:r>
          </w:p>
        </w:tc>
        <w:tc>
          <w:tcPr>
            <w:tcW w:w="1660" w:type="dxa"/>
            <w:noWrap/>
            <w:vAlign w:val="center"/>
            <w:hideMark/>
          </w:tcPr>
          <w:p w14:paraId="1AE1884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1,652,000,000</w:t>
            </w:r>
          </w:p>
        </w:tc>
        <w:tc>
          <w:tcPr>
            <w:tcW w:w="2100" w:type="dxa"/>
            <w:noWrap/>
            <w:vAlign w:val="center"/>
            <w:hideMark/>
          </w:tcPr>
          <w:p w14:paraId="5936AE5D"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10,819,000,000</w:t>
            </w:r>
          </w:p>
        </w:tc>
      </w:tr>
      <w:tr w:rsidR="009C1585" w:rsidRPr="001B41AD" w14:paraId="0F45A2BB" w14:textId="77777777" w:rsidTr="00147C90">
        <w:trPr>
          <w:trHeight w:val="20"/>
          <w:jc w:val="center"/>
        </w:trPr>
        <w:tc>
          <w:tcPr>
            <w:tcW w:w="540" w:type="dxa"/>
            <w:noWrap/>
            <w:vAlign w:val="center"/>
            <w:hideMark/>
          </w:tcPr>
          <w:p w14:paraId="2C6A9428"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47</w:t>
            </w:r>
          </w:p>
        </w:tc>
        <w:tc>
          <w:tcPr>
            <w:tcW w:w="1020" w:type="dxa"/>
            <w:shd w:val="clear" w:color="000000" w:fill="FFFFFF"/>
            <w:vAlign w:val="center"/>
            <w:hideMark/>
          </w:tcPr>
          <w:p w14:paraId="0FC296FB"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5004</w:t>
            </w:r>
          </w:p>
        </w:tc>
        <w:tc>
          <w:tcPr>
            <w:tcW w:w="5780" w:type="dxa"/>
            <w:vAlign w:val="center"/>
            <w:hideMark/>
          </w:tcPr>
          <w:p w14:paraId="3726C37F"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и уређење туристичке инфраструктуре и супраструктуре на подручју Подунавља</w:t>
            </w:r>
          </w:p>
        </w:tc>
        <w:tc>
          <w:tcPr>
            <w:tcW w:w="1680" w:type="dxa"/>
            <w:noWrap/>
            <w:vAlign w:val="center"/>
            <w:hideMark/>
          </w:tcPr>
          <w:p w14:paraId="6526AE5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2,284,696,256</w:t>
            </w:r>
          </w:p>
        </w:tc>
        <w:tc>
          <w:tcPr>
            <w:tcW w:w="1680" w:type="dxa"/>
            <w:noWrap/>
            <w:vAlign w:val="center"/>
            <w:hideMark/>
          </w:tcPr>
          <w:p w14:paraId="17FAF2D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250,000,000</w:t>
            </w:r>
          </w:p>
        </w:tc>
        <w:tc>
          <w:tcPr>
            <w:tcW w:w="1680" w:type="dxa"/>
            <w:noWrap/>
            <w:vAlign w:val="center"/>
            <w:hideMark/>
          </w:tcPr>
          <w:p w14:paraId="11439EB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150,103,000</w:t>
            </w:r>
          </w:p>
        </w:tc>
        <w:tc>
          <w:tcPr>
            <w:tcW w:w="1660" w:type="dxa"/>
            <w:noWrap/>
            <w:vAlign w:val="center"/>
            <w:hideMark/>
          </w:tcPr>
          <w:p w14:paraId="6A2BABB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1,421,896,000</w:t>
            </w:r>
          </w:p>
        </w:tc>
        <w:tc>
          <w:tcPr>
            <w:tcW w:w="1660" w:type="dxa"/>
            <w:noWrap/>
            <w:vAlign w:val="center"/>
            <w:hideMark/>
          </w:tcPr>
          <w:p w14:paraId="28667267"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347,072,000</w:t>
            </w:r>
          </w:p>
        </w:tc>
        <w:tc>
          <w:tcPr>
            <w:tcW w:w="2100" w:type="dxa"/>
            <w:noWrap/>
            <w:vAlign w:val="center"/>
            <w:hideMark/>
          </w:tcPr>
          <w:p w14:paraId="7D3FAFBB"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4,453,767,256</w:t>
            </w:r>
          </w:p>
        </w:tc>
      </w:tr>
      <w:tr w:rsidR="009C1585" w:rsidRPr="001B41AD" w14:paraId="0A39F86A" w14:textId="77777777" w:rsidTr="00147C90">
        <w:trPr>
          <w:trHeight w:val="20"/>
          <w:jc w:val="center"/>
        </w:trPr>
        <w:tc>
          <w:tcPr>
            <w:tcW w:w="540" w:type="dxa"/>
            <w:noWrap/>
            <w:vAlign w:val="center"/>
            <w:hideMark/>
          </w:tcPr>
          <w:p w14:paraId="7D8094E8"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48</w:t>
            </w:r>
          </w:p>
        </w:tc>
        <w:tc>
          <w:tcPr>
            <w:tcW w:w="1020" w:type="dxa"/>
            <w:shd w:val="clear" w:color="000000" w:fill="FFFFFF"/>
            <w:vAlign w:val="center"/>
            <w:hideMark/>
          </w:tcPr>
          <w:p w14:paraId="48DD723B"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5007</w:t>
            </w:r>
          </w:p>
        </w:tc>
        <w:tc>
          <w:tcPr>
            <w:tcW w:w="5780" w:type="dxa"/>
            <w:vAlign w:val="center"/>
            <w:hideMark/>
          </w:tcPr>
          <w:p w14:paraId="72741547"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граничног прелаза Сремска Рача</w:t>
            </w:r>
          </w:p>
        </w:tc>
        <w:tc>
          <w:tcPr>
            <w:tcW w:w="1680" w:type="dxa"/>
            <w:noWrap/>
            <w:vAlign w:val="center"/>
            <w:hideMark/>
          </w:tcPr>
          <w:p w14:paraId="6A61287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800,000,000</w:t>
            </w:r>
          </w:p>
        </w:tc>
        <w:tc>
          <w:tcPr>
            <w:tcW w:w="1680" w:type="dxa"/>
            <w:noWrap/>
            <w:vAlign w:val="center"/>
            <w:hideMark/>
          </w:tcPr>
          <w:p w14:paraId="2C598DB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2,500,000,000</w:t>
            </w:r>
          </w:p>
        </w:tc>
        <w:tc>
          <w:tcPr>
            <w:tcW w:w="1680" w:type="dxa"/>
            <w:noWrap/>
            <w:vAlign w:val="center"/>
            <w:hideMark/>
          </w:tcPr>
          <w:p w14:paraId="029F237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2,500,000,000</w:t>
            </w:r>
          </w:p>
        </w:tc>
        <w:tc>
          <w:tcPr>
            <w:tcW w:w="1660" w:type="dxa"/>
            <w:noWrap/>
            <w:vAlign w:val="center"/>
            <w:hideMark/>
          </w:tcPr>
          <w:p w14:paraId="2E21431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1,000,000,000</w:t>
            </w:r>
          </w:p>
        </w:tc>
        <w:tc>
          <w:tcPr>
            <w:tcW w:w="1660" w:type="dxa"/>
            <w:noWrap/>
            <w:vAlign w:val="center"/>
            <w:hideMark/>
          </w:tcPr>
          <w:p w14:paraId="4D1854B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1,000,000,000</w:t>
            </w:r>
          </w:p>
        </w:tc>
        <w:tc>
          <w:tcPr>
            <w:tcW w:w="2100" w:type="dxa"/>
            <w:noWrap/>
            <w:vAlign w:val="center"/>
            <w:hideMark/>
          </w:tcPr>
          <w:p w14:paraId="39764B77"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8,157,965,600</w:t>
            </w:r>
          </w:p>
        </w:tc>
      </w:tr>
      <w:tr w:rsidR="009C1585" w:rsidRPr="001B41AD" w14:paraId="30D46DBC" w14:textId="77777777" w:rsidTr="00147C90">
        <w:trPr>
          <w:trHeight w:val="20"/>
          <w:jc w:val="center"/>
        </w:trPr>
        <w:tc>
          <w:tcPr>
            <w:tcW w:w="540" w:type="dxa"/>
            <w:shd w:val="clear" w:color="000000" w:fill="FFFFFF"/>
            <w:noWrap/>
            <w:vAlign w:val="center"/>
            <w:hideMark/>
          </w:tcPr>
          <w:p w14:paraId="6CFBA85D"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lastRenderedPageBreak/>
              <w:t>49</w:t>
            </w:r>
          </w:p>
        </w:tc>
        <w:tc>
          <w:tcPr>
            <w:tcW w:w="1020" w:type="dxa"/>
            <w:shd w:val="clear" w:color="000000" w:fill="FFFFFF"/>
            <w:vAlign w:val="center"/>
            <w:hideMark/>
          </w:tcPr>
          <w:p w14:paraId="0D76D7EC"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5004</w:t>
            </w:r>
          </w:p>
        </w:tc>
        <w:tc>
          <w:tcPr>
            <w:tcW w:w="5780" w:type="dxa"/>
            <w:shd w:val="clear" w:color="000000" w:fill="FFFFFF"/>
            <w:vAlign w:val="center"/>
            <w:hideMark/>
          </w:tcPr>
          <w:p w14:paraId="23462E03"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Успостављање Дата центра за регистре, „Backup” центар и „Disaster Recovery”</w:t>
            </w:r>
          </w:p>
        </w:tc>
        <w:tc>
          <w:tcPr>
            <w:tcW w:w="1680" w:type="dxa"/>
            <w:noWrap/>
            <w:vAlign w:val="center"/>
            <w:hideMark/>
          </w:tcPr>
          <w:p w14:paraId="565FE22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1,847,674,705</w:t>
            </w:r>
          </w:p>
        </w:tc>
        <w:tc>
          <w:tcPr>
            <w:tcW w:w="1680" w:type="dxa"/>
            <w:noWrap/>
            <w:vAlign w:val="center"/>
            <w:hideMark/>
          </w:tcPr>
          <w:p w14:paraId="37750EA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160,000,000</w:t>
            </w:r>
          </w:p>
        </w:tc>
        <w:tc>
          <w:tcPr>
            <w:tcW w:w="1680" w:type="dxa"/>
            <w:noWrap/>
            <w:vAlign w:val="center"/>
            <w:hideMark/>
          </w:tcPr>
          <w:p w14:paraId="20BFCD86"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430,000,000</w:t>
            </w:r>
          </w:p>
        </w:tc>
        <w:tc>
          <w:tcPr>
            <w:tcW w:w="1660" w:type="dxa"/>
            <w:noWrap/>
            <w:vAlign w:val="center"/>
            <w:hideMark/>
          </w:tcPr>
          <w:p w14:paraId="793C51A3"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842,000,000</w:t>
            </w:r>
          </w:p>
        </w:tc>
        <w:tc>
          <w:tcPr>
            <w:tcW w:w="1660" w:type="dxa"/>
            <w:noWrap/>
            <w:vAlign w:val="center"/>
            <w:hideMark/>
          </w:tcPr>
          <w:p w14:paraId="1A14D0C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w:t>
            </w:r>
          </w:p>
        </w:tc>
        <w:tc>
          <w:tcPr>
            <w:tcW w:w="2100" w:type="dxa"/>
            <w:noWrap/>
            <w:vAlign w:val="center"/>
            <w:hideMark/>
          </w:tcPr>
          <w:p w14:paraId="2B993D61"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3,779,674,705</w:t>
            </w:r>
          </w:p>
        </w:tc>
      </w:tr>
      <w:tr w:rsidR="009C1585" w:rsidRPr="001B41AD" w14:paraId="1F0FA2DF" w14:textId="77777777" w:rsidTr="00147C90">
        <w:trPr>
          <w:trHeight w:val="20"/>
          <w:jc w:val="center"/>
        </w:trPr>
        <w:tc>
          <w:tcPr>
            <w:tcW w:w="540" w:type="dxa"/>
            <w:noWrap/>
            <w:vAlign w:val="center"/>
            <w:hideMark/>
          </w:tcPr>
          <w:p w14:paraId="6082815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w:t>
            </w:r>
          </w:p>
        </w:tc>
        <w:tc>
          <w:tcPr>
            <w:tcW w:w="1020" w:type="dxa"/>
            <w:shd w:val="clear" w:color="000000" w:fill="FFFFFF"/>
            <w:vAlign w:val="center"/>
            <w:hideMark/>
          </w:tcPr>
          <w:p w14:paraId="09A7C6DD"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5006</w:t>
            </w:r>
          </w:p>
        </w:tc>
        <w:tc>
          <w:tcPr>
            <w:tcW w:w="5780" w:type="dxa"/>
            <w:vAlign w:val="center"/>
            <w:hideMark/>
          </w:tcPr>
          <w:p w14:paraId="0484B5E0"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Изградња Дата центра у Крагујевцу</w:t>
            </w:r>
          </w:p>
        </w:tc>
        <w:tc>
          <w:tcPr>
            <w:tcW w:w="1680" w:type="dxa"/>
            <w:noWrap/>
            <w:vAlign w:val="center"/>
            <w:hideMark/>
          </w:tcPr>
          <w:p w14:paraId="7241FE9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10,529,835,800</w:t>
            </w:r>
          </w:p>
        </w:tc>
        <w:tc>
          <w:tcPr>
            <w:tcW w:w="1680" w:type="dxa"/>
            <w:noWrap/>
            <w:vAlign w:val="center"/>
            <w:hideMark/>
          </w:tcPr>
          <w:p w14:paraId="68D07A6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1,130,000,000</w:t>
            </w:r>
          </w:p>
        </w:tc>
        <w:tc>
          <w:tcPr>
            <w:tcW w:w="1680" w:type="dxa"/>
            <w:noWrap/>
            <w:vAlign w:val="center"/>
            <w:hideMark/>
          </w:tcPr>
          <w:p w14:paraId="20F4F7B9"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2,730,000,000</w:t>
            </w:r>
          </w:p>
        </w:tc>
        <w:tc>
          <w:tcPr>
            <w:tcW w:w="1660" w:type="dxa"/>
            <w:noWrap/>
            <w:vAlign w:val="center"/>
            <w:hideMark/>
          </w:tcPr>
          <w:p w14:paraId="70D0250F"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2,250,000,000</w:t>
            </w:r>
          </w:p>
        </w:tc>
        <w:tc>
          <w:tcPr>
            <w:tcW w:w="1660" w:type="dxa"/>
            <w:noWrap/>
            <w:vAlign w:val="center"/>
            <w:hideMark/>
          </w:tcPr>
          <w:p w14:paraId="7C2A9AC5"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3,262,000,000</w:t>
            </w:r>
          </w:p>
        </w:tc>
        <w:tc>
          <w:tcPr>
            <w:tcW w:w="2100" w:type="dxa"/>
            <w:noWrap/>
            <w:vAlign w:val="center"/>
            <w:hideMark/>
          </w:tcPr>
          <w:p w14:paraId="09806E2E"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19,901,835,800</w:t>
            </w:r>
          </w:p>
        </w:tc>
      </w:tr>
      <w:tr w:rsidR="009C1585" w:rsidRPr="001B41AD" w14:paraId="6124726C" w14:textId="77777777" w:rsidTr="00147C90">
        <w:trPr>
          <w:trHeight w:val="20"/>
          <w:jc w:val="center"/>
        </w:trPr>
        <w:tc>
          <w:tcPr>
            <w:tcW w:w="540" w:type="dxa"/>
            <w:noWrap/>
            <w:vAlign w:val="center"/>
            <w:hideMark/>
          </w:tcPr>
          <w:p w14:paraId="35E7F56B"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51</w:t>
            </w:r>
          </w:p>
        </w:tc>
        <w:tc>
          <w:tcPr>
            <w:tcW w:w="1020" w:type="dxa"/>
            <w:shd w:val="clear" w:color="000000" w:fill="FFFFFF"/>
            <w:vAlign w:val="center"/>
            <w:hideMark/>
          </w:tcPr>
          <w:p w14:paraId="1EBECA63"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5014</w:t>
            </w:r>
          </w:p>
        </w:tc>
        <w:tc>
          <w:tcPr>
            <w:tcW w:w="5780" w:type="dxa"/>
            <w:shd w:val="clear" w:color="000000" w:fill="FFFFFF"/>
            <w:vAlign w:val="center"/>
            <w:hideMark/>
          </w:tcPr>
          <w:p w14:paraId="1866FA81"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Јединствена информациона комуникациона мрежа е Управе</w:t>
            </w:r>
          </w:p>
        </w:tc>
        <w:tc>
          <w:tcPr>
            <w:tcW w:w="1680" w:type="dxa"/>
            <w:noWrap/>
            <w:vAlign w:val="center"/>
            <w:hideMark/>
          </w:tcPr>
          <w:p w14:paraId="41A4E5BA"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2,239,816,335</w:t>
            </w:r>
          </w:p>
        </w:tc>
        <w:tc>
          <w:tcPr>
            <w:tcW w:w="1680" w:type="dxa"/>
            <w:noWrap/>
            <w:vAlign w:val="center"/>
            <w:hideMark/>
          </w:tcPr>
          <w:p w14:paraId="6E0DF99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500,000,000</w:t>
            </w:r>
          </w:p>
        </w:tc>
        <w:tc>
          <w:tcPr>
            <w:tcW w:w="1680" w:type="dxa"/>
            <w:noWrap/>
            <w:vAlign w:val="center"/>
            <w:hideMark/>
          </w:tcPr>
          <w:p w14:paraId="292E159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850,000,000</w:t>
            </w:r>
          </w:p>
        </w:tc>
        <w:tc>
          <w:tcPr>
            <w:tcW w:w="1660" w:type="dxa"/>
            <w:noWrap/>
            <w:vAlign w:val="center"/>
            <w:hideMark/>
          </w:tcPr>
          <w:p w14:paraId="67FE1631"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750,000,000</w:t>
            </w:r>
          </w:p>
        </w:tc>
        <w:tc>
          <w:tcPr>
            <w:tcW w:w="1660" w:type="dxa"/>
            <w:noWrap/>
            <w:vAlign w:val="center"/>
            <w:hideMark/>
          </w:tcPr>
          <w:p w14:paraId="19A650B0"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596,000,000</w:t>
            </w:r>
          </w:p>
        </w:tc>
        <w:tc>
          <w:tcPr>
            <w:tcW w:w="2100" w:type="dxa"/>
            <w:noWrap/>
            <w:vAlign w:val="center"/>
            <w:hideMark/>
          </w:tcPr>
          <w:p w14:paraId="1C721F38"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4,935,816,335</w:t>
            </w:r>
          </w:p>
        </w:tc>
      </w:tr>
      <w:tr w:rsidR="009C1585" w:rsidRPr="001B41AD" w14:paraId="78B805ED" w14:textId="77777777" w:rsidTr="00147C90">
        <w:trPr>
          <w:trHeight w:val="20"/>
          <w:jc w:val="center"/>
        </w:trPr>
        <w:tc>
          <w:tcPr>
            <w:tcW w:w="540" w:type="dxa"/>
            <w:shd w:val="clear" w:color="000000" w:fill="FFFFFF"/>
            <w:noWrap/>
            <w:vAlign w:val="center"/>
            <w:hideMark/>
          </w:tcPr>
          <w:p w14:paraId="4E467339"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52</w:t>
            </w:r>
          </w:p>
        </w:tc>
        <w:tc>
          <w:tcPr>
            <w:tcW w:w="1020" w:type="dxa"/>
            <w:shd w:val="clear" w:color="000000" w:fill="FFFFFF"/>
            <w:vAlign w:val="center"/>
            <w:hideMark/>
          </w:tcPr>
          <w:p w14:paraId="7FBF3150" w14:textId="77777777" w:rsidR="009C1585" w:rsidRPr="001B41AD" w:rsidRDefault="009C1585" w:rsidP="009C1585">
            <w:pPr>
              <w:spacing w:after="0" w:line="240" w:lineRule="auto"/>
              <w:jc w:val="center"/>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5019</w:t>
            </w:r>
          </w:p>
        </w:tc>
        <w:tc>
          <w:tcPr>
            <w:tcW w:w="5780" w:type="dxa"/>
            <w:vAlign w:val="center"/>
            <w:hideMark/>
          </w:tcPr>
          <w:p w14:paraId="64D3C192" w14:textId="77777777" w:rsidR="009C1585" w:rsidRPr="001B41AD" w:rsidRDefault="009C1585" w:rsidP="009C1585">
            <w:pPr>
              <w:spacing w:after="0" w:line="240" w:lineRule="auto"/>
              <w:jc w:val="lef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Иновациони дистрикт Крагујевац</w:t>
            </w:r>
          </w:p>
        </w:tc>
        <w:tc>
          <w:tcPr>
            <w:tcW w:w="1680" w:type="dxa"/>
            <w:noWrap/>
            <w:vAlign w:val="center"/>
            <w:hideMark/>
          </w:tcPr>
          <w:p w14:paraId="2AB5F374"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528,670,000</w:t>
            </w:r>
          </w:p>
        </w:tc>
        <w:tc>
          <w:tcPr>
            <w:tcW w:w="1680" w:type="dxa"/>
            <w:noWrap/>
            <w:vAlign w:val="center"/>
            <w:hideMark/>
          </w:tcPr>
          <w:p w14:paraId="214974D2"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700,000,000</w:t>
            </w:r>
          </w:p>
        </w:tc>
        <w:tc>
          <w:tcPr>
            <w:tcW w:w="1680" w:type="dxa"/>
            <w:noWrap/>
            <w:vAlign w:val="center"/>
            <w:hideMark/>
          </w:tcPr>
          <w:p w14:paraId="1A13614D"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2,200,000,000</w:t>
            </w:r>
          </w:p>
        </w:tc>
        <w:tc>
          <w:tcPr>
            <w:tcW w:w="1660" w:type="dxa"/>
            <w:noWrap/>
            <w:vAlign w:val="center"/>
            <w:hideMark/>
          </w:tcPr>
          <w:p w14:paraId="7488859C"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2,000,000,000</w:t>
            </w:r>
          </w:p>
        </w:tc>
        <w:tc>
          <w:tcPr>
            <w:tcW w:w="1660" w:type="dxa"/>
            <w:noWrap/>
            <w:vAlign w:val="center"/>
            <w:hideMark/>
          </w:tcPr>
          <w:p w14:paraId="347AAC2E" w14:textId="77777777" w:rsidR="009C1585" w:rsidRPr="001B41AD" w:rsidRDefault="009C1585" w:rsidP="009C1585">
            <w:pPr>
              <w:spacing w:after="0" w:line="240" w:lineRule="auto"/>
              <w:jc w:val="right"/>
              <w:rPr>
                <w:rFonts w:ascii="Calibri" w:eastAsia="Times New Roman" w:hAnsi="Calibri" w:cs="Calibri"/>
                <w:color w:val="000000"/>
                <w:sz w:val="18"/>
                <w:szCs w:val="18"/>
                <w:lang w:val="sr-Cyrl-CS"/>
              </w:rPr>
            </w:pPr>
            <w:r w:rsidRPr="001B41AD">
              <w:rPr>
                <w:rFonts w:ascii="Calibri" w:eastAsia="Times New Roman" w:hAnsi="Calibri" w:cs="Calibri"/>
                <w:color w:val="000000"/>
                <w:sz w:val="18"/>
                <w:szCs w:val="18"/>
                <w:lang w:val="sr-Cyrl-CS"/>
              </w:rPr>
              <w:t>3,025,459,000</w:t>
            </w:r>
          </w:p>
        </w:tc>
        <w:tc>
          <w:tcPr>
            <w:tcW w:w="2100" w:type="dxa"/>
            <w:noWrap/>
            <w:vAlign w:val="center"/>
            <w:hideMark/>
          </w:tcPr>
          <w:p w14:paraId="612C39F3"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8,454,129,000</w:t>
            </w:r>
          </w:p>
        </w:tc>
      </w:tr>
      <w:tr w:rsidR="009C1585" w:rsidRPr="001B41AD" w14:paraId="127FFFE1" w14:textId="77777777" w:rsidTr="00147C90">
        <w:trPr>
          <w:trHeight w:val="20"/>
          <w:jc w:val="center"/>
        </w:trPr>
        <w:tc>
          <w:tcPr>
            <w:tcW w:w="7340" w:type="dxa"/>
            <w:gridSpan w:val="3"/>
            <w:shd w:val="clear" w:color="000000" w:fill="FFFFFF"/>
            <w:vAlign w:val="center"/>
            <w:hideMark/>
          </w:tcPr>
          <w:p w14:paraId="46C84F75" w14:textId="77777777" w:rsidR="009C1585" w:rsidRPr="001B41AD" w:rsidRDefault="009C1585" w:rsidP="009C1585">
            <w:pPr>
              <w:spacing w:after="0" w:line="240" w:lineRule="auto"/>
              <w:jc w:val="center"/>
              <w:rPr>
                <w:rFonts w:ascii="Calibri" w:eastAsia="Times New Roman" w:hAnsi="Calibri" w:cs="Calibri"/>
                <w:b/>
                <w:bCs/>
                <w:color w:val="000000"/>
                <w:sz w:val="18"/>
                <w:szCs w:val="18"/>
                <w:lang w:val="sr-Cyrl-CS"/>
              </w:rPr>
            </w:pPr>
            <w:r w:rsidRPr="001B41AD">
              <w:rPr>
                <w:rFonts w:ascii="Calibri" w:eastAsia="Times New Roman" w:hAnsi="Calibri" w:cs="Calibri"/>
                <w:b/>
                <w:bCs/>
                <w:color w:val="000000"/>
                <w:sz w:val="18"/>
                <w:szCs w:val="18"/>
                <w:lang w:val="sr-Cyrl-CS"/>
              </w:rPr>
              <w:t xml:space="preserve">УКУПНО: </w:t>
            </w:r>
          </w:p>
        </w:tc>
        <w:tc>
          <w:tcPr>
            <w:tcW w:w="1680" w:type="dxa"/>
            <w:shd w:val="clear" w:color="000000" w:fill="BFBFBF"/>
            <w:noWrap/>
            <w:vAlign w:val="center"/>
            <w:hideMark/>
          </w:tcPr>
          <w:p w14:paraId="0D9D06CF" w14:textId="77777777" w:rsidR="009C1585" w:rsidRPr="001B41AD" w:rsidRDefault="009C1585" w:rsidP="009C1585">
            <w:pPr>
              <w:spacing w:after="0" w:line="240" w:lineRule="auto"/>
              <w:jc w:val="right"/>
              <w:rPr>
                <w:rFonts w:ascii="Calibri" w:eastAsia="Times New Roman" w:hAnsi="Calibri" w:cs="Calibri"/>
                <w:b/>
                <w:bCs/>
                <w:color w:val="000000"/>
                <w:sz w:val="18"/>
                <w:szCs w:val="18"/>
                <w:lang w:val="sr-Cyrl-CS"/>
              </w:rPr>
            </w:pPr>
            <w:r w:rsidRPr="001B41AD">
              <w:rPr>
                <w:rFonts w:ascii="Calibri" w:eastAsia="Times New Roman" w:hAnsi="Calibri" w:cs="Calibri"/>
                <w:b/>
                <w:bCs/>
                <w:color w:val="000000"/>
                <w:sz w:val="18"/>
                <w:szCs w:val="18"/>
                <w:lang w:val="sr-Cyrl-CS"/>
              </w:rPr>
              <w:t>915,304,854,264</w:t>
            </w:r>
          </w:p>
        </w:tc>
        <w:tc>
          <w:tcPr>
            <w:tcW w:w="1680" w:type="dxa"/>
            <w:shd w:val="clear" w:color="000000" w:fill="BFBFBF"/>
            <w:noWrap/>
            <w:vAlign w:val="center"/>
            <w:hideMark/>
          </w:tcPr>
          <w:p w14:paraId="5C1AFBBA" w14:textId="77777777" w:rsidR="009C1585" w:rsidRPr="001B41AD" w:rsidRDefault="009C1585" w:rsidP="009C1585">
            <w:pPr>
              <w:spacing w:after="0" w:line="240" w:lineRule="auto"/>
              <w:jc w:val="right"/>
              <w:rPr>
                <w:rFonts w:ascii="Calibri" w:eastAsia="Times New Roman" w:hAnsi="Calibri" w:cs="Calibri"/>
                <w:b/>
                <w:bCs/>
                <w:color w:val="000000"/>
                <w:sz w:val="18"/>
                <w:szCs w:val="18"/>
                <w:lang w:val="sr-Cyrl-CS"/>
              </w:rPr>
            </w:pPr>
            <w:r w:rsidRPr="001B41AD">
              <w:rPr>
                <w:rFonts w:ascii="Calibri" w:eastAsia="Times New Roman" w:hAnsi="Calibri" w:cs="Calibri"/>
                <w:b/>
                <w:bCs/>
                <w:color w:val="000000"/>
                <w:sz w:val="18"/>
                <w:szCs w:val="18"/>
                <w:lang w:val="sr-Cyrl-CS"/>
              </w:rPr>
              <w:t>312,294,489,745</w:t>
            </w:r>
          </w:p>
        </w:tc>
        <w:tc>
          <w:tcPr>
            <w:tcW w:w="1680" w:type="dxa"/>
            <w:shd w:val="clear" w:color="000000" w:fill="BFBFBF"/>
            <w:noWrap/>
            <w:vAlign w:val="center"/>
            <w:hideMark/>
          </w:tcPr>
          <w:p w14:paraId="1238082F" w14:textId="77777777" w:rsidR="009C1585" w:rsidRPr="001B41AD" w:rsidRDefault="009C1585" w:rsidP="009C1585">
            <w:pPr>
              <w:spacing w:after="0" w:line="240" w:lineRule="auto"/>
              <w:jc w:val="right"/>
              <w:rPr>
                <w:rFonts w:ascii="Calibri" w:eastAsia="Times New Roman" w:hAnsi="Calibri" w:cs="Calibri"/>
                <w:b/>
                <w:bCs/>
                <w:color w:val="000000"/>
                <w:sz w:val="18"/>
                <w:szCs w:val="18"/>
                <w:lang w:val="sr-Cyrl-CS"/>
              </w:rPr>
            </w:pPr>
            <w:r w:rsidRPr="001B41AD">
              <w:rPr>
                <w:rFonts w:ascii="Calibri" w:eastAsia="Times New Roman" w:hAnsi="Calibri" w:cs="Calibri"/>
                <w:b/>
                <w:bCs/>
                <w:color w:val="000000"/>
                <w:sz w:val="18"/>
                <w:szCs w:val="18"/>
                <w:lang w:val="sr-Cyrl-CS"/>
              </w:rPr>
              <w:t>293,424,564,000</w:t>
            </w:r>
          </w:p>
        </w:tc>
        <w:tc>
          <w:tcPr>
            <w:tcW w:w="1660" w:type="dxa"/>
            <w:shd w:val="clear" w:color="000000" w:fill="BFBFBF"/>
            <w:noWrap/>
            <w:vAlign w:val="center"/>
            <w:hideMark/>
          </w:tcPr>
          <w:p w14:paraId="0A9E9EFC" w14:textId="77777777" w:rsidR="009C1585" w:rsidRPr="001B41AD" w:rsidRDefault="009C1585" w:rsidP="009C1585">
            <w:pPr>
              <w:spacing w:after="0" w:line="240" w:lineRule="auto"/>
              <w:jc w:val="right"/>
              <w:rPr>
                <w:rFonts w:ascii="Calibri" w:eastAsia="Times New Roman" w:hAnsi="Calibri" w:cs="Calibri"/>
                <w:b/>
                <w:bCs/>
                <w:color w:val="000000"/>
                <w:sz w:val="18"/>
                <w:szCs w:val="18"/>
                <w:lang w:val="sr-Cyrl-CS"/>
              </w:rPr>
            </w:pPr>
            <w:r w:rsidRPr="001B41AD">
              <w:rPr>
                <w:rFonts w:ascii="Calibri" w:eastAsia="Times New Roman" w:hAnsi="Calibri" w:cs="Calibri"/>
                <w:b/>
                <w:bCs/>
                <w:color w:val="000000"/>
                <w:sz w:val="18"/>
                <w:szCs w:val="18"/>
                <w:lang w:val="sr-Cyrl-CS"/>
              </w:rPr>
              <w:t>199,776,924,000</w:t>
            </w:r>
          </w:p>
        </w:tc>
        <w:tc>
          <w:tcPr>
            <w:tcW w:w="1660" w:type="dxa"/>
            <w:shd w:val="clear" w:color="000000" w:fill="BFBFBF"/>
            <w:noWrap/>
            <w:vAlign w:val="center"/>
            <w:hideMark/>
          </w:tcPr>
          <w:p w14:paraId="0245EDF6" w14:textId="77777777" w:rsidR="009C1585" w:rsidRPr="001B41AD" w:rsidRDefault="009C1585" w:rsidP="009C1585">
            <w:pPr>
              <w:spacing w:after="0" w:line="240" w:lineRule="auto"/>
              <w:jc w:val="right"/>
              <w:rPr>
                <w:rFonts w:ascii="Calibri" w:eastAsia="Times New Roman" w:hAnsi="Calibri" w:cs="Calibri"/>
                <w:b/>
                <w:bCs/>
                <w:color w:val="000000"/>
                <w:sz w:val="18"/>
                <w:szCs w:val="18"/>
                <w:lang w:val="sr-Cyrl-CS"/>
              </w:rPr>
            </w:pPr>
            <w:r w:rsidRPr="001B41AD">
              <w:rPr>
                <w:rFonts w:ascii="Calibri" w:eastAsia="Times New Roman" w:hAnsi="Calibri" w:cs="Calibri"/>
                <w:b/>
                <w:bCs/>
                <w:color w:val="000000"/>
                <w:sz w:val="18"/>
                <w:szCs w:val="18"/>
                <w:lang w:val="sr-Cyrl-CS"/>
              </w:rPr>
              <w:t>123,429,659,000</w:t>
            </w:r>
          </w:p>
        </w:tc>
        <w:tc>
          <w:tcPr>
            <w:tcW w:w="2100" w:type="dxa"/>
            <w:shd w:val="clear" w:color="000000" w:fill="BFBFBF"/>
            <w:noWrap/>
            <w:vAlign w:val="center"/>
            <w:hideMark/>
          </w:tcPr>
          <w:p w14:paraId="4FC6A3A0" w14:textId="77777777" w:rsidR="009C1585" w:rsidRPr="001B41AD" w:rsidRDefault="009C1585" w:rsidP="009C1585">
            <w:pPr>
              <w:spacing w:after="0" w:line="240" w:lineRule="auto"/>
              <w:jc w:val="right"/>
              <w:rPr>
                <w:rFonts w:ascii="Calibri" w:eastAsia="Times New Roman" w:hAnsi="Calibri" w:cs="Calibri"/>
                <w:b/>
                <w:bCs/>
                <w:color w:val="auto"/>
                <w:sz w:val="18"/>
                <w:szCs w:val="18"/>
                <w:lang w:val="sr-Cyrl-CS"/>
              </w:rPr>
            </w:pPr>
            <w:r w:rsidRPr="001B41AD">
              <w:rPr>
                <w:rFonts w:ascii="Calibri" w:eastAsia="Times New Roman" w:hAnsi="Calibri" w:cs="Calibri"/>
                <w:b/>
                <w:bCs/>
                <w:color w:val="auto"/>
                <w:sz w:val="18"/>
                <w:szCs w:val="18"/>
                <w:lang w:val="sr-Cyrl-CS"/>
              </w:rPr>
              <w:t>2,533,576,449,472</w:t>
            </w:r>
          </w:p>
        </w:tc>
      </w:tr>
    </w:tbl>
    <w:p w14:paraId="45C9F42D" w14:textId="77777777" w:rsidR="009C1585" w:rsidRPr="001B41AD" w:rsidRDefault="009C1585" w:rsidP="00B63247">
      <w:pPr>
        <w:rPr>
          <w:lang w:val="sr-Cyrl-CS"/>
        </w:rPr>
        <w:sectPr w:rsidR="009C1585" w:rsidRPr="001B41AD" w:rsidSect="00027AE9">
          <w:type w:val="continuous"/>
          <w:pgSz w:w="15840" w:h="12240" w:orient="landscape" w:code="1"/>
          <w:pgMar w:top="1440" w:right="0" w:bottom="1440" w:left="0" w:header="720" w:footer="720" w:gutter="0"/>
          <w:cols w:space="720"/>
          <w:docGrid w:linePitch="360"/>
        </w:sectPr>
      </w:pPr>
    </w:p>
    <w:p w14:paraId="51A16AA0" w14:textId="77777777" w:rsidR="00BD4B78" w:rsidRPr="001B41AD" w:rsidRDefault="00BD4B78" w:rsidP="00B63247">
      <w:pPr>
        <w:rPr>
          <w:lang w:val="sr-Cyrl-CS"/>
        </w:rPr>
        <w:sectPr w:rsidR="00BD4B78" w:rsidRPr="001B41AD" w:rsidSect="00BD4B78">
          <w:type w:val="continuous"/>
          <w:pgSz w:w="15840" w:h="12240" w:orient="landscape" w:code="1"/>
          <w:pgMar w:top="1440" w:right="0" w:bottom="1440" w:left="0" w:header="720" w:footer="720" w:gutter="0"/>
          <w:cols w:space="720"/>
          <w:docGrid w:linePitch="360"/>
        </w:sectPr>
      </w:pPr>
    </w:p>
    <w:p w14:paraId="3884573D" w14:textId="77777777" w:rsidR="00B63247" w:rsidRPr="001B41AD" w:rsidRDefault="00B63247" w:rsidP="00D065C3">
      <w:pPr>
        <w:rPr>
          <w:lang w:val="sr-Cyrl-CS"/>
        </w:rPr>
      </w:pPr>
    </w:p>
    <w:sectPr w:rsidR="00B63247" w:rsidRPr="001B41AD" w:rsidSect="00DF656E">
      <w:type w:val="continuous"/>
      <w:pgSz w:w="15840" w:h="12240" w:orient="landscape" w:code="1"/>
      <w:pgMar w:top="1440" w:right="0" w:bottom="1440" w:left="0" w:header="720" w:footer="720" w:gutter="0"/>
      <w:cols w:num="2"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AE3856" w14:textId="77777777" w:rsidR="00B5269A" w:rsidRDefault="00B5269A" w:rsidP="00BF7F6A">
      <w:pPr>
        <w:spacing w:after="0" w:line="240" w:lineRule="auto"/>
      </w:pPr>
      <w:r>
        <w:separator/>
      </w:r>
    </w:p>
  </w:endnote>
  <w:endnote w:type="continuationSeparator" w:id="0">
    <w:p w14:paraId="0A5DE90F" w14:textId="77777777" w:rsidR="00B5269A" w:rsidRDefault="00B5269A" w:rsidP="00BF7F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unga">
    <w:panose1 w:val="00000400000000000000"/>
    <w:charset w:val="01"/>
    <w:family w:val="roman"/>
    <w:notTrueType/>
    <w:pitch w:val="variable"/>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2836409"/>
      <w:docPartObj>
        <w:docPartGallery w:val="Page Numbers (Bottom of Page)"/>
        <w:docPartUnique/>
      </w:docPartObj>
    </w:sdtPr>
    <w:sdtEndPr>
      <w:rPr>
        <w:noProof/>
      </w:rPr>
    </w:sdtEndPr>
    <w:sdtContent>
      <w:p w14:paraId="3D8B299A" w14:textId="77777777" w:rsidR="001B41AD" w:rsidRDefault="001B41AD">
        <w:pPr>
          <w:pStyle w:val="Footer"/>
        </w:pPr>
        <w:r>
          <w:fldChar w:fldCharType="begin"/>
        </w:r>
        <w:r>
          <w:instrText xml:space="preserve"> PAGE   \* MERGEFORMAT </w:instrText>
        </w:r>
        <w:r>
          <w:fldChar w:fldCharType="separate"/>
        </w:r>
        <w:r>
          <w:rPr>
            <w:noProof/>
          </w:rPr>
          <w:t>2</w:t>
        </w:r>
        <w:r>
          <w:rPr>
            <w:noProof/>
          </w:rPr>
          <w:fldChar w:fldCharType="end"/>
        </w:r>
      </w:p>
    </w:sdtContent>
  </w:sdt>
  <w:p w14:paraId="1EC7DEC6" w14:textId="77777777" w:rsidR="001B41AD" w:rsidRDefault="001B41AD">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1790631"/>
      <w:docPartObj>
        <w:docPartGallery w:val="Page Numbers (Bottom of Page)"/>
        <w:docPartUnique/>
      </w:docPartObj>
    </w:sdtPr>
    <w:sdtEndPr>
      <w:rPr>
        <w:noProof/>
      </w:rPr>
    </w:sdtEndPr>
    <w:sdtContent>
      <w:p w14:paraId="0015A931" w14:textId="4B6E41B9" w:rsidR="001B41AD" w:rsidRDefault="001B41AD">
        <w:pPr>
          <w:pStyle w:val="Footer"/>
        </w:pPr>
        <w:r>
          <w:fldChar w:fldCharType="begin"/>
        </w:r>
        <w:r>
          <w:instrText xml:space="preserve"> PAGE   \* MERGEFORMAT </w:instrText>
        </w:r>
        <w:r>
          <w:fldChar w:fldCharType="separate"/>
        </w:r>
        <w:r w:rsidR="00624F3A">
          <w:rPr>
            <w:noProof/>
          </w:rPr>
          <w:t>36</w:t>
        </w:r>
        <w:r>
          <w:rPr>
            <w:noProof/>
          </w:rPr>
          <w:fldChar w:fldCharType="end"/>
        </w:r>
      </w:p>
    </w:sdtContent>
  </w:sdt>
  <w:p w14:paraId="5A087166" w14:textId="77777777" w:rsidR="001B41AD" w:rsidRPr="00287EFB" w:rsidRDefault="001B41AD" w:rsidP="00C130D2">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5873835"/>
      <w:docPartObj>
        <w:docPartGallery w:val="Page Numbers (Bottom of Page)"/>
        <w:docPartUnique/>
      </w:docPartObj>
    </w:sdtPr>
    <w:sdtEndPr>
      <w:rPr>
        <w:noProof/>
      </w:rPr>
    </w:sdtEndPr>
    <w:sdtContent>
      <w:p w14:paraId="5F72619D" w14:textId="6C5DDAB5" w:rsidR="001B41AD" w:rsidRDefault="001B41AD">
        <w:pPr>
          <w:pStyle w:val="Footer"/>
        </w:pPr>
        <w:r>
          <w:fldChar w:fldCharType="begin"/>
        </w:r>
        <w:r>
          <w:instrText xml:space="preserve"> PAGE   \* MERGEFORMAT </w:instrText>
        </w:r>
        <w:r>
          <w:fldChar w:fldCharType="separate"/>
        </w:r>
        <w:r>
          <w:rPr>
            <w:noProof/>
          </w:rPr>
          <w:t>26</w:t>
        </w:r>
        <w:r>
          <w:rPr>
            <w:noProof/>
          </w:rPr>
          <w:fldChar w:fldCharType="end"/>
        </w:r>
      </w:p>
    </w:sdtContent>
  </w:sdt>
  <w:p w14:paraId="4217C07E" w14:textId="77777777" w:rsidR="001B41AD" w:rsidRDefault="001B41AD">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8862087"/>
      <w:docPartObj>
        <w:docPartGallery w:val="Page Numbers (Bottom of Page)"/>
        <w:docPartUnique/>
      </w:docPartObj>
    </w:sdtPr>
    <w:sdtEndPr>
      <w:rPr>
        <w:noProof/>
      </w:rPr>
    </w:sdtEndPr>
    <w:sdtContent>
      <w:p w14:paraId="3BF65C28" w14:textId="77777777" w:rsidR="001B41AD" w:rsidRPr="001B7E15" w:rsidRDefault="001B41AD" w:rsidP="00C130D2">
        <w:pPr>
          <w:pStyle w:val="Footer"/>
          <w:jc w:val="right"/>
        </w:pPr>
        <w:r w:rsidRPr="001B7E15">
          <w:fldChar w:fldCharType="begin"/>
        </w:r>
        <w:r w:rsidRPr="001B7E15">
          <w:instrText xml:space="preserve"> PAGE   \* MERGEFORMAT </w:instrText>
        </w:r>
        <w:r w:rsidRPr="001B7E15">
          <w:fldChar w:fldCharType="separate"/>
        </w:r>
        <w:r>
          <w:rPr>
            <w:noProof/>
          </w:rPr>
          <w:t>2</w:t>
        </w:r>
        <w:r w:rsidRPr="001B7E15">
          <w:rPr>
            <w:noProof/>
          </w:rPr>
          <w:fldChar w:fldCharType="end"/>
        </w:r>
      </w:p>
    </w:sdtContent>
  </w:sdt>
  <w:p w14:paraId="753A3A7A" w14:textId="77777777" w:rsidR="001B41AD" w:rsidRPr="00231623" w:rsidRDefault="001B41AD" w:rsidP="00231623">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4654684"/>
      <w:docPartObj>
        <w:docPartGallery w:val="Page Numbers (Bottom of Page)"/>
        <w:docPartUnique/>
      </w:docPartObj>
    </w:sdtPr>
    <w:sdtEndPr>
      <w:rPr>
        <w:noProof/>
      </w:rPr>
    </w:sdtEndPr>
    <w:sdtContent>
      <w:p w14:paraId="66A0C50B" w14:textId="77777777" w:rsidR="001B41AD" w:rsidRPr="001B7E15" w:rsidRDefault="001B41AD" w:rsidP="00C130D2">
        <w:pPr>
          <w:pStyle w:val="Footer"/>
        </w:pPr>
        <w:r w:rsidRPr="001B7E15">
          <w:fldChar w:fldCharType="begin"/>
        </w:r>
        <w:r w:rsidRPr="001B7E15">
          <w:instrText xml:space="preserve"> PAGE   \* MERGEFORMAT </w:instrText>
        </w:r>
        <w:r w:rsidRPr="001B7E15">
          <w:fldChar w:fldCharType="separate"/>
        </w:r>
        <w:r>
          <w:rPr>
            <w:noProof/>
          </w:rPr>
          <w:t>35</w:t>
        </w:r>
        <w:r w:rsidRPr="001B7E15">
          <w:rPr>
            <w:noProof/>
          </w:rPr>
          <w:fldChar w:fldCharType="end"/>
        </w:r>
      </w:p>
    </w:sdtContent>
  </w:sdt>
  <w:p w14:paraId="40B42E6F" w14:textId="77777777" w:rsidR="001B41AD" w:rsidRPr="00725FF8" w:rsidRDefault="001B41AD" w:rsidP="00C130D2">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9825345"/>
      <w:docPartObj>
        <w:docPartGallery w:val="Page Numbers (Bottom of Page)"/>
        <w:docPartUnique/>
      </w:docPartObj>
    </w:sdtPr>
    <w:sdtEndPr>
      <w:rPr>
        <w:noProof/>
      </w:rPr>
    </w:sdtEndPr>
    <w:sdtContent>
      <w:p w14:paraId="3A8CC9C1" w14:textId="77777777" w:rsidR="001B41AD" w:rsidRPr="001B7E15" w:rsidRDefault="001B41AD"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4624BA78" w14:textId="77777777" w:rsidR="001B41AD" w:rsidRPr="00231623" w:rsidRDefault="001B41AD" w:rsidP="00231623">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9181128"/>
      <w:docPartObj>
        <w:docPartGallery w:val="Page Numbers (Bottom of Page)"/>
        <w:docPartUnique/>
      </w:docPartObj>
    </w:sdtPr>
    <w:sdtEndPr>
      <w:rPr>
        <w:noProof/>
      </w:rPr>
    </w:sdtEndPr>
    <w:sdtContent>
      <w:p w14:paraId="7E170A81" w14:textId="382F1733" w:rsidR="001B41AD" w:rsidRPr="001B7E15" w:rsidRDefault="001B41AD" w:rsidP="00C130D2">
        <w:pPr>
          <w:pStyle w:val="Footer"/>
        </w:pPr>
        <w:r w:rsidRPr="001B7E15">
          <w:fldChar w:fldCharType="begin"/>
        </w:r>
        <w:r w:rsidRPr="001B7E15">
          <w:instrText xml:space="preserve"> PAGE   \* MERGEFORMAT </w:instrText>
        </w:r>
        <w:r w:rsidRPr="001B7E15">
          <w:fldChar w:fldCharType="separate"/>
        </w:r>
        <w:r>
          <w:rPr>
            <w:noProof/>
          </w:rPr>
          <w:t>36</w:t>
        </w:r>
        <w:r w:rsidRPr="001B7E15">
          <w:rPr>
            <w:noProof/>
          </w:rPr>
          <w:fldChar w:fldCharType="end"/>
        </w:r>
      </w:p>
    </w:sdtContent>
  </w:sdt>
  <w:p w14:paraId="54FAE5C2" w14:textId="77777777" w:rsidR="001B41AD" w:rsidRPr="00725FF8" w:rsidRDefault="001B41AD" w:rsidP="00C130D2">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5226221"/>
      <w:docPartObj>
        <w:docPartGallery w:val="Page Numbers (Bottom of Page)"/>
        <w:docPartUnique/>
      </w:docPartObj>
    </w:sdtPr>
    <w:sdtEndPr>
      <w:rPr>
        <w:noProof/>
      </w:rPr>
    </w:sdtEndPr>
    <w:sdtContent>
      <w:p w14:paraId="6DEC1B37" w14:textId="77777777" w:rsidR="001B41AD" w:rsidRPr="001B7E15" w:rsidRDefault="001B41AD"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15DD06E4" w14:textId="77777777" w:rsidR="001B41AD" w:rsidRPr="00231623" w:rsidRDefault="001B41AD" w:rsidP="00231623">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7819879"/>
      <w:docPartObj>
        <w:docPartGallery w:val="Page Numbers (Bottom of Page)"/>
        <w:docPartUnique/>
      </w:docPartObj>
    </w:sdtPr>
    <w:sdtEndPr>
      <w:rPr>
        <w:noProof/>
      </w:rPr>
    </w:sdtEndPr>
    <w:sdtContent>
      <w:p w14:paraId="4518BAD5" w14:textId="4B262271" w:rsidR="001B41AD" w:rsidRPr="001B7E15" w:rsidRDefault="001B41AD" w:rsidP="00C130D2">
        <w:pPr>
          <w:pStyle w:val="Footer"/>
        </w:pPr>
        <w:r w:rsidRPr="001B7E15">
          <w:fldChar w:fldCharType="begin"/>
        </w:r>
        <w:r w:rsidRPr="001B7E15">
          <w:instrText xml:space="preserve"> PAGE   \* MERGEFORMAT </w:instrText>
        </w:r>
        <w:r w:rsidRPr="001B7E15">
          <w:fldChar w:fldCharType="separate"/>
        </w:r>
        <w:r w:rsidR="00624F3A">
          <w:rPr>
            <w:noProof/>
          </w:rPr>
          <w:t>39</w:t>
        </w:r>
        <w:r w:rsidRPr="001B7E15">
          <w:rPr>
            <w:noProof/>
          </w:rPr>
          <w:fldChar w:fldCharType="end"/>
        </w:r>
      </w:p>
    </w:sdtContent>
  </w:sdt>
  <w:p w14:paraId="60C44E60" w14:textId="77777777" w:rsidR="001B41AD" w:rsidRPr="00725FF8" w:rsidRDefault="001B41AD" w:rsidP="00C130D2">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5564734"/>
      <w:docPartObj>
        <w:docPartGallery w:val="Page Numbers (Bottom of Page)"/>
        <w:docPartUnique/>
      </w:docPartObj>
    </w:sdtPr>
    <w:sdtEndPr>
      <w:rPr>
        <w:noProof/>
      </w:rPr>
    </w:sdtEndPr>
    <w:sdtContent>
      <w:p w14:paraId="52C2F280" w14:textId="77777777" w:rsidR="001B41AD" w:rsidRPr="001B7E15" w:rsidRDefault="001B41AD"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1BDDEAEC" w14:textId="77777777" w:rsidR="001B41AD" w:rsidRPr="00231623" w:rsidRDefault="001B41AD" w:rsidP="00C130D2">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0074376"/>
      <w:docPartObj>
        <w:docPartGallery w:val="Page Numbers (Bottom of Page)"/>
        <w:docPartUnique/>
      </w:docPartObj>
    </w:sdtPr>
    <w:sdtEndPr>
      <w:rPr>
        <w:noProof/>
      </w:rPr>
    </w:sdtEndPr>
    <w:sdtContent>
      <w:p w14:paraId="6FB01B01" w14:textId="2C3F9E1C" w:rsidR="001B41AD" w:rsidRDefault="001B41AD" w:rsidP="00C130D2">
        <w:pPr>
          <w:pStyle w:val="Footer"/>
          <w:rPr>
            <w:noProof/>
          </w:rPr>
        </w:pPr>
        <w:r w:rsidRPr="001B7E15">
          <w:fldChar w:fldCharType="begin"/>
        </w:r>
        <w:r w:rsidRPr="001B7E15">
          <w:instrText xml:space="preserve"> PAGE   \* MERGEFORMAT </w:instrText>
        </w:r>
        <w:r w:rsidRPr="001B7E15">
          <w:fldChar w:fldCharType="separate"/>
        </w:r>
        <w:r w:rsidR="00624F3A">
          <w:rPr>
            <w:noProof/>
          </w:rPr>
          <w:t>43</w:t>
        </w:r>
        <w:r w:rsidRPr="001B7E15">
          <w:rPr>
            <w:noProof/>
          </w:rPr>
          <w:fldChar w:fldCharType="end"/>
        </w:r>
      </w:p>
    </w:sdtContent>
  </w:sdt>
  <w:p w14:paraId="5208EB3A" w14:textId="77777777" w:rsidR="001B41AD" w:rsidRPr="00956C60" w:rsidRDefault="001B41AD" w:rsidP="00956C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F250B" w14:textId="77777777" w:rsidR="001B41AD" w:rsidRDefault="001B41AD">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94228"/>
      <w:docPartObj>
        <w:docPartGallery w:val="Page Numbers (Bottom of Page)"/>
        <w:docPartUnique/>
      </w:docPartObj>
    </w:sdtPr>
    <w:sdtEndPr>
      <w:rPr>
        <w:noProof/>
      </w:rPr>
    </w:sdtEndPr>
    <w:sdtContent>
      <w:p w14:paraId="5D4BB474" w14:textId="77777777" w:rsidR="001B41AD" w:rsidRPr="001B7E15" w:rsidRDefault="001B41AD"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3C56A7C6" w14:textId="77777777" w:rsidR="001B41AD" w:rsidRPr="00231623" w:rsidRDefault="001B41AD" w:rsidP="00C130D2">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0871956"/>
      <w:docPartObj>
        <w:docPartGallery w:val="Page Numbers (Bottom of Page)"/>
        <w:docPartUnique/>
      </w:docPartObj>
    </w:sdtPr>
    <w:sdtEndPr>
      <w:rPr>
        <w:noProof/>
      </w:rPr>
    </w:sdtEndPr>
    <w:sdtContent>
      <w:p w14:paraId="39D47C94" w14:textId="64C4292D" w:rsidR="001B41AD" w:rsidRDefault="001B41AD" w:rsidP="00C130D2">
        <w:pPr>
          <w:pStyle w:val="Footer"/>
          <w:rPr>
            <w:noProof/>
          </w:rPr>
        </w:pPr>
        <w:r w:rsidRPr="001B7E15">
          <w:fldChar w:fldCharType="begin"/>
        </w:r>
        <w:r w:rsidRPr="001B7E15">
          <w:instrText xml:space="preserve"> PAGE   \* MERGEFORMAT </w:instrText>
        </w:r>
        <w:r w:rsidRPr="001B7E15">
          <w:fldChar w:fldCharType="separate"/>
        </w:r>
        <w:r w:rsidR="00624F3A">
          <w:rPr>
            <w:noProof/>
          </w:rPr>
          <w:t>45</w:t>
        </w:r>
        <w:r w:rsidRPr="001B7E15">
          <w:rPr>
            <w:noProof/>
          </w:rPr>
          <w:fldChar w:fldCharType="end"/>
        </w:r>
      </w:p>
    </w:sdtContent>
  </w:sdt>
  <w:p w14:paraId="27BC0898" w14:textId="77777777" w:rsidR="001B41AD" w:rsidRPr="00956C60" w:rsidRDefault="001B41AD" w:rsidP="00956C60">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39194339"/>
      <w:docPartObj>
        <w:docPartGallery w:val="Page Numbers (Bottom of Page)"/>
        <w:docPartUnique/>
      </w:docPartObj>
    </w:sdtPr>
    <w:sdtEndPr>
      <w:rPr>
        <w:noProof/>
      </w:rPr>
    </w:sdtEndPr>
    <w:sdtContent>
      <w:p w14:paraId="340EB45B" w14:textId="77777777" w:rsidR="001B41AD" w:rsidRPr="001B7E15" w:rsidRDefault="001B41AD"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3329D3B6" w14:textId="77777777" w:rsidR="001B41AD" w:rsidRPr="00231623" w:rsidRDefault="001B41AD" w:rsidP="00C130D2">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4222282"/>
      <w:docPartObj>
        <w:docPartGallery w:val="Page Numbers (Bottom of Page)"/>
        <w:docPartUnique/>
      </w:docPartObj>
    </w:sdtPr>
    <w:sdtEndPr>
      <w:rPr>
        <w:noProof/>
      </w:rPr>
    </w:sdtEndPr>
    <w:sdtContent>
      <w:p w14:paraId="65F122B3" w14:textId="77777777" w:rsidR="001B41AD" w:rsidRDefault="001B41AD" w:rsidP="00C130D2">
        <w:pPr>
          <w:pStyle w:val="Footer"/>
          <w:rPr>
            <w:noProof/>
          </w:rPr>
        </w:pPr>
        <w:r w:rsidRPr="001B7E15">
          <w:fldChar w:fldCharType="begin"/>
        </w:r>
        <w:r w:rsidRPr="001B7E15">
          <w:instrText xml:space="preserve"> PAGE   \* MERGEFORMAT </w:instrText>
        </w:r>
        <w:r w:rsidRPr="001B7E15">
          <w:fldChar w:fldCharType="separate"/>
        </w:r>
        <w:r>
          <w:rPr>
            <w:noProof/>
          </w:rPr>
          <w:t>2</w:t>
        </w:r>
        <w:r w:rsidRPr="001B7E15">
          <w:rPr>
            <w:noProof/>
          </w:rPr>
          <w:fldChar w:fldCharType="end"/>
        </w:r>
      </w:p>
    </w:sdtContent>
  </w:sdt>
  <w:p w14:paraId="6ECD2C67" w14:textId="77777777" w:rsidR="001B41AD" w:rsidRPr="00956C60" w:rsidRDefault="001B41AD" w:rsidP="00956C60">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6342217"/>
      <w:docPartObj>
        <w:docPartGallery w:val="Page Numbers (Bottom of Page)"/>
        <w:docPartUnique/>
      </w:docPartObj>
    </w:sdtPr>
    <w:sdtEndPr>
      <w:rPr>
        <w:noProof/>
      </w:rPr>
    </w:sdtEndPr>
    <w:sdtContent>
      <w:p w14:paraId="16198DA6" w14:textId="77777777" w:rsidR="001B41AD" w:rsidRPr="001B7E15" w:rsidRDefault="001B41AD"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6D5BDBFD" w14:textId="77777777" w:rsidR="001B41AD" w:rsidRPr="00231623" w:rsidRDefault="001B41AD" w:rsidP="00C130D2">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7683907"/>
      <w:docPartObj>
        <w:docPartGallery w:val="Page Numbers (Bottom of Page)"/>
        <w:docPartUnique/>
      </w:docPartObj>
    </w:sdtPr>
    <w:sdtEndPr>
      <w:rPr>
        <w:noProof/>
      </w:rPr>
    </w:sdtEndPr>
    <w:sdtContent>
      <w:p w14:paraId="1C25F5CA" w14:textId="77777777" w:rsidR="001B41AD" w:rsidRDefault="001B41AD" w:rsidP="00C130D2">
        <w:pPr>
          <w:pStyle w:val="Footer"/>
          <w:rPr>
            <w:noProof/>
          </w:rPr>
        </w:pPr>
        <w:r w:rsidRPr="001B7E15">
          <w:fldChar w:fldCharType="begin"/>
        </w:r>
        <w:r w:rsidRPr="001B7E15">
          <w:instrText xml:space="preserve"> PAGE   \* MERGEFORMAT </w:instrText>
        </w:r>
        <w:r w:rsidRPr="001B7E15">
          <w:fldChar w:fldCharType="separate"/>
        </w:r>
        <w:r>
          <w:rPr>
            <w:noProof/>
          </w:rPr>
          <w:t>45</w:t>
        </w:r>
        <w:r w:rsidRPr="001B7E15">
          <w:rPr>
            <w:noProof/>
          </w:rPr>
          <w:fldChar w:fldCharType="end"/>
        </w:r>
      </w:p>
    </w:sdtContent>
  </w:sdt>
  <w:p w14:paraId="7752F49C" w14:textId="77777777" w:rsidR="001B41AD" w:rsidRPr="00956C60" w:rsidRDefault="001B41AD" w:rsidP="00956C60">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047D5" w14:textId="77777777" w:rsidR="001B41AD" w:rsidRDefault="001B41AD">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4543587"/>
      <w:docPartObj>
        <w:docPartGallery w:val="Page Numbers (Bottom of Page)"/>
        <w:docPartUnique/>
      </w:docPartObj>
    </w:sdtPr>
    <w:sdtEndPr>
      <w:rPr>
        <w:noProof/>
      </w:rPr>
    </w:sdtEndPr>
    <w:sdtContent>
      <w:p w14:paraId="05570BD3" w14:textId="77777777" w:rsidR="001B41AD" w:rsidRDefault="001B41AD">
        <w:pPr>
          <w:pStyle w:val="Footer"/>
        </w:pPr>
        <w:r>
          <w:fldChar w:fldCharType="begin"/>
        </w:r>
        <w:r>
          <w:instrText xml:space="preserve"> PAGE   \* MERGEFORMAT </w:instrText>
        </w:r>
        <w:r>
          <w:fldChar w:fldCharType="separate"/>
        </w:r>
        <w:r>
          <w:rPr>
            <w:noProof/>
          </w:rPr>
          <w:t>8</w:t>
        </w:r>
        <w:r>
          <w:rPr>
            <w:noProof/>
          </w:rPr>
          <w:fldChar w:fldCharType="end"/>
        </w:r>
      </w:p>
    </w:sdtContent>
  </w:sdt>
  <w:p w14:paraId="776D43A3" w14:textId="77777777" w:rsidR="001B41AD" w:rsidRPr="00287EFB" w:rsidRDefault="001B41AD" w:rsidP="00C130D2">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5239919"/>
      <w:docPartObj>
        <w:docPartGallery w:val="Page Numbers (Bottom of Page)"/>
        <w:docPartUnique/>
      </w:docPartObj>
    </w:sdtPr>
    <w:sdtEndPr>
      <w:rPr>
        <w:noProof/>
      </w:rPr>
    </w:sdtEndPr>
    <w:sdtContent>
      <w:p w14:paraId="72AB289D" w14:textId="77777777" w:rsidR="001B41AD" w:rsidRDefault="001B41AD">
        <w:pPr>
          <w:pStyle w:val="Footer"/>
        </w:pPr>
        <w:r>
          <w:fldChar w:fldCharType="begin"/>
        </w:r>
        <w:r>
          <w:instrText xml:space="preserve"> PAGE   \* MERGEFORMAT </w:instrText>
        </w:r>
        <w:r>
          <w:fldChar w:fldCharType="separate"/>
        </w:r>
        <w:r>
          <w:rPr>
            <w:noProof/>
          </w:rPr>
          <w:t>45</w:t>
        </w:r>
        <w:r>
          <w:rPr>
            <w:noProof/>
          </w:rPr>
          <w:fldChar w:fldCharType="end"/>
        </w:r>
      </w:p>
    </w:sdtContent>
  </w:sdt>
  <w:p w14:paraId="2B41F47D" w14:textId="77777777" w:rsidR="001B41AD" w:rsidRDefault="001B41AD">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7659858"/>
      <w:docPartObj>
        <w:docPartGallery w:val="Page Numbers (Bottom of Page)"/>
        <w:docPartUnique/>
      </w:docPartObj>
    </w:sdtPr>
    <w:sdtEndPr>
      <w:rPr>
        <w:noProof/>
      </w:rPr>
    </w:sdtEndPr>
    <w:sdtContent>
      <w:p w14:paraId="5949A18B" w14:textId="77777777" w:rsidR="001B41AD" w:rsidRPr="001B7E15" w:rsidRDefault="001B41AD"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78C72B2F" w14:textId="77777777" w:rsidR="001B41AD" w:rsidRPr="00231623" w:rsidRDefault="001B41AD" w:rsidP="00C130D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15513774"/>
      <w:docPartObj>
        <w:docPartGallery w:val="Page Numbers (Bottom of Page)"/>
        <w:docPartUnique/>
      </w:docPartObj>
    </w:sdtPr>
    <w:sdtEndPr>
      <w:rPr>
        <w:noProof/>
      </w:rPr>
    </w:sdtEndPr>
    <w:sdtContent>
      <w:p w14:paraId="126E5DF7" w14:textId="77777777" w:rsidR="001B41AD" w:rsidRDefault="001B41AD">
        <w:pPr>
          <w:pStyle w:val="Footer"/>
        </w:pPr>
        <w:r>
          <w:fldChar w:fldCharType="begin"/>
        </w:r>
        <w:r>
          <w:instrText xml:space="preserve"> PAGE   \* MERGEFORMAT </w:instrText>
        </w:r>
        <w:r>
          <w:fldChar w:fldCharType="separate"/>
        </w:r>
        <w:r>
          <w:rPr>
            <w:noProof/>
          </w:rPr>
          <w:t>3</w:t>
        </w:r>
        <w:r>
          <w:rPr>
            <w:noProof/>
          </w:rPr>
          <w:fldChar w:fldCharType="end"/>
        </w:r>
      </w:p>
    </w:sdtContent>
  </w:sdt>
  <w:p w14:paraId="2F178CDF" w14:textId="77777777" w:rsidR="001B41AD" w:rsidRPr="00287EFB" w:rsidRDefault="001B41AD" w:rsidP="00C130D2">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5535924"/>
      <w:docPartObj>
        <w:docPartGallery w:val="Page Numbers (Bottom of Page)"/>
        <w:docPartUnique/>
      </w:docPartObj>
    </w:sdtPr>
    <w:sdtEndPr>
      <w:rPr>
        <w:noProof/>
      </w:rPr>
    </w:sdtEndPr>
    <w:sdtContent>
      <w:p w14:paraId="5BD13D9D" w14:textId="15E76E68" w:rsidR="001B41AD" w:rsidRDefault="001B41AD" w:rsidP="00C130D2">
        <w:pPr>
          <w:pStyle w:val="Footer"/>
          <w:rPr>
            <w:noProof/>
          </w:rPr>
        </w:pPr>
        <w:r w:rsidRPr="001B7E15">
          <w:fldChar w:fldCharType="begin"/>
        </w:r>
        <w:r w:rsidRPr="001B7E15">
          <w:instrText xml:space="preserve"> PAGE   \* MERGEFORMAT </w:instrText>
        </w:r>
        <w:r w:rsidRPr="001B7E15">
          <w:fldChar w:fldCharType="separate"/>
        </w:r>
        <w:r w:rsidR="00624F3A">
          <w:rPr>
            <w:noProof/>
          </w:rPr>
          <w:t>49</w:t>
        </w:r>
        <w:r w:rsidRPr="001B7E15">
          <w:rPr>
            <w:noProof/>
          </w:rPr>
          <w:fldChar w:fldCharType="end"/>
        </w:r>
      </w:p>
    </w:sdtContent>
  </w:sdt>
  <w:p w14:paraId="0535A3E1" w14:textId="77777777" w:rsidR="001B41AD" w:rsidRPr="00956C60" w:rsidRDefault="001B41AD" w:rsidP="00956C60">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3F4B8" w14:textId="77777777" w:rsidR="001B41AD" w:rsidRPr="006204E0" w:rsidRDefault="001B41AD">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3361313"/>
      <w:docPartObj>
        <w:docPartGallery w:val="Page Numbers (Bottom of Page)"/>
        <w:docPartUnique/>
      </w:docPartObj>
    </w:sdtPr>
    <w:sdtContent>
      <w:p w14:paraId="75D6F625" w14:textId="0CFD04B9" w:rsidR="001B41AD" w:rsidRPr="006204E0" w:rsidRDefault="001B41AD">
        <w:pPr>
          <w:pStyle w:val="Footer"/>
        </w:pPr>
        <w:r w:rsidRPr="006204E0">
          <w:fldChar w:fldCharType="begin"/>
        </w:r>
        <w:r w:rsidRPr="006204E0">
          <w:instrText xml:space="preserve"> PAGE   \* MERGEFORMAT </w:instrText>
        </w:r>
        <w:r w:rsidRPr="006204E0">
          <w:fldChar w:fldCharType="separate"/>
        </w:r>
        <w:r w:rsidR="00624F3A">
          <w:rPr>
            <w:noProof/>
          </w:rPr>
          <w:t>51</w:t>
        </w:r>
        <w:r w:rsidRPr="006204E0">
          <w:fldChar w:fldCharType="end"/>
        </w:r>
      </w:p>
    </w:sdtContent>
  </w:sdt>
  <w:p w14:paraId="52ADD004" w14:textId="77777777" w:rsidR="001B41AD" w:rsidRPr="006204E0" w:rsidRDefault="001B41AD" w:rsidP="00C130D2">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3508765"/>
      <w:docPartObj>
        <w:docPartGallery w:val="Page Numbers (Bottom of Page)"/>
        <w:docPartUnique/>
      </w:docPartObj>
    </w:sdtPr>
    <w:sdtContent>
      <w:p w14:paraId="5EEC39B0" w14:textId="74046509" w:rsidR="001B41AD" w:rsidRPr="006204E0" w:rsidRDefault="001B41AD">
        <w:pPr>
          <w:pStyle w:val="Footer"/>
        </w:pPr>
        <w:r w:rsidRPr="006204E0">
          <w:fldChar w:fldCharType="begin"/>
        </w:r>
        <w:r w:rsidRPr="006204E0">
          <w:instrText xml:space="preserve"> PAGE   \* MERGEFORMAT </w:instrText>
        </w:r>
        <w:r w:rsidRPr="006204E0">
          <w:fldChar w:fldCharType="separate"/>
        </w:r>
        <w:r w:rsidR="00624F3A">
          <w:rPr>
            <w:noProof/>
          </w:rPr>
          <w:t>52</w:t>
        </w:r>
        <w:r w:rsidRPr="006204E0">
          <w:fldChar w:fldCharType="end"/>
        </w:r>
      </w:p>
    </w:sdtContent>
  </w:sdt>
  <w:p w14:paraId="276DF85F" w14:textId="77777777" w:rsidR="001B41AD" w:rsidRPr="006204E0" w:rsidRDefault="001B41AD">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1344506"/>
      <w:docPartObj>
        <w:docPartGallery w:val="Page Numbers (Bottom of Page)"/>
        <w:docPartUnique/>
      </w:docPartObj>
    </w:sdtPr>
    <w:sdtEndPr>
      <w:rPr>
        <w:noProof/>
      </w:rPr>
    </w:sdtEndPr>
    <w:sdtContent>
      <w:p w14:paraId="40F1FF65" w14:textId="77777777" w:rsidR="001B41AD" w:rsidRPr="001B7E15" w:rsidRDefault="001B41AD" w:rsidP="00405489">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1EDF9B43" w14:textId="77777777" w:rsidR="001B41AD" w:rsidRPr="00231623" w:rsidRDefault="001B41AD" w:rsidP="00405489">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1462609"/>
      <w:docPartObj>
        <w:docPartGallery w:val="Page Numbers (Bottom of Page)"/>
        <w:docPartUnique/>
      </w:docPartObj>
    </w:sdtPr>
    <w:sdtEndPr>
      <w:rPr>
        <w:noProof/>
      </w:rPr>
    </w:sdtEndPr>
    <w:sdtContent>
      <w:p w14:paraId="4CFAA2E3" w14:textId="294DA823" w:rsidR="001B41AD" w:rsidRDefault="001B41AD" w:rsidP="00405489">
        <w:pPr>
          <w:pStyle w:val="Footer"/>
          <w:rPr>
            <w:noProof/>
          </w:rPr>
        </w:pPr>
        <w:r w:rsidRPr="001B7E15">
          <w:fldChar w:fldCharType="begin"/>
        </w:r>
        <w:r w:rsidRPr="001B7E15">
          <w:instrText xml:space="preserve"> PAGE   \* MERGEFORMAT </w:instrText>
        </w:r>
        <w:r w:rsidRPr="001B7E15">
          <w:fldChar w:fldCharType="separate"/>
        </w:r>
        <w:r w:rsidR="00624F3A">
          <w:rPr>
            <w:noProof/>
          </w:rPr>
          <w:t>72</w:t>
        </w:r>
        <w:r w:rsidRPr="001B7E15">
          <w:rPr>
            <w:noProof/>
          </w:rPr>
          <w:fldChar w:fldCharType="end"/>
        </w:r>
      </w:p>
    </w:sdtContent>
  </w:sdt>
  <w:p w14:paraId="4647BDB3" w14:textId="77777777" w:rsidR="001B41AD" w:rsidRPr="00956C60" w:rsidRDefault="001B41AD" w:rsidP="00405489">
    <w:pPr>
      <w:pStyle w:val="Foote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3203351"/>
      <w:docPartObj>
        <w:docPartGallery w:val="Page Numbers (Bottom of Page)"/>
        <w:docPartUnique/>
      </w:docPartObj>
    </w:sdtPr>
    <w:sdtEndPr>
      <w:rPr>
        <w:noProof/>
      </w:rPr>
    </w:sdtEndPr>
    <w:sdtContent>
      <w:p w14:paraId="778A439D" w14:textId="77777777" w:rsidR="001B41AD" w:rsidRPr="001B7E15" w:rsidRDefault="001B41AD" w:rsidP="00405489">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0E50DE77" w14:textId="77777777" w:rsidR="001B41AD" w:rsidRPr="00231623" w:rsidRDefault="001B41AD" w:rsidP="00405489">
    <w:pPr>
      <w:pStyle w:val="Foote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1712566"/>
      <w:docPartObj>
        <w:docPartGallery w:val="Page Numbers (Bottom of Page)"/>
        <w:docPartUnique/>
      </w:docPartObj>
    </w:sdtPr>
    <w:sdtEndPr>
      <w:rPr>
        <w:noProof/>
      </w:rPr>
    </w:sdtEndPr>
    <w:sdtContent>
      <w:p w14:paraId="12C2112F" w14:textId="413F3CF0" w:rsidR="001B41AD" w:rsidRDefault="001B41AD" w:rsidP="00405489">
        <w:pPr>
          <w:pStyle w:val="Footer"/>
          <w:rPr>
            <w:noProof/>
          </w:rPr>
        </w:pPr>
        <w:r w:rsidRPr="001B7E15">
          <w:fldChar w:fldCharType="begin"/>
        </w:r>
        <w:r w:rsidRPr="001B7E15">
          <w:instrText xml:space="preserve"> PAGE   \* MERGEFORMAT </w:instrText>
        </w:r>
        <w:r w:rsidRPr="001B7E15">
          <w:fldChar w:fldCharType="separate"/>
        </w:r>
        <w:r>
          <w:rPr>
            <w:noProof/>
          </w:rPr>
          <w:t>72</w:t>
        </w:r>
        <w:r w:rsidRPr="001B7E15">
          <w:rPr>
            <w:noProof/>
          </w:rPr>
          <w:fldChar w:fldCharType="end"/>
        </w:r>
      </w:p>
    </w:sdtContent>
  </w:sdt>
  <w:p w14:paraId="3A19FF2F" w14:textId="77777777" w:rsidR="001B41AD" w:rsidRPr="00956C60" w:rsidRDefault="001B41AD" w:rsidP="00405489">
    <w:pPr>
      <w:pStyle w:val="Foote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7837812"/>
      <w:docPartObj>
        <w:docPartGallery w:val="Page Numbers (Bottom of Page)"/>
        <w:docPartUnique/>
      </w:docPartObj>
    </w:sdtPr>
    <w:sdtEndPr>
      <w:rPr>
        <w:noProof/>
      </w:rPr>
    </w:sdtEndPr>
    <w:sdtContent>
      <w:p w14:paraId="51E49D3B" w14:textId="77777777" w:rsidR="001B41AD" w:rsidRPr="001B7E15" w:rsidRDefault="001B41AD" w:rsidP="00405489">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4A70BDDE" w14:textId="77777777" w:rsidR="001B41AD" w:rsidRPr="00231623" w:rsidRDefault="001B41AD" w:rsidP="00405489">
    <w:pPr>
      <w:pStyle w:val="Footer"/>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7911858"/>
      <w:docPartObj>
        <w:docPartGallery w:val="Page Numbers (Bottom of Page)"/>
        <w:docPartUnique/>
      </w:docPartObj>
    </w:sdtPr>
    <w:sdtEndPr>
      <w:rPr>
        <w:noProof/>
      </w:rPr>
    </w:sdtEndPr>
    <w:sdtContent>
      <w:p w14:paraId="074A5697" w14:textId="377FE4B6" w:rsidR="001B41AD" w:rsidRDefault="001B41AD" w:rsidP="00405489">
        <w:pPr>
          <w:pStyle w:val="Footer"/>
          <w:rPr>
            <w:noProof/>
          </w:rPr>
        </w:pPr>
        <w:r w:rsidRPr="001B7E15">
          <w:fldChar w:fldCharType="begin"/>
        </w:r>
        <w:r w:rsidRPr="001B7E15">
          <w:instrText xml:space="preserve"> PAGE   \* MERGEFORMAT </w:instrText>
        </w:r>
        <w:r w:rsidRPr="001B7E15">
          <w:fldChar w:fldCharType="separate"/>
        </w:r>
        <w:r w:rsidR="00624F3A">
          <w:rPr>
            <w:noProof/>
          </w:rPr>
          <w:t>73</w:t>
        </w:r>
        <w:r w:rsidRPr="001B7E15">
          <w:rPr>
            <w:noProof/>
          </w:rPr>
          <w:fldChar w:fldCharType="end"/>
        </w:r>
      </w:p>
    </w:sdtContent>
  </w:sdt>
  <w:p w14:paraId="49E898B3" w14:textId="77777777" w:rsidR="001B41AD" w:rsidRPr="00956C60" w:rsidRDefault="001B41AD" w:rsidP="0040548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7422385"/>
      <w:docPartObj>
        <w:docPartGallery w:val="Page Numbers (Bottom of Page)"/>
        <w:docPartUnique/>
      </w:docPartObj>
    </w:sdtPr>
    <w:sdtEndPr>
      <w:rPr>
        <w:noProof/>
      </w:rPr>
    </w:sdtEndPr>
    <w:sdtContent>
      <w:p w14:paraId="1CCCBD43" w14:textId="77777777" w:rsidR="001B41AD" w:rsidRDefault="001B41AD">
        <w:pPr>
          <w:pStyle w:val="Footer"/>
        </w:pPr>
        <w:r>
          <w:fldChar w:fldCharType="begin"/>
        </w:r>
        <w:r>
          <w:instrText xml:space="preserve"> PAGE   \* MERGEFORMAT </w:instrText>
        </w:r>
        <w:r>
          <w:fldChar w:fldCharType="separate"/>
        </w:r>
        <w:r>
          <w:rPr>
            <w:noProof/>
          </w:rPr>
          <w:t>2</w:t>
        </w:r>
        <w:r>
          <w:rPr>
            <w:noProof/>
          </w:rPr>
          <w:fldChar w:fldCharType="end"/>
        </w:r>
      </w:p>
    </w:sdtContent>
  </w:sdt>
  <w:p w14:paraId="75857786" w14:textId="77777777" w:rsidR="001B41AD" w:rsidRDefault="001B41AD">
    <w:pPr>
      <w:pStyle w:val="Foote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0594641"/>
      <w:docPartObj>
        <w:docPartGallery w:val="Page Numbers (Bottom of Page)"/>
        <w:docPartUnique/>
      </w:docPartObj>
    </w:sdtPr>
    <w:sdtEndPr>
      <w:rPr>
        <w:noProof/>
      </w:rPr>
    </w:sdtEndPr>
    <w:sdtContent>
      <w:p w14:paraId="70228294" w14:textId="77777777" w:rsidR="001B41AD" w:rsidRPr="001B7E15" w:rsidRDefault="001B41AD" w:rsidP="008D31CC">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76F85682" w14:textId="77777777" w:rsidR="001B41AD" w:rsidRPr="00231623" w:rsidRDefault="001B41AD" w:rsidP="008D31CC">
    <w:pPr>
      <w:pStyle w:val="Foote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1081999"/>
      <w:docPartObj>
        <w:docPartGallery w:val="Page Numbers (Bottom of Page)"/>
        <w:docPartUnique/>
      </w:docPartObj>
    </w:sdtPr>
    <w:sdtEndPr>
      <w:rPr>
        <w:noProof/>
      </w:rPr>
    </w:sdtEndPr>
    <w:sdtContent>
      <w:p w14:paraId="314C923A" w14:textId="1D186967" w:rsidR="001B41AD" w:rsidRDefault="001B41AD" w:rsidP="008D31CC">
        <w:pPr>
          <w:pStyle w:val="Footer"/>
          <w:rPr>
            <w:noProof/>
          </w:rPr>
        </w:pPr>
        <w:r w:rsidRPr="001B7E15">
          <w:fldChar w:fldCharType="begin"/>
        </w:r>
        <w:r w:rsidRPr="001B7E15">
          <w:instrText xml:space="preserve"> PAGE   \* MERGEFORMAT </w:instrText>
        </w:r>
        <w:r w:rsidRPr="001B7E15">
          <w:fldChar w:fldCharType="separate"/>
        </w:r>
        <w:r w:rsidR="00624F3A">
          <w:rPr>
            <w:noProof/>
          </w:rPr>
          <w:t>84</w:t>
        </w:r>
        <w:r w:rsidRPr="001B7E15">
          <w:rPr>
            <w:noProof/>
          </w:rPr>
          <w:fldChar w:fldCharType="end"/>
        </w:r>
      </w:p>
    </w:sdtContent>
  </w:sdt>
  <w:p w14:paraId="6192973B" w14:textId="77777777" w:rsidR="001B41AD" w:rsidRPr="00956C60" w:rsidRDefault="001B41AD" w:rsidP="008D31CC">
    <w:pPr>
      <w:pStyle w:val="Foote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254257"/>
      <w:docPartObj>
        <w:docPartGallery w:val="Page Numbers (Bottom of Page)"/>
        <w:docPartUnique/>
      </w:docPartObj>
    </w:sdtPr>
    <w:sdtEndPr>
      <w:rPr>
        <w:noProof/>
      </w:rPr>
    </w:sdtEndPr>
    <w:sdtContent>
      <w:p w14:paraId="73531C14" w14:textId="77777777" w:rsidR="001B41AD" w:rsidRPr="001B7E15" w:rsidRDefault="001B41AD" w:rsidP="008D31CC">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56692074" w14:textId="77777777" w:rsidR="001B41AD" w:rsidRPr="00231623" w:rsidRDefault="001B41AD" w:rsidP="008D31CC">
    <w:pPr>
      <w:pStyle w:val="Foote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5409187"/>
      <w:docPartObj>
        <w:docPartGallery w:val="Page Numbers (Bottom of Page)"/>
        <w:docPartUnique/>
      </w:docPartObj>
    </w:sdtPr>
    <w:sdtEndPr>
      <w:rPr>
        <w:noProof/>
      </w:rPr>
    </w:sdtEndPr>
    <w:sdtContent>
      <w:p w14:paraId="4798782A" w14:textId="58E8EDEB" w:rsidR="001B41AD" w:rsidRDefault="001B41AD" w:rsidP="008D31CC">
        <w:pPr>
          <w:pStyle w:val="Footer"/>
          <w:rPr>
            <w:noProof/>
          </w:rPr>
        </w:pPr>
        <w:r w:rsidRPr="001B7E15">
          <w:fldChar w:fldCharType="begin"/>
        </w:r>
        <w:r w:rsidRPr="001B7E15">
          <w:instrText xml:space="preserve"> PAGE   \* MERGEFORMAT </w:instrText>
        </w:r>
        <w:r w:rsidRPr="001B7E15">
          <w:fldChar w:fldCharType="separate"/>
        </w:r>
        <w:r w:rsidR="00624F3A">
          <w:rPr>
            <w:noProof/>
          </w:rPr>
          <w:t>85</w:t>
        </w:r>
        <w:r w:rsidRPr="001B7E15">
          <w:rPr>
            <w:noProof/>
          </w:rPr>
          <w:fldChar w:fldCharType="end"/>
        </w:r>
      </w:p>
    </w:sdtContent>
  </w:sdt>
  <w:p w14:paraId="3F46C723" w14:textId="77777777" w:rsidR="001B41AD" w:rsidRPr="00956C60" w:rsidRDefault="001B41AD" w:rsidP="008D31CC">
    <w:pPr>
      <w:pStyle w:val="Footer"/>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7819581"/>
      <w:docPartObj>
        <w:docPartGallery w:val="Page Numbers (Bottom of Page)"/>
        <w:docPartUnique/>
      </w:docPartObj>
    </w:sdtPr>
    <w:sdtEndPr>
      <w:rPr>
        <w:noProof/>
      </w:rPr>
    </w:sdtEndPr>
    <w:sdtContent>
      <w:p w14:paraId="36CCEB27" w14:textId="77777777" w:rsidR="001B41AD" w:rsidRPr="001B7E15" w:rsidRDefault="001B41AD" w:rsidP="008D31CC">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6E66120E" w14:textId="77777777" w:rsidR="001B41AD" w:rsidRPr="00231623" w:rsidRDefault="001B41AD" w:rsidP="008D31CC">
    <w:pPr>
      <w:pStyle w:val="Footer"/>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7543059"/>
      <w:docPartObj>
        <w:docPartGallery w:val="Page Numbers (Bottom of Page)"/>
        <w:docPartUnique/>
      </w:docPartObj>
    </w:sdtPr>
    <w:sdtEndPr>
      <w:rPr>
        <w:noProof/>
      </w:rPr>
    </w:sdtEndPr>
    <w:sdtContent>
      <w:p w14:paraId="20DE2BEA" w14:textId="164F2205" w:rsidR="001B41AD" w:rsidRDefault="001B41AD" w:rsidP="008D31CC">
        <w:pPr>
          <w:pStyle w:val="Footer"/>
          <w:rPr>
            <w:noProof/>
          </w:rPr>
        </w:pPr>
        <w:r w:rsidRPr="001B7E15">
          <w:fldChar w:fldCharType="begin"/>
        </w:r>
        <w:r w:rsidRPr="001B7E15">
          <w:instrText xml:space="preserve"> PAGE   \* MERGEFORMAT </w:instrText>
        </w:r>
        <w:r w:rsidRPr="001B7E15">
          <w:fldChar w:fldCharType="separate"/>
        </w:r>
        <w:r w:rsidR="00624F3A">
          <w:rPr>
            <w:noProof/>
          </w:rPr>
          <w:t>96</w:t>
        </w:r>
        <w:r w:rsidRPr="001B7E15">
          <w:rPr>
            <w:noProof/>
          </w:rPr>
          <w:fldChar w:fldCharType="end"/>
        </w:r>
      </w:p>
    </w:sdtContent>
  </w:sdt>
  <w:p w14:paraId="0647837B" w14:textId="77777777" w:rsidR="001B41AD" w:rsidRPr="00956C60" w:rsidRDefault="001B41AD" w:rsidP="008D31CC">
    <w:pPr>
      <w:pStyle w:val="Foote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78FF3" w14:textId="77777777" w:rsidR="001B41AD" w:rsidRDefault="001B41AD">
    <w:pPr>
      <w:pStyle w:val="Footer"/>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1974227"/>
      <w:docPartObj>
        <w:docPartGallery w:val="Page Numbers (Bottom of Page)"/>
        <w:docPartUnique/>
      </w:docPartObj>
    </w:sdtPr>
    <w:sdtEndPr>
      <w:rPr>
        <w:noProof/>
      </w:rPr>
    </w:sdtEndPr>
    <w:sdtContent>
      <w:p w14:paraId="7881B164" w14:textId="12015574" w:rsidR="001B41AD" w:rsidRDefault="001B41AD">
        <w:pPr>
          <w:pStyle w:val="Footer"/>
        </w:pPr>
        <w:r>
          <w:fldChar w:fldCharType="begin"/>
        </w:r>
        <w:r>
          <w:instrText xml:space="preserve"> PAGE   \* MERGEFORMAT </w:instrText>
        </w:r>
        <w:r>
          <w:fldChar w:fldCharType="separate"/>
        </w:r>
        <w:r w:rsidR="00624F3A">
          <w:rPr>
            <w:noProof/>
          </w:rPr>
          <w:t>103</w:t>
        </w:r>
        <w:r>
          <w:rPr>
            <w:noProof/>
          </w:rPr>
          <w:fldChar w:fldCharType="end"/>
        </w:r>
      </w:p>
    </w:sdtContent>
  </w:sdt>
  <w:p w14:paraId="227F45DC" w14:textId="77777777" w:rsidR="001B41AD" w:rsidRPr="00287EFB" w:rsidRDefault="001B41AD" w:rsidP="00C130D2">
    <w:pPr>
      <w:pStyle w:val="Foote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3731552"/>
      <w:docPartObj>
        <w:docPartGallery w:val="Page Numbers (Bottom of Page)"/>
        <w:docPartUnique/>
      </w:docPartObj>
    </w:sdtPr>
    <w:sdtEndPr>
      <w:rPr>
        <w:noProof/>
      </w:rPr>
    </w:sdtEndPr>
    <w:sdtContent>
      <w:p w14:paraId="4E122BC1" w14:textId="369B893B" w:rsidR="001B41AD" w:rsidRDefault="001B41AD">
        <w:pPr>
          <w:pStyle w:val="Footer"/>
        </w:pPr>
        <w:r>
          <w:fldChar w:fldCharType="begin"/>
        </w:r>
        <w:r>
          <w:instrText xml:space="preserve"> PAGE   \* MERGEFORMAT </w:instrText>
        </w:r>
        <w:r>
          <w:fldChar w:fldCharType="separate"/>
        </w:r>
        <w:r w:rsidR="00624F3A">
          <w:rPr>
            <w:noProof/>
          </w:rPr>
          <w:t>102</w:t>
        </w:r>
        <w:r>
          <w:rPr>
            <w:noProof/>
          </w:rPr>
          <w:fldChar w:fldCharType="end"/>
        </w:r>
      </w:p>
    </w:sdtContent>
  </w:sdt>
  <w:p w14:paraId="2A25651B" w14:textId="77777777" w:rsidR="001B41AD" w:rsidRDefault="001B41AD">
    <w:pPr>
      <w:pStyle w:val="Footer"/>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6727124"/>
      <w:docPartObj>
        <w:docPartGallery w:val="Page Numbers (Bottom of Page)"/>
        <w:docPartUnique/>
      </w:docPartObj>
    </w:sdtPr>
    <w:sdtContent>
      <w:p w14:paraId="7B51C83B" w14:textId="45012508" w:rsidR="001B41AD" w:rsidRPr="006204E0" w:rsidRDefault="001B41AD">
        <w:pPr>
          <w:pStyle w:val="Footer"/>
        </w:pPr>
        <w:r w:rsidRPr="006204E0">
          <w:fldChar w:fldCharType="begin"/>
        </w:r>
        <w:r w:rsidRPr="006204E0">
          <w:instrText xml:space="preserve"> PAGE   \* MERGEFORMAT </w:instrText>
        </w:r>
        <w:r w:rsidRPr="006204E0">
          <w:fldChar w:fldCharType="separate"/>
        </w:r>
        <w:r w:rsidR="00624F3A">
          <w:rPr>
            <w:noProof/>
          </w:rPr>
          <w:t>106</w:t>
        </w:r>
        <w:r w:rsidRPr="006204E0">
          <w:fldChar w:fldCharType="end"/>
        </w:r>
      </w:p>
    </w:sdtContent>
  </w:sdt>
  <w:p w14:paraId="0B7B74DA" w14:textId="77777777" w:rsidR="001B41AD" w:rsidRPr="006204E0" w:rsidRDefault="001B41AD">
    <w:pPr>
      <w:pStyle w:val="Footer"/>
    </w:pPr>
  </w:p>
  <w:p w14:paraId="1A3E7496" w14:textId="77777777" w:rsidR="001B41AD" w:rsidRDefault="001B41AD"/>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46688203"/>
      <w:docPartObj>
        <w:docPartGallery w:val="Page Numbers (Bottom of Page)"/>
        <w:docPartUnique/>
      </w:docPartObj>
    </w:sdtPr>
    <w:sdtEndPr>
      <w:rPr>
        <w:noProof/>
      </w:rPr>
    </w:sdtEndPr>
    <w:sdtContent>
      <w:p w14:paraId="730087DA" w14:textId="77777777" w:rsidR="001B41AD" w:rsidRDefault="001B41AD">
        <w:pPr>
          <w:pStyle w:val="Footer"/>
          <w:jc w:val="right"/>
        </w:pPr>
        <w:r>
          <w:fldChar w:fldCharType="begin"/>
        </w:r>
        <w:r>
          <w:instrText xml:space="preserve"> PAGE   \* MERGEFORMAT </w:instrText>
        </w:r>
        <w:r>
          <w:fldChar w:fldCharType="separate"/>
        </w:r>
        <w:r>
          <w:rPr>
            <w:noProof/>
          </w:rPr>
          <w:t>6</w:t>
        </w:r>
        <w:r>
          <w:rPr>
            <w:noProof/>
          </w:rPr>
          <w:fldChar w:fldCharType="end"/>
        </w:r>
      </w:p>
    </w:sdtContent>
  </w:sdt>
  <w:p w14:paraId="7668B45F" w14:textId="77777777" w:rsidR="001B41AD" w:rsidRDefault="001B41AD">
    <w:pPr>
      <w:pStyle w:val="Footer"/>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7621609"/>
      <w:docPartObj>
        <w:docPartGallery w:val="Page Numbers (Bottom of Page)"/>
        <w:docPartUnique/>
      </w:docPartObj>
    </w:sdtPr>
    <w:sdtEndPr>
      <w:rPr>
        <w:noProof/>
      </w:rPr>
    </w:sdtEndPr>
    <w:sdtContent>
      <w:p w14:paraId="215207C0" w14:textId="77777777" w:rsidR="001B41AD" w:rsidRPr="001B7E15" w:rsidRDefault="001B41AD" w:rsidP="008D31CC">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63001BD4" w14:textId="77777777" w:rsidR="001B41AD" w:rsidRPr="00231623" w:rsidRDefault="001B41AD" w:rsidP="008D31CC">
    <w:pPr>
      <w:pStyle w:val="Footer"/>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1972801"/>
      <w:docPartObj>
        <w:docPartGallery w:val="Page Numbers (Bottom of Page)"/>
        <w:docPartUnique/>
      </w:docPartObj>
    </w:sdtPr>
    <w:sdtEndPr>
      <w:rPr>
        <w:noProof/>
      </w:rPr>
    </w:sdtEndPr>
    <w:sdtContent>
      <w:p w14:paraId="0DE0FBFA" w14:textId="1008E157" w:rsidR="001B41AD" w:rsidRDefault="001B41AD" w:rsidP="008D31CC">
        <w:pPr>
          <w:pStyle w:val="Footer"/>
          <w:rPr>
            <w:noProof/>
          </w:rPr>
        </w:pPr>
        <w:r w:rsidRPr="001B7E15">
          <w:fldChar w:fldCharType="begin"/>
        </w:r>
        <w:r w:rsidRPr="001B7E15">
          <w:instrText xml:space="preserve"> PAGE   \* MERGEFORMAT </w:instrText>
        </w:r>
        <w:r w:rsidRPr="001B7E15">
          <w:fldChar w:fldCharType="separate"/>
        </w:r>
        <w:r w:rsidR="00624F3A">
          <w:rPr>
            <w:noProof/>
          </w:rPr>
          <w:t>108</w:t>
        </w:r>
        <w:r w:rsidRPr="001B7E15">
          <w:rPr>
            <w:noProof/>
          </w:rPr>
          <w:fldChar w:fldCharType="end"/>
        </w:r>
      </w:p>
    </w:sdtContent>
  </w:sdt>
  <w:p w14:paraId="0B2F509C" w14:textId="77777777" w:rsidR="001B41AD" w:rsidRPr="00956C60" w:rsidRDefault="001B41AD" w:rsidP="008D31C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3908428"/>
      <w:docPartObj>
        <w:docPartGallery w:val="Page Numbers (Bottom of Page)"/>
        <w:docPartUnique/>
      </w:docPartObj>
    </w:sdtPr>
    <w:sdtEndPr>
      <w:rPr>
        <w:noProof/>
      </w:rPr>
    </w:sdtEndPr>
    <w:sdtContent>
      <w:p w14:paraId="0F61E5FD" w14:textId="26E871BA" w:rsidR="001B41AD" w:rsidRDefault="001B41AD" w:rsidP="00436957">
        <w:pPr>
          <w:pStyle w:val="Footer"/>
          <w:jc w:val="left"/>
        </w:pPr>
        <w:r>
          <w:fldChar w:fldCharType="begin"/>
        </w:r>
        <w:r>
          <w:instrText xml:space="preserve"> PAGE   \* MERGEFORMAT </w:instrText>
        </w:r>
        <w:r>
          <w:fldChar w:fldCharType="separate"/>
        </w:r>
        <w:r w:rsidR="00624F3A">
          <w:rPr>
            <w:noProof/>
          </w:rPr>
          <w:t>2</w:t>
        </w:r>
        <w:r>
          <w:rPr>
            <w:noProof/>
          </w:rPr>
          <w:fldChar w:fldCharType="end"/>
        </w:r>
      </w:p>
    </w:sdtContent>
  </w:sdt>
  <w:p w14:paraId="39C0E5FD" w14:textId="77777777" w:rsidR="001B41AD" w:rsidRDefault="001B41A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0384799"/>
      <w:docPartObj>
        <w:docPartGallery w:val="Page Numbers (Bottom of Page)"/>
        <w:docPartUnique/>
      </w:docPartObj>
    </w:sdtPr>
    <w:sdtEndPr>
      <w:rPr>
        <w:noProof/>
      </w:rPr>
    </w:sdtEndPr>
    <w:sdtContent>
      <w:p w14:paraId="2216FB2A" w14:textId="27EC93C9" w:rsidR="001B41AD" w:rsidRDefault="001B41AD">
        <w:pPr>
          <w:pStyle w:val="Footer"/>
        </w:pPr>
        <w:r>
          <w:fldChar w:fldCharType="begin"/>
        </w:r>
        <w:r>
          <w:instrText xml:space="preserve"> PAGE   \* MERGEFORMAT </w:instrText>
        </w:r>
        <w:r>
          <w:fldChar w:fldCharType="separate"/>
        </w:r>
        <w:r w:rsidR="00624F3A">
          <w:rPr>
            <w:noProof/>
          </w:rPr>
          <w:t>3</w:t>
        </w:r>
        <w:r>
          <w:rPr>
            <w:noProof/>
          </w:rPr>
          <w:fldChar w:fldCharType="end"/>
        </w:r>
      </w:p>
    </w:sdtContent>
  </w:sdt>
  <w:p w14:paraId="66AE4B67" w14:textId="77777777" w:rsidR="001B41AD" w:rsidRDefault="001B41AD">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90821"/>
      <w:docPartObj>
        <w:docPartGallery w:val="Page Numbers (Bottom of Page)"/>
        <w:docPartUnique/>
      </w:docPartObj>
    </w:sdtPr>
    <w:sdtContent>
      <w:p w14:paraId="7F3B6F4D" w14:textId="198A13FF" w:rsidR="001B41AD" w:rsidRPr="00331125" w:rsidRDefault="001B41AD">
        <w:pPr>
          <w:pStyle w:val="Footer"/>
        </w:pPr>
        <w:r w:rsidRPr="00331125">
          <w:fldChar w:fldCharType="begin"/>
        </w:r>
        <w:r w:rsidRPr="00331125">
          <w:instrText xml:space="preserve"> PAGE   \* MERGEFORMAT </w:instrText>
        </w:r>
        <w:r w:rsidRPr="00331125">
          <w:fldChar w:fldCharType="separate"/>
        </w:r>
        <w:r w:rsidR="00624F3A">
          <w:rPr>
            <w:noProof/>
          </w:rPr>
          <w:t>19</w:t>
        </w:r>
        <w:r w:rsidRPr="00331125">
          <w:fldChar w:fldCharType="end"/>
        </w:r>
      </w:p>
    </w:sdtContent>
  </w:sdt>
  <w:p w14:paraId="2629DB01" w14:textId="77777777" w:rsidR="001B41AD" w:rsidRPr="00331125" w:rsidRDefault="001B41AD" w:rsidP="00C130D2">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2901128"/>
      <w:docPartObj>
        <w:docPartGallery w:val="Page Numbers (Bottom of Page)"/>
        <w:docPartUnique/>
      </w:docPartObj>
    </w:sdtPr>
    <w:sdtContent>
      <w:p w14:paraId="5AFF3624" w14:textId="1BF1BD50" w:rsidR="001B41AD" w:rsidRPr="00331125" w:rsidRDefault="001B41AD">
        <w:pPr>
          <w:pStyle w:val="Footer"/>
        </w:pPr>
        <w:r w:rsidRPr="00331125">
          <w:fldChar w:fldCharType="begin"/>
        </w:r>
        <w:r w:rsidRPr="00331125">
          <w:instrText xml:space="preserve"> PAGE   \* MERGEFORMAT </w:instrText>
        </w:r>
        <w:r w:rsidRPr="00331125">
          <w:fldChar w:fldCharType="separate"/>
        </w:r>
        <w:r w:rsidR="00624F3A">
          <w:rPr>
            <w:noProof/>
          </w:rPr>
          <w:t>26</w:t>
        </w:r>
        <w:r w:rsidRPr="00331125">
          <w:fldChar w:fldCharType="end"/>
        </w:r>
      </w:p>
    </w:sdtContent>
  </w:sdt>
  <w:p w14:paraId="0BCCDE1F" w14:textId="77777777" w:rsidR="001B41AD" w:rsidRPr="00331125" w:rsidRDefault="001B41AD" w:rsidP="00C130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AA0CC1" w14:textId="77777777" w:rsidR="00B5269A" w:rsidRDefault="00B5269A" w:rsidP="00BF7F6A">
      <w:pPr>
        <w:spacing w:after="0" w:line="240" w:lineRule="auto"/>
      </w:pPr>
      <w:r>
        <w:separator/>
      </w:r>
    </w:p>
  </w:footnote>
  <w:footnote w:type="continuationSeparator" w:id="0">
    <w:p w14:paraId="719A263D" w14:textId="77777777" w:rsidR="00B5269A" w:rsidRDefault="00B5269A" w:rsidP="00BF7F6A">
      <w:pPr>
        <w:spacing w:after="0" w:line="240" w:lineRule="auto"/>
      </w:pPr>
      <w:r>
        <w:continuationSeparator/>
      </w:r>
    </w:p>
  </w:footnote>
  <w:footnote w:id="1">
    <w:p w14:paraId="6B156EC0" w14:textId="77777777" w:rsidR="001B41AD" w:rsidRPr="0009203E" w:rsidRDefault="001B41AD">
      <w:pPr>
        <w:pStyle w:val="FootnoteText"/>
        <w:rPr>
          <w:lang w:val="sr-Cyrl-RS"/>
        </w:rPr>
      </w:pPr>
      <w:r>
        <w:rPr>
          <w:rStyle w:val="FootnoteReference"/>
        </w:rPr>
        <w:footnoteRef/>
      </w:r>
      <w:r>
        <w:t xml:space="preserve"> </w:t>
      </w:r>
      <w:r w:rsidRPr="007E2063">
        <w:rPr>
          <w:sz w:val="16"/>
          <w:szCs w:val="16"/>
          <w:lang w:val="sr-Cyrl-RS"/>
        </w:rPr>
        <w:t>Остали извори финансирања односе се на све изворе финансирања, изузев извора 01</w:t>
      </w:r>
      <w:r>
        <w:rPr>
          <w:sz w:val="16"/>
          <w:szCs w:val="16"/>
          <w:lang w:val="sr-Cyrl-RS"/>
        </w:rPr>
        <w:t xml:space="preserve"> </w:t>
      </w:r>
      <w:r w:rsidRPr="007E2063">
        <w:rPr>
          <w:sz w:val="16"/>
          <w:szCs w:val="16"/>
          <w:lang w:val="sr-Cyrl-RS"/>
        </w:rPr>
        <w:t>- општи приходи и примања буџета.</w:t>
      </w:r>
    </w:p>
  </w:footnote>
  <w:footnote w:id="2">
    <w:p w14:paraId="30469990" w14:textId="77777777" w:rsidR="001B41AD" w:rsidRPr="000B7C51" w:rsidRDefault="001B41AD" w:rsidP="00DB3CDA">
      <w:pPr>
        <w:pStyle w:val="FootnoteText"/>
        <w:rPr>
          <w:sz w:val="16"/>
          <w:szCs w:val="16"/>
          <w:lang w:val="sr-Cyrl-RS"/>
        </w:rPr>
      </w:pPr>
      <w:r w:rsidRPr="000B7C51">
        <w:rPr>
          <w:rStyle w:val="FootnoteReference"/>
          <w:sz w:val="16"/>
          <w:szCs w:val="16"/>
        </w:rPr>
        <w:footnoteRef/>
      </w:r>
      <w:r w:rsidRPr="000979D4">
        <w:rPr>
          <w:sz w:val="16"/>
          <w:szCs w:val="16"/>
          <w:lang w:val="sr-Cyrl-RS"/>
        </w:rPr>
        <w:t xml:space="preserve"> </w:t>
      </w:r>
      <w:r>
        <w:rPr>
          <w:sz w:val="16"/>
          <w:szCs w:val="16"/>
          <w:lang w:val="sr-Cyrl-RS"/>
        </w:rPr>
        <w:t>Нови ентите</w:t>
      </w:r>
      <w:r w:rsidRPr="000B7C51">
        <w:rPr>
          <w:sz w:val="16"/>
          <w:szCs w:val="16"/>
          <w:lang w:val="sr-Cyrl-RS"/>
        </w:rPr>
        <w:t>ти могу се укључити или искључити из обухвата сектора државе у складу са статистичким критеријумима и међународним стандардима који их одређују.</w:t>
      </w:r>
    </w:p>
  </w:footnote>
  <w:footnote w:id="3">
    <w:p w14:paraId="1F7DECAD" w14:textId="77777777" w:rsidR="001B41AD" w:rsidRDefault="001B41AD" w:rsidP="00FD7592">
      <w:pPr>
        <w:pStyle w:val="FootnoteText"/>
        <w:rPr>
          <w:rFonts w:cstheme="minorHAnsi"/>
          <w:sz w:val="16"/>
          <w:szCs w:val="16"/>
          <w:lang w:val="sr-Cyrl-RS"/>
        </w:rPr>
      </w:pPr>
      <w:r>
        <w:rPr>
          <w:rStyle w:val="FootnoteReference"/>
          <w:rFonts w:cstheme="minorHAnsi"/>
          <w:sz w:val="16"/>
          <w:szCs w:val="16"/>
          <w:lang w:val="sr-Cyrl-RS"/>
        </w:rPr>
        <w:footnoteRef/>
      </w:r>
      <w:r>
        <w:rPr>
          <w:rFonts w:cstheme="minorHAnsi"/>
          <w:sz w:val="16"/>
          <w:szCs w:val="16"/>
          <w:lang w:val="sr-Cyrl-RS"/>
        </w:rPr>
        <w:t xml:space="preserve"> Закон о јавном дугу („Службени гласник РС”, бр. 61/05, 107/09, 78/11, 68/15, 95/18, 91/19 и 149/20).</w:t>
      </w:r>
    </w:p>
  </w:footnote>
  <w:footnote w:id="4">
    <w:p w14:paraId="3CED67A3" w14:textId="77777777" w:rsidR="001B41AD" w:rsidRPr="00D121C1" w:rsidRDefault="001B41AD" w:rsidP="00FD7592">
      <w:pPr>
        <w:pStyle w:val="FootnoteText"/>
        <w:rPr>
          <w:sz w:val="16"/>
          <w:szCs w:val="16"/>
          <w:lang w:val="sr-Cyrl-RS"/>
        </w:rPr>
      </w:pPr>
      <w:r>
        <w:rPr>
          <w:rStyle w:val="FootnoteReference"/>
          <w:sz w:val="16"/>
          <w:szCs w:val="16"/>
        </w:rPr>
        <w:footnoteRef/>
      </w:r>
      <w:r w:rsidRPr="00FD7592">
        <w:rPr>
          <w:sz w:val="16"/>
          <w:szCs w:val="16"/>
          <w:lang w:val="sr-Cyrl-RS"/>
        </w:rPr>
        <w:t xml:space="preserve"> </w:t>
      </w:r>
      <w:r w:rsidRPr="008F7C51">
        <w:rPr>
          <w:sz w:val="16"/>
          <w:szCs w:val="16"/>
          <w:lang w:val="sr-Cyrl-RS"/>
        </w:rPr>
        <w:t xml:space="preserve">Процењен БДП за 2025. годину је </w:t>
      </w:r>
      <w:r w:rsidRPr="00FD7592">
        <w:rPr>
          <w:sz w:val="16"/>
          <w:szCs w:val="16"/>
          <w:lang w:val="sr-Cyrl-RS"/>
        </w:rPr>
        <w:t>10</w:t>
      </w:r>
      <w:r w:rsidRPr="008F7C51">
        <w:rPr>
          <w:sz w:val="16"/>
          <w:szCs w:val="16"/>
          <w:lang w:val="sr-Cyrl-RS"/>
        </w:rPr>
        <w:t>.</w:t>
      </w:r>
      <w:r>
        <w:rPr>
          <w:sz w:val="16"/>
          <w:szCs w:val="16"/>
          <w:lang w:val="sr-Cyrl-RS"/>
        </w:rPr>
        <w:t>377</w:t>
      </w:r>
      <w:r w:rsidRPr="008F7C51">
        <w:rPr>
          <w:sz w:val="16"/>
          <w:szCs w:val="16"/>
          <w:lang w:val="sr-Cyrl-RS"/>
        </w:rPr>
        <w:t>,</w:t>
      </w:r>
      <w:r w:rsidRPr="00FD7592">
        <w:rPr>
          <w:sz w:val="16"/>
          <w:szCs w:val="16"/>
          <w:lang w:val="sr-Cyrl-RS"/>
        </w:rPr>
        <w:t>9</w:t>
      </w:r>
      <w:r w:rsidRPr="008F7C51">
        <w:rPr>
          <w:sz w:val="16"/>
          <w:szCs w:val="16"/>
          <w:lang w:val="sr-Cyrl-RS"/>
        </w:rPr>
        <w:t xml:space="preserve"> млрд динара (Министарство финансија)</w:t>
      </w:r>
    </w:p>
  </w:footnote>
  <w:footnote w:id="5">
    <w:p w14:paraId="7AADBA4B" w14:textId="77777777" w:rsidR="001B41AD" w:rsidRPr="00546A25" w:rsidRDefault="001B41AD" w:rsidP="008F269F">
      <w:pPr>
        <w:spacing w:after="0"/>
        <w:rPr>
          <w:lang w:val="sr-Cyrl-RS"/>
        </w:rPr>
      </w:pPr>
      <w:r w:rsidRPr="00CD1400">
        <w:rPr>
          <w:rStyle w:val="FootnoteReference"/>
          <w:rFonts w:cstheme="minorHAnsi"/>
          <w:sz w:val="16"/>
          <w:szCs w:val="16"/>
          <w:lang w:val="sr-Cyrl-RS"/>
        </w:rPr>
        <w:footnoteRef/>
      </w:r>
      <w:r w:rsidRPr="00CD1400">
        <w:rPr>
          <w:rFonts w:cstheme="minorHAnsi"/>
          <w:sz w:val="16"/>
          <w:szCs w:val="16"/>
          <w:lang w:val="sr-Cyrl-RS"/>
        </w:rPr>
        <w:t xml:space="preserve"> </w:t>
      </w:r>
      <w:r w:rsidRPr="00CD1400">
        <w:rPr>
          <w:rFonts w:eastAsia="Times New Roman" w:cstheme="minorHAnsi"/>
          <w:bCs/>
          <w:sz w:val="16"/>
          <w:szCs w:val="16"/>
          <w:lang w:val="sr-Cyrl-RS"/>
        </w:rPr>
        <w:t>Детаљнији опис коришћене методологије и резултата могу се пронаћи у Фискалној стратегији за 2013. годину са пројекцијама за 2014. и 2015. годину или путем линка</w:t>
      </w:r>
      <w:r w:rsidRPr="00CD1400">
        <w:rPr>
          <w:rFonts w:cstheme="minorHAnsi"/>
          <w:sz w:val="16"/>
          <w:szCs w:val="16"/>
          <w:lang w:val="sr-Cyrl-RS"/>
        </w:rPr>
        <w:t xml:space="preserve"> </w:t>
      </w:r>
      <w:hyperlink r:id="rId1" w:history="1">
        <w:r w:rsidRPr="00CD1400">
          <w:rPr>
            <w:rStyle w:val="Hyperlink"/>
            <w:color w:val="44546A" w:themeColor="text2"/>
            <w:sz w:val="16"/>
            <w:szCs w:val="16"/>
            <w:u w:val="none"/>
          </w:rPr>
          <w:t>https</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www</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mfin</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gov</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rs</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upload</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media</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jzsbpL</w:t>
        </w:r>
        <w:r w:rsidRPr="003805B7">
          <w:rPr>
            <w:rStyle w:val="Hyperlink"/>
            <w:color w:val="44546A" w:themeColor="text2"/>
            <w:sz w:val="16"/>
            <w:szCs w:val="16"/>
            <w:u w:val="none"/>
            <w:lang w:val="sr-Cyrl-RS"/>
          </w:rPr>
          <w:t>_601</w:t>
        </w:r>
        <w:r w:rsidRPr="00CD1400">
          <w:rPr>
            <w:rStyle w:val="Hyperlink"/>
            <w:color w:val="44546A" w:themeColor="text2"/>
            <w:sz w:val="16"/>
            <w:szCs w:val="16"/>
            <w:u w:val="none"/>
          </w:rPr>
          <w:t>ab</w:t>
        </w:r>
        <w:r w:rsidRPr="003805B7">
          <w:rPr>
            <w:rStyle w:val="Hyperlink"/>
            <w:color w:val="44546A" w:themeColor="text2"/>
            <w:sz w:val="16"/>
            <w:szCs w:val="16"/>
            <w:u w:val="none"/>
            <w:lang w:val="sr-Cyrl-RS"/>
          </w:rPr>
          <w:t>1585</w:t>
        </w:r>
        <w:r w:rsidRPr="00CD1400">
          <w:rPr>
            <w:rStyle w:val="Hyperlink"/>
            <w:color w:val="44546A" w:themeColor="text2"/>
            <w:sz w:val="16"/>
            <w:szCs w:val="16"/>
            <w:u w:val="none"/>
          </w:rPr>
          <w:t>ca</w:t>
        </w:r>
        <w:r w:rsidRPr="003805B7">
          <w:rPr>
            <w:rStyle w:val="Hyperlink"/>
            <w:color w:val="44546A" w:themeColor="text2"/>
            <w:sz w:val="16"/>
            <w:szCs w:val="16"/>
            <w:u w:val="none"/>
            <w:lang w:val="sr-Cyrl-RS"/>
          </w:rPr>
          <w:t>02.</w:t>
        </w:r>
        <w:r w:rsidRPr="00CD1400">
          <w:rPr>
            <w:rStyle w:val="Hyperlink"/>
            <w:color w:val="44546A" w:themeColor="text2"/>
            <w:sz w:val="16"/>
            <w:szCs w:val="16"/>
            <w:u w:val="none"/>
          </w:rPr>
          <w:t>pdf</w:t>
        </w:r>
      </w:hyperlink>
      <w:r>
        <w:rPr>
          <w:rStyle w:val="Hyperlink"/>
          <w:color w:val="44546A" w:themeColor="text2"/>
          <w:sz w:val="16"/>
          <w:szCs w:val="16"/>
          <w:u w:val="none"/>
          <w:lang w:val="sr-Cyrl-RS"/>
        </w:rPr>
        <w:t xml:space="preserve"> </w:t>
      </w:r>
    </w:p>
  </w:footnote>
  <w:footnote w:id="6">
    <w:p w14:paraId="75D0C687" w14:textId="77777777" w:rsidR="001B41AD" w:rsidRPr="002F6B52" w:rsidRDefault="001B41AD" w:rsidP="00113630">
      <w:pPr>
        <w:pStyle w:val="FootnoteText"/>
        <w:rPr>
          <w:rStyle w:val="FootnoteReference"/>
          <w:rFonts w:cs="Times New Roman"/>
          <w:sz w:val="16"/>
          <w:szCs w:val="16"/>
          <w:vertAlign w:val="baseline"/>
          <w:lang w:val="sr-Cyrl-RS"/>
        </w:rPr>
      </w:pPr>
      <w:r w:rsidRPr="002F6B52">
        <w:rPr>
          <w:rStyle w:val="FootnoteReference"/>
          <w:sz w:val="16"/>
          <w:szCs w:val="16"/>
          <w:lang w:val="sr-Cyrl-RS"/>
        </w:rPr>
        <w:footnoteRef/>
      </w:r>
      <w:r w:rsidRPr="002F6B52">
        <w:rPr>
          <w:rStyle w:val="FootnoteReference"/>
          <w:sz w:val="16"/>
          <w:szCs w:val="16"/>
          <w:vertAlign w:val="baseline"/>
          <w:lang w:val="sr-Cyrl-RS"/>
        </w:rPr>
        <w:t xml:space="preserve"> АТМ (</w:t>
      </w:r>
      <w:r w:rsidRPr="002F6B52">
        <w:rPr>
          <w:rStyle w:val="FootnoteReference"/>
          <w:i/>
          <w:sz w:val="16"/>
          <w:szCs w:val="16"/>
          <w:vertAlign w:val="baseline"/>
          <w:lang w:val="sr-Cyrl-RS"/>
        </w:rPr>
        <w:t>Average Time to Maturity</w:t>
      </w:r>
      <w:r w:rsidRPr="002F6B52">
        <w:rPr>
          <w:rStyle w:val="FootnoteReference"/>
          <w:sz w:val="16"/>
          <w:szCs w:val="16"/>
          <w:vertAlign w:val="baseline"/>
          <w:lang w:val="sr-Cyrl-RS"/>
        </w:rPr>
        <w:t>) – енглеска скраћеница за просечно време до доспећа.</w:t>
      </w:r>
    </w:p>
  </w:footnote>
  <w:footnote w:id="7">
    <w:p w14:paraId="655D2FD6" w14:textId="77777777" w:rsidR="001B41AD" w:rsidRPr="002F6B52" w:rsidRDefault="001B41AD" w:rsidP="00113630">
      <w:pPr>
        <w:pStyle w:val="FootnoteText"/>
        <w:rPr>
          <w:lang w:val="sr-Cyrl-RS"/>
        </w:rPr>
      </w:pPr>
      <w:r w:rsidRPr="002F6B52">
        <w:rPr>
          <w:rStyle w:val="FootnoteReference"/>
          <w:sz w:val="16"/>
          <w:szCs w:val="16"/>
          <w:lang w:val="sr-Cyrl-RS"/>
        </w:rPr>
        <w:footnoteRef/>
      </w:r>
      <w:r w:rsidRPr="002F6B52">
        <w:rPr>
          <w:rStyle w:val="FootnoteReference"/>
          <w:sz w:val="16"/>
          <w:szCs w:val="16"/>
          <w:vertAlign w:val="baseline"/>
          <w:lang w:val="sr-Cyrl-RS"/>
        </w:rPr>
        <w:t xml:space="preserve"> АТR (</w:t>
      </w:r>
      <w:r w:rsidRPr="002F6B52">
        <w:rPr>
          <w:rStyle w:val="FootnoteReference"/>
          <w:i/>
          <w:sz w:val="16"/>
          <w:szCs w:val="16"/>
          <w:vertAlign w:val="baseline"/>
          <w:lang w:val="sr-Cyrl-RS"/>
        </w:rPr>
        <w:t>Average Time to Refixing</w:t>
      </w:r>
      <w:r w:rsidRPr="002F6B52">
        <w:rPr>
          <w:rStyle w:val="FootnoteReference"/>
          <w:sz w:val="16"/>
          <w:szCs w:val="16"/>
          <w:vertAlign w:val="baseline"/>
          <w:lang w:val="sr-Cyrl-RS"/>
        </w:rPr>
        <w:t>) – енглеска скраћеница за просечно време до промене каматних стопа.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E9C66" w14:textId="77777777" w:rsidR="001B41AD" w:rsidRPr="00A05F80" w:rsidRDefault="001B41AD" w:rsidP="00436957">
    <w:pPr>
      <w:pStyle w:val="Header"/>
      <w:jc w:val="center"/>
      <w:rPr>
        <w:color w:val="44546A"/>
        <w:lang w:val="ru-RU"/>
      </w:rPr>
    </w:pPr>
    <w:r>
      <w:rPr>
        <w:color w:val="44546A"/>
        <w:lang w:val="sr-Cyrl-RS"/>
      </w:rPr>
      <w:t xml:space="preserve">Ревидирана </w:t>
    </w:r>
    <w:r w:rsidRPr="001B3C0A">
      <w:rPr>
        <w:color w:val="44546A"/>
        <w:lang w:val="sr-Cyrl-RS"/>
      </w:rPr>
      <w:t>Фискална стратегија за 2024. годину са пројекцијама за 2025. и 2026. годину</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96D8A" w14:textId="77777777" w:rsidR="001B41AD" w:rsidRPr="00A05F80" w:rsidRDefault="001B41AD" w:rsidP="001B6FB4">
    <w:pPr>
      <w:pStyle w:val="Header"/>
      <w:rPr>
        <w:lang w:val="ru-RU"/>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0FB3C" w14:textId="77777777" w:rsidR="001B41AD" w:rsidRPr="00A05F80" w:rsidRDefault="001B41AD" w:rsidP="00C130D2">
    <w:pPr>
      <w:pStyle w:val="Header"/>
      <w:jc w:val="center"/>
      <w:rPr>
        <w:lang w:val="ru-RU"/>
      </w:rPr>
    </w:pPr>
    <w:r>
      <w:rPr>
        <w:lang w:val="sr-Cyrl-RS"/>
      </w:rPr>
      <w:t>Фискална стратегија за 202</w:t>
    </w:r>
    <w:r w:rsidRPr="00A05F80">
      <w:rPr>
        <w:lang w:val="ru-RU"/>
      </w:rPr>
      <w:t>1</w:t>
    </w:r>
    <w:r>
      <w:rPr>
        <w:lang w:val="sr-Cyrl-RS"/>
      </w:rPr>
      <w:t>. годину са пројекцијама за 202</w:t>
    </w:r>
    <w:r w:rsidRPr="00A05F80">
      <w:rPr>
        <w:lang w:val="ru-RU"/>
      </w:rPr>
      <w:t>2</w:t>
    </w:r>
    <w:r>
      <w:rPr>
        <w:lang w:val="sr-Cyrl-RS"/>
      </w:rPr>
      <w:t>. и 202</w:t>
    </w:r>
    <w:r w:rsidRPr="00A05F80">
      <w:rPr>
        <w:lang w:val="ru-RU"/>
      </w:rPr>
      <w:t>3</w:t>
    </w:r>
    <w:r w:rsidRPr="00F061F2">
      <w:rPr>
        <w:lang w:val="sr-Cyrl-RS"/>
      </w:rPr>
      <w:t>. годину</w:t>
    </w:r>
  </w:p>
  <w:p w14:paraId="27530EA8" w14:textId="77777777" w:rsidR="001B41AD" w:rsidRPr="00A05F80" w:rsidRDefault="001B41AD" w:rsidP="004F72C4">
    <w:pPr>
      <w:pStyle w:val="Header"/>
      <w:rPr>
        <w:lang w:val="ru-RU"/>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325B5" w14:textId="77777777" w:rsidR="001B41AD" w:rsidRPr="00C93518" w:rsidRDefault="001B41AD" w:rsidP="00AF42E4">
    <w:pPr>
      <w:pStyle w:val="Header"/>
      <w:jc w:val="center"/>
      <w:rPr>
        <w:lang w:val="sr-Cyrl-RS"/>
      </w:rPr>
    </w:pPr>
    <w:r>
      <w:rPr>
        <w:lang w:val="sr-Cyrl-RS"/>
      </w:rPr>
      <w:t>Ревидирана фискална стратегија за 20</w:t>
    </w:r>
    <w:r>
      <w:rPr>
        <w:lang w:val="sr-Latn-RS"/>
      </w:rPr>
      <w:t>25</w:t>
    </w:r>
    <w:r>
      <w:rPr>
        <w:lang w:val="sr-Cyrl-RS"/>
      </w:rPr>
      <w:t>. годину са пројекцијама за 202</w:t>
    </w:r>
    <w:r>
      <w:rPr>
        <w:lang w:val="sr-Latn-RS"/>
      </w:rPr>
      <w:t>6.</w:t>
    </w:r>
    <w:r>
      <w:rPr>
        <w:lang w:val="sr-Cyrl-RS"/>
      </w:rPr>
      <w:t xml:space="preserve"> и 202</w:t>
    </w:r>
    <w:r>
      <w:rPr>
        <w:lang w:val="sr-Latn-RS"/>
      </w:rPr>
      <w:t>7</w:t>
    </w:r>
    <w:r>
      <w:rPr>
        <w:lang w:val="sr-Cyrl-RS"/>
      </w:rPr>
      <w:t>. годину</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763D" w14:textId="77777777" w:rsidR="001B41AD" w:rsidRPr="00A05F80" w:rsidRDefault="001B41AD" w:rsidP="005D42AC">
    <w:pPr>
      <w:pStyle w:val="Header"/>
      <w:jc w:val="center"/>
      <w:rPr>
        <w:lang w:val="ru-RU"/>
      </w:rPr>
    </w:pPr>
    <w:r w:rsidRPr="00A05F80">
      <w:rPr>
        <w:lang w:val="ru-RU"/>
      </w:rPr>
      <w:t>Фискална стратегија за 2021. годину са пројекцијама за 2022. и 2023. годину</w:t>
    </w:r>
  </w:p>
  <w:p w14:paraId="7DACCF08" w14:textId="77777777" w:rsidR="001B41AD" w:rsidRPr="00A05F80" w:rsidRDefault="001B41AD" w:rsidP="004F72C4">
    <w:pPr>
      <w:pStyle w:val="Header"/>
      <w:rPr>
        <w:lang w:val="ru-RU"/>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3B9DD" w14:textId="77777777" w:rsidR="001B41AD" w:rsidRPr="006A48F5" w:rsidRDefault="001B41AD" w:rsidP="00AF42E4">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D897C" w14:textId="77777777" w:rsidR="001B41AD" w:rsidRPr="00A05F80" w:rsidRDefault="001B41AD" w:rsidP="005D42AC">
    <w:pPr>
      <w:pStyle w:val="Header"/>
      <w:jc w:val="center"/>
      <w:rPr>
        <w:lang w:val="ru-RU"/>
      </w:rPr>
    </w:pPr>
    <w:r w:rsidRPr="00A05F80">
      <w:rPr>
        <w:lang w:val="ru-RU"/>
      </w:rPr>
      <w:t>Фискална стратегија за 2021. годину са пројекцијама за 2022. и 2023. годину</w:t>
    </w:r>
  </w:p>
  <w:p w14:paraId="053FF819" w14:textId="77777777" w:rsidR="001B41AD" w:rsidRPr="00A05F80" w:rsidRDefault="001B41AD" w:rsidP="004F72C4">
    <w:pPr>
      <w:pStyle w:val="Header"/>
      <w:rPr>
        <w:lang w:val="ru-RU"/>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7A363" w14:textId="77777777" w:rsidR="001B41AD" w:rsidRPr="00A05F80" w:rsidRDefault="001B41AD" w:rsidP="00E61B34">
    <w:pPr>
      <w:pStyle w:val="Header"/>
      <w:rPr>
        <w:lang w:val="ru-RU"/>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490BF" w14:textId="77777777" w:rsidR="001B41AD" w:rsidRPr="00A05F80" w:rsidRDefault="001B41AD" w:rsidP="00C130D2">
    <w:pPr>
      <w:pStyle w:val="Header"/>
      <w:jc w:val="center"/>
      <w:rPr>
        <w:lang w:val="ru-RU"/>
      </w:rP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1C21B7C5" w14:textId="77777777" w:rsidR="001B41AD" w:rsidRPr="00A05F80" w:rsidRDefault="001B41AD">
    <w:pPr>
      <w:pStyle w:val="Header"/>
      <w:rPr>
        <w:lang w:val="ru-RU"/>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47A7D" w14:textId="77777777" w:rsidR="001B41AD" w:rsidRPr="00A05F80" w:rsidRDefault="001B41AD" w:rsidP="00E61B34">
    <w:pPr>
      <w:pStyle w:val="Header"/>
      <w:rPr>
        <w:lang w:val="ru-RU"/>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633AD" w14:textId="77777777" w:rsidR="001B41AD" w:rsidRPr="00BF7F6A" w:rsidRDefault="001B41AD" w:rsidP="00BD7EB6">
    <w:pPr>
      <w:pStyle w:val="Header"/>
      <w:jc w:val="center"/>
      <w:rPr>
        <w:lang w:val="sr-Cyrl-RS"/>
      </w:rPr>
    </w:pPr>
    <w:r>
      <w:rPr>
        <w:lang w:val="sr-Cyrl-RS"/>
      </w:rPr>
      <w:t>Фискална стратегија за 2019. годину са пројекцијама за 2020. и 2021. годину</w:t>
    </w:r>
  </w:p>
  <w:p w14:paraId="49D97D57" w14:textId="77777777" w:rsidR="001B41AD" w:rsidRPr="00A05F80" w:rsidRDefault="001B41AD">
    <w:pPr>
      <w:pStyle w:val="Header"/>
      <w:rPr>
        <w:lang w:val="ru-RU"/>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3F003" w14:textId="77777777" w:rsidR="001B41AD" w:rsidRDefault="001B41AD">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F6E65" w14:textId="77777777" w:rsidR="001B41AD" w:rsidRPr="00A05F80" w:rsidRDefault="001B41AD" w:rsidP="00C130D2">
    <w:pPr>
      <w:pStyle w:val="Header"/>
      <w:jc w:val="center"/>
      <w:rPr>
        <w:lang w:val="ru-RU"/>
      </w:rP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740AEAE3" w14:textId="77777777" w:rsidR="001B41AD" w:rsidRPr="00A05F80" w:rsidRDefault="001B41AD">
    <w:pPr>
      <w:pStyle w:val="Header"/>
      <w:rPr>
        <w:lang w:val="ru-RU"/>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E4394" w14:textId="77777777" w:rsidR="001B41AD" w:rsidRPr="00A05F80" w:rsidRDefault="001B41AD" w:rsidP="00E72B3D">
    <w:pPr>
      <w:pStyle w:val="Header"/>
      <w:rPr>
        <w:lang w:val="ru-RU"/>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F92A5" w14:textId="77777777" w:rsidR="001B41AD" w:rsidRPr="00BF7F6A" w:rsidRDefault="001B41AD" w:rsidP="00BD7EB6">
    <w:pPr>
      <w:pStyle w:val="Header"/>
      <w:jc w:val="center"/>
      <w:rPr>
        <w:lang w:val="sr-Cyrl-RS"/>
      </w:rPr>
    </w:pPr>
    <w:r>
      <w:rPr>
        <w:lang w:val="sr-Cyrl-RS"/>
      </w:rPr>
      <w:t>Фискална стратегија за 2019. годину са пројекцијама за 2020. и 2021. годину</w:t>
    </w:r>
  </w:p>
  <w:p w14:paraId="1419A7F9" w14:textId="77777777" w:rsidR="001B41AD" w:rsidRPr="00A05F80" w:rsidRDefault="001B41AD">
    <w:pPr>
      <w:pStyle w:val="Header"/>
      <w:rPr>
        <w:lang w:val="ru-RU"/>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E5809" w14:textId="77777777" w:rsidR="001B41AD" w:rsidRPr="00A05F80" w:rsidRDefault="001B41AD" w:rsidP="00C130D2">
    <w:pPr>
      <w:pStyle w:val="Header"/>
      <w:jc w:val="center"/>
      <w:rPr>
        <w:lang w:val="ru-RU"/>
      </w:rPr>
    </w:pPr>
    <w:r w:rsidRPr="00A05F80">
      <w:rPr>
        <w:lang w:val="ru-RU"/>
      </w:rPr>
      <w:t>Ревидирана фискална стратегија за 2020. годину са пројекцијама за 2021. и 2022. годину</w:t>
    </w:r>
  </w:p>
  <w:p w14:paraId="6A542C15" w14:textId="77777777" w:rsidR="001B41AD" w:rsidRPr="00A05F80" w:rsidRDefault="001B41AD">
    <w:pPr>
      <w:pStyle w:val="Header"/>
      <w:rPr>
        <w:lang w:val="ru-RU"/>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57270" w14:textId="0063F11F" w:rsidR="001B41AD" w:rsidRPr="00772333" w:rsidRDefault="001B41AD" w:rsidP="00772333">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01279" w14:textId="77777777" w:rsidR="001B41AD" w:rsidRPr="00A05F80" w:rsidRDefault="001B41AD" w:rsidP="00BD7EB6">
    <w:pPr>
      <w:pStyle w:val="Header"/>
      <w:jc w:val="center"/>
      <w:rPr>
        <w:lang w:val="ru-RU"/>
      </w:rPr>
    </w:pPr>
    <w:r w:rsidRPr="00A05F80">
      <w:rPr>
        <w:lang w:val="ru-RU"/>
      </w:rPr>
      <w:t>Фискална стратегија за 2019. годину са пројекцијама за 2020. и 2021. годину</w:t>
    </w:r>
  </w:p>
  <w:p w14:paraId="32E1A365" w14:textId="77777777" w:rsidR="001B41AD" w:rsidRPr="00A05F80" w:rsidRDefault="001B41AD">
    <w:pPr>
      <w:pStyle w:val="Header"/>
      <w:rPr>
        <w:lang w:val="ru-RU"/>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D5899" w14:textId="77777777" w:rsidR="001B41AD" w:rsidRPr="00A05F80" w:rsidRDefault="001B41AD" w:rsidP="00C130D2">
    <w:pPr>
      <w:pStyle w:val="Header"/>
      <w:jc w:val="center"/>
      <w:rPr>
        <w:lang w:val="ru-RU"/>
      </w:rPr>
    </w:pPr>
    <w:r w:rsidRPr="00A05F80">
      <w:rPr>
        <w:lang w:val="ru-RU"/>
      </w:rPr>
      <w:t>Фискална стратегија за 2020. годину са пројекцијама за 2021. и 2022. годину</w:t>
    </w:r>
  </w:p>
  <w:p w14:paraId="4F8CCC75" w14:textId="77777777" w:rsidR="001B41AD" w:rsidRPr="00A05F80" w:rsidRDefault="001B41AD">
    <w:pPr>
      <w:pStyle w:val="Header"/>
      <w:rPr>
        <w:lang w:val="ru-RU"/>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53243" w14:textId="77777777" w:rsidR="001B41AD" w:rsidRPr="00A05F80" w:rsidRDefault="001B41AD" w:rsidP="00BD7EB6">
    <w:pPr>
      <w:pStyle w:val="Header"/>
      <w:jc w:val="center"/>
      <w:rPr>
        <w:lang w:val="ru-RU"/>
      </w:rPr>
    </w:pPr>
    <w:r w:rsidRPr="00A05F80">
      <w:rPr>
        <w:lang w:val="ru-RU"/>
      </w:rPr>
      <w:t>Фискална стратегија за 2019. годину са пројекцијама за 2020. и 2021. годину</w:t>
    </w:r>
  </w:p>
  <w:p w14:paraId="57760EB4" w14:textId="77777777" w:rsidR="001B41AD" w:rsidRPr="00A05F80" w:rsidRDefault="001B41AD">
    <w:pPr>
      <w:pStyle w:val="Header"/>
      <w:rPr>
        <w:lang w:val="ru-RU"/>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C8A3A" w14:textId="77777777" w:rsidR="001B41AD" w:rsidRDefault="001B41AD">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9B5CF" w14:textId="409CE4F7" w:rsidR="001B41AD" w:rsidRPr="00772333" w:rsidRDefault="001B41AD" w:rsidP="007723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69F6" w14:textId="77777777" w:rsidR="001B41AD" w:rsidRDefault="001B41AD">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6EB9E" w14:textId="77777777" w:rsidR="001B41AD" w:rsidRPr="006204E0" w:rsidRDefault="001B41AD">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BE421" w14:textId="77777777" w:rsidR="001B41AD" w:rsidRPr="00A05F80" w:rsidRDefault="001B41AD" w:rsidP="00405489">
    <w:pPr>
      <w:pStyle w:val="Header"/>
      <w:jc w:val="center"/>
      <w:rPr>
        <w:lang w:val="ru-RU"/>
      </w:rPr>
    </w:pPr>
    <w:r w:rsidRPr="006C57DB">
      <w:rPr>
        <w:lang w:val="sr-Cyrl-RS"/>
      </w:rPr>
      <w:t xml:space="preserve">Фискална </w:t>
    </w:r>
    <w:r w:rsidRPr="00A05F80">
      <w:rPr>
        <w:lang w:val="ru-RU"/>
      </w:rPr>
      <w:t>стратегија за 2020. годину са пројекцијама за 2021. и 2022. годину</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8188B" w14:textId="77777777" w:rsidR="001B41AD" w:rsidRDefault="001B41AD">
    <w:pPr>
      <w:pStyle w:val="Header"/>
      <w:rPr>
        <w:lang w:val="sr-Latn-RS"/>
      </w:rPr>
    </w:pPr>
  </w:p>
  <w:p w14:paraId="79C25027" w14:textId="77777777" w:rsidR="001B41AD" w:rsidRPr="0098316A" w:rsidRDefault="001B41AD">
    <w:pPr>
      <w:pStyle w:val="Header"/>
      <w:rPr>
        <w:lang w:val="sr-Latn-RS"/>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3F4E8" w14:textId="77777777" w:rsidR="001B41AD" w:rsidRPr="00A05F80" w:rsidRDefault="001B41AD" w:rsidP="00405489">
    <w:pPr>
      <w:pStyle w:val="Header"/>
      <w:jc w:val="center"/>
      <w:rPr>
        <w:lang w:val="ru-RU"/>
      </w:rPr>
    </w:pPr>
    <w:r w:rsidRPr="006C57DB">
      <w:rPr>
        <w:lang w:val="sr-Cyrl-RS"/>
      </w:rPr>
      <w:t xml:space="preserve">Фискална </w:t>
    </w:r>
    <w:r w:rsidRPr="00A05F80">
      <w:rPr>
        <w:lang w:val="ru-RU"/>
      </w:rPr>
      <w:t>стратегија за 2020. годину са пројекцијама за 2021. и 2022. годину</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8F6EF" w14:textId="77777777" w:rsidR="001B41AD" w:rsidRPr="00BF7F6A" w:rsidRDefault="001B41AD" w:rsidP="00405489">
    <w:pPr>
      <w:pStyle w:val="Header"/>
      <w:jc w:val="center"/>
      <w:rPr>
        <w:lang w:val="sr-Cyrl-RS"/>
      </w:rPr>
    </w:pPr>
    <w:r>
      <w:rPr>
        <w:lang w:val="sr-Cyrl-RS"/>
      </w:rPr>
      <w:t>Фискална стратегија за 2019. годину са пројекцијама за 2020. и 2021. годину</w:t>
    </w:r>
  </w:p>
  <w:p w14:paraId="5A06127A" w14:textId="77777777" w:rsidR="001B41AD" w:rsidRPr="00A05F80" w:rsidRDefault="001B41AD">
    <w:pPr>
      <w:pStyle w:val="Header"/>
      <w:rPr>
        <w:lang w:val="ru-RU"/>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ACBC5" w14:textId="77777777" w:rsidR="001B41AD" w:rsidRPr="00A05F80" w:rsidRDefault="001B41AD" w:rsidP="00405489">
    <w:pPr>
      <w:pStyle w:val="Header"/>
      <w:jc w:val="center"/>
      <w:rPr>
        <w:lang w:val="ru-RU"/>
      </w:rPr>
    </w:pPr>
    <w:r w:rsidRPr="006C57DB">
      <w:rPr>
        <w:lang w:val="sr-Cyrl-RS"/>
      </w:rPr>
      <w:t xml:space="preserve">Фискална </w:t>
    </w:r>
    <w:r w:rsidRPr="00A05F80">
      <w:rPr>
        <w:lang w:val="ru-RU"/>
      </w:rPr>
      <w:t>стратегија за 2020. годину са пројекцијама за 2021. и 2022. годину</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45B53" w14:textId="77777777" w:rsidR="001B41AD" w:rsidRPr="00BF7F6A" w:rsidRDefault="001B41AD" w:rsidP="00405489">
    <w:pPr>
      <w:pStyle w:val="Header"/>
      <w:jc w:val="center"/>
      <w:rPr>
        <w:lang w:val="sr-Cyrl-RS"/>
      </w:rPr>
    </w:pPr>
    <w:r>
      <w:rPr>
        <w:lang w:val="sr-Cyrl-RS"/>
      </w:rPr>
      <w:t>Фискална стратегија за 2019. годину са пројекцијама за 2020. и 2021. годину</w:t>
    </w:r>
  </w:p>
  <w:p w14:paraId="2A7020A6" w14:textId="77777777" w:rsidR="001B41AD" w:rsidRPr="00A05F80" w:rsidRDefault="001B41AD">
    <w:pPr>
      <w:pStyle w:val="Header"/>
      <w:rPr>
        <w:lang w:val="ru-RU"/>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8E487" w14:textId="77777777" w:rsidR="001B41AD" w:rsidRPr="00A05F80" w:rsidRDefault="001B41AD" w:rsidP="008D31CC">
    <w:pPr>
      <w:pStyle w:val="Header"/>
      <w:jc w:val="center"/>
      <w:rPr>
        <w:lang w:val="ru-RU"/>
      </w:rPr>
    </w:pPr>
    <w:r w:rsidRPr="006C57DB">
      <w:rPr>
        <w:lang w:val="sr-Cyrl-RS"/>
      </w:rPr>
      <w:t xml:space="preserve">Фискална </w:t>
    </w:r>
    <w:r w:rsidRPr="00A05F80">
      <w:rPr>
        <w:lang w:val="ru-RU"/>
      </w:rPr>
      <w:t>стратегија за 2020. годину са пројекцијама за 2021. и 2022. годину</w: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94F6D" w14:textId="77777777" w:rsidR="001B41AD" w:rsidRPr="00BF7F6A" w:rsidRDefault="001B41AD" w:rsidP="008D31CC">
    <w:pPr>
      <w:pStyle w:val="Header"/>
      <w:jc w:val="center"/>
      <w:rPr>
        <w:lang w:val="sr-Cyrl-RS"/>
      </w:rPr>
    </w:pPr>
    <w:r>
      <w:rPr>
        <w:lang w:val="sr-Cyrl-RS"/>
      </w:rPr>
      <w:t>Фискална стратегија за 2019. годину са пројекцијама за 2020. и 2021. годину</w:t>
    </w:r>
  </w:p>
  <w:p w14:paraId="50A8E270" w14:textId="77777777" w:rsidR="001B41AD" w:rsidRPr="00A05F80" w:rsidRDefault="001B41AD">
    <w:pPr>
      <w:pStyle w:val="Header"/>
      <w:rPr>
        <w:lang w:val="ru-RU"/>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B06CF" w14:textId="77777777" w:rsidR="001B41AD" w:rsidRPr="00A05F80" w:rsidRDefault="001B41AD" w:rsidP="008D31CC">
    <w:pPr>
      <w:pStyle w:val="Header"/>
      <w:jc w:val="center"/>
      <w:rPr>
        <w:lang w:val="ru-RU"/>
      </w:rPr>
    </w:pPr>
    <w:r w:rsidRPr="006C57DB">
      <w:rPr>
        <w:lang w:val="sr-Cyrl-RS"/>
      </w:rPr>
      <w:t xml:space="preserve">Фискална </w:t>
    </w:r>
    <w:r w:rsidRPr="00A05F80">
      <w:rPr>
        <w:lang w:val="ru-RU"/>
      </w:rPr>
      <w:t>стратегија за 2020. годину са пројекцијама за 2021. и 2022. годину</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C16E6" w14:textId="77777777" w:rsidR="001B41AD" w:rsidRPr="00A05F80" w:rsidRDefault="001B41AD" w:rsidP="001B6FB4">
    <w:pPr>
      <w:pStyle w:val="Header"/>
      <w:rPr>
        <w:lang w:val="ru-RU"/>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CE7DB" w14:textId="77777777" w:rsidR="001B41AD" w:rsidRPr="00BF7F6A" w:rsidRDefault="001B41AD" w:rsidP="008D31CC">
    <w:pPr>
      <w:pStyle w:val="Header"/>
      <w:jc w:val="center"/>
      <w:rPr>
        <w:lang w:val="sr-Cyrl-RS"/>
      </w:rPr>
    </w:pPr>
    <w:r>
      <w:rPr>
        <w:lang w:val="sr-Cyrl-RS"/>
      </w:rPr>
      <w:t>Фискална стратегија за 2019. годину са пројекцијама за 2020. и 2021. годину</w:t>
    </w:r>
  </w:p>
  <w:p w14:paraId="17D77043" w14:textId="77777777" w:rsidR="001B41AD" w:rsidRPr="00A05F80" w:rsidRDefault="001B41AD">
    <w:pPr>
      <w:pStyle w:val="Header"/>
      <w:rPr>
        <w:lang w:val="ru-RU"/>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C669D" w14:textId="77777777" w:rsidR="001B41AD" w:rsidRPr="00A05F80" w:rsidRDefault="001B41AD" w:rsidP="008D31CC">
    <w:pPr>
      <w:pStyle w:val="Header"/>
      <w:jc w:val="center"/>
      <w:rPr>
        <w:lang w:val="ru-RU"/>
      </w:rPr>
    </w:pPr>
    <w:r w:rsidRPr="006C57DB">
      <w:rPr>
        <w:lang w:val="sr-Cyrl-RS"/>
      </w:rPr>
      <w:t xml:space="preserve">Фискална </w:t>
    </w:r>
    <w:r w:rsidRPr="00A05F80">
      <w:rPr>
        <w:lang w:val="ru-RU"/>
      </w:rPr>
      <w:t>стратегија за 2020. годину са пројекцијама за 2021. и 2022. годину</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8D39C" w14:textId="77777777" w:rsidR="001B41AD" w:rsidRPr="00A05F80" w:rsidRDefault="001B41AD">
    <w:pPr>
      <w:pStyle w:val="Header"/>
      <w:rPr>
        <w:lang w:val="ru-RU"/>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4F3FF" w14:textId="77777777" w:rsidR="001B41AD" w:rsidRDefault="001B41AD">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05E79" w14:textId="77777777" w:rsidR="001B41AD" w:rsidRPr="00A05F80" w:rsidRDefault="001B41AD" w:rsidP="008D31CC">
    <w:pPr>
      <w:pStyle w:val="Header"/>
      <w:jc w:val="center"/>
      <w:rPr>
        <w:lang w:val="ru-RU"/>
      </w:rPr>
    </w:pPr>
    <w:r w:rsidRPr="006C57DB">
      <w:rPr>
        <w:lang w:val="sr-Cyrl-RS"/>
      </w:rPr>
      <w:t xml:space="preserve">Фискална </w:t>
    </w:r>
    <w:r w:rsidRPr="00A05F80">
      <w:rPr>
        <w:lang w:val="ru-RU"/>
      </w:rPr>
      <w:t>стратегија за 2020. годину са пројекцијама за 2021. и 2022. годину</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ACA3B" w14:textId="77777777" w:rsidR="001B41AD" w:rsidRPr="00A05F80" w:rsidRDefault="001B41AD" w:rsidP="00987535">
    <w:pPr>
      <w:pStyle w:val="Header"/>
      <w:jc w:val="center"/>
      <w:rPr>
        <w:i/>
        <w:sz w:val="16"/>
        <w:szCs w:val="16"/>
        <w:lang w:val="ru-RU"/>
      </w:rPr>
    </w:pPr>
    <w:r w:rsidRPr="00A05F80">
      <w:rPr>
        <w:i/>
        <w:sz w:val="16"/>
        <w:szCs w:val="16"/>
        <w:lang w:val="ru-RU"/>
      </w:rPr>
      <w:t>Фискална стратегија за 2026. годину са пројекцијама за 2027. и 2028. годину</w:t>
    </w:r>
  </w:p>
  <w:p w14:paraId="36ED0291" w14:textId="77777777" w:rsidR="001B41AD" w:rsidRPr="00A05F80" w:rsidRDefault="001B41AD">
    <w:pPr>
      <w:pStyle w:val="Header"/>
      <w:rPr>
        <w:lang w:val="ru-RU"/>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7B8D5" w14:textId="77777777" w:rsidR="001B41AD" w:rsidRPr="00521A99" w:rsidRDefault="001B41AD" w:rsidP="00436957">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DBFC2" w14:textId="77777777" w:rsidR="001B41AD" w:rsidRPr="00A05F80" w:rsidRDefault="001B41AD" w:rsidP="001B6FB4">
    <w:pPr>
      <w:pStyle w:val="Header"/>
      <w:rPr>
        <w:lang w:val="ru-RU"/>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A0E2F" w14:textId="7A8A754E" w:rsidR="001B41AD" w:rsidRPr="00772333" w:rsidRDefault="001B41AD" w:rsidP="0077233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9C2F1F" w14:textId="77777777" w:rsidR="001B41AD" w:rsidRPr="00A05F80" w:rsidRDefault="001B41AD" w:rsidP="00436957">
    <w:pPr>
      <w:pStyle w:val="Header"/>
      <w:jc w:val="center"/>
      <w:rPr>
        <w:lang w:val="ru-RU"/>
      </w:rPr>
    </w:pPr>
    <w:r w:rsidRPr="00A05F80">
      <w:rPr>
        <w:lang w:val="ru-RU"/>
      </w:rPr>
      <w:t>Фискална стратегија за 2025. годину са пројекцијама за 2026. и 2027. годину</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31EA3" w14:textId="77777777" w:rsidR="001B41AD" w:rsidRPr="00A05F80" w:rsidRDefault="001B41AD" w:rsidP="001B6FB4">
    <w:pPr>
      <w:pStyle w:val="Header"/>
      <w:jc w:val="center"/>
      <w:rPr>
        <w:i/>
        <w:lang w:val="ru-RU"/>
      </w:rPr>
    </w:pPr>
    <w:r w:rsidRPr="00F74ACC">
      <w:rPr>
        <w:i/>
        <w:lang w:val="sr-Cyrl-RS"/>
      </w:rPr>
      <w:t xml:space="preserve">Ревидирана </w:t>
    </w:r>
    <w:r w:rsidRPr="00A05F80">
      <w:rPr>
        <w:i/>
        <w:lang w:val="ru-RU"/>
      </w:rPr>
      <w:t>Фискална стратегија за 2026. годину са пројекцијама за 2027. и 2028. годину</w:t>
    </w:r>
  </w:p>
  <w:p w14:paraId="6C3B276F" w14:textId="77777777" w:rsidR="001B41AD" w:rsidRPr="00A05F80" w:rsidRDefault="001B41AD" w:rsidP="001B6FB4">
    <w:pPr>
      <w:pStyle w:val="Header"/>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B28FC"/>
    <w:multiLevelType w:val="hybridMultilevel"/>
    <w:tmpl w:val="324C1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FC1C92"/>
    <w:multiLevelType w:val="multilevel"/>
    <w:tmpl w:val="9724D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82526E"/>
    <w:multiLevelType w:val="hybridMultilevel"/>
    <w:tmpl w:val="F9B8B8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5F6A1A"/>
    <w:multiLevelType w:val="hybridMultilevel"/>
    <w:tmpl w:val="6358C0B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CE85059"/>
    <w:multiLevelType w:val="hybridMultilevel"/>
    <w:tmpl w:val="4C48F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F974621"/>
    <w:multiLevelType w:val="hybridMultilevel"/>
    <w:tmpl w:val="3D1E1176"/>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817CF4"/>
    <w:multiLevelType w:val="hybridMultilevel"/>
    <w:tmpl w:val="BBAC36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A85611"/>
    <w:multiLevelType w:val="multilevel"/>
    <w:tmpl w:val="18667D1A"/>
    <w:lvl w:ilvl="0">
      <w:start w:val="1"/>
      <w:numFmt w:val="decimal"/>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8" w15:restartNumberingAfterBreak="0">
    <w:nsid w:val="4D6972A3"/>
    <w:multiLevelType w:val="hybridMultilevel"/>
    <w:tmpl w:val="3750566E"/>
    <w:lvl w:ilvl="0" w:tplc="04090005">
      <w:start w:val="1"/>
      <w:numFmt w:val="bullet"/>
      <w:lvlText w:val=""/>
      <w:lvlJc w:val="left"/>
      <w:pPr>
        <w:ind w:left="1077" w:hanging="360"/>
      </w:pPr>
      <w:rPr>
        <w:rFonts w:ascii="Wingdings" w:hAnsi="Wingdings" w:hint="default"/>
      </w:rPr>
    </w:lvl>
    <w:lvl w:ilvl="1" w:tplc="04090003">
      <w:start w:val="1"/>
      <w:numFmt w:val="bullet"/>
      <w:lvlText w:val="o"/>
      <w:lvlJc w:val="left"/>
      <w:pPr>
        <w:ind w:left="1797" w:hanging="360"/>
      </w:pPr>
      <w:rPr>
        <w:rFonts w:ascii="Courier New" w:hAnsi="Courier New" w:cs="Courier New" w:hint="default"/>
      </w:rPr>
    </w:lvl>
    <w:lvl w:ilvl="2" w:tplc="04090005">
      <w:start w:val="1"/>
      <w:numFmt w:val="bullet"/>
      <w:lvlText w:val=""/>
      <w:lvlJc w:val="left"/>
      <w:pPr>
        <w:ind w:left="2517" w:hanging="360"/>
      </w:pPr>
      <w:rPr>
        <w:rFonts w:ascii="Wingdings" w:hAnsi="Wingdings" w:hint="default"/>
      </w:rPr>
    </w:lvl>
    <w:lvl w:ilvl="3" w:tplc="04090001">
      <w:start w:val="1"/>
      <w:numFmt w:val="bullet"/>
      <w:lvlText w:val=""/>
      <w:lvlJc w:val="left"/>
      <w:pPr>
        <w:ind w:left="3237" w:hanging="360"/>
      </w:pPr>
      <w:rPr>
        <w:rFonts w:ascii="Symbol" w:hAnsi="Symbol" w:hint="default"/>
      </w:rPr>
    </w:lvl>
    <w:lvl w:ilvl="4" w:tplc="04090003">
      <w:start w:val="1"/>
      <w:numFmt w:val="bullet"/>
      <w:lvlText w:val="o"/>
      <w:lvlJc w:val="left"/>
      <w:pPr>
        <w:ind w:left="3957" w:hanging="360"/>
      </w:pPr>
      <w:rPr>
        <w:rFonts w:ascii="Courier New" w:hAnsi="Courier New" w:cs="Courier New" w:hint="default"/>
      </w:rPr>
    </w:lvl>
    <w:lvl w:ilvl="5" w:tplc="04090005">
      <w:start w:val="1"/>
      <w:numFmt w:val="bullet"/>
      <w:lvlText w:val=""/>
      <w:lvlJc w:val="left"/>
      <w:pPr>
        <w:ind w:left="4677" w:hanging="360"/>
      </w:pPr>
      <w:rPr>
        <w:rFonts w:ascii="Wingdings" w:hAnsi="Wingdings" w:hint="default"/>
      </w:rPr>
    </w:lvl>
    <w:lvl w:ilvl="6" w:tplc="04090001">
      <w:start w:val="1"/>
      <w:numFmt w:val="bullet"/>
      <w:lvlText w:val=""/>
      <w:lvlJc w:val="left"/>
      <w:pPr>
        <w:ind w:left="5397" w:hanging="360"/>
      </w:pPr>
      <w:rPr>
        <w:rFonts w:ascii="Symbol" w:hAnsi="Symbol" w:hint="default"/>
      </w:rPr>
    </w:lvl>
    <w:lvl w:ilvl="7" w:tplc="04090003">
      <w:start w:val="1"/>
      <w:numFmt w:val="bullet"/>
      <w:lvlText w:val="o"/>
      <w:lvlJc w:val="left"/>
      <w:pPr>
        <w:ind w:left="6117" w:hanging="360"/>
      </w:pPr>
      <w:rPr>
        <w:rFonts w:ascii="Courier New" w:hAnsi="Courier New" w:cs="Courier New" w:hint="default"/>
      </w:rPr>
    </w:lvl>
    <w:lvl w:ilvl="8" w:tplc="04090005">
      <w:start w:val="1"/>
      <w:numFmt w:val="bullet"/>
      <w:lvlText w:val=""/>
      <w:lvlJc w:val="left"/>
      <w:pPr>
        <w:ind w:left="6837" w:hanging="360"/>
      </w:pPr>
      <w:rPr>
        <w:rFonts w:ascii="Wingdings" w:hAnsi="Wingdings" w:hint="default"/>
      </w:rPr>
    </w:lvl>
  </w:abstractNum>
  <w:abstractNum w:abstractNumId="9" w15:restartNumberingAfterBreak="0">
    <w:nsid w:val="4E321928"/>
    <w:multiLevelType w:val="hybridMultilevel"/>
    <w:tmpl w:val="7D3273FE"/>
    <w:lvl w:ilvl="0" w:tplc="04090005">
      <w:start w:val="1"/>
      <w:numFmt w:val="bullet"/>
      <w:lvlText w:val=""/>
      <w:lvlJc w:val="left"/>
      <w:pPr>
        <w:ind w:left="1797" w:hanging="360"/>
      </w:pPr>
      <w:rPr>
        <w:rFonts w:ascii="Wingdings" w:hAnsi="Wingdings" w:hint="default"/>
      </w:rPr>
    </w:lvl>
    <w:lvl w:ilvl="1" w:tplc="04090003">
      <w:start w:val="1"/>
      <w:numFmt w:val="bullet"/>
      <w:lvlText w:val="o"/>
      <w:lvlJc w:val="left"/>
      <w:pPr>
        <w:ind w:left="2517" w:hanging="360"/>
      </w:pPr>
      <w:rPr>
        <w:rFonts w:ascii="Courier New" w:hAnsi="Courier New" w:cs="Courier New" w:hint="default"/>
      </w:rPr>
    </w:lvl>
    <w:lvl w:ilvl="2" w:tplc="04090005">
      <w:start w:val="1"/>
      <w:numFmt w:val="bullet"/>
      <w:lvlText w:val=""/>
      <w:lvlJc w:val="left"/>
      <w:pPr>
        <w:ind w:left="3237" w:hanging="360"/>
      </w:pPr>
      <w:rPr>
        <w:rFonts w:ascii="Wingdings" w:hAnsi="Wingdings" w:hint="default"/>
      </w:rPr>
    </w:lvl>
    <w:lvl w:ilvl="3" w:tplc="04090001">
      <w:start w:val="1"/>
      <w:numFmt w:val="bullet"/>
      <w:lvlText w:val=""/>
      <w:lvlJc w:val="left"/>
      <w:pPr>
        <w:ind w:left="3957" w:hanging="360"/>
      </w:pPr>
      <w:rPr>
        <w:rFonts w:ascii="Symbol" w:hAnsi="Symbol" w:hint="default"/>
      </w:rPr>
    </w:lvl>
    <w:lvl w:ilvl="4" w:tplc="04090003">
      <w:start w:val="1"/>
      <w:numFmt w:val="bullet"/>
      <w:lvlText w:val="o"/>
      <w:lvlJc w:val="left"/>
      <w:pPr>
        <w:ind w:left="4677" w:hanging="360"/>
      </w:pPr>
      <w:rPr>
        <w:rFonts w:ascii="Courier New" w:hAnsi="Courier New" w:cs="Courier New" w:hint="default"/>
      </w:rPr>
    </w:lvl>
    <w:lvl w:ilvl="5" w:tplc="04090005">
      <w:start w:val="1"/>
      <w:numFmt w:val="bullet"/>
      <w:lvlText w:val=""/>
      <w:lvlJc w:val="left"/>
      <w:pPr>
        <w:ind w:left="5397" w:hanging="360"/>
      </w:pPr>
      <w:rPr>
        <w:rFonts w:ascii="Wingdings" w:hAnsi="Wingdings" w:hint="default"/>
      </w:rPr>
    </w:lvl>
    <w:lvl w:ilvl="6" w:tplc="04090001">
      <w:start w:val="1"/>
      <w:numFmt w:val="bullet"/>
      <w:lvlText w:val=""/>
      <w:lvlJc w:val="left"/>
      <w:pPr>
        <w:ind w:left="6117" w:hanging="360"/>
      </w:pPr>
      <w:rPr>
        <w:rFonts w:ascii="Symbol" w:hAnsi="Symbol" w:hint="default"/>
      </w:rPr>
    </w:lvl>
    <w:lvl w:ilvl="7" w:tplc="04090003">
      <w:start w:val="1"/>
      <w:numFmt w:val="bullet"/>
      <w:lvlText w:val="o"/>
      <w:lvlJc w:val="left"/>
      <w:pPr>
        <w:ind w:left="6837" w:hanging="360"/>
      </w:pPr>
      <w:rPr>
        <w:rFonts w:ascii="Courier New" w:hAnsi="Courier New" w:cs="Courier New" w:hint="default"/>
      </w:rPr>
    </w:lvl>
    <w:lvl w:ilvl="8" w:tplc="04090005">
      <w:start w:val="1"/>
      <w:numFmt w:val="bullet"/>
      <w:lvlText w:val=""/>
      <w:lvlJc w:val="left"/>
      <w:pPr>
        <w:ind w:left="7557" w:hanging="360"/>
      </w:pPr>
      <w:rPr>
        <w:rFonts w:ascii="Wingdings" w:hAnsi="Wingdings" w:hint="default"/>
      </w:rPr>
    </w:lvl>
  </w:abstractNum>
  <w:abstractNum w:abstractNumId="10" w15:restartNumberingAfterBreak="0">
    <w:nsid w:val="54592C15"/>
    <w:multiLevelType w:val="hybridMultilevel"/>
    <w:tmpl w:val="CC3CD6FE"/>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C003055"/>
    <w:multiLevelType w:val="hybridMultilevel"/>
    <w:tmpl w:val="DB8ACF72"/>
    <w:lvl w:ilvl="0" w:tplc="04090005">
      <w:start w:val="1"/>
      <w:numFmt w:val="bullet"/>
      <w:lvlText w:val=""/>
      <w:lvlJc w:val="left"/>
      <w:pPr>
        <w:ind w:left="720" w:hanging="360"/>
      </w:pPr>
      <w:rPr>
        <w:rFonts w:ascii="Wingdings" w:hAnsi="Wingdings" w:hint="default"/>
      </w:rPr>
    </w:lvl>
    <w:lvl w:ilvl="1" w:tplc="CE94C130">
      <w:start w:val="6"/>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F667808"/>
    <w:multiLevelType w:val="hybridMultilevel"/>
    <w:tmpl w:val="38E0640C"/>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4430566"/>
    <w:multiLevelType w:val="hybridMultilevel"/>
    <w:tmpl w:val="8BBC2DA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44B4078"/>
    <w:multiLevelType w:val="hybridMultilevel"/>
    <w:tmpl w:val="E1122C1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4B74E8F"/>
    <w:multiLevelType w:val="hybridMultilevel"/>
    <w:tmpl w:val="335221A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78869C2"/>
    <w:multiLevelType w:val="hybridMultilevel"/>
    <w:tmpl w:val="F64093A4"/>
    <w:lvl w:ilvl="0" w:tplc="04090005">
      <w:start w:val="1"/>
      <w:numFmt w:val="bullet"/>
      <w:lvlText w:val=""/>
      <w:lvlJc w:val="left"/>
      <w:pPr>
        <w:ind w:left="720" w:hanging="360"/>
      </w:pPr>
      <w:rPr>
        <w:rFonts w:ascii="Wingdings" w:hAnsi="Wingdings" w:hint="default"/>
      </w:rPr>
    </w:lvl>
    <w:lvl w:ilvl="1" w:tplc="8828E634">
      <w:start w:val="6"/>
      <w:numFmt w:val="bullet"/>
      <w:lvlText w:val="•"/>
      <w:lvlJc w:val="left"/>
      <w:pPr>
        <w:ind w:left="1440" w:hanging="360"/>
      </w:pPr>
      <w:rPr>
        <w:rFonts w:ascii="Calibri" w:eastAsiaTheme="minorHAnsi" w:hAnsi="Calibri" w:cs="Calibri"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9E50A4A"/>
    <w:multiLevelType w:val="hybridMultilevel"/>
    <w:tmpl w:val="6414B8F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38575537">
    <w:abstractNumId w:val="8"/>
  </w:num>
  <w:num w:numId="2" w16cid:durableId="1026831251">
    <w:abstractNumId w:val="9"/>
  </w:num>
  <w:num w:numId="3" w16cid:durableId="994450154">
    <w:abstractNumId w:val="13"/>
  </w:num>
  <w:num w:numId="4" w16cid:durableId="556821764">
    <w:abstractNumId w:val="6"/>
  </w:num>
  <w:num w:numId="5" w16cid:durableId="233972670">
    <w:abstractNumId w:val="16"/>
  </w:num>
  <w:num w:numId="6" w16cid:durableId="668411767">
    <w:abstractNumId w:val="5"/>
  </w:num>
  <w:num w:numId="7" w16cid:durableId="2087074471">
    <w:abstractNumId w:val="11"/>
  </w:num>
  <w:num w:numId="8" w16cid:durableId="892425602">
    <w:abstractNumId w:val="15"/>
  </w:num>
  <w:num w:numId="9" w16cid:durableId="1798597376">
    <w:abstractNumId w:val="10"/>
  </w:num>
  <w:num w:numId="10" w16cid:durableId="1961917207">
    <w:abstractNumId w:val="12"/>
  </w:num>
  <w:num w:numId="11" w16cid:durableId="53820634">
    <w:abstractNumId w:val="14"/>
  </w:num>
  <w:num w:numId="12" w16cid:durableId="550851137">
    <w:abstractNumId w:val="3"/>
  </w:num>
  <w:num w:numId="13" w16cid:durableId="1391268404">
    <w:abstractNumId w:val="7"/>
  </w:num>
  <w:num w:numId="14" w16cid:durableId="1800562502">
    <w:abstractNumId w:val="4"/>
  </w:num>
  <w:num w:numId="15" w16cid:durableId="1679848986">
    <w:abstractNumId w:val="1"/>
  </w:num>
  <w:num w:numId="16" w16cid:durableId="547380335">
    <w:abstractNumId w:val="2"/>
  </w:num>
  <w:num w:numId="17" w16cid:durableId="647368198">
    <w:abstractNumId w:val="0"/>
  </w:num>
  <w:num w:numId="18" w16cid:durableId="222568269">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zMTS2sDAxNzYwM7RU0lEKTi0uzszPAykwrQUAdftuaCwAAAA="/>
  </w:docVars>
  <w:rsids>
    <w:rsidRoot w:val="00570694"/>
    <w:rsid w:val="00000738"/>
    <w:rsid w:val="00000F98"/>
    <w:rsid w:val="00001545"/>
    <w:rsid w:val="000024E4"/>
    <w:rsid w:val="0000395A"/>
    <w:rsid w:val="00005A98"/>
    <w:rsid w:val="00005B4B"/>
    <w:rsid w:val="00006C05"/>
    <w:rsid w:val="000070D4"/>
    <w:rsid w:val="00007166"/>
    <w:rsid w:val="00007450"/>
    <w:rsid w:val="00007DCD"/>
    <w:rsid w:val="0001031F"/>
    <w:rsid w:val="0001068B"/>
    <w:rsid w:val="00010BB8"/>
    <w:rsid w:val="00010C73"/>
    <w:rsid w:val="00010D4E"/>
    <w:rsid w:val="00011441"/>
    <w:rsid w:val="00011F40"/>
    <w:rsid w:val="00012A00"/>
    <w:rsid w:val="000137D6"/>
    <w:rsid w:val="0001436A"/>
    <w:rsid w:val="0001456F"/>
    <w:rsid w:val="000146BD"/>
    <w:rsid w:val="0001479F"/>
    <w:rsid w:val="00014BF7"/>
    <w:rsid w:val="0001518F"/>
    <w:rsid w:val="00015AF3"/>
    <w:rsid w:val="00016599"/>
    <w:rsid w:val="0001660B"/>
    <w:rsid w:val="000176BA"/>
    <w:rsid w:val="00017CE7"/>
    <w:rsid w:val="00017FEA"/>
    <w:rsid w:val="000203A7"/>
    <w:rsid w:val="00020F32"/>
    <w:rsid w:val="00022178"/>
    <w:rsid w:val="0002394D"/>
    <w:rsid w:val="00023CAD"/>
    <w:rsid w:val="00024B73"/>
    <w:rsid w:val="00025758"/>
    <w:rsid w:val="00025AFA"/>
    <w:rsid w:val="00025B30"/>
    <w:rsid w:val="00025DEA"/>
    <w:rsid w:val="00026799"/>
    <w:rsid w:val="00026924"/>
    <w:rsid w:val="000277D3"/>
    <w:rsid w:val="00027AE9"/>
    <w:rsid w:val="00030428"/>
    <w:rsid w:val="00030ED7"/>
    <w:rsid w:val="00031210"/>
    <w:rsid w:val="00031215"/>
    <w:rsid w:val="000312CC"/>
    <w:rsid w:val="0003151D"/>
    <w:rsid w:val="000320D7"/>
    <w:rsid w:val="0003267D"/>
    <w:rsid w:val="00032ABE"/>
    <w:rsid w:val="00033236"/>
    <w:rsid w:val="00033788"/>
    <w:rsid w:val="00033A86"/>
    <w:rsid w:val="0003520F"/>
    <w:rsid w:val="00035ABD"/>
    <w:rsid w:val="00036174"/>
    <w:rsid w:val="00036E39"/>
    <w:rsid w:val="000373BC"/>
    <w:rsid w:val="000378CD"/>
    <w:rsid w:val="0004043F"/>
    <w:rsid w:val="000405CF"/>
    <w:rsid w:val="00040667"/>
    <w:rsid w:val="00040A56"/>
    <w:rsid w:val="00040D82"/>
    <w:rsid w:val="00040FBC"/>
    <w:rsid w:val="00041005"/>
    <w:rsid w:val="0004265A"/>
    <w:rsid w:val="00043D88"/>
    <w:rsid w:val="0004446C"/>
    <w:rsid w:val="00044F53"/>
    <w:rsid w:val="0004500F"/>
    <w:rsid w:val="000455A1"/>
    <w:rsid w:val="00046048"/>
    <w:rsid w:val="0004786A"/>
    <w:rsid w:val="00047F55"/>
    <w:rsid w:val="00050D40"/>
    <w:rsid w:val="00050E4C"/>
    <w:rsid w:val="00051446"/>
    <w:rsid w:val="00051E16"/>
    <w:rsid w:val="000520C7"/>
    <w:rsid w:val="0005241F"/>
    <w:rsid w:val="0005265C"/>
    <w:rsid w:val="000526AB"/>
    <w:rsid w:val="00052880"/>
    <w:rsid w:val="00053791"/>
    <w:rsid w:val="00053E30"/>
    <w:rsid w:val="00053E87"/>
    <w:rsid w:val="00054089"/>
    <w:rsid w:val="000544FF"/>
    <w:rsid w:val="00054623"/>
    <w:rsid w:val="00054A7A"/>
    <w:rsid w:val="00054CF4"/>
    <w:rsid w:val="00055075"/>
    <w:rsid w:val="000554B1"/>
    <w:rsid w:val="00055FE2"/>
    <w:rsid w:val="000560C5"/>
    <w:rsid w:val="00056110"/>
    <w:rsid w:val="0005651C"/>
    <w:rsid w:val="00056D57"/>
    <w:rsid w:val="00057424"/>
    <w:rsid w:val="000579BB"/>
    <w:rsid w:val="00060248"/>
    <w:rsid w:val="000603D1"/>
    <w:rsid w:val="00060E37"/>
    <w:rsid w:val="00061EA4"/>
    <w:rsid w:val="000623F6"/>
    <w:rsid w:val="000628F2"/>
    <w:rsid w:val="00063299"/>
    <w:rsid w:val="00063E59"/>
    <w:rsid w:val="0006488B"/>
    <w:rsid w:val="00065E2D"/>
    <w:rsid w:val="000662DC"/>
    <w:rsid w:val="000676C7"/>
    <w:rsid w:val="00067B90"/>
    <w:rsid w:val="00067E0A"/>
    <w:rsid w:val="0007074F"/>
    <w:rsid w:val="00070973"/>
    <w:rsid w:val="00071043"/>
    <w:rsid w:val="000718C2"/>
    <w:rsid w:val="0007246A"/>
    <w:rsid w:val="000727B2"/>
    <w:rsid w:val="00073179"/>
    <w:rsid w:val="00073336"/>
    <w:rsid w:val="00074664"/>
    <w:rsid w:val="00074F1D"/>
    <w:rsid w:val="000766DD"/>
    <w:rsid w:val="00076EF0"/>
    <w:rsid w:val="00076F01"/>
    <w:rsid w:val="000771A0"/>
    <w:rsid w:val="000771A3"/>
    <w:rsid w:val="00077230"/>
    <w:rsid w:val="00077663"/>
    <w:rsid w:val="00077711"/>
    <w:rsid w:val="00080CB4"/>
    <w:rsid w:val="000814C2"/>
    <w:rsid w:val="00081C1E"/>
    <w:rsid w:val="00082B03"/>
    <w:rsid w:val="000836F4"/>
    <w:rsid w:val="00085C93"/>
    <w:rsid w:val="00085D4A"/>
    <w:rsid w:val="00085ECE"/>
    <w:rsid w:val="00086B41"/>
    <w:rsid w:val="0008731A"/>
    <w:rsid w:val="00087CD9"/>
    <w:rsid w:val="0009111A"/>
    <w:rsid w:val="00091211"/>
    <w:rsid w:val="000919A1"/>
    <w:rsid w:val="00091F83"/>
    <w:rsid w:val="0009203E"/>
    <w:rsid w:val="00092123"/>
    <w:rsid w:val="0009305F"/>
    <w:rsid w:val="000931AB"/>
    <w:rsid w:val="000933A1"/>
    <w:rsid w:val="0009383B"/>
    <w:rsid w:val="00094ACF"/>
    <w:rsid w:val="00095B36"/>
    <w:rsid w:val="00095C15"/>
    <w:rsid w:val="000964C9"/>
    <w:rsid w:val="000966AF"/>
    <w:rsid w:val="000A00D2"/>
    <w:rsid w:val="000A125C"/>
    <w:rsid w:val="000A357F"/>
    <w:rsid w:val="000A3BA4"/>
    <w:rsid w:val="000A3DA9"/>
    <w:rsid w:val="000A46B4"/>
    <w:rsid w:val="000A46FE"/>
    <w:rsid w:val="000A47A1"/>
    <w:rsid w:val="000A55CF"/>
    <w:rsid w:val="000A55EE"/>
    <w:rsid w:val="000A5C49"/>
    <w:rsid w:val="000A6C38"/>
    <w:rsid w:val="000A72D6"/>
    <w:rsid w:val="000A772F"/>
    <w:rsid w:val="000A7AA9"/>
    <w:rsid w:val="000A7B66"/>
    <w:rsid w:val="000A7CCE"/>
    <w:rsid w:val="000B062E"/>
    <w:rsid w:val="000B24C5"/>
    <w:rsid w:val="000B282B"/>
    <w:rsid w:val="000B2BAB"/>
    <w:rsid w:val="000B2BFC"/>
    <w:rsid w:val="000B3520"/>
    <w:rsid w:val="000B3E5D"/>
    <w:rsid w:val="000B4386"/>
    <w:rsid w:val="000B43F5"/>
    <w:rsid w:val="000B44BA"/>
    <w:rsid w:val="000B492F"/>
    <w:rsid w:val="000B4B5F"/>
    <w:rsid w:val="000B4E95"/>
    <w:rsid w:val="000B66F5"/>
    <w:rsid w:val="000C08A1"/>
    <w:rsid w:val="000C20F5"/>
    <w:rsid w:val="000C255B"/>
    <w:rsid w:val="000C2568"/>
    <w:rsid w:val="000C36B1"/>
    <w:rsid w:val="000C433F"/>
    <w:rsid w:val="000C4E9D"/>
    <w:rsid w:val="000C5477"/>
    <w:rsid w:val="000C5A76"/>
    <w:rsid w:val="000C5C61"/>
    <w:rsid w:val="000C6702"/>
    <w:rsid w:val="000C7AEF"/>
    <w:rsid w:val="000C7D6F"/>
    <w:rsid w:val="000D01C4"/>
    <w:rsid w:val="000D0A45"/>
    <w:rsid w:val="000D1073"/>
    <w:rsid w:val="000D2FC6"/>
    <w:rsid w:val="000D35C5"/>
    <w:rsid w:val="000D3688"/>
    <w:rsid w:val="000D36FD"/>
    <w:rsid w:val="000D3B88"/>
    <w:rsid w:val="000D408C"/>
    <w:rsid w:val="000D477E"/>
    <w:rsid w:val="000D5213"/>
    <w:rsid w:val="000D5A02"/>
    <w:rsid w:val="000D63DF"/>
    <w:rsid w:val="000D6511"/>
    <w:rsid w:val="000D676D"/>
    <w:rsid w:val="000D6FF5"/>
    <w:rsid w:val="000D7DC2"/>
    <w:rsid w:val="000E05E0"/>
    <w:rsid w:val="000E17A7"/>
    <w:rsid w:val="000E1901"/>
    <w:rsid w:val="000E1A99"/>
    <w:rsid w:val="000E2AEF"/>
    <w:rsid w:val="000E2C4E"/>
    <w:rsid w:val="000E2FE9"/>
    <w:rsid w:val="000E3344"/>
    <w:rsid w:val="000E343C"/>
    <w:rsid w:val="000E376B"/>
    <w:rsid w:val="000E4558"/>
    <w:rsid w:val="000E5961"/>
    <w:rsid w:val="000E5E30"/>
    <w:rsid w:val="000E608D"/>
    <w:rsid w:val="000E61F4"/>
    <w:rsid w:val="000E651E"/>
    <w:rsid w:val="000E72F0"/>
    <w:rsid w:val="000E78C8"/>
    <w:rsid w:val="000F0F1A"/>
    <w:rsid w:val="000F1CF3"/>
    <w:rsid w:val="000F1EB4"/>
    <w:rsid w:val="000F33F8"/>
    <w:rsid w:val="000F3E46"/>
    <w:rsid w:val="000F4ACE"/>
    <w:rsid w:val="000F4BFA"/>
    <w:rsid w:val="000F4E58"/>
    <w:rsid w:val="000F4F17"/>
    <w:rsid w:val="000F50EC"/>
    <w:rsid w:val="000F58B5"/>
    <w:rsid w:val="000F6048"/>
    <w:rsid w:val="000F674F"/>
    <w:rsid w:val="000F6BDA"/>
    <w:rsid w:val="00100B11"/>
    <w:rsid w:val="00101649"/>
    <w:rsid w:val="00101EDA"/>
    <w:rsid w:val="00102071"/>
    <w:rsid w:val="00103847"/>
    <w:rsid w:val="001043FD"/>
    <w:rsid w:val="001055A6"/>
    <w:rsid w:val="00105FA7"/>
    <w:rsid w:val="00107CFA"/>
    <w:rsid w:val="00107E08"/>
    <w:rsid w:val="00110235"/>
    <w:rsid w:val="00111810"/>
    <w:rsid w:val="00111833"/>
    <w:rsid w:val="00111DAF"/>
    <w:rsid w:val="0011303A"/>
    <w:rsid w:val="00113062"/>
    <w:rsid w:val="00113079"/>
    <w:rsid w:val="00113630"/>
    <w:rsid w:val="001139C1"/>
    <w:rsid w:val="00114519"/>
    <w:rsid w:val="0011480F"/>
    <w:rsid w:val="001152C5"/>
    <w:rsid w:val="00116920"/>
    <w:rsid w:val="00117101"/>
    <w:rsid w:val="00117192"/>
    <w:rsid w:val="001175E0"/>
    <w:rsid w:val="00117933"/>
    <w:rsid w:val="001200FD"/>
    <w:rsid w:val="001203B2"/>
    <w:rsid w:val="00120DA0"/>
    <w:rsid w:val="00122265"/>
    <w:rsid w:val="0012307B"/>
    <w:rsid w:val="00123CB6"/>
    <w:rsid w:val="00123E26"/>
    <w:rsid w:val="00125881"/>
    <w:rsid w:val="001259A9"/>
    <w:rsid w:val="0012727A"/>
    <w:rsid w:val="001273EB"/>
    <w:rsid w:val="001275CF"/>
    <w:rsid w:val="0012767A"/>
    <w:rsid w:val="00127CC4"/>
    <w:rsid w:val="00130E66"/>
    <w:rsid w:val="001315A6"/>
    <w:rsid w:val="00131C9F"/>
    <w:rsid w:val="00132FA9"/>
    <w:rsid w:val="00133AB2"/>
    <w:rsid w:val="00133CD9"/>
    <w:rsid w:val="00133D9B"/>
    <w:rsid w:val="00134145"/>
    <w:rsid w:val="001359FB"/>
    <w:rsid w:val="00135A8B"/>
    <w:rsid w:val="00135AAB"/>
    <w:rsid w:val="001367C0"/>
    <w:rsid w:val="001371F1"/>
    <w:rsid w:val="00137CAB"/>
    <w:rsid w:val="00140616"/>
    <w:rsid w:val="00140BC2"/>
    <w:rsid w:val="00140BCF"/>
    <w:rsid w:val="00140F69"/>
    <w:rsid w:val="00141A18"/>
    <w:rsid w:val="00142BB2"/>
    <w:rsid w:val="0014307F"/>
    <w:rsid w:val="001441C8"/>
    <w:rsid w:val="00144472"/>
    <w:rsid w:val="00144545"/>
    <w:rsid w:val="00144917"/>
    <w:rsid w:val="00144B7E"/>
    <w:rsid w:val="00144C44"/>
    <w:rsid w:val="00144C7D"/>
    <w:rsid w:val="0014561B"/>
    <w:rsid w:val="00146101"/>
    <w:rsid w:val="00146506"/>
    <w:rsid w:val="0014674C"/>
    <w:rsid w:val="001476C8"/>
    <w:rsid w:val="00147925"/>
    <w:rsid w:val="00147974"/>
    <w:rsid w:val="00147C55"/>
    <w:rsid w:val="00147C90"/>
    <w:rsid w:val="0015014A"/>
    <w:rsid w:val="00150351"/>
    <w:rsid w:val="00150B26"/>
    <w:rsid w:val="00151DA1"/>
    <w:rsid w:val="001520FA"/>
    <w:rsid w:val="001527EE"/>
    <w:rsid w:val="0015290B"/>
    <w:rsid w:val="00152FE9"/>
    <w:rsid w:val="00153636"/>
    <w:rsid w:val="0015484A"/>
    <w:rsid w:val="00154CBB"/>
    <w:rsid w:val="00155570"/>
    <w:rsid w:val="00156046"/>
    <w:rsid w:val="00156088"/>
    <w:rsid w:val="00156BFA"/>
    <w:rsid w:val="001604B9"/>
    <w:rsid w:val="00161001"/>
    <w:rsid w:val="001618E2"/>
    <w:rsid w:val="00162A08"/>
    <w:rsid w:val="00163ABC"/>
    <w:rsid w:val="0016421F"/>
    <w:rsid w:val="00164283"/>
    <w:rsid w:val="0016494D"/>
    <w:rsid w:val="001653F9"/>
    <w:rsid w:val="001654B4"/>
    <w:rsid w:val="001658DB"/>
    <w:rsid w:val="00165980"/>
    <w:rsid w:val="00165B27"/>
    <w:rsid w:val="00166017"/>
    <w:rsid w:val="00166653"/>
    <w:rsid w:val="0017035F"/>
    <w:rsid w:val="0017081B"/>
    <w:rsid w:val="0017154C"/>
    <w:rsid w:val="00171BCD"/>
    <w:rsid w:val="00171E52"/>
    <w:rsid w:val="00172947"/>
    <w:rsid w:val="00173CF3"/>
    <w:rsid w:val="001748A7"/>
    <w:rsid w:val="00174BEC"/>
    <w:rsid w:val="00175A72"/>
    <w:rsid w:val="00176F1F"/>
    <w:rsid w:val="00176F75"/>
    <w:rsid w:val="001773CD"/>
    <w:rsid w:val="00177D0A"/>
    <w:rsid w:val="0018003A"/>
    <w:rsid w:val="00180DF6"/>
    <w:rsid w:val="0018145E"/>
    <w:rsid w:val="001819AD"/>
    <w:rsid w:val="00181BDB"/>
    <w:rsid w:val="00182173"/>
    <w:rsid w:val="001829CE"/>
    <w:rsid w:val="00182A86"/>
    <w:rsid w:val="00183A2A"/>
    <w:rsid w:val="00183C60"/>
    <w:rsid w:val="00183C82"/>
    <w:rsid w:val="00183D08"/>
    <w:rsid w:val="00184007"/>
    <w:rsid w:val="0018476F"/>
    <w:rsid w:val="00184E32"/>
    <w:rsid w:val="0018760C"/>
    <w:rsid w:val="00187838"/>
    <w:rsid w:val="001901A5"/>
    <w:rsid w:val="001901FC"/>
    <w:rsid w:val="00190542"/>
    <w:rsid w:val="00190616"/>
    <w:rsid w:val="00190661"/>
    <w:rsid w:val="00190802"/>
    <w:rsid w:val="0019112F"/>
    <w:rsid w:val="00191445"/>
    <w:rsid w:val="00191645"/>
    <w:rsid w:val="001920CB"/>
    <w:rsid w:val="00192C05"/>
    <w:rsid w:val="00192DFD"/>
    <w:rsid w:val="001940DA"/>
    <w:rsid w:val="00194321"/>
    <w:rsid w:val="00194A17"/>
    <w:rsid w:val="00195054"/>
    <w:rsid w:val="00195D34"/>
    <w:rsid w:val="00195EED"/>
    <w:rsid w:val="0019659D"/>
    <w:rsid w:val="001967B9"/>
    <w:rsid w:val="00196FF3"/>
    <w:rsid w:val="001970B9"/>
    <w:rsid w:val="00197D5B"/>
    <w:rsid w:val="001A0255"/>
    <w:rsid w:val="001A0449"/>
    <w:rsid w:val="001A06AE"/>
    <w:rsid w:val="001A108B"/>
    <w:rsid w:val="001A1A58"/>
    <w:rsid w:val="001A25EA"/>
    <w:rsid w:val="001A2C4E"/>
    <w:rsid w:val="001A342B"/>
    <w:rsid w:val="001A35AD"/>
    <w:rsid w:val="001A395C"/>
    <w:rsid w:val="001A4391"/>
    <w:rsid w:val="001A4FAD"/>
    <w:rsid w:val="001A57BB"/>
    <w:rsid w:val="001A5A5E"/>
    <w:rsid w:val="001A6EF6"/>
    <w:rsid w:val="001A7C3B"/>
    <w:rsid w:val="001B087D"/>
    <w:rsid w:val="001B0D1E"/>
    <w:rsid w:val="001B0E94"/>
    <w:rsid w:val="001B200E"/>
    <w:rsid w:val="001B2B9F"/>
    <w:rsid w:val="001B3294"/>
    <w:rsid w:val="001B39B1"/>
    <w:rsid w:val="001B3F5A"/>
    <w:rsid w:val="001B41AD"/>
    <w:rsid w:val="001B462E"/>
    <w:rsid w:val="001B4899"/>
    <w:rsid w:val="001B5A30"/>
    <w:rsid w:val="001B5B32"/>
    <w:rsid w:val="001B5D92"/>
    <w:rsid w:val="001B5D96"/>
    <w:rsid w:val="001B6CF0"/>
    <w:rsid w:val="001B6FB4"/>
    <w:rsid w:val="001B7B6D"/>
    <w:rsid w:val="001C2A55"/>
    <w:rsid w:val="001C2CCE"/>
    <w:rsid w:val="001C31E8"/>
    <w:rsid w:val="001C37C3"/>
    <w:rsid w:val="001C3EB8"/>
    <w:rsid w:val="001C5986"/>
    <w:rsid w:val="001C5C26"/>
    <w:rsid w:val="001C5E46"/>
    <w:rsid w:val="001C624A"/>
    <w:rsid w:val="001C6AF8"/>
    <w:rsid w:val="001C6D5F"/>
    <w:rsid w:val="001C7486"/>
    <w:rsid w:val="001C7596"/>
    <w:rsid w:val="001C7944"/>
    <w:rsid w:val="001D0A9A"/>
    <w:rsid w:val="001D12AA"/>
    <w:rsid w:val="001D138B"/>
    <w:rsid w:val="001D1BC3"/>
    <w:rsid w:val="001D254C"/>
    <w:rsid w:val="001D2764"/>
    <w:rsid w:val="001D3241"/>
    <w:rsid w:val="001D3262"/>
    <w:rsid w:val="001D3316"/>
    <w:rsid w:val="001D3837"/>
    <w:rsid w:val="001D3A04"/>
    <w:rsid w:val="001D4D58"/>
    <w:rsid w:val="001D528E"/>
    <w:rsid w:val="001D52A6"/>
    <w:rsid w:val="001D530B"/>
    <w:rsid w:val="001D589E"/>
    <w:rsid w:val="001D5B47"/>
    <w:rsid w:val="001D5B59"/>
    <w:rsid w:val="001D6890"/>
    <w:rsid w:val="001D6BAB"/>
    <w:rsid w:val="001D6C6B"/>
    <w:rsid w:val="001D7323"/>
    <w:rsid w:val="001D7380"/>
    <w:rsid w:val="001D7587"/>
    <w:rsid w:val="001D79AB"/>
    <w:rsid w:val="001E0313"/>
    <w:rsid w:val="001E1E92"/>
    <w:rsid w:val="001E1EFD"/>
    <w:rsid w:val="001E3C08"/>
    <w:rsid w:val="001E42B3"/>
    <w:rsid w:val="001E43C2"/>
    <w:rsid w:val="001E499B"/>
    <w:rsid w:val="001E56E1"/>
    <w:rsid w:val="001E5B42"/>
    <w:rsid w:val="001E71AB"/>
    <w:rsid w:val="001F0A52"/>
    <w:rsid w:val="001F1F84"/>
    <w:rsid w:val="001F4750"/>
    <w:rsid w:val="001F4A1C"/>
    <w:rsid w:val="001F4FBB"/>
    <w:rsid w:val="001F52FB"/>
    <w:rsid w:val="001F5414"/>
    <w:rsid w:val="001F5CF6"/>
    <w:rsid w:val="001F5D30"/>
    <w:rsid w:val="001F6AEA"/>
    <w:rsid w:val="001F72DE"/>
    <w:rsid w:val="001F796C"/>
    <w:rsid w:val="001F7FAB"/>
    <w:rsid w:val="002003A4"/>
    <w:rsid w:val="00200EC8"/>
    <w:rsid w:val="00200F1C"/>
    <w:rsid w:val="00201099"/>
    <w:rsid w:val="00201586"/>
    <w:rsid w:val="0020165D"/>
    <w:rsid w:val="002016D9"/>
    <w:rsid w:val="00201771"/>
    <w:rsid w:val="00201865"/>
    <w:rsid w:val="002027E9"/>
    <w:rsid w:val="00203391"/>
    <w:rsid w:val="0020373B"/>
    <w:rsid w:val="00204810"/>
    <w:rsid w:val="002048DF"/>
    <w:rsid w:val="00204F22"/>
    <w:rsid w:val="00205098"/>
    <w:rsid w:val="00205636"/>
    <w:rsid w:val="00206FBA"/>
    <w:rsid w:val="0020757D"/>
    <w:rsid w:val="0020784A"/>
    <w:rsid w:val="0021016A"/>
    <w:rsid w:val="00210270"/>
    <w:rsid w:val="0021048B"/>
    <w:rsid w:val="00212AA8"/>
    <w:rsid w:val="00212E0C"/>
    <w:rsid w:val="00213C53"/>
    <w:rsid w:val="00214CFC"/>
    <w:rsid w:val="002152C6"/>
    <w:rsid w:val="0021538A"/>
    <w:rsid w:val="00215A20"/>
    <w:rsid w:val="002165A3"/>
    <w:rsid w:val="002166F8"/>
    <w:rsid w:val="00220291"/>
    <w:rsid w:val="00220B7B"/>
    <w:rsid w:val="00220F3F"/>
    <w:rsid w:val="00222C42"/>
    <w:rsid w:val="00222C7F"/>
    <w:rsid w:val="00223A45"/>
    <w:rsid w:val="00223E15"/>
    <w:rsid w:val="00224E76"/>
    <w:rsid w:val="0022573C"/>
    <w:rsid w:val="00225A4E"/>
    <w:rsid w:val="0022630A"/>
    <w:rsid w:val="0022672A"/>
    <w:rsid w:val="00227B00"/>
    <w:rsid w:val="00227CB2"/>
    <w:rsid w:val="0023004A"/>
    <w:rsid w:val="00230F86"/>
    <w:rsid w:val="0023112B"/>
    <w:rsid w:val="00231623"/>
    <w:rsid w:val="00231D59"/>
    <w:rsid w:val="0023268B"/>
    <w:rsid w:val="00232965"/>
    <w:rsid w:val="00233595"/>
    <w:rsid w:val="00234000"/>
    <w:rsid w:val="00236619"/>
    <w:rsid w:val="0023793B"/>
    <w:rsid w:val="0024018B"/>
    <w:rsid w:val="002406BD"/>
    <w:rsid w:val="002408F9"/>
    <w:rsid w:val="00240E2E"/>
    <w:rsid w:val="00241009"/>
    <w:rsid w:val="002410C0"/>
    <w:rsid w:val="0024152A"/>
    <w:rsid w:val="00242481"/>
    <w:rsid w:val="00242716"/>
    <w:rsid w:val="00242C1B"/>
    <w:rsid w:val="002435C9"/>
    <w:rsid w:val="00244274"/>
    <w:rsid w:val="00245B29"/>
    <w:rsid w:val="002478B5"/>
    <w:rsid w:val="00250469"/>
    <w:rsid w:val="002514DB"/>
    <w:rsid w:val="0025163B"/>
    <w:rsid w:val="00252092"/>
    <w:rsid w:val="002520BF"/>
    <w:rsid w:val="002520F2"/>
    <w:rsid w:val="00253524"/>
    <w:rsid w:val="00253BCE"/>
    <w:rsid w:val="00253CF6"/>
    <w:rsid w:val="002541F8"/>
    <w:rsid w:val="00254447"/>
    <w:rsid w:val="002545C4"/>
    <w:rsid w:val="002556EE"/>
    <w:rsid w:val="00255D7F"/>
    <w:rsid w:val="00256274"/>
    <w:rsid w:val="002567C7"/>
    <w:rsid w:val="00256C5B"/>
    <w:rsid w:val="00260796"/>
    <w:rsid w:val="002607ED"/>
    <w:rsid w:val="002608D1"/>
    <w:rsid w:val="00260C97"/>
    <w:rsid w:val="00261423"/>
    <w:rsid w:val="0026168D"/>
    <w:rsid w:val="00262148"/>
    <w:rsid w:val="0026272F"/>
    <w:rsid w:val="00263181"/>
    <w:rsid w:val="00263D62"/>
    <w:rsid w:val="002646A6"/>
    <w:rsid w:val="00264858"/>
    <w:rsid w:val="00265394"/>
    <w:rsid w:val="00265412"/>
    <w:rsid w:val="002654A4"/>
    <w:rsid w:val="00266355"/>
    <w:rsid w:val="00267FEF"/>
    <w:rsid w:val="00270566"/>
    <w:rsid w:val="002713D8"/>
    <w:rsid w:val="00271E75"/>
    <w:rsid w:val="00272719"/>
    <w:rsid w:val="00273106"/>
    <w:rsid w:val="00273E35"/>
    <w:rsid w:val="0027402D"/>
    <w:rsid w:val="002745EB"/>
    <w:rsid w:val="00275209"/>
    <w:rsid w:val="002754E6"/>
    <w:rsid w:val="002764FD"/>
    <w:rsid w:val="00276744"/>
    <w:rsid w:val="00276DEA"/>
    <w:rsid w:val="00276FCA"/>
    <w:rsid w:val="00277E7D"/>
    <w:rsid w:val="00280B97"/>
    <w:rsid w:val="00280F13"/>
    <w:rsid w:val="00282348"/>
    <w:rsid w:val="00282BAA"/>
    <w:rsid w:val="0028344D"/>
    <w:rsid w:val="00284685"/>
    <w:rsid w:val="00285087"/>
    <w:rsid w:val="00285491"/>
    <w:rsid w:val="00285CFC"/>
    <w:rsid w:val="002864D9"/>
    <w:rsid w:val="00286B54"/>
    <w:rsid w:val="00287721"/>
    <w:rsid w:val="00291A64"/>
    <w:rsid w:val="00291CA6"/>
    <w:rsid w:val="00291ED0"/>
    <w:rsid w:val="00292465"/>
    <w:rsid w:val="00292A4F"/>
    <w:rsid w:val="002931F2"/>
    <w:rsid w:val="00293770"/>
    <w:rsid w:val="002941A4"/>
    <w:rsid w:val="002944BB"/>
    <w:rsid w:val="00294CA7"/>
    <w:rsid w:val="00296E70"/>
    <w:rsid w:val="00297111"/>
    <w:rsid w:val="002976D7"/>
    <w:rsid w:val="002A0D22"/>
    <w:rsid w:val="002A0DC8"/>
    <w:rsid w:val="002A11EE"/>
    <w:rsid w:val="002A2849"/>
    <w:rsid w:val="002A3DF9"/>
    <w:rsid w:val="002A4AC6"/>
    <w:rsid w:val="002A5107"/>
    <w:rsid w:val="002A5337"/>
    <w:rsid w:val="002A5D8B"/>
    <w:rsid w:val="002A65F6"/>
    <w:rsid w:val="002A7D0E"/>
    <w:rsid w:val="002B0A81"/>
    <w:rsid w:val="002B0D7A"/>
    <w:rsid w:val="002B161B"/>
    <w:rsid w:val="002B1A52"/>
    <w:rsid w:val="002B373F"/>
    <w:rsid w:val="002B46CB"/>
    <w:rsid w:val="002B4753"/>
    <w:rsid w:val="002B60EF"/>
    <w:rsid w:val="002B644D"/>
    <w:rsid w:val="002B7144"/>
    <w:rsid w:val="002C0021"/>
    <w:rsid w:val="002C0B86"/>
    <w:rsid w:val="002C0E25"/>
    <w:rsid w:val="002C13B8"/>
    <w:rsid w:val="002C1710"/>
    <w:rsid w:val="002C1D90"/>
    <w:rsid w:val="002C1FBC"/>
    <w:rsid w:val="002C216B"/>
    <w:rsid w:val="002C2274"/>
    <w:rsid w:val="002C3192"/>
    <w:rsid w:val="002C3568"/>
    <w:rsid w:val="002C4D04"/>
    <w:rsid w:val="002C5CC6"/>
    <w:rsid w:val="002C5F59"/>
    <w:rsid w:val="002C675F"/>
    <w:rsid w:val="002D0316"/>
    <w:rsid w:val="002D0A04"/>
    <w:rsid w:val="002D0E7B"/>
    <w:rsid w:val="002D1432"/>
    <w:rsid w:val="002D29FF"/>
    <w:rsid w:val="002D3389"/>
    <w:rsid w:val="002D37F1"/>
    <w:rsid w:val="002D4F3F"/>
    <w:rsid w:val="002D514D"/>
    <w:rsid w:val="002D5C73"/>
    <w:rsid w:val="002D6257"/>
    <w:rsid w:val="002D6307"/>
    <w:rsid w:val="002D65A5"/>
    <w:rsid w:val="002D6E55"/>
    <w:rsid w:val="002D7900"/>
    <w:rsid w:val="002D7C40"/>
    <w:rsid w:val="002E1402"/>
    <w:rsid w:val="002E15A1"/>
    <w:rsid w:val="002E1612"/>
    <w:rsid w:val="002E197B"/>
    <w:rsid w:val="002E320D"/>
    <w:rsid w:val="002E34F0"/>
    <w:rsid w:val="002E3A44"/>
    <w:rsid w:val="002E4487"/>
    <w:rsid w:val="002E4662"/>
    <w:rsid w:val="002E4759"/>
    <w:rsid w:val="002E47F1"/>
    <w:rsid w:val="002E4A8C"/>
    <w:rsid w:val="002E4BCE"/>
    <w:rsid w:val="002E4E85"/>
    <w:rsid w:val="002E51AD"/>
    <w:rsid w:val="002E527B"/>
    <w:rsid w:val="002E52CA"/>
    <w:rsid w:val="002E58F2"/>
    <w:rsid w:val="002E5BAB"/>
    <w:rsid w:val="002E61D1"/>
    <w:rsid w:val="002E6657"/>
    <w:rsid w:val="002E6AEF"/>
    <w:rsid w:val="002E6EF0"/>
    <w:rsid w:val="002E7C10"/>
    <w:rsid w:val="002E7E1E"/>
    <w:rsid w:val="002F02EE"/>
    <w:rsid w:val="002F0472"/>
    <w:rsid w:val="002F2261"/>
    <w:rsid w:val="002F3901"/>
    <w:rsid w:val="002F3CE6"/>
    <w:rsid w:val="002F42FE"/>
    <w:rsid w:val="002F451B"/>
    <w:rsid w:val="002F558D"/>
    <w:rsid w:val="002F5833"/>
    <w:rsid w:val="002F5C60"/>
    <w:rsid w:val="002F5CFE"/>
    <w:rsid w:val="002F6732"/>
    <w:rsid w:val="002F6B52"/>
    <w:rsid w:val="002F6C24"/>
    <w:rsid w:val="002F7235"/>
    <w:rsid w:val="002F7460"/>
    <w:rsid w:val="00300901"/>
    <w:rsid w:val="00300ADA"/>
    <w:rsid w:val="00302ADE"/>
    <w:rsid w:val="00302B46"/>
    <w:rsid w:val="00302E90"/>
    <w:rsid w:val="00303B83"/>
    <w:rsid w:val="00303C2E"/>
    <w:rsid w:val="00303D95"/>
    <w:rsid w:val="00304ECA"/>
    <w:rsid w:val="003050C6"/>
    <w:rsid w:val="00305241"/>
    <w:rsid w:val="003058D5"/>
    <w:rsid w:val="00306BE8"/>
    <w:rsid w:val="00307F73"/>
    <w:rsid w:val="00310B9F"/>
    <w:rsid w:val="00311240"/>
    <w:rsid w:val="00311430"/>
    <w:rsid w:val="00311ADB"/>
    <w:rsid w:val="00312646"/>
    <w:rsid w:val="003126F7"/>
    <w:rsid w:val="003128B5"/>
    <w:rsid w:val="00313A94"/>
    <w:rsid w:val="00314629"/>
    <w:rsid w:val="00314A83"/>
    <w:rsid w:val="00315856"/>
    <w:rsid w:val="00315D1D"/>
    <w:rsid w:val="00316892"/>
    <w:rsid w:val="00316FEE"/>
    <w:rsid w:val="003170C0"/>
    <w:rsid w:val="003171D3"/>
    <w:rsid w:val="003207C4"/>
    <w:rsid w:val="00320855"/>
    <w:rsid w:val="00320CC7"/>
    <w:rsid w:val="003213AE"/>
    <w:rsid w:val="003214DF"/>
    <w:rsid w:val="00321BDF"/>
    <w:rsid w:val="00323A26"/>
    <w:rsid w:val="00324DF0"/>
    <w:rsid w:val="00324EBE"/>
    <w:rsid w:val="0032580B"/>
    <w:rsid w:val="00326508"/>
    <w:rsid w:val="00326551"/>
    <w:rsid w:val="00327FC8"/>
    <w:rsid w:val="00330999"/>
    <w:rsid w:val="00330B52"/>
    <w:rsid w:val="003313B5"/>
    <w:rsid w:val="00331854"/>
    <w:rsid w:val="00332897"/>
    <w:rsid w:val="00332E3E"/>
    <w:rsid w:val="00332E6C"/>
    <w:rsid w:val="0033359D"/>
    <w:rsid w:val="00333942"/>
    <w:rsid w:val="00333B2E"/>
    <w:rsid w:val="003340AC"/>
    <w:rsid w:val="00334E28"/>
    <w:rsid w:val="00335B68"/>
    <w:rsid w:val="00336934"/>
    <w:rsid w:val="00336BC5"/>
    <w:rsid w:val="00337862"/>
    <w:rsid w:val="003378A9"/>
    <w:rsid w:val="00337F06"/>
    <w:rsid w:val="0034038A"/>
    <w:rsid w:val="00341069"/>
    <w:rsid w:val="00341D14"/>
    <w:rsid w:val="00342910"/>
    <w:rsid w:val="00342D1C"/>
    <w:rsid w:val="00343872"/>
    <w:rsid w:val="003438A0"/>
    <w:rsid w:val="00343A94"/>
    <w:rsid w:val="00344AF8"/>
    <w:rsid w:val="00344D01"/>
    <w:rsid w:val="00345423"/>
    <w:rsid w:val="00345C13"/>
    <w:rsid w:val="00346311"/>
    <w:rsid w:val="003468C9"/>
    <w:rsid w:val="00346BFD"/>
    <w:rsid w:val="003472D1"/>
    <w:rsid w:val="003475DA"/>
    <w:rsid w:val="00350002"/>
    <w:rsid w:val="00350B37"/>
    <w:rsid w:val="0035103D"/>
    <w:rsid w:val="003514F3"/>
    <w:rsid w:val="00352273"/>
    <w:rsid w:val="003524B2"/>
    <w:rsid w:val="003528CF"/>
    <w:rsid w:val="00352919"/>
    <w:rsid w:val="00352961"/>
    <w:rsid w:val="00354453"/>
    <w:rsid w:val="00354DC3"/>
    <w:rsid w:val="003557B9"/>
    <w:rsid w:val="00355C92"/>
    <w:rsid w:val="0035610A"/>
    <w:rsid w:val="00356647"/>
    <w:rsid w:val="003567E9"/>
    <w:rsid w:val="003568B1"/>
    <w:rsid w:val="00357300"/>
    <w:rsid w:val="00357FFD"/>
    <w:rsid w:val="003600AF"/>
    <w:rsid w:val="003609A6"/>
    <w:rsid w:val="00361C29"/>
    <w:rsid w:val="00361F64"/>
    <w:rsid w:val="00362266"/>
    <w:rsid w:val="0036237E"/>
    <w:rsid w:val="00362E17"/>
    <w:rsid w:val="00363ACB"/>
    <w:rsid w:val="00363FDA"/>
    <w:rsid w:val="00363FE4"/>
    <w:rsid w:val="00365267"/>
    <w:rsid w:val="00365A06"/>
    <w:rsid w:val="00365A0C"/>
    <w:rsid w:val="00367B4C"/>
    <w:rsid w:val="00370F51"/>
    <w:rsid w:val="00371295"/>
    <w:rsid w:val="00371E4D"/>
    <w:rsid w:val="00372639"/>
    <w:rsid w:val="0037429D"/>
    <w:rsid w:val="00374B60"/>
    <w:rsid w:val="00374F27"/>
    <w:rsid w:val="00375448"/>
    <w:rsid w:val="003755DE"/>
    <w:rsid w:val="0037574B"/>
    <w:rsid w:val="0037637C"/>
    <w:rsid w:val="003763EB"/>
    <w:rsid w:val="00376D86"/>
    <w:rsid w:val="00377BFC"/>
    <w:rsid w:val="003805B7"/>
    <w:rsid w:val="003811C4"/>
    <w:rsid w:val="003825BA"/>
    <w:rsid w:val="0038330F"/>
    <w:rsid w:val="003848B5"/>
    <w:rsid w:val="00384EC9"/>
    <w:rsid w:val="003851DF"/>
    <w:rsid w:val="0038548A"/>
    <w:rsid w:val="0038706A"/>
    <w:rsid w:val="003875C2"/>
    <w:rsid w:val="00387A4A"/>
    <w:rsid w:val="003901E7"/>
    <w:rsid w:val="003902AD"/>
    <w:rsid w:val="0039057A"/>
    <w:rsid w:val="003906A5"/>
    <w:rsid w:val="00390804"/>
    <w:rsid w:val="00390B31"/>
    <w:rsid w:val="00390C98"/>
    <w:rsid w:val="0039113B"/>
    <w:rsid w:val="0039118D"/>
    <w:rsid w:val="003911D0"/>
    <w:rsid w:val="0039350E"/>
    <w:rsid w:val="00393534"/>
    <w:rsid w:val="003956ED"/>
    <w:rsid w:val="00395E09"/>
    <w:rsid w:val="00395E52"/>
    <w:rsid w:val="00395F56"/>
    <w:rsid w:val="0039685A"/>
    <w:rsid w:val="0039693A"/>
    <w:rsid w:val="00396DDA"/>
    <w:rsid w:val="00397D63"/>
    <w:rsid w:val="003A0182"/>
    <w:rsid w:val="003A1553"/>
    <w:rsid w:val="003A1562"/>
    <w:rsid w:val="003A1B75"/>
    <w:rsid w:val="003A1D3F"/>
    <w:rsid w:val="003A3457"/>
    <w:rsid w:val="003A3F4B"/>
    <w:rsid w:val="003A3F7F"/>
    <w:rsid w:val="003A4087"/>
    <w:rsid w:val="003A4697"/>
    <w:rsid w:val="003A4D4B"/>
    <w:rsid w:val="003A4F0F"/>
    <w:rsid w:val="003A4FB0"/>
    <w:rsid w:val="003A5A50"/>
    <w:rsid w:val="003A5BB2"/>
    <w:rsid w:val="003A643C"/>
    <w:rsid w:val="003A75B2"/>
    <w:rsid w:val="003B007C"/>
    <w:rsid w:val="003B045A"/>
    <w:rsid w:val="003B0E3D"/>
    <w:rsid w:val="003B151E"/>
    <w:rsid w:val="003B1963"/>
    <w:rsid w:val="003B2341"/>
    <w:rsid w:val="003B31C0"/>
    <w:rsid w:val="003B33D2"/>
    <w:rsid w:val="003B3426"/>
    <w:rsid w:val="003B3DC1"/>
    <w:rsid w:val="003B46C2"/>
    <w:rsid w:val="003B4A2C"/>
    <w:rsid w:val="003B4C3D"/>
    <w:rsid w:val="003B6924"/>
    <w:rsid w:val="003B7D18"/>
    <w:rsid w:val="003C0818"/>
    <w:rsid w:val="003C1760"/>
    <w:rsid w:val="003C1E44"/>
    <w:rsid w:val="003C2754"/>
    <w:rsid w:val="003C325A"/>
    <w:rsid w:val="003C3685"/>
    <w:rsid w:val="003C4455"/>
    <w:rsid w:val="003C5D95"/>
    <w:rsid w:val="003C6192"/>
    <w:rsid w:val="003C61F2"/>
    <w:rsid w:val="003C66D7"/>
    <w:rsid w:val="003C6B14"/>
    <w:rsid w:val="003C6BEC"/>
    <w:rsid w:val="003C7D26"/>
    <w:rsid w:val="003D0615"/>
    <w:rsid w:val="003D0AB3"/>
    <w:rsid w:val="003D2059"/>
    <w:rsid w:val="003D21F5"/>
    <w:rsid w:val="003D2901"/>
    <w:rsid w:val="003D3667"/>
    <w:rsid w:val="003D402A"/>
    <w:rsid w:val="003D4203"/>
    <w:rsid w:val="003D4D48"/>
    <w:rsid w:val="003D6A23"/>
    <w:rsid w:val="003D6D6C"/>
    <w:rsid w:val="003D6EFD"/>
    <w:rsid w:val="003D7413"/>
    <w:rsid w:val="003D7DD1"/>
    <w:rsid w:val="003E0450"/>
    <w:rsid w:val="003E09E6"/>
    <w:rsid w:val="003E10D3"/>
    <w:rsid w:val="003E166B"/>
    <w:rsid w:val="003E2525"/>
    <w:rsid w:val="003E2EFC"/>
    <w:rsid w:val="003E3E4A"/>
    <w:rsid w:val="003E4AB1"/>
    <w:rsid w:val="003E5707"/>
    <w:rsid w:val="003E7579"/>
    <w:rsid w:val="003E7703"/>
    <w:rsid w:val="003E7830"/>
    <w:rsid w:val="003E7A86"/>
    <w:rsid w:val="003F04D6"/>
    <w:rsid w:val="003F04FE"/>
    <w:rsid w:val="003F128E"/>
    <w:rsid w:val="003F15EF"/>
    <w:rsid w:val="003F1AC5"/>
    <w:rsid w:val="003F1D6A"/>
    <w:rsid w:val="003F1F47"/>
    <w:rsid w:val="003F1F8C"/>
    <w:rsid w:val="003F22C0"/>
    <w:rsid w:val="003F2F6B"/>
    <w:rsid w:val="003F36F4"/>
    <w:rsid w:val="003F3BF5"/>
    <w:rsid w:val="003F3C4D"/>
    <w:rsid w:val="003F3CA3"/>
    <w:rsid w:val="003F4967"/>
    <w:rsid w:val="003F4E09"/>
    <w:rsid w:val="003F5542"/>
    <w:rsid w:val="003F58AE"/>
    <w:rsid w:val="003F5F46"/>
    <w:rsid w:val="003F6001"/>
    <w:rsid w:val="003F7477"/>
    <w:rsid w:val="003F74AA"/>
    <w:rsid w:val="003F774A"/>
    <w:rsid w:val="003F7B20"/>
    <w:rsid w:val="0040058A"/>
    <w:rsid w:val="00400C34"/>
    <w:rsid w:val="00400E19"/>
    <w:rsid w:val="00402E3B"/>
    <w:rsid w:val="00404068"/>
    <w:rsid w:val="004044DC"/>
    <w:rsid w:val="00404516"/>
    <w:rsid w:val="0040477D"/>
    <w:rsid w:val="004047FA"/>
    <w:rsid w:val="00404B0E"/>
    <w:rsid w:val="00405489"/>
    <w:rsid w:val="00405B9F"/>
    <w:rsid w:val="00406314"/>
    <w:rsid w:val="0040647C"/>
    <w:rsid w:val="004065FD"/>
    <w:rsid w:val="00407313"/>
    <w:rsid w:val="00410830"/>
    <w:rsid w:val="00411215"/>
    <w:rsid w:val="004121B6"/>
    <w:rsid w:val="004127CC"/>
    <w:rsid w:val="00412E79"/>
    <w:rsid w:val="004134F8"/>
    <w:rsid w:val="004138CA"/>
    <w:rsid w:val="00414672"/>
    <w:rsid w:val="0041575D"/>
    <w:rsid w:val="00415C19"/>
    <w:rsid w:val="00415EC0"/>
    <w:rsid w:val="00416B5D"/>
    <w:rsid w:val="00416E7C"/>
    <w:rsid w:val="004173FC"/>
    <w:rsid w:val="00417419"/>
    <w:rsid w:val="004200F6"/>
    <w:rsid w:val="004201B0"/>
    <w:rsid w:val="004209B8"/>
    <w:rsid w:val="00420B23"/>
    <w:rsid w:val="00422B7E"/>
    <w:rsid w:val="00422D28"/>
    <w:rsid w:val="00423472"/>
    <w:rsid w:val="0042379E"/>
    <w:rsid w:val="004243B9"/>
    <w:rsid w:val="0042607B"/>
    <w:rsid w:val="00427276"/>
    <w:rsid w:val="004273B8"/>
    <w:rsid w:val="004275BE"/>
    <w:rsid w:val="00427786"/>
    <w:rsid w:val="004277D3"/>
    <w:rsid w:val="00427829"/>
    <w:rsid w:val="00430AB5"/>
    <w:rsid w:val="00430CB0"/>
    <w:rsid w:val="004316E6"/>
    <w:rsid w:val="00433D97"/>
    <w:rsid w:val="00434194"/>
    <w:rsid w:val="00434A28"/>
    <w:rsid w:val="00434D42"/>
    <w:rsid w:val="00434D5D"/>
    <w:rsid w:val="00435184"/>
    <w:rsid w:val="0043564D"/>
    <w:rsid w:val="00436726"/>
    <w:rsid w:val="00436957"/>
    <w:rsid w:val="00436A9B"/>
    <w:rsid w:val="00437576"/>
    <w:rsid w:val="004376E1"/>
    <w:rsid w:val="00437E7E"/>
    <w:rsid w:val="00440D31"/>
    <w:rsid w:val="00440F0C"/>
    <w:rsid w:val="0044185C"/>
    <w:rsid w:val="00441BAD"/>
    <w:rsid w:val="00441C39"/>
    <w:rsid w:val="004437A3"/>
    <w:rsid w:val="00443C0C"/>
    <w:rsid w:val="00443E1E"/>
    <w:rsid w:val="00444572"/>
    <w:rsid w:val="00444A1A"/>
    <w:rsid w:val="00445557"/>
    <w:rsid w:val="00446736"/>
    <w:rsid w:val="00446885"/>
    <w:rsid w:val="00446FCF"/>
    <w:rsid w:val="00447320"/>
    <w:rsid w:val="00447340"/>
    <w:rsid w:val="004478A8"/>
    <w:rsid w:val="00447A83"/>
    <w:rsid w:val="00447C3A"/>
    <w:rsid w:val="0045088D"/>
    <w:rsid w:val="00450A51"/>
    <w:rsid w:val="00451097"/>
    <w:rsid w:val="00451DCA"/>
    <w:rsid w:val="004523FE"/>
    <w:rsid w:val="0045264B"/>
    <w:rsid w:val="00453DB6"/>
    <w:rsid w:val="004543DA"/>
    <w:rsid w:val="0045496D"/>
    <w:rsid w:val="00454B55"/>
    <w:rsid w:val="00455201"/>
    <w:rsid w:val="00455783"/>
    <w:rsid w:val="0045597B"/>
    <w:rsid w:val="00455EB5"/>
    <w:rsid w:val="00455F43"/>
    <w:rsid w:val="004562C1"/>
    <w:rsid w:val="0045670B"/>
    <w:rsid w:val="00456FB2"/>
    <w:rsid w:val="00457864"/>
    <w:rsid w:val="0046074A"/>
    <w:rsid w:val="00460E02"/>
    <w:rsid w:val="00460E5A"/>
    <w:rsid w:val="00461482"/>
    <w:rsid w:val="004614F8"/>
    <w:rsid w:val="0046277F"/>
    <w:rsid w:val="00462A3F"/>
    <w:rsid w:val="00462CF3"/>
    <w:rsid w:val="00463003"/>
    <w:rsid w:val="00463868"/>
    <w:rsid w:val="0046394A"/>
    <w:rsid w:val="00464617"/>
    <w:rsid w:val="00464E80"/>
    <w:rsid w:val="00465410"/>
    <w:rsid w:val="004655C9"/>
    <w:rsid w:val="00465E4D"/>
    <w:rsid w:val="00465F14"/>
    <w:rsid w:val="00465FE6"/>
    <w:rsid w:val="004662E0"/>
    <w:rsid w:val="00467107"/>
    <w:rsid w:val="004671E9"/>
    <w:rsid w:val="00470F53"/>
    <w:rsid w:val="0047251C"/>
    <w:rsid w:val="004725A1"/>
    <w:rsid w:val="00472FF1"/>
    <w:rsid w:val="0047345F"/>
    <w:rsid w:val="004736A1"/>
    <w:rsid w:val="004743A7"/>
    <w:rsid w:val="00474B98"/>
    <w:rsid w:val="00474C78"/>
    <w:rsid w:val="00474C81"/>
    <w:rsid w:val="00474FB7"/>
    <w:rsid w:val="004753E2"/>
    <w:rsid w:val="0047585F"/>
    <w:rsid w:val="00476DFD"/>
    <w:rsid w:val="004773C3"/>
    <w:rsid w:val="00480402"/>
    <w:rsid w:val="00481258"/>
    <w:rsid w:val="00481D90"/>
    <w:rsid w:val="0048215F"/>
    <w:rsid w:val="00482D55"/>
    <w:rsid w:val="00483CA8"/>
    <w:rsid w:val="00483D7D"/>
    <w:rsid w:val="00483E66"/>
    <w:rsid w:val="0048453A"/>
    <w:rsid w:val="00485369"/>
    <w:rsid w:val="00485382"/>
    <w:rsid w:val="00485670"/>
    <w:rsid w:val="00485CEA"/>
    <w:rsid w:val="00486102"/>
    <w:rsid w:val="00486812"/>
    <w:rsid w:val="00486A4A"/>
    <w:rsid w:val="00486B5B"/>
    <w:rsid w:val="00486C6D"/>
    <w:rsid w:val="00487177"/>
    <w:rsid w:val="00487392"/>
    <w:rsid w:val="004877B6"/>
    <w:rsid w:val="00487A72"/>
    <w:rsid w:val="00487F67"/>
    <w:rsid w:val="00490293"/>
    <w:rsid w:val="00490411"/>
    <w:rsid w:val="004905BA"/>
    <w:rsid w:val="00490D10"/>
    <w:rsid w:val="004920E0"/>
    <w:rsid w:val="00492511"/>
    <w:rsid w:val="004931BE"/>
    <w:rsid w:val="00493500"/>
    <w:rsid w:val="0049459A"/>
    <w:rsid w:val="00494747"/>
    <w:rsid w:val="004947EA"/>
    <w:rsid w:val="00494D28"/>
    <w:rsid w:val="00495319"/>
    <w:rsid w:val="00495704"/>
    <w:rsid w:val="00495C4D"/>
    <w:rsid w:val="004966D7"/>
    <w:rsid w:val="00496856"/>
    <w:rsid w:val="00496AB9"/>
    <w:rsid w:val="00496F17"/>
    <w:rsid w:val="00497252"/>
    <w:rsid w:val="00497F7C"/>
    <w:rsid w:val="004A0011"/>
    <w:rsid w:val="004A0713"/>
    <w:rsid w:val="004A0B95"/>
    <w:rsid w:val="004A3785"/>
    <w:rsid w:val="004A3CBD"/>
    <w:rsid w:val="004A3F6C"/>
    <w:rsid w:val="004A471A"/>
    <w:rsid w:val="004A4F3D"/>
    <w:rsid w:val="004A4FF1"/>
    <w:rsid w:val="004A615F"/>
    <w:rsid w:val="004A66E3"/>
    <w:rsid w:val="004A6826"/>
    <w:rsid w:val="004A715B"/>
    <w:rsid w:val="004A74E7"/>
    <w:rsid w:val="004B073E"/>
    <w:rsid w:val="004B0F36"/>
    <w:rsid w:val="004B1180"/>
    <w:rsid w:val="004B175D"/>
    <w:rsid w:val="004B192B"/>
    <w:rsid w:val="004B197B"/>
    <w:rsid w:val="004B1AEE"/>
    <w:rsid w:val="004B28B5"/>
    <w:rsid w:val="004B2AEA"/>
    <w:rsid w:val="004B3BC2"/>
    <w:rsid w:val="004B3FB4"/>
    <w:rsid w:val="004B49D5"/>
    <w:rsid w:val="004B5499"/>
    <w:rsid w:val="004B56B4"/>
    <w:rsid w:val="004B61AD"/>
    <w:rsid w:val="004B69CE"/>
    <w:rsid w:val="004B69DB"/>
    <w:rsid w:val="004B7ABE"/>
    <w:rsid w:val="004B7C27"/>
    <w:rsid w:val="004B7F82"/>
    <w:rsid w:val="004B7FB2"/>
    <w:rsid w:val="004C03AF"/>
    <w:rsid w:val="004C0ACF"/>
    <w:rsid w:val="004C0EDB"/>
    <w:rsid w:val="004C206D"/>
    <w:rsid w:val="004C3E16"/>
    <w:rsid w:val="004C3FEA"/>
    <w:rsid w:val="004C452A"/>
    <w:rsid w:val="004C4667"/>
    <w:rsid w:val="004C58CF"/>
    <w:rsid w:val="004C66C4"/>
    <w:rsid w:val="004C77F5"/>
    <w:rsid w:val="004D0C9A"/>
    <w:rsid w:val="004D14CE"/>
    <w:rsid w:val="004D2118"/>
    <w:rsid w:val="004D25B1"/>
    <w:rsid w:val="004D26BF"/>
    <w:rsid w:val="004D41B5"/>
    <w:rsid w:val="004D4748"/>
    <w:rsid w:val="004D4B24"/>
    <w:rsid w:val="004D51A8"/>
    <w:rsid w:val="004D52F8"/>
    <w:rsid w:val="004D5CF1"/>
    <w:rsid w:val="004D694B"/>
    <w:rsid w:val="004D6E1A"/>
    <w:rsid w:val="004D72FF"/>
    <w:rsid w:val="004D75A3"/>
    <w:rsid w:val="004D78F1"/>
    <w:rsid w:val="004E030B"/>
    <w:rsid w:val="004E0E6B"/>
    <w:rsid w:val="004E0F92"/>
    <w:rsid w:val="004E1EC6"/>
    <w:rsid w:val="004E3106"/>
    <w:rsid w:val="004E3225"/>
    <w:rsid w:val="004E3705"/>
    <w:rsid w:val="004E3C3C"/>
    <w:rsid w:val="004E4224"/>
    <w:rsid w:val="004E4676"/>
    <w:rsid w:val="004E46D6"/>
    <w:rsid w:val="004E4814"/>
    <w:rsid w:val="004E4DAB"/>
    <w:rsid w:val="004E4EE4"/>
    <w:rsid w:val="004E58FD"/>
    <w:rsid w:val="004E661B"/>
    <w:rsid w:val="004E66CD"/>
    <w:rsid w:val="004E707B"/>
    <w:rsid w:val="004E76C7"/>
    <w:rsid w:val="004E7815"/>
    <w:rsid w:val="004E78E7"/>
    <w:rsid w:val="004E7959"/>
    <w:rsid w:val="004F010E"/>
    <w:rsid w:val="004F073A"/>
    <w:rsid w:val="004F0E01"/>
    <w:rsid w:val="004F2238"/>
    <w:rsid w:val="004F3356"/>
    <w:rsid w:val="004F3761"/>
    <w:rsid w:val="004F41C7"/>
    <w:rsid w:val="004F4B48"/>
    <w:rsid w:val="004F4BC8"/>
    <w:rsid w:val="004F4E32"/>
    <w:rsid w:val="004F4F5A"/>
    <w:rsid w:val="004F5279"/>
    <w:rsid w:val="004F7089"/>
    <w:rsid w:val="004F72C4"/>
    <w:rsid w:val="004F7BB3"/>
    <w:rsid w:val="0050086D"/>
    <w:rsid w:val="0050096A"/>
    <w:rsid w:val="0050101D"/>
    <w:rsid w:val="0050180C"/>
    <w:rsid w:val="005019AC"/>
    <w:rsid w:val="00502DA2"/>
    <w:rsid w:val="00502EF3"/>
    <w:rsid w:val="00503015"/>
    <w:rsid w:val="00503173"/>
    <w:rsid w:val="00504364"/>
    <w:rsid w:val="00504B69"/>
    <w:rsid w:val="00504BBD"/>
    <w:rsid w:val="00504D9A"/>
    <w:rsid w:val="00506397"/>
    <w:rsid w:val="00507709"/>
    <w:rsid w:val="005102FA"/>
    <w:rsid w:val="005106B7"/>
    <w:rsid w:val="005106D7"/>
    <w:rsid w:val="00510D82"/>
    <w:rsid w:val="005111A6"/>
    <w:rsid w:val="00511A02"/>
    <w:rsid w:val="00511A74"/>
    <w:rsid w:val="005125C2"/>
    <w:rsid w:val="0051301A"/>
    <w:rsid w:val="005158F5"/>
    <w:rsid w:val="0051621D"/>
    <w:rsid w:val="005162BA"/>
    <w:rsid w:val="00516843"/>
    <w:rsid w:val="0051790E"/>
    <w:rsid w:val="00517C76"/>
    <w:rsid w:val="00520856"/>
    <w:rsid w:val="00521536"/>
    <w:rsid w:val="00521A99"/>
    <w:rsid w:val="0052313D"/>
    <w:rsid w:val="00523867"/>
    <w:rsid w:val="005238EC"/>
    <w:rsid w:val="00523B7B"/>
    <w:rsid w:val="00523F2B"/>
    <w:rsid w:val="00524031"/>
    <w:rsid w:val="005242EC"/>
    <w:rsid w:val="00524F75"/>
    <w:rsid w:val="005255CB"/>
    <w:rsid w:val="00525761"/>
    <w:rsid w:val="00525A10"/>
    <w:rsid w:val="0053001A"/>
    <w:rsid w:val="005300AF"/>
    <w:rsid w:val="00530698"/>
    <w:rsid w:val="00530706"/>
    <w:rsid w:val="00530ACA"/>
    <w:rsid w:val="005311D2"/>
    <w:rsid w:val="00531218"/>
    <w:rsid w:val="00531681"/>
    <w:rsid w:val="00531E48"/>
    <w:rsid w:val="005329B5"/>
    <w:rsid w:val="00533625"/>
    <w:rsid w:val="00533F12"/>
    <w:rsid w:val="005340DC"/>
    <w:rsid w:val="00534E19"/>
    <w:rsid w:val="00535017"/>
    <w:rsid w:val="00535489"/>
    <w:rsid w:val="0053608E"/>
    <w:rsid w:val="005368CB"/>
    <w:rsid w:val="00536CC0"/>
    <w:rsid w:val="00536D6B"/>
    <w:rsid w:val="00536E3D"/>
    <w:rsid w:val="00540213"/>
    <w:rsid w:val="005403FC"/>
    <w:rsid w:val="00542CA2"/>
    <w:rsid w:val="00542E6D"/>
    <w:rsid w:val="00543BEB"/>
    <w:rsid w:val="00543D46"/>
    <w:rsid w:val="00543E33"/>
    <w:rsid w:val="00544704"/>
    <w:rsid w:val="005459CF"/>
    <w:rsid w:val="0054604F"/>
    <w:rsid w:val="005469A1"/>
    <w:rsid w:val="00550482"/>
    <w:rsid w:val="005516BC"/>
    <w:rsid w:val="005517DB"/>
    <w:rsid w:val="005518F3"/>
    <w:rsid w:val="00551C37"/>
    <w:rsid w:val="00553859"/>
    <w:rsid w:val="0055482B"/>
    <w:rsid w:val="005556DC"/>
    <w:rsid w:val="00555ECA"/>
    <w:rsid w:val="0055757E"/>
    <w:rsid w:val="0055787A"/>
    <w:rsid w:val="005600FD"/>
    <w:rsid w:val="00560132"/>
    <w:rsid w:val="00560817"/>
    <w:rsid w:val="00560A12"/>
    <w:rsid w:val="00561164"/>
    <w:rsid w:val="00561A98"/>
    <w:rsid w:val="00561D71"/>
    <w:rsid w:val="00562159"/>
    <w:rsid w:val="005621B8"/>
    <w:rsid w:val="005623C1"/>
    <w:rsid w:val="0056244A"/>
    <w:rsid w:val="00562681"/>
    <w:rsid w:val="00562F03"/>
    <w:rsid w:val="00563D88"/>
    <w:rsid w:val="00564E37"/>
    <w:rsid w:val="005652FE"/>
    <w:rsid w:val="00565F27"/>
    <w:rsid w:val="0056605A"/>
    <w:rsid w:val="005671BE"/>
    <w:rsid w:val="0056783C"/>
    <w:rsid w:val="00567BB6"/>
    <w:rsid w:val="005701A2"/>
    <w:rsid w:val="0057022A"/>
    <w:rsid w:val="00570694"/>
    <w:rsid w:val="00570B3E"/>
    <w:rsid w:val="00571A05"/>
    <w:rsid w:val="00571D43"/>
    <w:rsid w:val="005726C0"/>
    <w:rsid w:val="00572CD5"/>
    <w:rsid w:val="00573995"/>
    <w:rsid w:val="005739B1"/>
    <w:rsid w:val="00574642"/>
    <w:rsid w:val="00574B37"/>
    <w:rsid w:val="00574B64"/>
    <w:rsid w:val="005756EA"/>
    <w:rsid w:val="0057670C"/>
    <w:rsid w:val="005779A5"/>
    <w:rsid w:val="00577A3B"/>
    <w:rsid w:val="00577E5E"/>
    <w:rsid w:val="00580DE1"/>
    <w:rsid w:val="00581D29"/>
    <w:rsid w:val="00582122"/>
    <w:rsid w:val="005829F3"/>
    <w:rsid w:val="00582CCF"/>
    <w:rsid w:val="00582D52"/>
    <w:rsid w:val="0058317B"/>
    <w:rsid w:val="005833E6"/>
    <w:rsid w:val="005845FD"/>
    <w:rsid w:val="00584EBD"/>
    <w:rsid w:val="0058502B"/>
    <w:rsid w:val="0058512D"/>
    <w:rsid w:val="00585281"/>
    <w:rsid w:val="00585646"/>
    <w:rsid w:val="00585AB5"/>
    <w:rsid w:val="00586765"/>
    <w:rsid w:val="0058692E"/>
    <w:rsid w:val="00586B25"/>
    <w:rsid w:val="00587B1C"/>
    <w:rsid w:val="00591A00"/>
    <w:rsid w:val="00591DA0"/>
    <w:rsid w:val="00591E8E"/>
    <w:rsid w:val="00592092"/>
    <w:rsid w:val="00592961"/>
    <w:rsid w:val="005933F9"/>
    <w:rsid w:val="00593E7B"/>
    <w:rsid w:val="0059423E"/>
    <w:rsid w:val="00594BCB"/>
    <w:rsid w:val="00595DCB"/>
    <w:rsid w:val="00595E68"/>
    <w:rsid w:val="00595FF9"/>
    <w:rsid w:val="005965A5"/>
    <w:rsid w:val="00597F2E"/>
    <w:rsid w:val="005A017D"/>
    <w:rsid w:val="005A0A68"/>
    <w:rsid w:val="005A0EB4"/>
    <w:rsid w:val="005A184B"/>
    <w:rsid w:val="005A1C34"/>
    <w:rsid w:val="005A20B3"/>
    <w:rsid w:val="005A24CD"/>
    <w:rsid w:val="005A3CA5"/>
    <w:rsid w:val="005A4A41"/>
    <w:rsid w:val="005A4AFC"/>
    <w:rsid w:val="005A4F11"/>
    <w:rsid w:val="005A5D3D"/>
    <w:rsid w:val="005A64A7"/>
    <w:rsid w:val="005A67F1"/>
    <w:rsid w:val="005A7250"/>
    <w:rsid w:val="005A7527"/>
    <w:rsid w:val="005B00AD"/>
    <w:rsid w:val="005B01D9"/>
    <w:rsid w:val="005B043E"/>
    <w:rsid w:val="005B04E0"/>
    <w:rsid w:val="005B0B33"/>
    <w:rsid w:val="005B1914"/>
    <w:rsid w:val="005B1B23"/>
    <w:rsid w:val="005B378B"/>
    <w:rsid w:val="005B574C"/>
    <w:rsid w:val="005B5934"/>
    <w:rsid w:val="005B5B2A"/>
    <w:rsid w:val="005B6B35"/>
    <w:rsid w:val="005B6DB4"/>
    <w:rsid w:val="005B7570"/>
    <w:rsid w:val="005B7B61"/>
    <w:rsid w:val="005C04CF"/>
    <w:rsid w:val="005C051A"/>
    <w:rsid w:val="005C0A05"/>
    <w:rsid w:val="005C10E6"/>
    <w:rsid w:val="005C17AD"/>
    <w:rsid w:val="005C1814"/>
    <w:rsid w:val="005C2D35"/>
    <w:rsid w:val="005C34A0"/>
    <w:rsid w:val="005C3A15"/>
    <w:rsid w:val="005C421C"/>
    <w:rsid w:val="005C475C"/>
    <w:rsid w:val="005C4CFB"/>
    <w:rsid w:val="005C4F4D"/>
    <w:rsid w:val="005C67D4"/>
    <w:rsid w:val="005C6DCF"/>
    <w:rsid w:val="005C6ED6"/>
    <w:rsid w:val="005D0D9E"/>
    <w:rsid w:val="005D135B"/>
    <w:rsid w:val="005D1410"/>
    <w:rsid w:val="005D1F22"/>
    <w:rsid w:val="005D2733"/>
    <w:rsid w:val="005D3372"/>
    <w:rsid w:val="005D3E3F"/>
    <w:rsid w:val="005D4150"/>
    <w:rsid w:val="005D42AC"/>
    <w:rsid w:val="005D471C"/>
    <w:rsid w:val="005D4FD9"/>
    <w:rsid w:val="005D635E"/>
    <w:rsid w:val="005D70C3"/>
    <w:rsid w:val="005D757F"/>
    <w:rsid w:val="005D75CD"/>
    <w:rsid w:val="005D7980"/>
    <w:rsid w:val="005D7F7D"/>
    <w:rsid w:val="005E009B"/>
    <w:rsid w:val="005E01E3"/>
    <w:rsid w:val="005E055D"/>
    <w:rsid w:val="005E0E99"/>
    <w:rsid w:val="005E111A"/>
    <w:rsid w:val="005E1AB4"/>
    <w:rsid w:val="005E209A"/>
    <w:rsid w:val="005E37A7"/>
    <w:rsid w:val="005E3C9F"/>
    <w:rsid w:val="005E46AC"/>
    <w:rsid w:val="005E54B2"/>
    <w:rsid w:val="005E5FBA"/>
    <w:rsid w:val="005E63AA"/>
    <w:rsid w:val="005E6587"/>
    <w:rsid w:val="005E663F"/>
    <w:rsid w:val="005F0BB6"/>
    <w:rsid w:val="005F0DCC"/>
    <w:rsid w:val="005F1888"/>
    <w:rsid w:val="005F2927"/>
    <w:rsid w:val="005F3096"/>
    <w:rsid w:val="005F391A"/>
    <w:rsid w:val="005F56BC"/>
    <w:rsid w:val="005F572E"/>
    <w:rsid w:val="005F5F71"/>
    <w:rsid w:val="005F5FB2"/>
    <w:rsid w:val="005F6FCC"/>
    <w:rsid w:val="005F74AF"/>
    <w:rsid w:val="0060082B"/>
    <w:rsid w:val="00600A9B"/>
    <w:rsid w:val="00601314"/>
    <w:rsid w:val="00601E97"/>
    <w:rsid w:val="00602707"/>
    <w:rsid w:val="006047AC"/>
    <w:rsid w:val="006069C0"/>
    <w:rsid w:val="00606F2B"/>
    <w:rsid w:val="00607233"/>
    <w:rsid w:val="00607829"/>
    <w:rsid w:val="00611243"/>
    <w:rsid w:val="00611407"/>
    <w:rsid w:val="006115E3"/>
    <w:rsid w:val="006119E5"/>
    <w:rsid w:val="0061294E"/>
    <w:rsid w:val="00612984"/>
    <w:rsid w:val="00612ABB"/>
    <w:rsid w:val="00614D23"/>
    <w:rsid w:val="006152A4"/>
    <w:rsid w:val="006159C6"/>
    <w:rsid w:val="006163D6"/>
    <w:rsid w:val="0061663C"/>
    <w:rsid w:val="00620A5D"/>
    <w:rsid w:val="006211AD"/>
    <w:rsid w:val="0062189A"/>
    <w:rsid w:val="006223AC"/>
    <w:rsid w:val="00622743"/>
    <w:rsid w:val="00622C3C"/>
    <w:rsid w:val="006238CA"/>
    <w:rsid w:val="006239CC"/>
    <w:rsid w:val="006239F9"/>
    <w:rsid w:val="00623D63"/>
    <w:rsid w:val="00623E62"/>
    <w:rsid w:val="00624634"/>
    <w:rsid w:val="00624A1C"/>
    <w:rsid w:val="00624C7C"/>
    <w:rsid w:val="00624F3A"/>
    <w:rsid w:val="0062573C"/>
    <w:rsid w:val="0062653B"/>
    <w:rsid w:val="00626E7B"/>
    <w:rsid w:val="00630A49"/>
    <w:rsid w:val="00630A81"/>
    <w:rsid w:val="00630FE5"/>
    <w:rsid w:val="006323F3"/>
    <w:rsid w:val="0063254A"/>
    <w:rsid w:val="00632B1B"/>
    <w:rsid w:val="00632B8E"/>
    <w:rsid w:val="00632DDC"/>
    <w:rsid w:val="00633E59"/>
    <w:rsid w:val="006343D7"/>
    <w:rsid w:val="00635D55"/>
    <w:rsid w:val="00635E7A"/>
    <w:rsid w:val="00635FB8"/>
    <w:rsid w:val="00637897"/>
    <w:rsid w:val="00637D9E"/>
    <w:rsid w:val="0064006B"/>
    <w:rsid w:val="00640813"/>
    <w:rsid w:val="00640C2E"/>
    <w:rsid w:val="00641D83"/>
    <w:rsid w:val="00642143"/>
    <w:rsid w:val="00642D38"/>
    <w:rsid w:val="00642DA6"/>
    <w:rsid w:val="00643204"/>
    <w:rsid w:val="0064418F"/>
    <w:rsid w:val="00644B03"/>
    <w:rsid w:val="006451A0"/>
    <w:rsid w:val="006459B9"/>
    <w:rsid w:val="006459CC"/>
    <w:rsid w:val="00645A77"/>
    <w:rsid w:val="00646358"/>
    <w:rsid w:val="00646BC4"/>
    <w:rsid w:val="00647469"/>
    <w:rsid w:val="00647661"/>
    <w:rsid w:val="00647C8E"/>
    <w:rsid w:val="0065080C"/>
    <w:rsid w:val="006539A1"/>
    <w:rsid w:val="00653A8B"/>
    <w:rsid w:val="00653CBF"/>
    <w:rsid w:val="00653D81"/>
    <w:rsid w:val="0065407F"/>
    <w:rsid w:val="00654C94"/>
    <w:rsid w:val="00654D69"/>
    <w:rsid w:val="006550B0"/>
    <w:rsid w:val="00655402"/>
    <w:rsid w:val="006554A2"/>
    <w:rsid w:val="0065552D"/>
    <w:rsid w:val="00655667"/>
    <w:rsid w:val="0065657E"/>
    <w:rsid w:val="00656716"/>
    <w:rsid w:val="00656774"/>
    <w:rsid w:val="00657DDF"/>
    <w:rsid w:val="00657F55"/>
    <w:rsid w:val="00661093"/>
    <w:rsid w:val="00661CA0"/>
    <w:rsid w:val="00662A2F"/>
    <w:rsid w:val="006636DA"/>
    <w:rsid w:val="00663DA8"/>
    <w:rsid w:val="00663DB0"/>
    <w:rsid w:val="0066425F"/>
    <w:rsid w:val="00664623"/>
    <w:rsid w:val="0066483F"/>
    <w:rsid w:val="00664EEB"/>
    <w:rsid w:val="006652B3"/>
    <w:rsid w:val="00665AE5"/>
    <w:rsid w:val="00665C9F"/>
    <w:rsid w:val="00667DE7"/>
    <w:rsid w:val="00670AA4"/>
    <w:rsid w:val="00670FE8"/>
    <w:rsid w:val="0067131D"/>
    <w:rsid w:val="00671A44"/>
    <w:rsid w:val="00671BBD"/>
    <w:rsid w:val="00671CEB"/>
    <w:rsid w:val="00671DF9"/>
    <w:rsid w:val="00671F5D"/>
    <w:rsid w:val="0067261A"/>
    <w:rsid w:val="006731F0"/>
    <w:rsid w:val="00673967"/>
    <w:rsid w:val="00673C55"/>
    <w:rsid w:val="00676527"/>
    <w:rsid w:val="00676EF0"/>
    <w:rsid w:val="0067779C"/>
    <w:rsid w:val="00681648"/>
    <w:rsid w:val="006827A9"/>
    <w:rsid w:val="00682E05"/>
    <w:rsid w:val="00683313"/>
    <w:rsid w:val="0068345D"/>
    <w:rsid w:val="00683785"/>
    <w:rsid w:val="00684083"/>
    <w:rsid w:val="00684329"/>
    <w:rsid w:val="006845F5"/>
    <w:rsid w:val="006848C1"/>
    <w:rsid w:val="0068496E"/>
    <w:rsid w:val="006854A8"/>
    <w:rsid w:val="006858DE"/>
    <w:rsid w:val="006858E9"/>
    <w:rsid w:val="00687377"/>
    <w:rsid w:val="006873BE"/>
    <w:rsid w:val="0069037E"/>
    <w:rsid w:val="00690953"/>
    <w:rsid w:val="00691521"/>
    <w:rsid w:val="006917B2"/>
    <w:rsid w:val="0069194A"/>
    <w:rsid w:val="00692290"/>
    <w:rsid w:val="00692557"/>
    <w:rsid w:val="006937C7"/>
    <w:rsid w:val="00693B83"/>
    <w:rsid w:val="00693CD4"/>
    <w:rsid w:val="00694B47"/>
    <w:rsid w:val="006950DE"/>
    <w:rsid w:val="00695460"/>
    <w:rsid w:val="006954BC"/>
    <w:rsid w:val="006959FA"/>
    <w:rsid w:val="00695D98"/>
    <w:rsid w:val="00696B61"/>
    <w:rsid w:val="0069782B"/>
    <w:rsid w:val="00697C00"/>
    <w:rsid w:val="006A090A"/>
    <w:rsid w:val="006A0D22"/>
    <w:rsid w:val="006A0FAB"/>
    <w:rsid w:val="006A12BC"/>
    <w:rsid w:val="006A141F"/>
    <w:rsid w:val="006A2834"/>
    <w:rsid w:val="006A3282"/>
    <w:rsid w:val="006A3BB2"/>
    <w:rsid w:val="006A3DC2"/>
    <w:rsid w:val="006A3E66"/>
    <w:rsid w:val="006A47DF"/>
    <w:rsid w:val="006A4FE4"/>
    <w:rsid w:val="006A5680"/>
    <w:rsid w:val="006A5824"/>
    <w:rsid w:val="006A6230"/>
    <w:rsid w:val="006A6AE5"/>
    <w:rsid w:val="006A7014"/>
    <w:rsid w:val="006A7574"/>
    <w:rsid w:val="006A76EC"/>
    <w:rsid w:val="006B0391"/>
    <w:rsid w:val="006B09DC"/>
    <w:rsid w:val="006B1CF8"/>
    <w:rsid w:val="006B230B"/>
    <w:rsid w:val="006B3A70"/>
    <w:rsid w:val="006B4AB1"/>
    <w:rsid w:val="006B5528"/>
    <w:rsid w:val="006B5D72"/>
    <w:rsid w:val="006B6229"/>
    <w:rsid w:val="006B68DD"/>
    <w:rsid w:val="006B7258"/>
    <w:rsid w:val="006C0018"/>
    <w:rsid w:val="006C0D02"/>
    <w:rsid w:val="006C1036"/>
    <w:rsid w:val="006C1A3D"/>
    <w:rsid w:val="006C1A59"/>
    <w:rsid w:val="006C1E48"/>
    <w:rsid w:val="006C3A7E"/>
    <w:rsid w:val="006C45A5"/>
    <w:rsid w:val="006C47DD"/>
    <w:rsid w:val="006C48AD"/>
    <w:rsid w:val="006C57DB"/>
    <w:rsid w:val="006C6F5F"/>
    <w:rsid w:val="006C6F64"/>
    <w:rsid w:val="006D045B"/>
    <w:rsid w:val="006D0DA9"/>
    <w:rsid w:val="006D2D66"/>
    <w:rsid w:val="006D2F2E"/>
    <w:rsid w:val="006D322D"/>
    <w:rsid w:val="006D32D5"/>
    <w:rsid w:val="006D356B"/>
    <w:rsid w:val="006D361A"/>
    <w:rsid w:val="006D3788"/>
    <w:rsid w:val="006D3B69"/>
    <w:rsid w:val="006D3FE2"/>
    <w:rsid w:val="006D4A78"/>
    <w:rsid w:val="006D4B54"/>
    <w:rsid w:val="006D5C20"/>
    <w:rsid w:val="006D662B"/>
    <w:rsid w:val="006D6897"/>
    <w:rsid w:val="006D6C9D"/>
    <w:rsid w:val="006D7F9D"/>
    <w:rsid w:val="006E037B"/>
    <w:rsid w:val="006E22C0"/>
    <w:rsid w:val="006E2422"/>
    <w:rsid w:val="006E3102"/>
    <w:rsid w:val="006E3720"/>
    <w:rsid w:val="006E3C30"/>
    <w:rsid w:val="006E3D4E"/>
    <w:rsid w:val="006E480E"/>
    <w:rsid w:val="006E4FB8"/>
    <w:rsid w:val="006E5C68"/>
    <w:rsid w:val="006E5F7A"/>
    <w:rsid w:val="006E64E7"/>
    <w:rsid w:val="006F0448"/>
    <w:rsid w:val="006F0487"/>
    <w:rsid w:val="006F069A"/>
    <w:rsid w:val="006F09FD"/>
    <w:rsid w:val="006F0A45"/>
    <w:rsid w:val="006F0C50"/>
    <w:rsid w:val="006F1EC5"/>
    <w:rsid w:val="006F331C"/>
    <w:rsid w:val="006F363F"/>
    <w:rsid w:val="006F5669"/>
    <w:rsid w:val="006F6A0B"/>
    <w:rsid w:val="00701330"/>
    <w:rsid w:val="007017B2"/>
    <w:rsid w:val="00701A80"/>
    <w:rsid w:val="00702E9C"/>
    <w:rsid w:val="00702FDB"/>
    <w:rsid w:val="00704608"/>
    <w:rsid w:val="00706142"/>
    <w:rsid w:val="00706309"/>
    <w:rsid w:val="00706CBD"/>
    <w:rsid w:val="0070727F"/>
    <w:rsid w:val="007077DE"/>
    <w:rsid w:val="00707E65"/>
    <w:rsid w:val="007103B3"/>
    <w:rsid w:val="00710858"/>
    <w:rsid w:val="00711E47"/>
    <w:rsid w:val="0071314A"/>
    <w:rsid w:val="007136A7"/>
    <w:rsid w:val="00713FFE"/>
    <w:rsid w:val="0071446C"/>
    <w:rsid w:val="00714AD2"/>
    <w:rsid w:val="007154E3"/>
    <w:rsid w:val="007167C1"/>
    <w:rsid w:val="00717295"/>
    <w:rsid w:val="00717FCD"/>
    <w:rsid w:val="0072011A"/>
    <w:rsid w:val="00720593"/>
    <w:rsid w:val="0072065C"/>
    <w:rsid w:val="00720AF8"/>
    <w:rsid w:val="00721283"/>
    <w:rsid w:val="00721BBE"/>
    <w:rsid w:val="007221D9"/>
    <w:rsid w:val="00722D01"/>
    <w:rsid w:val="00723F20"/>
    <w:rsid w:val="00724228"/>
    <w:rsid w:val="00724A41"/>
    <w:rsid w:val="00724BF6"/>
    <w:rsid w:val="00724CE5"/>
    <w:rsid w:val="00725470"/>
    <w:rsid w:val="00725FF8"/>
    <w:rsid w:val="007262BE"/>
    <w:rsid w:val="00726D05"/>
    <w:rsid w:val="007270EC"/>
    <w:rsid w:val="00727646"/>
    <w:rsid w:val="00730036"/>
    <w:rsid w:val="007301C2"/>
    <w:rsid w:val="00730D89"/>
    <w:rsid w:val="00730FF2"/>
    <w:rsid w:val="00731670"/>
    <w:rsid w:val="00731BA1"/>
    <w:rsid w:val="00731D79"/>
    <w:rsid w:val="007327FF"/>
    <w:rsid w:val="00732E56"/>
    <w:rsid w:val="00732E8C"/>
    <w:rsid w:val="00733476"/>
    <w:rsid w:val="007336C7"/>
    <w:rsid w:val="0073484A"/>
    <w:rsid w:val="00735A07"/>
    <w:rsid w:val="00737168"/>
    <w:rsid w:val="00737E1F"/>
    <w:rsid w:val="00740460"/>
    <w:rsid w:val="0074062C"/>
    <w:rsid w:val="00740854"/>
    <w:rsid w:val="00742999"/>
    <w:rsid w:val="00742B39"/>
    <w:rsid w:val="00743774"/>
    <w:rsid w:val="007437EA"/>
    <w:rsid w:val="00744077"/>
    <w:rsid w:val="00744738"/>
    <w:rsid w:val="007451D1"/>
    <w:rsid w:val="00745F06"/>
    <w:rsid w:val="007465D2"/>
    <w:rsid w:val="00746699"/>
    <w:rsid w:val="0074685C"/>
    <w:rsid w:val="00746D3A"/>
    <w:rsid w:val="00747061"/>
    <w:rsid w:val="007470C3"/>
    <w:rsid w:val="0074724C"/>
    <w:rsid w:val="007474AD"/>
    <w:rsid w:val="007474FE"/>
    <w:rsid w:val="007504A0"/>
    <w:rsid w:val="00751929"/>
    <w:rsid w:val="007521EA"/>
    <w:rsid w:val="007545C1"/>
    <w:rsid w:val="007568A5"/>
    <w:rsid w:val="00757680"/>
    <w:rsid w:val="00757DF2"/>
    <w:rsid w:val="007603D5"/>
    <w:rsid w:val="0076040A"/>
    <w:rsid w:val="007607C7"/>
    <w:rsid w:val="00760A36"/>
    <w:rsid w:val="007611EF"/>
    <w:rsid w:val="007619D0"/>
    <w:rsid w:val="00762304"/>
    <w:rsid w:val="0076301D"/>
    <w:rsid w:val="00763525"/>
    <w:rsid w:val="007635E3"/>
    <w:rsid w:val="0076376F"/>
    <w:rsid w:val="00765266"/>
    <w:rsid w:val="00765F8D"/>
    <w:rsid w:val="00766984"/>
    <w:rsid w:val="00766A90"/>
    <w:rsid w:val="007671B7"/>
    <w:rsid w:val="00767483"/>
    <w:rsid w:val="00767491"/>
    <w:rsid w:val="00767598"/>
    <w:rsid w:val="00772333"/>
    <w:rsid w:val="00773406"/>
    <w:rsid w:val="00773C84"/>
    <w:rsid w:val="007744FC"/>
    <w:rsid w:val="00774F69"/>
    <w:rsid w:val="00775205"/>
    <w:rsid w:val="00775DB0"/>
    <w:rsid w:val="00776442"/>
    <w:rsid w:val="00776AA7"/>
    <w:rsid w:val="00776E13"/>
    <w:rsid w:val="00777619"/>
    <w:rsid w:val="00783759"/>
    <w:rsid w:val="00783F09"/>
    <w:rsid w:val="0078423E"/>
    <w:rsid w:val="00784307"/>
    <w:rsid w:val="00784712"/>
    <w:rsid w:val="00784B69"/>
    <w:rsid w:val="00784D33"/>
    <w:rsid w:val="0078544E"/>
    <w:rsid w:val="00785BB0"/>
    <w:rsid w:val="00785ED4"/>
    <w:rsid w:val="0078689A"/>
    <w:rsid w:val="00786E47"/>
    <w:rsid w:val="00786E90"/>
    <w:rsid w:val="0078739F"/>
    <w:rsid w:val="007873F7"/>
    <w:rsid w:val="007912B6"/>
    <w:rsid w:val="00791B25"/>
    <w:rsid w:val="00791D58"/>
    <w:rsid w:val="00792B45"/>
    <w:rsid w:val="00792EA4"/>
    <w:rsid w:val="00792F54"/>
    <w:rsid w:val="007937AB"/>
    <w:rsid w:val="00793EB9"/>
    <w:rsid w:val="00795506"/>
    <w:rsid w:val="007968DD"/>
    <w:rsid w:val="007A0432"/>
    <w:rsid w:val="007A04B3"/>
    <w:rsid w:val="007A081F"/>
    <w:rsid w:val="007A09DE"/>
    <w:rsid w:val="007A1C93"/>
    <w:rsid w:val="007A273A"/>
    <w:rsid w:val="007A2CB4"/>
    <w:rsid w:val="007A2CD8"/>
    <w:rsid w:val="007A323B"/>
    <w:rsid w:val="007A379E"/>
    <w:rsid w:val="007A3953"/>
    <w:rsid w:val="007A3B29"/>
    <w:rsid w:val="007A3DAD"/>
    <w:rsid w:val="007A3DE8"/>
    <w:rsid w:val="007A46F8"/>
    <w:rsid w:val="007A4CE6"/>
    <w:rsid w:val="007A4CEB"/>
    <w:rsid w:val="007A529E"/>
    <w:rsid w:val="007A5577"/>
    <w:rsid w:val="007A5583"/>
    <w:rsid w:val="007A583B"/>
    <w:rsid w:val="007A5B91"/>
    <w:rsid w:val="007A62CE"/>
    <w:rsid w:val="007A6302"/>
    <w:rsid w:val="007A67B0"/>
    <w:rsid w:val="007A68D3"/>
    <w:rsid w:val="007A6FFE"/>
    <w:rsid w:val="007A718C"/>
    <w:rsid w:val="007A737C"/>
    <w:rsid w:val="007A77AC"/>
    <w:rsid w:val="007A7960"/>
    <w:rsid w:val="007B1BB4"/>
    <w:rsid w:val="007B1C39"/>
    <w:rsid w:val="007B258C"/>
    <w:rsid w:val="007B2F73"/>
    <w:rsid w:val="007B4E4F"/>
    <w:rsid w:val="007B54B7"/>
    <w:rsid w:val="007B5F3B"/>
    <w:rsid w:val="007B6265"/>
    <w:rsid w:val="007B656B"/>
    <w:rsid w:val="007B65C0"/>
    <w:rsid w:val="007B6E26"/>
    <w:rsid w:val="007B6EAB"/>
    <w:rsid w:val="007B7D06"/>
    <w:rsid w:val="007C066B"/>
    <w:rsid w:val="007C1DF7"/>
    <w:rsid w:val="007C1F45"/>
    <w:rsid w:val="007C229B"/>
    <w:rsid w:val="007C3075"/>
    <w:rsid w:val="007C3499"/>
    <w:rsid w:val="007C5B63"/>
    <w:rsid w:val="007C73FF"/>
    <w:rsid w:val="007D0989"/>
    <w:rsid w:val="007D155C"/>
    <w:rsid w:val="007D2189"/>
    <w:rsid w:val="007D2BE3"/>
    <w:rsid w:val="007D2CAE"/>
    <w:rsid w:val="007D2D8A"/>
    <w:rsid w:val="007D3E9D"/>
    <w:rsid w:val="007D4AE5"/>
    <w:rsid w:val="007D4CA5"/>
    <w:rsid w:val="007D5EE6"/>
    <w:rsid w:val="007D6891"/>
    <w:rsid w:val="007D6C1B"/>
    <w:rsid w:val="007D6E53"/>
    <w:rsid w:val="007D6F8E"/>
    <w:rsid w:val="007D7182"/>
    <w:rsid w:val="007D723C"/>
    <w:rsid w:val="007D7F91"/>
    <w:rsid w:val="007E0255"/>
    <w:rsid w:val="007E0A53"/>
    <w:rsid w:val="007E0FBA"/>
    <w:rsid w:val="007E131A"/>
    <w:rsid w:val="007E141B"/>
    <w:rsid w:val="007E1689"/>
    <w:rsid w:val="007E1A9B"/>
    <w:rsid w:val="007E1AAF"/>
    <w:rsid w:val="007E1ACF"/>
    <w:rsid w:val="007E2063"/>
    <w:rsid w:val="007E34FF"/>
    <w:rsid w:val="007E384A"/>
    <w:rsid w:val="007E385E"/>
    <w:rsid w:val="007E42E9"/>
    <w:rsid w:val="007E511F"/>
    <w:rsid w:val="007E5189"/>
    <w:rsid w:val="007E6465"/>
    <w:rsid w:val="007E66F5"/>
    <w:rsid w:val="007E6A5F"/>
    <w:rsid w:val="007E6EA3"/>
    <w:rsid w:val="007E701F"/>
    <w:rsid w:val="007E753D"/>
    <w:rsid w:val="007E770D"/>
    <w:rsid w:val="007F031C"/>
    <w:rsid w:val="007F0C01"/>
    <w:rsid w:val="007F1E4F"/>
    <w:rsid w:val="007F240C"/>
    <w:rsid w:val="007F2AE5"/>
    <w:rsid w:val="007F6DAC"/>
    <w:rsid w:val="007F785E"/>
    <w:rsid w:val="007F7B66"/>
    <w:rsid w:val="008003FB"/>
    <w:rsid w:val="00801026"/>
    <w:rsid w:val="008023DB"/>
    <w:rsid w:val="0080289C"/>
    <w:rsid w:val="00802C14"/>
    <w:rsid w:val="008041DE"/>
    <w:rsid w:val="00804269"/>
    <w:rsid w:val="00805949"/>
    <w:rsid w:val="0080628E"/>
    <w:rsid w:val="008066BE"/>
    <w:rsid w:val="008069CF"/>
    <w:rsid w:val="00807B2F"/>
    <w:rsid w:val="00807FC3"/>
    <w:rsid w:val="008110F6"/>
    <w:rsid w:val="00811807"/>
    <w:rsid w:val="00812637"/>
    <w:rsid w:val="0081295E"/>
    <w:rsid w:val="00812BAA"/>
    <w:rsid w:val="00812EE2"/>
    <w:rsid w:val="00813312"/>
    <w:rsid w:val="008133E9"/>
    <w:rsid w:val="008136DB"/>
    <w:rsid w:val="008139CB"/>
    <w:rsid w:val="00813A2C"/>
    <w:rsid w:val="0081513C"/>
    <w:rsid w:val="00815831"/>
    <w:rsid w:val="00815C8F"/>
    <w:rsid w:val="00815CC2"/>
    <w:rsid w:val="008202E3"/>
    <w:rsid w:val="00821663"/>
    <w:rsid w:val="008217BC"/>
    <w:rsid w:val="008218E5"/>
    <w:rsid w:val="00821932"/>
    <w:rsid w:val="008221D2"/>
    <w:rsid w:val="00822BB3"/>
    <w:rsid w:val="00822F4C"/>
    <w:rsid w:val="008237F3"/>
    <w:rsid w:val="008243C0"/>
    <w:rsid w:val="00824A98"/>
    <w:rsid w:val="0082585E"/>
    <w:rsid w:val="008260FE"/>
    <w:rsid w:val="00826638"/>
    <w:rsid w:val="00826B52"/>
    <w:rsid w:val="00827961"/>
    <w:rsid w:val="0083046B"/>
    <w:rsid w:val="00830EFF"/>
    <w:rsid w:val="00831927"/>
    <w:rsid w:val="0083249B"/>
    <w:rsid w:val="00832797"/>
    <w:rsid w:val="00832841"/>
    <w:rsid w:val="00832A91"/>
    <w:rsid w:val="008333A1"/>
    <w:rsid w:val="0083345C"/>
    <w:rsid w:val="00833E90"/>
    <w:rsid w:val="008347B0"/>
    <w:rsid w:val="008351E2"/>
    <w:rsid w:val="008354FF"/>
    <w:rsid w:val="00835C79"/>
    <w:rsid w:val="00836657"/>
    <w:rsid w:val="008366FA"/>
    <w:rsid w:val="00836DC9"/>
    <w:rsid w:val="00837020"/>
    <w:rsid w:val="008370F9"/>
    <w:rsid w:val="00837B5C"/>
    <w:rsid w:val="00837C44"/>
    <w:rsid w:val="0084022E"/>
    <w:rsid w:val="00840C86"/>
    <w:rsid w:val="00840D0E"/>
    <w:rsid w:val="00840D9B"/>
    <w:rsid w:val="0084203C"/>
    <w:rsid w:val="008420D4"/>
    <w:rsid w:val="00842C97"/>
    <w:rsid w:val="00842EE5"/>
    <w:rsid w:val="00842F07"/>
    <w:rsid w:val="0084419F"/>
    <w:rsid w:val="008441EA"/>
    <w:rsid w:val="008443FC"/>
    <w:rsid w:val="00844DC9"/>
    <w:rsid w:val="008451AE"/>
    <w:rsid w:val="00845EE2"/>
    <w:rsid w:val="0084671D"/>
    <w:rsid w:val="00846B62"/>
    <w:rsid w:val="00846EAA"/>
    <w:rsid w:val="0084792D"/>
    <w:rsid w:val="0084797B"/>
    <w:rsid w:val="00847F35"/>
    <w:rsid w:val="008519F8"/>
    <w:rsid w:val="00852421"/>
    <w:rsid w:val="00852767"/>
    <w:rsid w:val="008527D6"/>
    <w:rsid w:val="00852B88"/>
    <w:rsid w:val="00852FA3"/>
    <w:rsid w:val="00853EDC"/>
    <w:rsid w:val="008542E1"/>
    <w:rsid w:val="0085433B"/>
    <w:rsid w:val="00854A37"/>
    <w:rsid w:val="00854F1F"/>
    <w:rsid w:val="008558CE"/>
    <w:rsid w:val="00855D6C"/>
    <w:rsid w:val="00855EC9"/>
    <w:rsid w:val="0085631E"/>
    <w:rsid w:val="00856998"/>
    <w:rsid w:val="00856BFE"/>
    <w:rsid w:val="00856EF6"/>
    <w:rsid w:val="00860124"/>
    <w:rsid w:val="00860144"/>
    <w:rsid w:val="00860E79"/>
    <w:rsid w:val="00860FBE"/>
    <w:rsid w:val="008629FB"/>
    <w:rsid w:val="00862B04"/>
    <w:rsid w:val="00863A5F"/>
    <w:rsid w:val="00863E55"/>
    <w:rsid w:val="00864144"/>
    <w:rsid w:val="008641F6"/>
    <w:rsid w:val="00867B49"/>
    <w:rsid w:val="00867C77"/>
    <w:rsid w:val="00871445"/>
    <w:rsid w:val="00871703"/>
    <w:rsid w:val="0087282B"/>
    <w:rsid w:val="00872EFD"/>
    <w:rsid w:val="00872FF0"/>
    <w:rsid w:val="00873228"/>
    <w:rsid w:val="0087464E"/>
    <w:rsid w:val="00874A3E"/>
    <w:rsid w:val="00875AD1"/>
    <w:rsid w:val="00876205"/>
    <w:rsid w:val="0087666C"/>
    <w:rsid w:val="00876A03"/>
    <w:rsid w:val="00876CF0"/>
    <w:rsid w:val="00876CFE"/>
    <w:rsid w:val="00876E75"/>
    <w:rsid w:val="0087767C"/>
    <w:rsid w:val="00880482"/>
    <w:rsid w:val="00881466"/>
    <w:rsid w:val="008816A0"/>
    <w:rsid w:val="0088173A"/>
    <w:rsid w:val="008819B4"/>
    <w:rsid w:val="00882040"/>
    <w:rsid w:val="00882A69"/>
    <w:rsid w:val="00883086"/>
    <w:rsid w:val="0088396E"/>
    <w:rsid w:val="0088477E"/>
    <w:rsid w:val="008848FE"/>
    <w:rsid w:val="00884956"/>
    <w:rsid w:val="0088661C"/>
    <w:rsid w:val="00886C36"/>
    <w:rsid w:val="0088756B"/>
    <w:rsid w:val="00887C06"/>
    <w:rsid w:val="00887F8A"/>
    <w:rsid w:val="00891280"/>
    <w:rsid w:val="008914B1"/>
    <w:rsid w:val="00891B6C"/>
    <w:rsid w:val="00893E8A"/>
    <w:rsid w:val="008946CE"/>
    <w:rsid w:val="008947B2"/>
    <w:rsid w:val="00895137"/>
    <w:rsid w:val="00895C1B"/>
    <w:rsid w:val="00895CD6"/>
    <w:rsid w:val="00895F64"/>
    <w:rsid w:val="008966FE"/>
    <w:rsid w:val="00896B97"/>
    <w:rsid w:val="008979D4"/>
    <w:rsid w:val="008A1568"/>
    <w:rsid w:val="008A20AD"/>
    <w:rsid w:val="008A2367"/>
    <w:rsid w:val="008A2849"/>
    <w:rsid w:val="008A42B0"/>
    <w:rsid w:val="008A4880"/>
    <w:rsid w:val="008A48AA"/>
    <w:rsid w:val="008A58C5"/>
    <w:rsid w:val="008A59AE"/>
    <w:rsid w:val="008A5B9A"/>
    <w:rsid w:val="008A6124"/>
    <w:rsid w:val="008A6F70"/>
    <w:rsid w:val="008B0271"/>
    <w:rsid w:val="008B068E"/>
    <w:rsid w:val="008B0DF3"/>
    <w:rsid w:val="008B113D"/>
    <w:rsid w:val="008B1221"/>
    <w:rsid w:val="008B1F84"/>
    <w:rsid w:val="008B2E6D"/>
    <w:rsid w:val="008B3904"/>
    <w:rsid w:val="008B3B5E"/>
    <w:rsid w:val="008B4CB5"/>
    <w:rsid w:val="008B503D"/>
    <w:rsid w:val="008B5537"/>
    <w:rsid w:val="008B605A"/>
    <w:rsid w:val="008B6389"/>
    <w:rsid w:val="008B6487"/>
    <w:rsid w:val="008B7387"/>
    <w:rsid w:val="008B7BCC"/>
    <w:rsid w:val="008B7C88"/>
    <w:rsid w:val="008C0013"/>
    <w:rsid w:val="008C1951"/>
    <w:rsid w:val="008C1D20"/>
    <w:rsid w:val="008C2B7F"/>
    <w:rsid w:val="008C2C80"/>
    <w:rsid w:val="008C323E"/>
    <w:rsid w:val="008C36EA"/>
    <w:rsid w:val="008C41B5"/>
    <w:rsid w:val="008C5626"/>
    <w:rsid w:val="008C57F6"/>
    <w:rsid w:val="008C5CF2"/>
    <w:rsid w:val="008C6D92"/>
    <w:rsid w:val="008C7320"/>
    <w:rsid w:val="008C74AD"/>
    <w:rsid w:val="008C7A01"/>
    <w:rsid w:val="008C7C0C"/>
    <w:rsid w:val="008C7C71"/>
    <w:rsid w:val="008D0230"/>
    <w:rsid w:val="008D05F1"/>
    <w:rsid w:val="008D1425"/>
    <w:rsid w:val="008D1D33"/>
    <w:rsid w:val="008D2DC7"/>
    <w:rsid w:val="008D31CC"/>
    <w:rsid w:val="008D3291"/>
    <w:rsid w:val="008D38D5"/>
    <w:rsid w:val="008D3DBC"/>
    <w:rsid w:val="008D436F"/>
    <w:rsid w:val="008D55A9"/>
    <w:rsid w:val="008D6ABE"/>
    <w:rsid w:val="008D6C4D"/>
    <w:rsid w:val="008D7495"/>
    <w:rsid w:val="008D7A2E"/>
    <w:rsid w:val="008E02AB"/>
    <w:rsid w:val="008E0382"/>
    <w:rsid w:val="008E0A5F"/>
    <w:rsid w:val="008E0CD7"/>
    <w:rsid w:val="008E1809"/>
    <w:rsid w:val="008E1883"/>
    <w:rsid w:val="008E2003"/>
    <w:rsid w:val="008E219D"/>
    <w:rsid w:val="008E22B5"/>
    <w:rsid w:val="008E2FD8"/>
    <w:rsid w:val="008E368C"/>
    <w:rsid w:val="008E4992"/>
    <w:rsid w:val="008E563E"/>
    <w:rsid w:val="008E5DEB"/>
    <w:rsid w:val="008E6192"/>
    <w:rsid w:val="008E61D1"/>
    <w:rsid w:val="008E65D2"/>
    <w:rsid w:val="008E6687"/>
    <w:rsid w:val="008E6892"/>
    <w:rsid w:val="008E7638"/>
    <w:rsid w:val="008E799C"/>
    <w:rsid w:val="008E79FE"/>
    <w:rsid w:val="008E7C20"/>
    <w:rsid w:val="008F0290"/>
    <w:rsid w:val="008F072D"/>
    <w:rsid w:val="008F1546"/>
    <w:rsid w:val="008F16B8"/>
    <w:rsid w:val="008F269F"/>
    <w:rsid w:val="008F3399"/>
    <w:rsid w:val="008F33BB"/>
    <w:rsid w:val="008F34BD"/>
    <w:rsid w:val="008F3628"/>
    <w:rsid w:val="008F3DD7"/>
    <w:rsid w:val="008F53F3"/>
    <w:rsid w:val="008F57E9"/>
    <w:rsid w:val="008F6D54"/>
    <w:rsid w:val="008F713F"/>
    <w:rsid w:val="008F72B4"/>
    <w:rsid w:val="008F72D8"/>
    <w:rsid w:val="008F73A2"/>
    <w:rsid w:val="008F78CD"/>
    <w:rsid w:val="008F7E2A"/>
    <w:rsid w:val="009001BF"/>
    <w:rsid w:val="00900799"/>
    <w:rsid w:val="00900D05"/>
    <w:rsid w:val="00902091"/>
    <w:rsid w:val="00904137"/>
    <w:rsid w:val="00904AAE"/>
    <w:rsid w:val="00904B17"/>
    <w:rsid w:val="00904BC3"/>
    <w:rsid w:val="009054D5"/>
    <w:rsid w:val="009058F6"/>
    <w:rsid w:val="0090595D"/>
    <w:rsid w:val="009059A0"/>
    <w:rsid w:val="009060C7"/>
    <w:rsid w:val="00906895"/>
    <w:rsid w:val="00907B95"/>
    <w:rsid w:val="00907D91"/>
    <w:rsid w:val="00907E3F"/>
    <w:rsid w:val="00910058"/>
    <w:rsid w:val="00910525"/>
    <w:rsid w:val="009114FB"/>
    <w:rsid w:val="0091179A"/>
    <w:rsid w:val="009122C0"/>
    <w:rsid w:val="009124B6"/>
    <w:rsid w:val="00912C72"/>
    <w:rsid w:val="00912D11"/>
    <w:rsid w:val="00913127"/>
    <w:rsid w:val="009131FD"/>
    <w:rsid w:val="009132AA"/>
    <w:rsid w:val="00913AAF"/>
    <w:rsid w:val="00913B7C"/>
    <w:rsid w:val="00913D4E"/>
    <w:rsid w:val="0091487A"/>
    <w:rsid w:val="00916164"/>
    <w:rsid w:val="009162BC"/>
    <w:rsid w:val="009162E2"/>
    <w:rsid w:val="00916A0F"/>
    <w:rsid w:val="00916A42"/>
    <w:rsid w:val="00916B0A"/>
    <w:rsid w:val="009201A2"/>
    <w:rsid w:val="00920496"/>
    <w:rsid w:val="00920524"/>
    <w:rsid w:val="00920720"/>
    <w:rsid w:val="00921E8D"/>
    <w:rsid w:val="00922B97"/>
    <w:rsid w:val="009231AD"/>
    <w:rsid w:val="00923503"/>
    <w:rsid w:val="0092374B"/>
    <w:rsid w:val="00923BB8"/>
    <w:rsid w:val="009240CA"/>
    <w:rsid w:val="009241A2"/>
    <w:rsid w:val="00924878"/>
    <w:rsid w:val="00925821"/>
    <w:rsid w:val="00926217"/>
    <w:rsid w:val="00926384"/>
    <w:rsid w:val="0092764D"/>
    <w:rsid w:val="00927CB1"/>
    <w:rsid w:val="00927D23"/>
    <w:rsid w:val="0093003A"/>
    <w:rsid w:val="009306C3"/>
    <w:rsid w:val="0093197D"/>
    <w:rsid w:val="00931E50"/>
    <w:rsid w:val="00932185"/>
    <w:rsid w:val="00932E21"/>
    <w:rsid w:val="00933B8E"/>
    <w:rsid w:val="00934A7D"/>
    <w:rsid w:val="009360D0"/>
    <w:rsid w:val="00936480"/>
    <w:rsid w:val="009365E3"/>
    <w:rsid w:val="009377F8"/>
    <w:rsid w:val="00940807"/>
    <w:rsid w:val="0094136A"/>
    <w:rsid w:val="00943C8F"/>
    <w:rsid w:val="00944DC6"/>
    <w:rsid w:val="009453BD"/>
    <w:rsid w:val="00945492"/>
    <w:rsid w:val="00945653"/>
    <w:rsid w:val="00945CF8"/>
    <w:rsid w:val="009469E5"/>
    <w:rsid w:val="0094755B"/>
    <w:rsid w:val="00947AD8"/>
    <w:rsid w:val="00947F5D"/>
    <w:rsid w:val="009504B3"/>
    <w:rsid w:val="009505B3"/>
    <w:rsid w:val="00950E96"/>
    <w:rsid w:val="00951DC2"/>
    <w:rsid w:val="00952128"/>
    <w:rsid w:val="00952193"/>
    <w:rsid w:val="00952A15"/>
    <w:rsid w:val="00952B58"/>
    <w:rsid w:val="00952E94"/>
    <w:rsid w:val="0095323F"/>
    <w:rsid w:val="00953528"/>
    <w:rsid w:val="009540A9"/>
    <w:rsid w:val="009540E2"/>
    <w:rsid w:val="00954105"/>
    <w:rsid w:val="00954D55"/>
    <w:rsid w:val="0095673A"/>
    <w:rsid w:val="00956BB3"/>
    <w:rsid w:val="00956C60"/>
    <w:rsid w:val="00956D43"/>
    <w:rsid w:val="00956E09"/>
    <w:rsid w:val="0095742E"/>
    <w:rsid w:val="00957694"/>
    <w:rsid w:val="00957BB6"/>
    <w:rsid w:val="009602A3"/>
    <w:rsid w:val="00960ADC"/>
    <w:rsid w:val="009617DC"/>
    <w:rsid w:val="00962C6C"/>
    <w:rsid w:val="00962D2A"/>
    <w:rsid w:val="00963021"/>
    <w:rsid w:val="00963153"/>
    <w:rsid w:val="0096352B"/>
    <w:rsid w:val="00964F8A"/>
    <w:rsid w:val="00966211"/>
    <w:rsid w:val="00967BDF"/>
    <w:rsid w:val="009706A1"/>
    <w:rsid w:val="00970CA4"/>
    <w:rsid w:val="00970CE7"/>
    <w:rsid w:val="00971F57"/>
    <w:rsid w:val="0097203A"/>
    <w:rsid w:val="00972218"/>
    <w:rsid w:val="00972B18"/>
    <w:rsid w:val="00972D75"/>
    <w:rsid w:val="00972DF4"/>
    <w:rsid w:val="00973475"/>
    <w:rsid w:val="00973929"/>
    <w:rsid w:val="00973CA1"/>
    <w:rsid w:val="00973E12"/>
    <w:rsid w:val="00976057"/>
    <w:rsid w:val="00976097"/>
    <w:rsid w:val="009803F8"/>
    <w:rsid w:val="00981195"/>
    <w:rsid w:val="009812BD"/>
    <w:rsid w:val="00982156"/>
    <w:rsid w:val="00983F22"/>
    <w:rsid w:val="0098403A"/>
    <w:rsid w:val="0098426E"/>
    <w:rsid w:val="00984686"/>
    <w:rsid w:val="00984DBE"/>
    <w:rsid w:val="00985E62"/>
    <w:rsid w:val="00986E5E"/>
    <w:rsid w:val="00987517"/>
    <w:rsid w:val="00987535"/>
    <w:rsid w:val="009877EB"/>
    <w:rsid w:val="00987AEE"/>
    <w:rsid w:val="00987DE9"/>
    <w:rsid w:val="00990EF6"/>
    <w:rsid w:val="009910DA"/>
    <w:rsid w:val="00992B5F"/>
    <w:rsid w:val="0099348C"/>
    <w:rsid w:val="00993B30"/>
    <w:rsid w:val="009946BC"/>
    <w:rsid w:val="00994909"/>
    <w:rsid w:val="00994ADD"/>
    <w:rsid w:val="009955CF"/>
    <w:rsid w:val="00995B7D"/>
    <w:rsid w:val="009962BC"/>
    <w:rsid w:val="00996939"/>
    <w:rsid w:val="00997076"/>
    <w:rsid w:val="00997720"/>
    <w:rsid w:val="00997D8D"/>
    <w:rsid w:val="009A0267"/>
    <w:rsid w:val="009A090E"/>
    <w:rsid w:val="009A0A99"/>
    <w:rsid w:val="009A192D"/>
    <w:rsid w:val="009A1B2D"/>
    <w:rsid w:val="009A1FF2"/>
    <w:rsid w:val="009A206D"/>
    <w:rsid w:val="009A23CE"/>
    <w:rsid w:val="009A2C4D"/>
    <w:rsid w:val="009A3B60"/>
    <w:rsid w:val="009A3F7A"/>
    <w:rsid w:val="009A40C3"/>
    <w:rsid w:val="009A4173"/>
    <w:rsid w:val="009A41FD"/>
    <w:rsid w:val="009A4AA4"/>
    <w:rsid w:val="009A65C8"/>
    <w:rsid w:val="009A6C9A"/>
    <w:rsid w:val="009A6F5E"/>
    <w:rsid w:val="009A7ADC"/>
    <w:rsid w:val="009B051B"/>
    <w:rsid w:val="009B1086"/>
    <w:rsid w:val="009B1BE0"/>
    <w:rsid w:val="009B1EA0"/>
    <w:rsid w:val="009B204E"/>
    <w:rsid w:val="009B22D2"/>
    <w:rsid w:val="009B360E"/>
    <w:rsid w:val="009B39AA"/>
    <w:rsid w:val="009B45EF"/>
    <w:rsid w:val="009B483C"/>
    <w:rsid w:val="009B49C0"/>
    <w:rsid w:val="009B647D"/>
    <w:rsid w:val="009B6787"/>
    <w:rsid w:val="009C1585"/>
    <w:rsid w:val="009C1683"/>
    <w:rsid w:val="009C1F5E"/>
    <w:rsid w:val="009C2085"/>
    <w:rsid w:val="009C2BA7"/>
    <w:rsid w:val="009C2D22"/>
    <w:rsid w:val="009C40DA"/>
    <w:rsid w:val="009C486B"/>
    <w:rsid w:val="009C66BB"/>
    <w:rsid w:val="009C670A"/>
    <w:rsid w:val="009C77E9"/>
    <w:rsid w:val="009C7C9B"/>
    <w:rsid w:val="009D147F"/>
    <w:rsid w:val="009D264E"/>
    <w:rsid w:val="009D3478"/>
    <w:rsid w:val="009D3A37"/>
    <w:rsid w:val="009D3C98"/>
    <w:rsid w:val="009D3F76"/>
    <w:rsid w:val="009D41B7"/>
    <w:rsid w:val="009D465B"/>
    <w:rsid w:val="009D4D6D"/>
    <w:rsid w:val="009D4F5F"/>
    <w:rsid w:val="009D5263"/>
    <w:rsid w:val="009D52B2"/>
    <w:rsid w:val="009D547D"/>
    <w:rsid w:val="009D5693"/>
    <w:rsid w:val="009D5857"/>
    <w:rsid w:val="009D593B"/>
    <w:rsid w:val="009D669B"/>
    <w:rsid w:val="009D6B8C"/>
    <w:rsid w:val="009D74FD"/>
    <w:rsid w:val="009E22A8"/>
    <w:rsid w:val="009E35F4"/>
    <w:rsid w:val="009E38B1"/>
    <w:rsid w:val="009E3D35"/>
    <w:rsid w:val="009E44FD"/>
    <w:rsid w:val="009E4B86"/>
    <w:rsid w:val="009E51A6"/>
    <w:rsid w:val="009E5850"/>
    <w:rsid w:val="009E600C"/>
    <w:rsid w:val="009E7041"/>
    <w:rsid w:val="009E7246"/>
    <w:rsid w:val="009E7254"/>
    <w:rsid w:val="009E765D"/>
    <w:rsid w:val="009E7831"/>
    <w:rsid w:val="009E7D75"/>
    <w:rsid w:val="009E7F1D"/>
    <w:rsid w:val="009E7F52"/>
    <w:rsid w:val="009F13C7"/>
    <w:rsid w:val="009F1610"/>
    <w:rsid w:val="009F1929"/>
    <w:rsid w:val="009F1BA1"/>
    <w:rsid w:val="009F206A"/>
    <w:rsid w:val="009F3697"/>
    <w:rsid w:val="009F37F8"/>
    <w:rsid w:val="009F3B0F"/>
    <w:rsid w:val="009F4652"/>
    <w:rsid w:val="009F4767"/>
    <w:rsid w:val="009F4789"/>
    <w:rsid w:val="009F48B0"/>
    <w:rsid w:val="009F4E44"/>
    <w:rsid w:val="009F5EDD"/>
    <w:rsid w:val="009F6514"/>
    <w:rsid w:val="009F6CF2"/>
    <w:rsid w:val="00A008E1"/>
    <w:rsid w:val="00A015AB"/>
    <w:rsid w:val="00A01BD8"/>
    <w:rsid w:val="00A02687"/>
    <w:rsid w:val="00A02D3D"/>
    <w:rsid w:val="00A02EFC"/>
    <w:rsid w:val="00A03441"/>
    <w:rsid w:val="00A03BD3"/>
    <w:rsid w:val="00A043C3"/>
    <w:rsid w:val="00A04D9D"/>
    <w:rsid w:val="00A050D4"/>
    <w:rsid w:val="00A05517"/>
    <w:rsid w:val="00A05730"/>
    <w:rsid w:val="00A05F80"/>
    <w:rsid w:val="00A06E2D"/>
    <w:rsid w:val="00A06FA2"/>
    <w:rsid w:val="00A07B49"/>
    <w:rsid w:val="00A07CF5"/>
    <w:rsid w:val="00A12984"/>
    <w:rsid w:val="00A13517"/>
    <w:rsid w:val="00A14E12"/>
    <w:rsid w:val="00A153B6"/>
    <w:rsid w:val="00A1564C"/>
    <w:rsid w:val="00A15D80"/>
    <w:rsid w:val="00A16649"/>
    <w:rsid w:val="00A17140"/>
    <w:rsid w:val="00A17907"/>
    <w:rsid w:val="00A17BA8"/>
    <w:rsid w:val="00A20456"/>
    <w:rsid w:val="00A21E4E"/>
    <w:rsid w:val="00A224F8"/>
    <w:rsid w:val="00A22B1E"/>
    <w:rsid w:val="00A22B97"/>
    <w:rsid w:val="00A236FE"/>
    <w:rsid w:val="00A241C0"/>
    <w:rsid w:val="00A24DCE"/>
    <w:rsid w:val="00A251B9"/>
    <w:rsid w:val="00A254DD"/>
    <w:rsid w:val="00A25F3C"/>
    <w:rsid w:val="00A263AF"/>
    <w:rsid w:val="00A26403"/>
    <w:rsid w:val="00A26E4D"/>
    <w:rsid w:val="00A270A5"/>
    <w:rsid w:val="00A2781D"/>
    <w:rsid w:val="00A30822"/>
    <w:rsid w:val="00A31540"/>
    <w:rsid w:val="00A320E3"/>
    <w:rsid w:val="00A33525"/>
    <w:rsid w:val="00A33573"/>
    <w:rsid w:val="00A33807"/>
    <w:rsid w:val="00A33AAE"/>
    <w:rsid w:val="00A34710"/>
    <w:rsid w:val="00A34AB0"/>
    <w:rsid w:val="00A34D23"/>
    <w:rsid w:val="00A3611E"/>
    <w:rsid w:val="00A374A8"/>
    <w:rsid w:val="00A378A8"/>
    <w:rsid w:val="00A37BCE"/>
    <w:rsid w:val="00A37C16"/>
    <w:rsid w:val="00A401B9"/>
    <w:rsid w:val="00A40733"/>
    <w:rsid w:val="00A40744"/>
    <w:rsid w:val="00A40811"/>
    <w:rsid w:val="00A411DF"/>
    <w:rsid w:val="00A421C1"/>
    <w:rsid w:val="00A42249"/>
    <w:rsid w:val="00A42944"/>
    <w:rsid w:val="00A45365"/>
    <w:rsid w:val="00A46842"/>
    <w:rsid w:val="00A473B0"/>
    <w:rsid w:val="00A50773"/>
    <w:rsid w:val="00A50A5E"/>
    <w:rsid w:val="00A51122"/>
    <w:rsid w:val="00A517A6"/>
    <w:rsid w:val="00A5233F"/>
    <w:rsid w:val="00A52661"/>
    <w:rsid w:val="00A526EE"/>
    <w:rsid w:val="00A52BF9"/>
    <w:rsid w:val="00A52C17"/>
    <w:rsid w:val="00A53E5E"/>
    <w:rsid w:val="00A543A1"/>
    <w:rsid w:val="00A54D8F"/>
    <w:rsid w:val="00A556AA"/>
    <w:rsid w:val="00A5591C"/>
    <w:rsid w:val="00A57372"/>
    <w:rsid w:val="00A57900"/>
    <w:rsid w:val="00A57B62"/>
    <w:rsid w:val="00A60628"/>
    <w:rsid w:val="00A60DEC"/>
    <w:rsid w:val="00A61232"/>
    <w:rsid w:val="00A6190F"/>
    <w:rsid w:val="00A619D1"/>
    <w:rsid w:val="00A635CC"/>
    <w:rsid w:val="00A63FD1"/>
    <w:rsid w:val="00A6479F"/>
    <w:rsid w:val="00A64819"/>
    <w:rsid w:val="00A64BCA"/>
    <w:rsid w:val="00A64EDF"/>
    <w:rsid w:val="00A65D7B"/>
    <w:rsid w:val="00A65E79"/>
    <w:rsid w:val="00A66E2B"/>
    <w:rsid w:val="00A66FEC"/>
    <w:rsid w:val="00A676A2"/>
    <w:rsid w:val="00A67938"/>
    <w:rsid w:val="00A67B04"/>
    <w:rsid w:val="00A70B02"/>
    <w:rsid w:val="00A70B7A"/>
    <w:rsid w:val="00A70E96"/>
    <w:rsid w:val="00A70EA3"/>
    <w:rsid w:val="00A70F3C"/>
    <w:rsid w:val="00A72FBB"/>
    <w:rsid w:val="00A73AD5"/>
    <w:rsid w:val="00A74C07"/>
    <w:rsid w:val="00A77006"/>
    <w:rsid w:val="00A77B61"/>
    <w:rsid w:val="00A80666"/>
    <w:rsid w:val="00A81BE5"/>
    <w:rsid w:val="00A8223D"/>
    <w:rsid w:val="00A83B13"/>
    <w:rsid w:val="00A84975"/>
    <w:rsid w:val="00A84B71"/>
    <w:rsid w:val="00A84C4C"/>
    <w:rsid w:val="00A85589"/>
    <w:rsid w:val="00A8574E"/>
    <w:rsid w:val="00A86002"/>
    <w:rsid w:val="00A87248"/>
    <w:rsid w:val="00A8763C"/>
    <w:rsid w:val="00A87A10"/>
    <w:rsid w:val="00A87F2C"/>
    <w:rsid w:val="00A87FC1"/>
    <w:rsid w:val="00A928E6"/>
    <w:rsid w:val="00A930E5"/>
    <w:rsid w:val="00A93716"/>
    <w:rsid w:val="00A940CE"/>
    <w:rsid w:val="00A95325"/>
    <w:rsid w:val="00A963A9"/>
    <w:rsid w:val="00A96B13"/>
    <w:rsid w:val="00A9746E"/>
    <w:rsid w:val="00A9779E"/>
    <w:rsid w:val="00AA01E6"/>
    <w:rsid w:val="00AA09DD"/>
    <w:rsid w:val="00AA0D20"/>
    <w:rsid w:val="00AA1305"/>
    <w:rsid w:val="00AA16B3"/>
    <w:rsid w:val="00AA1AAC"/>
    <w:rsid w:val="00AA20D5"/>
    <w:rsid w:val="00AA2483"/>
    <w:rsid w:val="00AA2A85"/>
    <w:rsid w:val="00AA31B1"/>
    <w:rsid w:val="00AA41EA"/>
    <w:rsid w:val="00AA497B"/>
    <w:rsid w:val="00AA49D0"/>
    <w:rsid w:val="00AA4A6E"/>
    <w:rsid w:val="00AA6AA2"/>
    <w:rsid w:val="00AA6CD0"/>
    <w:rsid w:val="00AA78BD"/>
    <w:rsid w:val="00AB0592"/>
    <w:rsid w:val="00AB0E2B"/>
    <w:rsid w:val="00AB0E49"/>
    <w:rsid w:val="00AB121A"/>
    <w:rsid w:val="00AB1651"/>
    <w:rsid w:val="00AB1EFC"/>
    <w:rsid w:val="00AB22E0"/>
    <w:rsid w:val="00AB398B"/>
    <w:rsid w:val="00AB40B6"/>
    <w:rsid w:val="00AB437C"/>
    <w:rsid w:val="00AB56C1"/>
    <w:rsid w:val="00AB5B72"/>
    <w:rsid w:val="00AB5D49"/>
    <w:rsid w:val="00AB67D0"/>
    <w:rsid w:val="00AB6C9D"/>
    <w:rsid w:val="00AB6DB4"/>
    <w:rsid w:val="00AC05C0"/>
    <w:rsid w:val="00AC0C40"/>
    <w:rsid w:val="00AC0C4C"/>
    <w:rsid w:val="00AC0CDE"/>
    <w:rsid w:val="00AC0D52"/>
    <w:rsid w:val="00AC132D"/>
    <w:rsid w:val="00AC146A"/>
    <w:rsid w:val="00AC1733"/>
    <w:rsid w:val="00AC2D0A"/>
    <w:rsid w:val="00AC2E73"/>
    <w:rsid w:val="00AC368C"/>
    <w:rsid w:val="00AC36E5"/>
    <w:rsid w:val="00AC4079"/>
    <w:rsid w:val="00AC4312"/>
    <w:rsid w:val="00AC55D2"/>
    <w:rsid w:val="00AC64E3"/>
    <w:rsid w:val="00AC7510"/>
    <w:rsid w:val="00AC7BB7"/>
    <w:rsid w:val="00AD039C"/>
    <w:rsid w:val="00AD1F20"/>
    <w:rsid w:val="00AD281B"/>
    <w:rsid w:val="00AD3773"/>
    <w:rsid w:val="00AD3F52"/>
    <w:rsid w:val="00AD4C8C"/>
    <w:rsid w:val="00AD4CDC"/>
    <w:rsid w:val="00AD59C6"/>
    <w:rsid w:val="00AD5E6E"/>
    <w:rsid w:val="00AD61FD"/>
    <w:rsid w:val="00AD63EE"/>
    <w:rsid w:val="00AD66EF"/>
    <w:rsid w:val="00AD67C7"/>
    <w:rsid w:val="00AD6DF6"/>
    <w:rsid w:val="00AD7E5B"/>
    <w:rsid w:val="00AD7F12"/>
    <w:rsid w:val="00AE096F"/>
    <w:rsid w:val="00AE1420"/>
    <w:rsid w:val="00AE15F8"/>
    <w:rsid w:val="00AE21CB"/>
    <w:rsid w:val="00AE36BD"/>
    <w:rsid w:val="00AE40EB"/>
    <w:rsid w:val="00AE54A9"/>
    <w:rsid w:val="00AE598F"/>
    <w:rsid w:val="00AE606D"/>
    <w:rsid w:val="00AE618F"/>
    <w:rsid w:val="00AE7163"/>
    <w:rsid w:val="00AE73D8"/>
    <w:rsid w:val="00AE74B3"/>
    <w:rsid w:val="00AE7A6B"/>
    <w:rsid w:val="00AE7CB3"/>
    <w:rsid w:val="00AF04C2"/>
    <w:rsid w:val="00AF0C6F"/>
    <w:rsid w:val="00AF1122"/>
    <w:rsid w:val="00AF1BC1"/>
    <w:rsid w:val="00AF1FC9"/>
    <w:rsid w:val="00AF2359"/>
    <w:rsid w:val="00AF2675"/>
    <w:rsid w:val="00AF2DEB"/>
    <w:rsid w:val="00AF308D"/>
    <w:rsid w:val="00AF3EEB"/>
    <w:rsid w:val="00AF42E4"/>
    <w:rsid w:val="00AF4F3C"/>
    <w:rsid w:val="00AF5081"/>
    <w:rsid w:val="00AF678F"/>
    <w:rsid w:val="00AF7050"/>
    <w:rsid w:val="00AF78EE"/>
    <w:rsid w:val="00B0046D"/>
    <w:rsid w:val="00B0099C"/>
    <w:rsid w:val="00B00EDC"/>
    <w:rsid w:val="00B01111"/>
    <w:rsid w:val="00B011E6"/>
    <w:rsid w:val="00B02B0F"/>
    <w:rsid w:val="00B02C5F"/>
    <w:rsid w:val="00B0570D"/>
    <w:rsid w:val="00B06569"/>
    <w:rsid w:val="00B0714F"/>
    <w:rsid w:val="00B0755E"/>
    <w:rsid w:val="00B077CC"/>
    <w:rsid w:val="00B10C05"/>
    <w:rsid w:val="00B11BCB"/>
    <w:rsid w:val="00B11D45"/>
    <w:rsid w:val="00B124AB"/>
    <w:rsid w:val="00B12AFE"/>
    <w:rsid w:val="00B13181"/>
    <w:rsid w:val="00B1439F"/>
    <w:rsid w:val="00B1479C"/>
    <w:rsid w:val="00B14FC0"/>
    <w:rsid w:val="00B1524D"/>
    <w:rsid w:val="00B152F3"/>
    <w:rsid w:val="00B15566"/>
    <w:rsid w:val="00B166F5"/>
    <w:rsid w:val="00B17058"/>
    <w:rsid w:val="00B1706D"/>
    <w:rsid w:val="00B170A3"/>
    <w:rsid w:val="00B17E1F"/>
    <w:rsid w:val="00B203FD"/>
    <w:rsid w:val="00B21399"/>
    <w:rsid w:val="00B23340"/>
    <w:rsid w:val="00B23906"/>
    <w:rsid w:val="00B2422D"/>
    <w:rsid w:val="00B24E69"/>
    <w:rsid w:val="00B25928"/>
    <w:rsid w:val="00B261DE"/>
    <w:rsid w:val="00B27036"/>
    <w:rsid w:val="00B2727E"/>
    <w:rsid w:val="00B278FE"/>
    <w:rsid w:val="00B2799F"/>
    <w:rsid w:val="00B279C9"/>
    <w:rsid w:val="00B27DF3"/>
    <w:rsid w:val="00B27E30"/>
    <w:rsid w:val="00B300AD"/>
    <w:rsid w:val="00B30121"/>
    <w:rsid w:val="00B30199"/>
    <w:rsid w:val="00B30851"/>
    <w:rsid w:val="00B32115"/>
    <w:rsid w:val="00B32FA0"/>
    <w:rsid w:val="00B33189"/>
    <w:rsid w:val="00B331AE"/>
    <w:rsid w:val="00B33865"/>
    <w:rsid w:val="00B33A92"/>
    <w:rsid w:val="00B349BB"/>
    <w:rsid w:val="00B349CD"/>
    <w:rsid w:val="00B3546C"/>
    <w:rsid w:val="00B35610"/>
    <w:rsid w:val="00B35E95"/>
    <w:rsid w:val="00B36623"/>
    <w:rsid w:val="00B37C46"/>
    <w:rsid w:val="00B37FDB"/>
    <w:rsid w:val="00B4009D"/>
    <w:rsid w:val="00B4026E"/>
    <w:rsid w:val="00B40628"/>
    <w:rsid w:val="00B406B8"/>
    <w:rsid w:val="00B40EFB"/>
    <w:rsid w:val="00B4201B"/>
    <w:rsid w:val="00B42AD2"/>
    <w:rsid w:val="00B42E9D"/>
    <w:rsid w:val="00B435B3"/>
    <w:rsid w:val="00B43A2E"/>
    <w:rsid w:val="00B442C0"/>
    <w:rsid w:val="00B44908"/>
    <w:rsid w:val="00B45B3E"/>
    <w:rsid w:val="00B45E32"/>
    <w:rsid w:val="00B465B9"/>
    <w:rsid w:val="00B46CA9"/>
    <w:rsid w:val="00B470F9"/>
    <w:rsid w:val="00B47787"/>
    <w:rsid w:val="00B47FD9"/>
    <w:rsid w:val="00B51E6D"/>
    <w:rsid w:val="00B51F2D"/>
    <w:rsid w:val="00B5269A"/>
    <w:rsid w:val="00B529E6"/>
    <w:rsid w:val="00B52C64"/>
    <w:rsid w:val="00B535CB"/>
    <w:rsid w:val="00B536DB"/>
    <w:rsid w:val="00B53CDE"/>
    <w:rsid w:val="00B5476F"/>
    <w:rsid w:val="00B5481C"/>
    <w:rsid w:val="00B54C4D"/>
    <w:rsid w:val="00B54C6C"/>
    <w:rsid w:val="00B55AC6"/>
    <w:rsid w:val="00B56F57"/>
    <w:rsid w:val="00B575D0"/>
    <w:rsid w:val="00B57A13"/>
    <w:rsid w:val="00B6053B"/>
    <w:rsid w:val="00B60CC1"/>
    <w:rsid w:val="00B61357"/>
    <w:rsid w:val="00B63247"/>
    <w:rsid w:val="00B632B1"/>
    <w:rsid w:val="00B64F63"/>
    <w:rsid w:val="00B6529E"/>
    <w:rsid w:val="00B653E2"/>
    <w:rsid w:val="00B65F4B"/>
    <w:rsid w:val="00B66238"/>
    <w:rsid w:val="00B66C4B"/>
    <w:rsid w:val="00B67081"/>
    <w:rsid w:val="00B67B22"/>
    <w:rsid w:val="00B71279"/>
    <w:rsid w:val="00B71C13"/>
    <w:rsid w:val="00B729E1"/>
    <w:rsid w:val="00B72AEE"/>
    <w:rsid w:val="00B7310E"/>
    <w:rsid w:val="00B73348"/>
    <w:rsid w:val="00B73646"/>
    <w:rsid w:val="00B73D17"/>
    <w:rsid w:val="00B7401C"/>
    <w:rsid w:val="00B74952"/>
    <w:rsid w:val="00B756F5"/>
    <w:rsid w:val="00B7647C"/>
    <w:rsid w:val="00B77299"/>
    <w:rsid w:val="00B77CBA"/>
    <w:rsid w:val="00B77F82"/>
    <w:rsid w:val="00B80A5E"/>
    <w:rsid w:val="00B80E26"/>
    <w:rsid w:val="00B80F13"/>
    <w:rsid w:val="00B81A62"/>
    <w:rsid w:val="00B81C1D"/>
    <w:rsid w:val="00B81DC6"/>
    <w:rsid w:val="00B82DD3"/>
    <w:rsid w:val="00B83321"/>
    <w:rsid w:val="00B84377"/>
    <w:rsid w:val="00B846C6"/>
    <w:rsid w:val="00B8484B"/>
    <w:rsid w:val="00B8517C"/>
    <w:rsid w:val="00B85C6C"/>
    <w:rsid w:val="00B85F20"/>
    <w:rsid w:val="00B867F6"/>
    <w:rsid w:val="00B87DED"/>
    <w:rsid w:val="00B9124A"/>
    <w:rsid w:val="00B93132"/>
    <w:rsid w:val="00B934BE"/>
    <w:rsid w:val="00B93D6A"/>
    <w:rsid w:val="00B9480A"/>
    <w:rsid w:val="00B94BFF"/>
    <w:rsid w:val="00B956C4"/>
    <w:rsid w:val="00B95B0A"/>
    <w:rsid w:val="00B95D3B"/>
    <w:rsid w:val="00B96271"/>
    <w:rsid w:val="00B97167"/>
    <w:rsid w:val="00B97CCB"/>
    <w:rsid w:val="00BA0A39"/>
    <w:rsid w:val="00BA17A6"/>
    <w:rsid w:val="00BA1A25"/>
    <w:rsid w:val="00BA1A54"/>
    <w:rsid w:val="00BA22FD"/>
    <w:rsid w:val="00BA2D2B"/>
    <w:rsid w:val="00BA36F0"/>
    <w:rsid w:val="00BA3D6D"/>
    <w:rsid w:val="00BA4134"/>
    <w:rsid w:val="00BA4876"/>
    <w:rsid w:val="00BA51E3"/>
    <w:rsid w:val="00BA5C3A"/>
    <w:rsid w:val="00BA5C82"/>
    <w:rsid w:val="00BA5FB6"/>
    <w:rsid w:val="00BA64E6"/>
    <w:rsid w:val="00BA6962"/>
    <w:rsid w:val="00BA6EB3"/>
    <w:rsid w:val="00BA7E4B"/>
    <w:rsid w:val="00BB0049"/>
    <w:rsid w:val="00BB1858"/>
    <w:rsid w:val="00BB1E30"/>
    <w:rsid w:val="00BB224C"/>
    <w:rsid w:val="00BB2349"/>
    <w:rsid w:val="00BB2735"/>
    <w:rsid w:val="00BB2F03"/>
    <w:rsid w:val="00BB4494"/>
    <w:rsid w:val="00BB4715"/>
    <w:rsid w:val="00BB590E"/>
    <w:rsid w:val="00BB64CB"/>
    <w:rsid w:val="00BB65B2"/>
    <w:rsid w:val="00BB69F0"/>
    <w:rsid w:val="00BB6B70"/>
    <w:rsid w:val="00BB6CCF"/>
    <w:rsid w:val="00BB777A"/>
    <w:rsid w:val="00BB7A04"/>
    <w:rsid w:val="00BC09A4"/>
    <w:rsid w:val="00BC1466"/>
    <w:rsid w:val="00BC1484"/>
    <w:rsid w:val="00BC1CFA"/>
    <w:rsid w:val="00BC1F25"/>
    <w:rsid w:val="00BC240C"/>
    <w:rsid w:val="00BC2B30"/>
    <w:rsid w:val="00BC3094"/>
    <w:rsid w:val="00BC321E"/>
    <w:rsid w:val="00BC32EA"/>
    <w:rsid w:val="00BC3903"/>
    <w:rsid w:val="00BC44DF"/>
    <w:rsid w:val="00BC4B2A"/>
    <w:rsid w:val="00BC5031"/>
    <w:rsid w:val="00BC5456"/>
    <w:rsid w:val="00BC5E34"/>
    <w:rsid w:val="00BC62C2"/>
    <w:rsid w:val="00BC6743"/>
    <w:rsid w:val="00BC799A"/>
    <w:rsid w:val="00BC7A1D"/>
    <w:rsid w:val="00BD0754"/>
    <w:rsid w:val="00BD2004"/>
    <w:rsid w:val="00BD265C"/>
    <w:rsid w:val="00BD29E3"/>
    <w:rsid w:val="00BD3524"/>
    <w:rsid w:val="00BD39DE"/>
    <w:rsid w:val="00BD40A4"/>
    <w:rsid w:val="00BD40ED"/>
    <w:rsid w:val="00BD45D8"/>
    <w:rsid w:val="00BD46B9"/>
    <w:rsid w:val="00BD47AD"/>
    <w:rsid w:val="00BD4A38"/>
    <w:rsid w:val="00BD4B78"/>
    <w:rsid w:val="00BD4D7E"/>
    <w:rsid w:val="00BD5BBC"/>
    <w:rsid w:val="00BD5E05"/>
    <w:rsid w:val="00BD5E18"/>
    <w:rsid w:val="00BD5E95"/>
    <w:rsid w:val="00BD6492"/>
    <w:rsid w:val="00BD7244"/>
    <w:rsid w:val="00BD7452"/>
    <w:rsid w:val="00BD7EB6"/>
    <w:rsid w:val="00BE055C"/>
    <w:rsid w:val="00BE0D5F"/>
    <w:rsid w:val="00BE1556"/>
    <w:rsid w:val="00BE2995"/>
    <w:rsid w:val="00BE35B4"/>
    <w:rsid w:val="00BE35CA"/>
    <w:rsid w:val="00BE37B4"/>
    <w:rsid w:val="00BE3C8A"/>
    <w:rsid w:val="00BE451C"/>
    <w:rsid w:val="00BE49BE"/>
    <w:rsid w:val="00BE69F5"/>
    <w:rsid w:val="00BE733F"/>
    <w:rsid w:val="00BE75BF"/>
    <w:rsid w:val="00BF0517"/>
    <w:rsid w:val="00BF1118"/>
    <w:rsid w:val="00BF1392"/>
    <w:rsid w:val="00BF1F34"/>
    <w:rsid w:val="00BF2027"/>
    <w:rsid w:val="00BF2053"/>
    <w:rsid w:val="00BF218E"/>
    <w:rsid w:val="00BF2E2E"/>
    <w:rsid w:val="00BF2EC2"/>
    <w:rsid w:val="00BF3B45"/>
    <w:rsid w:val="00BF42E7"/>
    <w:rsid w:val="00BF502A"/>
    <w:rsid w:val="00BF51D5"/>
    <w:rsid w:val="00BF6F8B"/>
    <w:rsid w:val="00BF6FDD"/>
    <w:rsid w:val="00BF7B6E"/>
    <w:rsid w:val="00BF7F6A"/>
    <w:rsid w:val="00C0023B"/>
    <w:rsid w:val="00C00783"/>
    <w:rsid w:val="00C008C1"/>
    <w:rsid w:val="00C01844"/>
    <w:rsid w:val="00C024D9"/>
    <w:rsid w:val="00C0288F"/>
    <w:rsid w:val="00C029A2"/>
    <w:rsid w:val="00C02BA3"/>
    <w:rsid w:val="00C02FAA"/>
    <w:rsid w:val="00C030A9"/>
    <w:rsid w:val="00C03134"/>
    <w:rsid w:val="00C034AB"/>
    <w:rsid w:val="00C039FA"/>
    <w:rsid w:val="00C047C1"/>
    <w:rsid w:val="00C04A4A"/>
    <w:rsid w:val="00C0540C"/>
    <w:rsid w:val="00C0619C"/>
    <w:rsid w:val="00C0668A"/>
    <w:rsid w:val="00C066A9"/>
    <w:rsid w:val="00C06A73"/>
    <w:rsid w:val="00C06F41"/>
    <w:rsid w:val="00C07D7A"/>
    <w:rsid w:val="00C10FA7"/>
    <w:rsid w:val="00C11337"/>
    <w:rsid w:val="00C11DD0"/>
    <w:rsid w:val="00C13014"/>
    <w:rsid w:val="00C130D2"/>
    <w:rsid w:val="00C131E7"/>
    <w:rsid w:val="00C137CE"/>
    <w:rsid w:val="00C13936"/>
    <w:rsid w:val="00C13E21"/>
    <w:rsid w:val="00C13F85"/>
    <w:rsid w:val="00C1400D"/>
    <w:rsid w:val="00C14421"/>
    <w:rsid w:val="00C1705B"/>
    <w:rsid w:val="00C17198"/>
    <w:rsid w:val="00C171B0"/>
    <w:rsid w:val="00C17567"/>
    <w:rsid w:val="00C17601"/>
    <w:rsid w:val="00C17BA4"/>
    <w:rsid w:val="00C201E0"/>
    <w:rsid w:val="00C20380"/>
    <w:rsid w:val="00C2076F"/>
    <w:rsid w:val="00C2087D"/>
    <w:rsid w:val="00C20C6B"/>
    <w:rsid w:val="00C237FC"/>
    <w:rsid w:val="00C23DE3"/>
    <w:rsid w:val="00C23F30"/>
    <w:rsid w:val="00C23F5B"/>
    <w:rsid w:val="00C247C3"/>
    <w:rsid w:val="00C24A3E"/>
    <w:rsid w:val="00C25505"/>
    <w:rsid w:val="00C26107"/>
    <w:rsid w:val="00C2662C"/>
    <w:rsid w:val="00C26685"/>
    <w:rsid w:val="00C26AD1"/>
    <w:rsid w:val="00C26DE3"/>
    <w:rsid w:val="00C2704A"/>
    <w:rsid w:val="00C3000F"/>
    <w:rsid w:val="00C31201"/>
    <w:rsid w:val="00C31377"/>
    <w:rsid w:val="00C31F3D"/>
    <w:rsid w:val="00C32098"/>
    <w:rsid w:val="00C32435"/>
    <w:rsid w:val="00C32463"/>
    <w:rsid w:val="00C32486"/>
    <w:rsid w:val="00C32AA6"/>
    <w:rsid w:val="00C32CA0"/>
    <w:rsid w:val="00C334A2"/>
    <w:rsid w:val="00C336AD"/>
    <w:rsid w:val="00C33A91"/>
    <w:rsid w:val="00C33EC3"/>
    <w:rsid w:val="00C33F97"/>
    <w:rsid w:val="00C341C8"/>
    <w:rsid w:val="00C402D9"/>
    <w:rsid w:val="00C42357"/>
    <w:rsid w:val="00C427B6"/>
    <w:rsid w:val="00C429A1"/>
    <w:rsid w:val="00C42A65"/>
    <w:rsid w:val="00C42D47"/>
    <w:rsid w:val="00C42FBD"/>
    <w:rsid w:val="00C43860"/>
    <w:rsid w:val="00C43D75"/>
    <w:rsid w:val="00C43FA1"/>
    <w:rsid w:val="00C4414F"/>
    <w:rsid w:val="00C444BE"/>
    <w:rsid w:val="00C44C7D"/>
    <w:rsid w:val="00C45BBF"/>
    <w:rsid w:val="00C46A53"/>
    <w:rsid w:val="00C47897"/>
    <w:rsid w:val="00C47DE8"/>
    <w:rsid w:val="00C5008A"/>
    <w:rsid w:val="00C50FB0"/>
    <w:rsid w:val="00C50FFD"/>
    <w:rsid w:val="00C52239"/>
    <w:rsid w:val="00C52A43"/>
    <w:rsid w:val="00C52C45"/>
    <w:rsid w:val="00C53776"/>
    <w:rsid w:val="00C54307"/>
    <w:rsid w:val="00C55095"/>
    <w:rsid w:val="00C55154"/>
    <w:rsid w:val="00C55CE3"/>
    <w:rsid w:val="00C56AD0"/>
    <w:rsid w:val="00C57089"/>
    <w:rsid w:val="00C57AFE"/>
    <w:rsid w:val="00C57D99"/>
    <w:rsid w:val="00C601A3"/>
    <w:rsid w:val="00C6059C"/>
    <w:rsid w:val="00C60BFB"/>
    <w:rsid w:val="00C60D74"/>
    <w:rsid w:val="00C60E5A"/>
    <w:rsid w:val="00C60FA3"/>
    <w:rsid w:val="00C6115D"/>
    <w:rsid w:val="00C6140D"/>
    <w:rsid w:val="00C622FA"/>
    <w:rsid w:val="00C62BAB"/>
    <w:rsid w:val="00C640A5"/>
    <w:rsid w:val="00C64A61"/>
    <w:rsid w:val="00C64ED7"/>
    <w:rsid w:val="00C6548A"/>
    <w:rsid w:val="00C66BA8"/>
    <w:rsid w:val="00C66F1F"/>
    <w:rsid w:val="00C674F2"/>
    <w:rsid w:val="00C70D9B"/>
    <w:rsid w:val="00C712E3"/>
    <w:rsid w:val="00C72230"/>
    <w:rsid w:val="00C727A2"/>
    <w:rsid w:val="00C73719"/>
    <w:rsid w:val="00C738D2"/>
    <w:rsid w:val="00C73DDF"/>
    <w:rsid w:val="00C73DEE"/>
    <w:rsid w:val="00C740F3"/>
    <w:rsid w:val="00C7469F"/>
    <w:rsid w:val="00C749E7"/>
    <w:rsid w:val="00C74C70"/>
    <w:rsid w:val="00C74EFE"/>
    <w:rsid w:val="00C7569D"/>
    <w:rsid w:val="00C759CE"/>
    <w:rsid w:val="00C75B41"/>
    <w:rsid w:val="00C75D50"/>
    <w:rsid w:val="00C75F7E"/>
    <w:rsid w:val="00C76469"/>
    <w:rsid w:val="00C76578"/>
    <w:rsid w:val="00C7694A"/>
    <w:rsid w:val="00C76CE4"/>
    <w:rsid w:val="00C76CE9"/>
    <w:rsid w:val="00C76EA5"/>
    <w:rsid w:val="00C76EEB"/>
    <w:rsid w:val="00C77180"/>
    <w:rsid w:val="00C7758C"/>
    <w:rsid w:val="00C77659"/>
    <w:rsid w:val="00C7797A"/>
    <w:rsid w:val="00C77F6D"/>
    <w:rsid w:val="00C81F19"/>
    <w:rsid w:val="00C8212E"/>
    <w:rsid w:val="00C82842"/>
    <w:rsid w:val="00C82CD2"/>
    <w:rsid w:val="00C82D44"/>
    <w:rsid w:val="00C82D9F"/>
    <w:rsid w:val="00C84F11"/>
    <w:rsid w:val="00C85FD2"/>
    <w:rsid w:val="00C8657C"/>
    <w:rsid w:val="00C86F14"/>
    <w:rsid w:val="00C90385"/>
    <w:rsid w:val="00C911A1"/>
    <w:rsid w:val="00C91F83"/>
    <w:rsid w:val="00C92056"/>
    <w:rsid w:val="00C93D64"/>
    <w:rsid w:val="00C949DD"/>
    <w:rsid w:val="00C95098"/>
    <w:rsid w:val="00C952A7"/>
    <w:rsid w:val="00C95509"/>
    <w:rsid w:val="00C95C69"/>
    <w:rsid w:val="00C96220"/>
    <w:rsid w:val="00C96935"/>
    <w:rsid w:val="00C9706C"/>
    <w:rsid w:val="00C97381"/>
    <w:rsid w:val="00C97445"/>
    <w:rsid w:val="00CA022E"/>
    <w:rsid w:val="00CA07B3"/>
    <w:rsid w:val="00CA2C93"/>
    <w:rsid w:val="00CA4461"/>
    <w:rsid w:val="00CA50BB"/>
    <w:rsid w:val="00CA56FB"/>
    <w:rsid w:val="00CA57D4"/>
    <w:rsid w:val="00CA5E4B"/>
    <w:rsid w:val="00CA6B41"/>
    <w:rsid w:val="00CA7442"/>
    <w:rsid w:val="00CA7F4D"/>
    <w:rsid w:val="00CB0452"/>
    <w:rsid w:val="00CB04CB"/>
    <w:rsid w:val="00CB04E0"/>
    <w:rsid w:val="00CB0D3F"/>
    <w:rsid w:val="00CB18E8"/>
    <w:rsid w:val="00CB513F"/>
    <w:rsid w:val="00CB61B6"/>
    <w:rsid w:val="00CB7004"/>
    <w:rsid w:val="00CB75DF"/>
    <w:rsid w:val="00CB7D08"/>
    <w:rsid w:val="00CC08C9"/>
    <w:rsid w:val="00CC09B6"/>
    <w:rsid w:val="00CC108C"/>
    <w:rsid w:val="00CC11FD"/>
    <w:rsid w:val="00CC1323"/>
    <w:rsid w:val="00CC251F"/>
    <w:rsid w:val="00CC28F2"/>
    <w:rsid w:val="00CC2B43"/>
    <w:rsid w:val="00CC2DCA"/>
    <w:rsid w:val="00CC2FAE"/>
    <w:rsid w:val="00CC34D0"/>
    <w:rsid w:val="00CC3655"/>
    <w:rsid w:val="00CC3B2C"/>
    <w:rsid w:val="00CC3B31"/>
    <w:rsid w:val="00CC4725"/>
    <w:rsid w:val="00CC4796"/>
    <w:rsid w:val="00CC4AC4"/>
    <w:rsid w:val="00CC55E7"/>
    <w:rsid w:val="00CC70D6"/>
    <w:rsid w:val="00CD0020"/>
    <w:rsid w:val="00CD0079"/>
    <w:rsid w:val="00CD0265"/>
    <w:rsid w:val="00CD13BB"/>
    <w:rsid w:val="00CD148A"/>
    <w:rsid w:val="00CD1E0A"/>
    <w:rsid w:val="00CD2695"/>
    <w:rsid w:val="00CD2A79"/>
    <w:rsid w:val="00CD2DB6"/>
    <w:rsid w:val="00CD2E2C"/>
    <w:rsid w:val="00CD2FBD"/>
    <w:rsid w:val="00CD3257"/>
    <w:rsid w:val="00CD3D07"/>
    <w:rsid w:val="00CD42B7"/>
    <w:rsid w:val="00CD4394"/>
    <w:rsid w:val="00CD4A42"/>
    <w:rsid w:val="00CD4F5E"/>
    <w:rsid w:val="00CD6077"/>
    <w:rsid w:val="00CD625C"/>
    <w:rsid w:val="00CD6AD4"/>
    <w:rsid w:val="00CD6E68"/>
    <w:rsid w:val="00CD7341"/>
    <w:rsid w:val="00CE02A2"/>
    <w:rsid w:val="00CE0486"/>
    <w:rsid w:val="00CE1168"/>
    <w:rsid w:val="00CE1358"/>
    <w:rsid w:val="00CE1C4A"/>
    <w:rsid w:val="00CE2DC7"/>
    <w:rsid w:val="00CE2F2F"/>
    <w:rsid w:val="00CE3564"/>
    <w:rsid w:val="00CE3659"/>
    <w:rsid w:val="00CE368A"/>
    <w:rsid w:val="00CE3E50"/>
    <w:rsid w:val="00CE3F46"/>
    <w:rsid w:val="00CE52F1"/>
    <w:rsid w:val="00CE5657"/>
    <w:rsid w:val="00CE5D70"/>
    <w:rsid w:val="00CE5E55"/>
    <w:rsid w:val="00CE63BA"/>
    <w:rsid w:val="00CE6768"/>
    <w:rsid w:val="00CE729E"/>
    <w:rsid w:val="00CE7C14"/>
    <w:rsid w:val="00CF1542"/>
    <w:rsid w:val="00CF1AF1"/>
    <w:rsid w:val="00CF1B28"/>
    <w:rsid w:val="00CF2D04"/>
    <w:rsid w:val="00CF2EFE"/>
    <w:rsid w:val="00CF32B2"/>
    <w:rsid w:val="00CF37CC"/>
    <w:rsid w:val="00CF3A3A"/>
    <w:rsid w:val="00CF3FE4"/>
    <w:rsid w:val="00CF44C4"/>
    <w:rsid w:val="00CF4693"/>
    <w:rsid w:val="00CF4839"/>
    <w:rsid w:val="00CF51CF"/>
    <w:rsid w:val="00CF5F95"/>
    <w:rsid w:val="00CF7226"/>
    <w:rsid w:val="00D0150C"/>
    <w:rsid w:val="00D01AB2"/>
    <w:rsid w:val="00D01F64"/>
    <w:rsid w:val="00D0218C"/>
    <w:rsid w:val="00D021C5"/>
    <w:rsid w:val="00D021EF"/>
    <w:rsid w:val="00D0255D"/>
    <w:rsid w:val="00D0271D"/>
    <w:rsid w:val="00D02EBD"/>
    <w:rsid w:val="00D0369C"/>
    <w:rsid w:val="00D0416A"/>
    <w:rsid w:val="00D04799"/>
    <w:rsid w:val="00D0587E"/>
    <w:rsid w:val="00D05C6A"/>
    <w:rsid w:val="00D060F0"/>
    <w:rsid w:val="00D06333"/>
    <w:rsid w:val="00D065C3"/>
    <w:rsid w:val="00D06D24"/>
    <w:rsid w:val="00D10FE2"/>
    <w:rsid w:val="00D119CF"/>
    <w:rsid w:val="00D11DC6"/>
    <w:rsid w:val="00D169EE"/>
    <w:rsid w:val="00D17055"/>
    <w:rsid w:val="00D17074"/>
    <w:rsid w:val="00D17723"/>
    <w:rsid w:val="00D202B1"/>
    <w:rsid w:val="00D20643"/>
    <w:rsid w:val="00D20661"/>
    <w:rsid w:val="00D209DE"/>
    <w:rsid w:val="00D20C27"/>
    <w:rsid w:val="00D228E5"/>
    <w:rsid w:val="00D22C87"/>
    <w:rsid w:val="00D23514"/>
    <w:rsid w:val="00D237D8"/>
    <w:rsid w:val="00D239FA"/>
    <w:rsid w:val="00D23AD9"/>
    <w:rsid w:val="00D23BBE"/>
    <w:rsid w:val="00D24882"/>
    <w:rsid w:val="00D24C5C"/>
    <w:rsid w:val="00D24C9F"/>
    <w:rsid w:val="00D24F09"/>
    <w:rsid w:val="00D263DF"/>
    <w:rsid w:val="00D267ED"/>
    <w:rsid w:val="00D268C4"/>
    <w:rsid w:val="00D268D0"/>
    <w:rsid w:val="00D26ACF"/>
    <w:rsid w:val="00D27547"/>
    <w:rsid w:val="00D3077B"/>
    <w:rsid w:val="00D30F10"/>
    <w:rsid w:val="00D31E71"/>
    <w:rsid w:val="00D3250D"/>
    <w:rsid w:val="00D334DC"/>
    <w:rsid w:val="00D33E5B"/>
    <w:rsid w:val="00D344A4"/>
    <w:rsid w:val="00D3554D"/>
    <w:rsid w:val="00D35692"/>
    <w:rsid w:val="00D36187"/>
    <w:rsid w:val="00D3653A"/>
    <w:rsid w:val="00D37C77"/>
    <w:rsid w:val="00D41142"/>
    <w:rsid w:val="00D41FCA"/>
    <w:rsid w:val="00D42008"/>
    <w:rsid w:val="00D42131"/>
    <w:rsid w:val="00D43E25"/>
    <w:rsid w:val="00D441CD"/>
    <w:rsid w:val="00D447B0"/>
    <w:rsid w:val="00D45291"/>
    <w:rsid w:val="00D461DA"/>
    <w:rsid w:val="00D467D5"/>
    <w:rsid w:val="00D468AA"/>
    <w:rsid w:val="00D46B2B"/>
    <w:rsid w:val="00D4774F"/>
    <w:rsid w:val="00D47A71"/>
    <w:rsid w:val="00D50147"/>
    <w:rsid w:val="00D505DF"/>
    <w:rsid w:val="00D50E63"/>
    <w:rsid w:val="00D514CF"/>
    <w:rsid w:val="00D51D3D"/>
    <w:rsid w:val="00D520B2"/>
    <w:rsid w:val="00D525D5"/>
    <w:rsid w:val="00D527AC"/>
    <w:rsid w:val="00D5356D"/>
    <w:rsid w:val="00D53ACB"/>
    <w:rsid w:val="00D54728"/>
    <w:rsid w:val="00D547CA"/>
    <w:rsid w:val="00D54EE4"/>
    <w:rsid w:val="00D55391"/>
    <w:rsid w:val="00D558B2"/>
    <w:rsid w:val="00D55D44"/>
    <w:rsid w:val="00D56871"/>
    <w:rsid w:val="00D577F2"/>
    <w:rsid w:val="00D57C14"/>
    <w:rsid w:val="00D60787"/>
    <w:rsid w:val="00D609D4"/>
    <w:rsid w:val="00D6165B"/>
    <w:rsid w:val="00D61867"/>
    <w:rsid w:val="00D61C0C"/>
    <w:rsid w:val="00D61F5D"/>
    <w:rsid w:val="00D642C4"/>
    <w:rsid w:val="00D64586"/>
    <w:rsid w:val="00D65162"/>
    <w:rsid w:val="00D651FB"/>
    <w:rsid w:val="00D66705"/>
    <w:rsid w:val="00D6674C"/>
    <w:rsid w:val="00D66E1B"/>
    <w:rsid w:val="00D67037"/>
    <w:rsid w:val="00D670D2"/>
    <w:rsid w:val="00D67102"/>
    <w:rsid w:val="00D67794"/>
    <w:rsid w:val="00D67A02"/>
    <w:rsid w:val="00D715E6"/>
    <w:rsid w:val="00D71653"/>
    <w:rsid w:val="00D727F5"/>
    <w:rsid w:val="00D72D84"/>
    <w:rsid w:val="00D72FFB"/>
    <w:rsid w:val="00D734E6"/>
    <w:rsid w:val="00D73D3A"/>
    <w:rsid w:val="00D750A8"/>
    <w:rsid w:val="00D751D5"/>
    <w:rsid w:val="00D75319"/>
    <w:rsid w:val="00D7592C"/>
    <w:rsid w:val="00D76357"/>
    <w:rsid w:val="00D76E81"/>
    <w:rsid w:val="00D7770F"/>
    <w:rsid w:val="00D80BE9"/>
    <w:rsid w:val="00D81397"/>
    <w:rsid w:val="00D81866"/>
    <w:rsid w:val="00D81B9B"/>
    <w:rsid w:val="00D820AD"/>
    <w:rsid w:val="00D82375"/>
    <w:rsid w:val="00D82D2A"/>
    <w:rsid w:val="00D82E20"/>
    <w:rsid w:val="00D82F84"/>
    <w:rsid w:val="00D83AD5"/>
    <w:rsid w:val="00D843C2"/>
    <w:rsid w:val="00D852EC"/>
    <w:rsid w:val="00D854AD"/>
    <w:rsid w:val="00D85687"/>
    <w:rsid w:val="00D862DE"/>
    <w:rsid w:val="00D86352"/>
    <w:rsid w:val="00D86A77"/>
    <w:rsid w:val="00D8706A"/>
    <w:rsid w:val="00D87123"/>
    <w:rsid w:val="00D906C8"/>
    <w:rsid w:val="00D91A27"/>
    <w:rsid w:val="00D91D79"/>
    <w:rsid w:val="00D9391F"/>
    <w:rsid w:val="00D93B01"/>
    <w:rsid w:val="00D93BF4"/>
    <w:rsid w:val="00D93F19"/>
    <w:rsid w:val="00D9422E"/>
    <w:rsid w:val="00D9550A"/>
    <w:rsid w:val="00D9743C"/>
    <w:rsid w:val="00DA02AB"/>
    <w:rsid w:val="00DA2E40"/>
    <w:rsid w:val="00DA31B7"/>
    <w:rsid w:val="00DA3572"/>
    <w:rsid w:val="00DA383F"/>
    <w:rsid w:val="00DA3CD4"/>
    <w:rsid w:val="00DA51C2"/>
    <w:rsid w:val="00DA551C"/>
    <w:rsid w:val="00DA6459"/>
    <w:rsid w:val="00DA65F7"/>
    <w:rsid w:val="00DA6AEB"/>
    <w:rsid w:val="00DB0157"/>
    <w:rsid w:val="00DB0B29"/>
    <w:rsid w:val="00DB116D"/>
    <w:rsid w:val="00DB1200"/>
    <w:rsid w:val="00DB17B8"/>
    <w:rsid w:val="00DB1952"/>
    <w:rsid w:val="00DB229D"/>
    <w:rsid w:val="00DB2CF1"/>
    <w:rsid w:val="00DB2E00"/>
    <w:rsid w:val="00DB33E6"/>
    <w:rsid w:val="00DB3CDA"/>
    <w:rsid w:val="00DB3D79"/>
    <w:rsid w:val="00DB4B7A"/>
    <w:rsid w:val="00DB4DC3"/>
    <w:rsid w:val="00DB5AF3"/>
    <w:rsid w:val="00DB60FD"/>
    <w:rsid w:val="00DB77D7"/>
    <w:rsid w:val="00DC009E"/>
    <w:rsid w:val="00DC14B8"/>
    <w:rsid w:val="00DC3158"/>
    <w:rsid w:val="00DC365B"/>
    <w:rsid w:val="00DC4A23"/>
    <w:rsid w:val="00DC4BA2"/>
    <w:rsid w:val="00DC4FF0"/>
    <w:rsid w:val="00DC5118"/>
    <w:rsid w:val="00DC566C"/>
    <w:rsid w:val="00DC597F"/>
    <w:rsid w:val="00DC6AE3"/>
    <w:rsid w:val="00DC7950"/>
    <w:rsid w:val="00DD0995"/>
    <w:rsid w:val="00DD09A9"/>
    <w:rsid w:val="00DD1030"/>
    <w:rsid w:val="00DD1199"/>
    <w:rsid w:val="00DD1DA0"/>
    <w:rsid w:val="00DD235F"/>
    <w:rsid w:val="00DD3744"/>
    <w:rsid w:val="00DD37C8"/>
    <w:rsid w:val="00DD507F"/>
    <w:rsid w:val="00DD5C06"/>
    <w:rsid w:val="00DD6317"/>
    <w:rsid w:val="00DD6E0C"/>
    <w:rsid w:val="00DD74EA"/>
    <w:rsid w:val="00DE0202"/>
    <w:rsid w:val="00DE058F"/>
    <w:rsid w:val="00DE1CB6"/>
    <w:rsid w:val="00DE1D1F"/>
    <w:rsid w:val="00DE260A"/>
    <w:rsid w:val="00DE2856"/>
    <w:rsid w:val="00DE39B0"/>
    <w:rsid w:val="00DE3BF8"/>
    <w:rsid w:val="00DE42FF"/>
    <w:rsid w:val="00DE4E89"/>
    <w:rsid w:val="00DE5951"/>
    <w:rsid w:val="00DE5999"/>
    <w:rsid w:val="00DE5A4C"/>
    <w:rsid w:val="00DE5B51"/>
    <w:rsid w:val="00DE698E"/>
    <w:rsid w:val="00DE6D95"/>
    <w:rsid w:val="00DE7487"/>
    <w:rsid w:val="00DE7A6C"/>
    <w:rsid w:val="00DE7B2C"/>
    <w:rsid w:val="00DE7B7C"/>
    <w:rsid w:val="00DF0824"/>
    <w:rsid w:val="00DF1264"/>
    <w:rsid w:val="00DF15A3"/>
    <w:rsid w:val="00DF1FDA"/>
    <w:rsid w:val="00DF232B"/>
    <w:rsid w:val="00DF34C0"/>
    <w:rsid w:val="00DF3579"/>
    <w:rsid w:val="00DF3AEC"/>
    <w:rsid w:val="00DF3F61"/>
    <w:rsid w:val="00DF4358"/>
    <w:rsid w:val="00DF4460"/>
    <w:rsid w:val="00DF484C"/>
    <w:rsid w:val="00DF5D74"/>
    <w:rsid w:val="00DF60D3"/>
    <w:rsid w:val="00DF656E"/>
    <w:rsid w:val="00DF792A"/>
    <w:rsid w:val="00E000CF"/>
    <w:rsid w:val="00E00D36"/>
    <w:rsid w:val="00E010DE"/>
    <w:rsid w:val="00E014C9"/>
    <w:rsid w:val="00E01654"/>
    <w:rsid w:val="00E028C9"/>
    <w:rsid w:val="00E02BB9"/>
    <w:rsid w:val="00E04D61"/>
    <w:rsid w:val="00E04E29"/>
    <w:rsid w:val="00E0500A"/>
    <w:rsid w:val="00E051E5"/>
    <w:rsid w:val="00E05893"/>
    <w:rsid w:val="00E07895"/>
    <w:rsid w:val="00E07FF8"/>
    <w:rsid w:val="00E108BA"/>
    <w:rsid w:val="00E10A9B"/>
    <w:rsid w:val="00E10ABB"/>
    <w:rsid w:val="00E11043"/>
    <w:rsid w:val="00E11391"/>
    <w:rsid w:val="00E11B34"/>
    <w:rsid w:val="00E124CF"/>
    <w:rsid w:val="00E1256B"/>
    <w:rsid w:val="00E12690"/>
    <w:rsid w:val="00E1281F"/>
    <w:rsid w:val="00E12850"/>
    <w:rsid w:val="00E13781"/>
    <w:rsid w:val="00E13C52"/>
    <w:rsid w:val="00E148D3"/>
    <w:rsid w:val="00E1507C"/>
    <w:rsid w:val="00E1509E"/>
    <w:rsid w:val="00E1526C"/>
    <w:rsid w:val="00E16D9F"/>
    <w:rsid w:val="00E17809"/>
    <w:rsid w:val="00E178D9"/>
    <w:rsid w:val="00E17C07"/>
    <w:rsid w:val="00E21672"/>
    <w:rsid w:val="00E21806"/>
    <w:rsid w:val="00E22479"/>
    <w:rsid w:val="00E22C5F"/>
    <w:rsid w:val="00E23737"/>
    <w:rsid w:val="00E23BD1"/>
    <w:rsid w:val="00E23D3E"/>
    <w:rsid w:val="00E24A82"/>
    <w:rsid w:val="00E24F3B"/>
    <w:rsid w:val="00E255B2"/>
    <w:rsid w:val="00E26389"/>
    <w:rsid w:val="00E2768F"/>
    <w:rsid w:val="00E276B2"/>
    <w:rsid w:val="00E2787D"/>
    <w:rsid w:val="00E27B41"/>
    <w:rsid w:val="00E30000"/>
    <w:rsid w:val="00E30197"/>
    <w:rsid w:val="00E3073F"/>
    <w:rsid w:val="00E30C61"/>
    <w:rsid w:val="00E314AF"/>
    <w:rsid w:val="00E3151F"/>
    <w:rsid w:val="00E31533"/>
    <w:rsid w:val="00E319BF"/>
    <w:rsid w:val="00E31C39"/>
    <w:rsid w:val="00E32159"/>
    <w:rsid w:val="00E32355"/>
    <w:rsid w:val="00E32B74"/>
    <w:rsid w:val="00E32DDD"/>
    <w:rsid w:val="00E33066"/>
    <w:rsid w:val="00E3353B"/>
    <w:rsid w:val="00E33648"/>
    <w:rsid w:val="00E336BD"/>
    <w:rsid w:val="00E33ACA"/>
    <w:rsid w:val="00E348E6"/>
    <w:rsid w:val="00E34EEC"/>
    <w:rsid w:val="00E35775"/>
    <w:rsid w:val="00E35ADF"/>
    <w:rsid w:val="00E362BF"/>
    <w:rsid w:val="00E37FAD"/>
    <w:rsid w:val="00E40545"/>
    <w:rsid w:val="00E41734"/>
    <w:rsid w:val="00E41D6A"/>
    <w:rsid w:val="00E428AA"/>
    <w:rsid w:val="00E4350D"/>
    <w:rsid w:val="00E43688"/>
    <w:rsid w:val="00E4396B"/>
    <w:rsid w:val="00E44599"/>
    <w:rsid w:val="00E452E8"/>
    <w:rsid w:val="00E457DE"/>
    <w:rsid w:val="00E4595A"/>
    <w:rsid w:val="00E4657F"/>
    <w:rsid w:val="00E47398"/>
    <w:rsid w:val="00E47606"/>
    <w:rsid w:val="00E516CD"/>
    <w:rsid w:val="00E519D4"/>
    <w:rsid w:val="00E51C06"/>
    <w:rsid w:val="00E51C12"/>
    <w:rsid w:val="00E51E4C"/>
    <w:rsid w:val="00E52AF2"/>
    <w:rsid w:val="00E52F21"/>
    <w:rsid w:val="00E53134"/>
    <w:rsid w:val="00E5330A"/>
    <w:rsid w:val="00E53AD7"/>
    <w:rsid w:val="00E53B6C"/>
    <w:rsid w:val="00E53D23"/>
    <w:rsid w:val="00E54821"/>
    <w:rsid w:val="00E54BF3"/>
    <w:rsid w:val="00E55A7C"/>
    <w:rsid w:val="00E56B4F"/>
    <w:rsid w:val="00E60CC1"/>
    <w:rsid w:val="00E6186B"/>
    <w:rsid w:val="00E61B34"/>
    <w:rsid w:val="00E61F75"/>
    <w:rsid w:val="00E62766"/>
    <w:rsid w:val="00E62D8D"/>
    <w:rsid w:val="00E631AF"/>
    <w:rsid w:val="00E643E2"/>
    <w:rsid w:val="00E64DA8"/>
    <w:rsid w:val="00E652B8"/>
    <w:rsid w:val="00E654B9"/>
    <w:rsid w:val="00E6728A"/>
    <w:rsid w:val="00E6758B"/>
    <w:rsid w:val="00E707D1"/>
    <w:rsid w:val="00E71FBC"/>
    <w:rsid w:val="00E720BA"/>
    <w:rsid w:val="00E72413"/>
    <w:rsid w:val="00E72919"/>
    <w:rsid w:val="00E72936"/>
    <w:rsid w:val="00E72B3D"/>
    <w:rsid w:val="00E72CA7"/>
    <w:rsid w:val="00E72D5F"/>
    <w:rsid w:val="00E73114"/>
    <w:rsid w:val="00E732A4"/>
    <w:rsid w:val="00E734BC"/>
    <w:rsid w:val="00E73771"/>
    <w:rsid w:val="00E73805"/>
    <w:rsid w:val="00E73930"/>
    <w:rsid w:val="00E74834"/>
    <w:rsid w:val="00E7543E"/>
    <w:rsid w:val="00E75BF4"/>
    <w:rsid w:val="00E75F0B"/>
    <w:rsid w:val="00E7608A"/>
    <w:rsid w:val="00E760A9"/>
    <w:rsid w:val="00E76426"/>
    <w:rsid w:val="00E76D57"/>
    <w:rsid w:val="00E803CD"/>
    <w:rsid w:val="00E80692"/>
    <w:rsid w:val="00E8093F"/>
    <w:rsid w:val="00E81C0C"/>
    <w:rsid w:val="00E81F81"/>
    <w:rsid w:val="00E8387D"/>
    <w:rsid w:val="00E839C9"/>
    <w:rsid w:val="00E83BB8"/>
    <w:rsid w:val="00E84443"/>
    <w:rsid w:val="00E84B40"/>
    <w:rsid w:val="00E84FAB"/>
    <w:rsid w:val="00E85631"/>
    <w:rsid w:val="00E8602E"/>
    <w:rsid w:val="00E86608"/>
    <w:rsid w:val="00E86D14"/>
    <w:rsid w:val="00E86E2E"/>
    <w:rsid w:val="00E87329"/>
    <w:rsid w:val="00E87C10"/>
    <w:rsid w:val="00E90149"/>
    <w:rsid w:val="00E907CC"/>
    <w:rsid w:val="00E909C0"/>
    <w:rsid w:val="00E909ED"/>
    <w:rsid w:val="00E91C21"/>
    <w:rsid w:val="00E92CC8"/>
    <w:rsid w:val="00E933E7"/>
    <w:rsid w:val="00E93A90"/>
    <w:rsid w:val="00E94281"/>
    <w:rsid w:val="00E943ED"/>
    <w:rsid w:val="00E94CBF"/>
    <w:rsid w:val="00E94D44"/>
    <w:rsid w:val="00E9637E"/>
    <w:rsid w:val="00E96528"/>
    <w:rsid w:val="00E979D3"/>
    <w:rsid w:val="00EA01D7"/>
    <w:rsid w:val="00EA07E6"/>
    <w:rsid w:val="00EA0D40"/>
    <w:rsid w:val="00EA3D8C"/>
    <w:rsid w:val="00EA4ABA"/>
    <w:rsid w:val="00EA4C28"/>
    <w:rsid w:val="00EA4D3C"/>
    <w:rsid w:val="00EA4DDC"/>
    <w:rsid w:val="00EA5643"/>
    <w:rsid w:val="00EA6AB9"/>
    <w:rsid w:val="00EA7551"/>
    <w:rsid w:val="00EA7621"/>
    <w:rsid w:val="00EB0283"/>
    <w:rsid w:val="00EB0EE8"/>
    <w:rsid w:val="00EB2095"/>
    <w:rsid w:val="00EB248B"/>
    <w:rsid w:val="00EB296F"/>
    <w:rsid w:val="00EB2EDF"/>
    <w:rsid w:val="00EB38C7"/>
    <w:rsid w:val="00EB41E3"/>
    <w:rsid w:val="00EB570A"/>
    <w:rsid w:val="00EB5A84"/>
    <w:rsid w:val="00EB6374"/>
    <w:rsid w:val="00EB687C"/>
    <w:rsid w:val="00EB69FF"/>
    <w:rsid w:val="00EB7922"/>
    <w:rsid w:val="00EC051F"/>
    <w:rsid w:val="00EC2645"/>
    <w:rsid w:val="00EC2C1F"/>
    <w:rsid w:val="00EC31D7"/>
    <w:rsid w:val="00EC3C29"/>
    <w:rsid w:val="00EC4017"/>
    <w:rsid w:val="00EC6D62"/>
    <w:rsid w:val="00EC773A"/>
    <w:rsid w:val="00EC79AA"/>
    <w:rsid w:val="00ED04EC"/>
    <w:rsid w:val="00ED15C2"/>
    <w:rsid w:val="00ED1C92"/>
    <w:rsid w:val="00ED2F0A"/>
    <w:rsid w:val="00ED35BA"/>
    <w:rsid w:val="00ED375E"/>
    <w:rsid w:val="00ED375F"/>
    <w:rsid w:val="00ED3B05"/>
    <w:rsid w:val="00ED4F56"/>
    <w:rsid w:val="00ED5074"/>
    <w:rsid w:val="00ED5804"/>
    <w:rsid w:val="00ED5ED3"/>
    <w:rsid w:val="00ED6702"/>
    <w:rsid w:val="00ED6B84"/>
    <w:rsid w:val="00ED77D1"/>
    <w:rsid w:val="00ED7D2D"/>
    <w:rsid w:val="00EE04EB"/>
    <w:rsid w:val="00EE0E40"/>
    <w:rsid w:val="00EE0F03"/>
    <w:rsid w:val="00EE1C2C"/>
    <w:rsid w:val="00EE2866"/>
    <w:rsid w:val="00EE3634"/>
    <w:rsid w:val="00EE3744"/>
    <w:rsid w:val="00EE38ED"/>
    <w:rsid w:val="00EE3C87"/>
    <w:rsid w:val="00EE3DDF"/>
    <w:rsid w:val="00EE495C"/>
    <w:rsid w:val="00EE501A"/>
    <w:rsid w:val="00EE56DE"/>
    <w:rsid w:val="00EE6744"/>
    <w:rsid w:val="00EE6C26"/>
    <w:rsid w:val="00EE6CD2"/>
    <w:rsid w:val="00EE71E1"/>
    <w:rsid w:val="00EE7FB0"/>
    <w:rsid w:val="00EF0AAB"/>
    <w:rsid w:val="00EF0ECC"/>
    <w:rsid w:val="00EF1684"/>
    <w:rsid w:val="00EF1C87"/>
    <w:rsid w:val="00EF1E95"/>
    <w:rsid w:val="00EF221B"/>
    <w:rsid w:val="00EF4564"/>
    <w:rsid w:val="00EF4A13"/>
    <w:rsid w:val="00EF4AB0"/>
    <w:rsid w:val="00EF4D52"/>
    <w:rsid w:val="00EF5691"/>
    <w:rsid w:val="00EF5E2D"/>
    <w:rsid w:val="00EF60A0"/>
    <w:rsid w:val="00EF61DC"/>
    <w:rsid w:val="00EF6B75"/>
    <w:rsid w:val="00EF71A6"/>
    <w:rsid w:val="00F00B38"/>
    <w:rsid w:val="00F00D3B"/>
    <w:rsid w:val="00F010DE"/>
    <w:rsid w:val="00F018EC"/>
    <w:rsid w:val="00F01D65"/>
    <w:rsid w:val="00F01D73"/>
    <w:rsid w:val="00F026F6"/>
    <w:rsid w:val="00F02824"/>
    <w:rsid w:val="00F0389A"/>
    <w:rsid w:val="00F0394A"/>
    <w:rsid w:val="00F03C70"/>
    <w:rsid w:val="00F041B4"/>
    <w:rsid w:val="00F04347"/>
    <w:rsid w:val="00F04469"/>
    <w:rsid w:val="00F0453E"/>
    <w:rsid w:val="00F066E1"/>
    <w:rsid w:val="00F0714C"/>
    <w:rsid w:val="00F07B16"/>
    <w:rsid w:val="00F07EA2"/>
    <w:rsid w:val="00F1115F"/>
    <w:rsid w:val="00F11336"/>
    <w:rsid w:val="00F11524"/>
    <w:rsid w:val="00F11600"/>
    <w:rsid w:val="00F1181B"/>
    <w:rsid w:val="00F11B6A"/>
    <w:rsid w:val="00F12252"/>
    <w:rsid w:val="00F128EE"/>
    <w:rsid w:val="00F12E24"/>
    <w:rsid w:val="00F1323D"/>
    <w:rsid w:val="00F14084"/>
    <w:rsid w:val="00F14848"/>
    <w:rsid w:val="00F14A11"/>
    <w:rsid w:val="00F1674C"/>
    <w:rsid w:val="00F169CC"/>
    <w:rsid w:val="00F204BD"/>
    <w:rsid w:val="00F20588"/>
    <w:rsid w:val="00F20972"/>
    <w:rsid w:val="00F20AFD"/>
    <w:rsid w:val="00F221A6"/>
    <w:rsid w:val="00F2324C"/>
    <w:rsid w:val="00F25290"/>
    <w:rsid w:val="00F25390"/>
    <w:rsid w:val="00F2558D"/>
    <w:rsid w:val="00F2569F"/>
    <w:rsid w:val="00F25CBE"/>
    <w:rsid w:val="00F2633C"/>
    <w:rsid w:val="00F26567"/>
    <w:rsid w:val="00F26D56"/>
    <w:rsid w:val="00F272DD"/>
    <w:rsid w:val="00F2755C"/>
    <w:rsid w:val="00F3055F"/>
    <w:rsid w:val="00F30775"/>
    <w:rsid w:val="00F30E37"/>
    <w:rsid w:val="00F315B9"/>
    <w:rsid w:val="00F31747"/>
    <w:rsid w:val="00F31F94"/>
    <w:rsid w:val="00F321C4"/>
    <w:rsid w:val="00F3355D"/>
    <w:rsid w:val="00F3364A"/>
    <w:rsid w:val="00F337C4"/>
    <w:rsid w:val="00F34A4E"/>
    <w:rsid w:val="00F355AE"/>
    <w:rsid w:val="00F35602"/>
    <w:rsid w:val="00F35B57"/>
    <w:rsid w:val="00F35E87"/>
    <w:rsid w:val="00F37508"/>
    <w:rsid w:val="00F375DA"/>
    <w:rsid w:val="00F37874"/>
    <w:rsid w:val="00F40B20"/>
    <w:rsid w:val="00F41E5C"/>
    <w:rsid w:val="00F42091"/>
    <w:rsid w:val="00F43C62"/>
    <w:rsid w:val="00F43E07"/>
    <w:rsid w:val="00F44A95"/>
    <w:rsid w:val="00F44DE0"/>
    <w:rsid w:val="00F44EDB"/>
    <w:rsid w:val="00F45B3B"/>
    <w:rsid w:val="00F469BF"/>
    <w:rsid w:val="00F46B06"/>
    <w:rsid w:val="00F5182D"/>
    <w:rsid w:val="00F51AA9"/>
    <w:rsid w:val="00F51AFD"/>
    <w:rsid w:val="00F536E8"/>
    <w:rsid w:val="00F53B85"/>
    <w:rsid w:val="00F54279"/>
    <w:rsid w:val="00F54B92"/>
    <w:rsid w:val="00F5596D"/>
    <w:rsid w:val="00F55D35"/>
    <w:rsid w:val="00F564A2"/>
    <w:rsid w:val="00F56C18"/>
    <w:rsid w:val="00F56DD2"/>
    <w:rsid w:val="00F57649"/>
    <w:rsid w:val="00F57BF1"/>
    <w:rsid w:val="00F57FC3"/>
    <w:rsid w:val="00F60154"/>
    <w:rsid w:val="00F60BC2"/>
    <w:rsid w:val="00F611BA"/>
    <w:rsid w:val="00F6138F"/>
    <w:rsid w:val="00F61E02"/>
    <w:rsid w:val="00F629BA"/>
    <w:rsid w:val="00F63AE0"/>
    <w:rsid w:val="00F63B89"/>
    <w:rsid w:val="00F643AF"/>
    <w:rsid w:val="00F6479E"/>
    <w:rsid w:val="00F6575E"/>
    <w:rsid w:val="00F66419"/>
    <w:rsid w:val="00F71543"/>
    <w:rsid w:val="00F717E6"/>
    <w:rsid w:val="00F71D5C"/>
    <w:rsid w:val="00F725A2"/>
    <w:rsid w:val="00F72984"/>
    <w:rsid w:val="00F729B4"/>
    <w:rsid w:val="00F7377B"/>
    <w:rsid w:val="00F73789"/>
    <w:rsid w:val="00F73B9F"/>
    <w:rsid w:val="00F74091"/>
    <w:rsid w:val="00F74201"/>
    <w:rsid w:val="00F74220"/>
    <w:rsid w:val="00F757A5"/>
    <w:rsid w:val="00F762CA"/>
    <w:rsid w:val="00F76559"/>
    <w:rsid w:val="00F801BC"/>
    <w:rsid w:val="00F81146"/>
    <w:rsid w:val="00F812B7"/>
    <w:rsid w:val="00F81495"/>
    <w:rsid w:val="00F81C6A"/>
    <w:rsid w:val="00F821E9"/>
    <w:rsid w:val="00F826DA"/>
    <w:rsid w:val="00F82BA9"/>
    <w:rsid w:val="00F84C7D"/>
    <w:rsid w:val="00F859CB"/>
    <w:rsid w:val="00F86A8B"/>
    <w:rsid w:val="00F86B87"/>
    <w:rsid w:val="00F86F4D"/>
    <w:rsid w:val="00F87025"/>
    <w:rsid w:val="00F9039D"/>
    <w:rsid w:val="00F91813"/>
    <w:rsid w:val="00F92649"/>
    <w:rsid w:val="00F92A0F"/>
    <w:rsid w:val="00F94C4A"/>
    <w:rsid w:val="00F962DA"/>
    <w:rsid w:val="00F967BE"/>
    <w:rsid w:val="00F9683A"/>
    <w:rsid w:val="00F96DF2"/>
    <w:rsid w:val="00F96E64"/>
    <w:rsid w:val="00F9711F"/>
    <w:rsid w:val="00F97319"/>
    <w:rsid w:val="00F97457"/>
    <w:rsid w:val="00F978F1"/>
    <w:rsid w:val="00FA0995"/>
    <w:rsid w:val="00FA09BD"/>
    <w:rsid w:val="00FA1604"/>
    <w:rsid w:val="00FA1CC5"/>
    <w:rsid w:val="00FA1F2E"/>
    <w:rsid w:val="00FA2005"/>
    <w:rsid w:val="00FA2A87"/>
    <w:rsid w:val="00FA47F2"/>
    <w:rsid w:val="00FA5C17"/>
    <w:rsid w:val="00FA5E1C"/>
    <w:rsid w:val="00FA616C"/>
    <w:rsid w:val="00FA6506"/>
    <w:rsid w:val="00FA6649"/>
    <w:rsid w:val="00FA6BD0"/>
    <w:rsid w:val="00FA6C2A"/>
    <w:rsid w:val="00FA7460"/>
    <w:rsid w:val="00FA74AA"/>
    <w:rsid w:val="00FA757A"/>
    <w:rsid w:val="00FB0103"/>
    <w:rsid w:val="00FB04FB"/>
    <w:rsid w:val="00FB0595"/>
    <w:rsid w:val="00FB0E61"/>
    <w:rsid w:val="00FB1119"/>
    <w:rsid w:val="00FB1ACD"/>
    <w:rsid w:val="00FB2B42"/>
    <w:rsid w:val="00FB314B"/>
    <w:rsid w:val="00FB3402"/>
    <w:rsid w:val="00FB348B"/>
    <w:rsid w:val="00FB3615"/>
    <w:rsid w:val="00FB384A"/>
    <w:rsid w:val="00FB42E1"/>
    <w:rsid w:val="00FB47C0"/>
    <w:rsid w:val="00FB5FEF"/>
    <w:rsid w:val="00FB61AD"/>
    <w:rsid w:val="00FB6489"/>
    <w:rsid w:val="00FB6B61"/>
    <w:rsid w:val="00FB713A"/>
    <w:rsid w:val="00FB7907"/>
    <w:rsid w:val="00FB7FB1"/>
    <w:rsid w:val="00FC06B6"/>
    <w:rsid w:val="00FC0BE0"/>
    <w:rsid w:val="00FC0DE6"/>
    <w:rsid w:val="00FC0EEF"/>
    <w:rsid w:val="00FC1057"/>
    <w:rsid w:val="00FC13C0"/>
    <w:rsid w:val="00FC15B2"/>
    <w:rsid w:val="00FC1C01"/>
    <w:rsid w:val="00FC1CE3"/>
    <w:rsid w:val="00FC240E"/>
    <w:rsid w:val="00FC2B71"/>
    <w:rsid w:val="00FC2B7C"/>
    <w:rsid w:val="00FC2EB6"/>
    <w:rsid w:val="00FC35A0"/>
    <w:rsid w:val="00FC397D"/>
    <w:rsid w:val="00FC421E"/>
    <w:rsid w:val="00FC54A1"/>
    <w:rsid w:val="00FC57F2"/>
    <w:rsid w:val="00FC60FA"/>
    <w:rsid w:val="00FC65BE"/>
    <w:rsid w:val="00FC692C"/>
    <w:rsid w:val="00FD0A8B"/>
    <w:rsid w:val="00FD0ABA"/>
    <w:rsid w:val="00FD0B2E"/>
    <w:rsid w:val="00FD102F"/>
    <w:rsid w:val="00FD171C"/>
    <w:rsid w:val="00FD1750"/>
    <w:rsid w:val="00FD1F33"/>
    <w:rsid w:val="00FD22BC"/>
    <w:rsid w:val="00FD22F6"/>
    <w:rsid w:val="00FD3206"/>
    <w:rsid w:val="00FD372B"/>
    <w:rsid w:val="00FD39E7"/>
    <w:rsid w:val="00FD3AB9"/>
    <w:rsid w:val="00FD3F0B"/>
    <w:rsid w:val="00FD4376"/>
    <w:rsid w:val="00FD55AC"/>
    <w:rsid w:val="00FD5678"/>
    <w:rsid w:val="00FD5735"/>
    <w:rsid w:val="00FD64D6"/>
    <w:rsid w:val="00FD6750"/>
    <w:rsid w:val="00FD6986"/>
    <w:rsid w:val="00FD6CFB"/>
    <w:rsid w:val="00FD6F5D"/>
    <w:rsid w:val="00FD7449"/>
    <w:rsid w:val="00FD7592"/>
    <w:rsid w:val="00FD782E"/>
    <w:rsid w:val="00FE01AE"/>
    <w:rsid w:val="00FE04CB"/>
    <w:rsid w:val="00FE07A7"/>
    <w:rsid w:val="00FE09EB"/>
    <w:rsid w:val="00FE1A26"/>
    <w:rsid w:val="00FE1B77"/>
    <w:rsid w:val="00FE1F42"/>
    <w:rsid w:val="00FE28C0"/>
    <w:rsid w:val="00FE2D04"/>
    <w:rsid w:val="00FE2F05"/>
    <w:rsid w:val="00FE32E5"/>
    <w:rsid w:val="00FE3554"/>
    <w:rsid w:val="00FE4613"/>
    <w:rsid w:val="00FE47B2"/>
    <w:rsid w:val="00FE4DDC"/>
    <w:rsid w:val="00FE551E"/>
    <w:rsid w:val="00FE586F"/>
    <w:rsid w:val="00FE5A39"/>
    <w:rsid w:val="00FE6ADE"/>
    <w:rsid w:val="00FE6B44"/>
    <w:rsid w:val="00FE6CC1"/>
    <w:rsid w:val="00FE723B"/>
    <w:rsid w:val="00FE774A"/>
    <w:rsid w:val="00FF040B"/>
    <w:rsid w:val="00FF0B4F"/>
    <w:rsid w:val="00FF1261"/>
    <w:rsid w:val="00FF12FC"/>
    <w:rsid w:val="00FF2460"/>
    <w:rsid w:val="00FF289A"/>
    <w:rsid w:val="00FF3142"/>
    <w:rsid w:val="00FF3B7E"/>
    <w:rsid w:val="00FF4ACF"/>
    <w:rsid w:val="00FF5668"/>
    <w:rsid w:val="00FF634E"/>
    <w:rsid w:val="00FF6648"/>
    <w:rsid w:val="00FF68AE"/>
    <w:rsid w:val="00FF7082"/>
    <w:rsid w:val="00FF7E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5448B7"/>
  <w15:docId w15:val="{4708F96A-8BE5-4390-A377-8E83F31B6A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50EC"/>
    <w:pPr>
      <w:jc w:val="both"/>
    </w:pPr>
    <w:rPr>
      <w:color w:val="44546A" w:themeColor="text2"/>
      <w:sz w:val="20"/>
    </w:rPr>
  </w:style>
  <w:style w:type="paragraph" w:styleId="Heading1">
    <w:name w:val="heading 1"/>
    <w:basedOn w:val="Normal"/>
    <w:next w:val="Normal"/>
    <w:link w:val="Heading1Char"/>
    <w:uiPriority w:val="9"/>
    <w:qFormat/>
    <w:rsid w:val="00AF235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Podnaslov 2"/>
    <w:basedOn w:val="Normal"/>
    <w:next w:val="Normal"/>
    <w:link w:val="Heading2Char"/>
    <w:uiPriority w:val="9"/>
    <w:unhideWhenUsed/>
    <w:qFormat/>
    <w:rsid w:val="009306C3"/>
    <w:pPr>
      <w:keepNext/>
      <w:keepLines/>
      <w:spacing w:before="40" w:after="0"/>
      <w:jc w:val="center"/>
      <w:outlineLvl w:val="1"/>
    </w:pPr>
    <w:rPr>
      <w:rFonts w:ascii="Calibri" w:eastAsiaTheme="majorEastAsia" w:hAnsi="Calibri" w:cstheme="majorBidi"/>
      <w:b/>
      <w:color w:val="2F5496" w:themeColor="accent1" w:themeShade="BF"/>
      <w:sz w:val="24"/>
      <w:szCs w:val="26"/>
    </w:rPr>
  </w:style>
  <w:style w:type="paragraph" w:styleId="Heading3">
    <w:name w:val="heading 3"/>
    <w:basedOn w:val="Normal"/>
    <w:next w:val="Normal"/>
    <w:link w:val="Heading3Char"/>
    <w:uiPriority w:val="9"/>
    <w:unhideWhenUsed/>
    <w:qFormat/>
    <w:rsid w:val="002F5C6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BD4B78"/>
    <w:pPr>
      <w:keepNext/>
      <w:keepLines/>
      <w:spacing w:before="40" w:after="0" w:line="240" w:lineRule="auto"/>
      <w:jc w:val="left"/>
      <w:outlineLvl w:val="3"/>
    </w:pPr>
    <w:rPr>
      <w:rFonts w:asciiTheme="majorHAnsi" w:eastAsiaTheme="majorEastAsia" w:hAnsiTheme="majorHAnsi" w:cstheme="majorBidi"/>
      <w:i/>
      <w:iCs/>
      <w:color w:val="1F3864" w:themeColor="accent1" w:themeShade="80"/>
      <w:sz w:val="22"/>
    </w:rPr>
  </w:style>
  <w:style w:type="paragraph" w:styleId="Heading5">
    <w:name w:val="heading 5"/>
    <w:basedOn w:val="Normal"/>
    <w:next w:val="Normal"/>
    <w:link w:val="Heading5Char"/>
    <w:uiPriority w:val="9"/>
    <w:unhideWhenUsed/>
    <w:qFormat/>
    <w:rsid w:val="00BD4B78"/>
    <w:pPr>
      <w:keepNext/>
      <w:keepLines/>
      <w:spacing w:before="40" w:after="0" w:line="240" w:lineRule="auto"/>
      <w:jc w:val="left"/>
      <w:outlineLvl w:val="4"/>
    </w:pPr>
    <w:rPr>
      <w:rFonts w:asciiTheme="majorHAnsi" w:eastAsiaTheme="majorEastAsia" w:hAnsiTheme="majorHAnsi" w:cstheme="majorBidi"/>
      <w:color w:val="1F3864" w:themeColor="accent1" w:themeShade="80"/>
      <w:sz w:val="22"/>
    </w:rPr>
  </w:style>
  <w:style w:type="paragraph" w:styleId="Heading6">
    <w:name w:val="heading 6"/>
    <w:basedOn w:val="Normal"/>
    <w:next w:val="Normal"/>
    <w:link w:val="Heading6Char"/>
    <w:uiPriority w:val="9"/>
    <w:unhideWhenUsed/>
    <w:qFormat/>
    <w:rsid w:val="00BD4B78"/>
    <w:pPr>
      <w:keepNext/>
      <w:keepLines/>
      <w:spacing w:before="40" w:after="0" w:line="240" w:lineRule="auto"/>
      <w:jc w:val="left"/>
      <w:outlineLvl w:val="5"/>
    </w:pPr>
    <w:rPr>
      <w:rFonts w:asciiTheme="majorHAnsi" w:eastAsiaTheme="majorEastAsia" w:hAnsiTheme="majorHAnsi" w:cstheme="majorBidi"/>
      <w:color w:val="1F3763" w:themeColor="accent1" w:themeShade="7F"/>
      <w:sz w:val="22"/>
    </w:rPr>
  </w:style>
  <w:style w:type="paragraph" w:styleId="Heading7">
    <w:name w:val="heading 7"/>
    <w:basedOn w:val="Normal"/>
    <w:next w:val="Normal"/>
    <w:link w:val="Heading7Char"/>
    <w:uiPriority w:val="9"/>
    <w:unhideWhenUsed/>
    <w:qFormat/>
    <w:rsid w:val="00BD4B78"/>
    <w:pPr>
      <w:keepNext/>
      <w:keepLines/>
      <w:spacing w:before="40" w:after="0" w:line="240" w:lineRule="auto"/>
      <w:jc w:val="left"/>
      <w:outlineLvl w:val="6"/>
    </w:pPr>
    <w:rPr>
      <w:rFonts w:asciiTheme="majorHAnsi" w:eastAsiaTheme="majorEastAsia" w:hAnsiTheme="majorHAnsi" w:cstheme="majorBidi"/>
      <w:i/>
      <w:iCs/>
      <w:color w:val="1F3763" w:themeColor="accent1" w:themeShade="7F"/>
      <w:sz w:val="22"/>
    </w:rPr>
  </w:style>
  <w:style w:type="paragraph" w:styleId="Heading8">
    <w:name w:val="heading 8"/>
    <w:basedOn w:val="Normal"/>
    <w:next w:val="Normal"/>
    <w:link w:val="Heading8Char"/>
    <w:uiPriority w:val="9"/>
    <w:unhideWhenUsed/>
    <w:qFormat/>
    <w:rsid w:val="00BD4B78"/>
    <w:pPr>
      <w:keepNext/>
      <w:keepLines/>
      <w:spacing w:before="40" w:after="0" w:line="240" w:lineRule="auto"/>
      <w:jc w:val="left"/>
      <w:outlineLvl w:val="7"/>
    </w:pPr>
    <w:rPr>
      <w:rFonts w:asciiTheme="majorHAnsi" w:eastAsiaTheme="majorEastAsia" w:hAnsiTheme="majorHAnsi" w:cstheme="majorBidi"/>
      <w:color w:val="272727" w:themeColor="text1" w:themeTint="D8"/>
      <w:sz w:val="22"/>
      <w:szCs w:val="21"/>
    </w:rPr>
  </w:style>
  <w:style w:type="paragraph" w:styleId="Heading9">
    <w:name w:val="heading 9"/>
    <w:basedOn w:val="Normal"/>
    <w:next w:val="Normal"/>
    <w:link w:val="Heading9Char"/>
    <w:uiPriority w:val="9"/>
    <w:unhideWhenUsed/>
    <w:qFormat/>
    <w:rsid w:val="00BD4B78"/>
    <w:pPr>
      <w:keepNext/>
      <w:keepLines/>
      <w:spacing w:before="40" w:after="0" w:line="240" w:lineRule="auto"/>
      <w:jc w:val="left"/>
      <w:outlineLvl w:val="8"/>
    </w:pPr>
    <w:rPr>
      <w:rFonts w:asciiTheme="majorHAnsi" w:eastAsiaTheme="majorEastAsia" w:hAnsiTheme="majorHAnsi" w:cstheme="majorBidi"/>
      <w:i/>
      <w:iCs/>
      <w:color w:val="272727" w:themeColor="text1" w:themeTint="D8"/>
      <w:sz w:val="22"/>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70694"/>
    <w:pPr>
      <w:autoSpaceDE w:val="0"/>
      <w:autoSpaceDN w:val="0"/>
      <w:adjustRightInd w:val="0"/>
      <w:spacing w:after="0" w:line="240" w:lineRule="auto"/>
    </w:pPr>
    <w:rPr>
      <w:rFonts w:ascii="Cambria" w:hAnsi="Cambria" w:cs="Cambria"/>
      <w:color w:val="000000"/>
      <w:sz w:val="24"/>
      <w:szCs w:val="24"/>
    </w:rPr>
  </w:style>
  <w:style w:type="paragraph" w:styleId="Header">
    <w:name w:val="header"/>
    <w:basedOn w:val="Normal"/>
    <w:link w:val="HeaderChar"/>
    <w:uiPriority w:val="99"/>
    <w:unhideWhenUsed/>
    <w:rsid w:val="00BF7F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7F6A"/>
  </w:style>
  <w:style w:type="paragraph" w:styleId="Footer">
    <w:name w:val="footer"/>
    <w:basedOn w:val="Normal"/>
    <w:link w:val="FooterChar"/>
    <w:uiPriority w:val="99"/>
    <w:unhideWhenUsed/>
    <w:rsid w:val="00BF7F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7F6A"/>
  </w:style>
  <w:style w:type="character" w:customStyle="1" w:styleId="Heading1Char">
    <w:name w:val="Heading 1 Char"/>
    <w:basedOn w:val="DefaultParagraphFont"/>
    <w:link w:val="Heading1"/>
    <w:uiPriority w:val="9"/>
    <w:rsid w:val="00AF235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F2359"/>
    <w:pPr>
      <w:outlineLvl w:val="9"/>
    </w:pPr>
  </w:style>
  <w:style w:type="paragraph" w:styleId="TOC1">
    <w:name w:val="toc 1"/>
    <w:basedOn w:val="Normal"/>
    <w:next w:val="Normal"/>
    <w:autoRedefine/>
    <w:uiPriority w:val="39"/>
    <w:unhideWhenUsed/>
    <w:rsid w:val="005311D2"/>
    <w:pPr>
      <w:tabs>
        <w:tab w:val="left" w:pos="270"/>
        <w:tab w:val="right" w:leader="dot" w:pos="9350"/>
      </w:tabs>
      <w:spacing w:after="100"/>
      <w:ind w:firstLine="180"/>
    </w:pPr>
    <w:rPr>
      <w:rFonts w:cstheme="minorHAnsi"/>
      <w:b/>
      <w:bCs/>
      <w:noProof/>
      <w:szCs w:val="20"/>
      <w:lang w:val="sr-Cyrl-RS"/>
    </w:rPr>
  </w:style>
  <w:style w:type="character" w:styleId="Hyperlink">
    <w:name w:val="Hyperlink"/>
    <w:basedOn w:val="DefaultParagraphFont"/>
    <w:uiPriority w:val="99"/>
    <w:unhideWhenUsed/>
    <w:rsid w:val="00AF2359"/>
    <w:rPr>
      <w:color w:val="0563C1" w:themeColor="hyperlink"/>
      <w:u w:val="single"/>
    </w:rPr>
  </w:style>
  <w:style w:type="character" w:customStyle="1" w:styleId="Heading2Char">
    <w:name w:val="Heading 2 Char"/>
    <w:aliases w:val="Podnaslov 2 Char"/>
    <w:basedOn w:val="DefaultParagraphFont"/>
    <w:link w:val="Heading2"/>
    <w:uiPriority w:val="9"/>
    <w:rsid w:val="009306C3"/>
    <w:rPr>
      <w:rFonts w:ascii="Calibri" w:eastAsiaTheme="majorEastAsia" w:hAnsi="Calibri" w:cstheme="majorBidi"/>
      <w:b/>
      <w:color w:val="2F5496" w:themeColor="accent1" w:themeShade="BF"/>
      <w:sz w:val="24"/>
      <w:szCs w:val="26"/>
    </w:rPr>
  </w:style>
  <w:style w:type="table" w:styleId="TableGrid">
    <w:name w:val="Table Grid"/>
    <w:basedOn w:val="TableNormal"/>
    <w:uiPriority w:val="39"/>
    <w:rsid w:val="00AF7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72065C"/>
    <w:pPr>
      <w:tabs>
        <w:tab w:val="right" w:leader="dot" w:pos="9350"/>
      </w:tabs>
      <w:spacing w:after="100"/>
      <w:ind w:left="220"/>
    </w:pPr>
    <w:rPr>
      <w:rFonts w:eastAsia="MS PGothic" w:cstheme="minorHAnsi"/>
      <w:b/>
      <w:noProof/>
      <w:lang w:val="sr-Cyrl-RS" w:eastAsia="ja-JP"/>
    </w:rPr>
  </w:style>
  <w:style w:type="paragraph" w:styleId="FootnoteText">
    <w:name w:val="footnote text"/>
    <w:aliases w:val="Footnote Text Char Char Char,Footnote Text Char Char,single space,footnote text,fn,FOOTNOTES,ADB,Footnote Text Char Char Char Char Char,Footnote Text Char Char1,ft,Texto nota pie Car,ft Car,ft Car Car,Texto nota pie2,ft1,f,A,fn1"/>
    <w:basedOn w:val="Normal"/>
    <w:link w:val="FootnoteTextChar"/>
    <w:uiPriority w:val="99"/>
    <w:unhideWhenUsed/>
    <w:qFormat/>
    <w:rsid w:val="005556DC"/>
    <w:pPr>
      <w:spacing w:after="0" w:line="240" w:lineRule="auto"/>
    </w:pPr>
    <w:rPr>
      <w:szCs w:val="20"/>
    </w:rPr>
  </w:style>
  <w:style w:type="character" w:customStyle="1" w:styleId="FootnoteTextChar">
    <w:name w:val="Footnote Text Char"/>
    <w:aliases w:val="Footnote Text Char Char Char Char,Footnote Text Char Char Char1,single space Char,footnote text Char,fn Char,FOOTNOTES Char,ADB Char,Footnote Text Char Char Char Char Char Char,Footnote Text Char Char1 Char,ft Char,ft Car Char,f Char"/>
    <w:basedOn w:val="DefaultParagraphFont"/>
    <w:link w:val="FootnoteText"/>
    <w:uiPriority w:val="99"/>
    <w:qFormat/>
    <w:rsid w:val="005556DC"/>
    <w:rPr>
      <w:sz w:val="20"/>
      <w:szCs w:val="20"/>
    </w:rPr>
  </w:style>
  <w:style w:type="character" w:styleId="FootnoteReference">
    <w:name w:val="footnote reference"/>
    <w:aliases w:val="ftref,Normal + Font:9 Point,Superscript 3 Point Times,SUPERS,EN Footnote Reference,number,Char Char,BVI fnr,Footnote symbol,Footnote reference number,note TESI,ftref Char,BVI fnr Char,BVI fnr Car Char,Char Char Car Char,16 Point Char"/>
    <w:basedOn w:val="DefaultParagraphFont"/>
    <w:link w:val="NumPar1"/>
    <w:uiPriority w:val="99"/>
    <w:unhideWhenUsed/>
    <w:qFormat/>
    <w:rsid w:val="005556DC"/>
    <w:rPr>
      <w:vertAlign w:val="superscript"/>
    </w:rPr>
  </w:style>
  <w:style w:type="character" w:customStyle="1" w:styleId="Hyperlink1">
    <w:name w:val="Hyperlink1"/>
    <w:basedOn w:val="DefaultParagraphFont"/>
    <w:uiPriority w:val="99"/>
    <w:unhideWhenUsed/>
    <w:rsid w:val="005556DC"/>
    <w:rPr>
      <w:color w:val="0563C1"/>
      <w:u w:val="single"/>
    </w:rPr>
  </w:style>
  <w:style w:type="paragraph" w:styleId="Caption">
    <w:name w:val="caption"/>
    <w:basedOn w:val="Normal"/>
    <w:next w:val="Normal"/>
    <w:uiPriority w:val="35"/>
    <w:unhideWhenUsed/>
    <w:qFormat/>
    <w:rsid w:val="004B197B"/>
    <w:pPr>
      <w:jc w:val="center"/>
    </w:pPr>
    <w:rPr>
      <w:b/>
      <w:iCs/>
      <w:color w:val="002060"/>
      <w:szCs w:val="18"/>
    </w:rPr>
  </w:style>
  <w:style w:type="table" w:customStyle="1" w:styleId="GridTable5Dark-Accent51">
    <w:name w:val="Grid Table 5 Dark - Accent 51"/>
    <w:basedOn w:val="TableNormal"/>
    <w:uiPriority w:val="50"/>
    <w:rsid w:val="0043518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
    <w:name w:val="Light Shading - Accent 333"/>
    <w:basedOn w:val="TableNormal"/>
    <w:next w:val="LightShading-Accent3"/>
    <w:uiPriority w:val="60"/>
    <w:rsid w:val="00CB0452"/>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3">
    <w:name w:val="Light Shading Accent 3"/>
    <w:basedOn w:val="TableNormal"/>
    <w:uiPriority w:val="60"/>
    <w:semiHidden/>
    <w:unhideWhenUsed/>
    <w:rsid w:val="00CB045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CommentReference">
    <w:name w:val="annotation reference"/>
    <w:basedOn w:val="DefaultParagraphFont"/>
    <w:uiPriority w:val="99"/>
    <w:semiHidden/>
    <w:unhideWhenUsed/>
    <w:rsid w:val="00CB0452"/>
    <w:rPr>
      <w:sz w:val="16"/>
      <w:szCs w:val="16"/>
    </w:rPr>
  </w:style>
  <w:style w:type="paragraph" w:styleId="CommentText">
    <w:name w:val="annotation text"/>
    <w:basedOn w:val="Normal"/>
    <w:link w:val="CommentTextChar"/>
    <w:uiPriority w:val="99"/>
    <w:unhideWhenUsed/>
    <w:rsid w:val="00CB0452"/>
    <w:pPr>
      <w:spacing w:line="240" w:lineRule="auto"/>
    </w:pPr>
    <w:rPr>
      <w:szCs w:val="20"/>
    </w:rPr>
  </w:style>
  <w:style w:type="character" w:customStyle="1" w:styleId="CommentTextChar">
    <w:name w:val="Comment Text Char"/>
    <w:basedOn w:val="DefaultParagraphFont"/>
    <w:link w:val="CommentText"/>
    <w:uiPriority w:val="99"/>
    <w:rsid w:val="00CB0452"/>
    <w:rPr>
      <w:sz w:val="20"/>
      <w:szCs w:val="20"/>
    </w:rPr>
  </w:style>
  <w:style w:type="paragraph" w:styleId="CommentSubject">
    <w:name w:val="annotation subject"/>
    <w:basedOn w:val="CommentText"/>
    <w:next w:val="CommentText"/>
    <w:link w:val="CommentSubjectChar"/>
    <w:uiPriority w:val="99"/>
    <w:semiHidden/>
    <w:unhideWhenUsed/>
    <w:rsid w:val="00CB0452"/>
    <w:rPr>
      <w:b/>
      <w:bCs/>
    </w:rPr>
  </w:style>
  <w:style w:type="character" w:customStyle="1" w:styleId="CommentSubjectChar">
    <w:name w:val="Comment Subject Char"/>
    <w:basedOn w:val="CommentTextChar"/>
    <w:link w:val="CommentSubject"/>
    <w:uiPriority w:val="99"/>
    <w:semiHidden/>
    <w:rsid w:val="00CB0452"/>
    <w:rPr>
      <w:b/>
      <w:bCs/>
      <w:sz w:val="20"/>
      <w:szCs w:val="20"/>
    </w:rPr>
  </w:style>
  <w:style w:type="paragraph" w:styleId="BalloonText">
    <w:name w:val="Balloon Text"/>
    <w:basedOn w:val="Normal"/>
    <w:link w:val="BalloonTextChar"/>
    <w:uiPriority w:val="99"/>
    <w:semiHidden/>
    <w:unhideWhenUsed/>
    <w:rsid w:val="00CB045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0452"/>
    <w:rPr>
      <w:rFonts w:ascii="Segoe UI" w:hAnsi="Segoe UI" w:cs="Segoe UI"/>
      <w:sz w:val="18"/>
      <w:szCs w:val="18"/>
    </w:rPr>
  </w:style>
  <w:style w:type="table" w:customStyle="1" w:styleId="TableGrid2">
    <w:name w:val="Table Grid2"/>
    <w:basedOn w:val="TableNormal"/>
    <w:next w:val="TableGrid"/>
    <w:uiPriority w:val="39"/>
    <w:rsid w:val="008E6892"/>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paragraph" w:styleId="ListParagraph">
    <w:name w:val="List Paragraph"/>
    <w:basedOn w:val="Normal"/>
    <w:link w:val="ListParagraphChar"/>
    <w:uiPriority w:val="34"/>
    <w:qFormat/>
    <w:rsid w:val="0001456F"/>
    <w:pPr>
      <w:ind w:left="720"/>
      <w:contextualSpacing/>
    </w:pPr>
  </w:style>
  <w:style w:type="character" w:customStyle="1" w:styleId="UnresolvedMention1">
    <w:name w:val="Unresolved Mention1"/>
    <w:basedOn w:val="DefaultParagraphFont"/>
    <w:uiPriority w:val="99"/>
    <w:semiHidden/>
    <w:unhideWhenUsed/>
    <w:rsid w:val="002C1D90"/>
    <w:rPr>
      <w:color w:val="605E5C"/>
      <w:shd w:val="clear" w:color="auto" w:fill="E1DFDD"/>
    </w:rPr>
  </w:style>
  <w:style w:type="table" w:customStyle="1" w:styleId="LightShading-Accent335">
    <w:name w:val="Light Shading - Accent 335"/>
    <w:basedOn w:val="TableNormal"/>
    <w:next w:val="LightShading-Accent3"/>
    <w:uiPriority w:val="60"/>
    <w:rsid w:val="009877EB"/>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
    <w:name w:val="No List1"/>
    <w:next w:val="NoList"/>
    <w:uiPriority w:val="99"/>
    <w:semiHidden/>
    <w:unhideWhenUsed/>
    <w:rsid w:val="00BA4876"/>
  </w:style>
  <w:style w:type="table" w:customStyle="1" w:styleId="TableGrid1">
    <w:name w:val="Table Grid1"/>
    <w:basedOn w:val="TableNormal"/>
    <w:next w:val="TableGrid"/>
    <w:uiPriority w:val="59"/>
    <w:rsid w:val="00BA48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8">
    <w:name w:val="Grid Table 5 Dark - Accent 518"/>
    <w:basedOn w:val="TableNormal"/>
    <w:next w:val="GridTable5Dark-Accent51"/>
    <w:uiPriority w:val="50"/>
    <w:rsid w:val="00BA487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
    <w:name w:val="Light Shading - Accent 3331"/>
    <w:basedOn w:val="TableNormal"/>
    <w:next w:val="LightShading-Accent3"/>
    <w:uiPriority w:val="60"/>
    <w:rsid w:val="00BA487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
    <w:name w:val="Light Shading - Accent 31"/>
    <w:basedOn w:val="TableNormal"/>
    <w:next w:val="LightShading-Accent3"/>
    <w:uiPriority w:val="60"/>
    <w:semiHidden/>
    <w:unhideWhenUsed/>
    <w:rsid w:val="00BA4876"/>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
    <w:name w:val="Table Grid21"/>
    <w:basedOn w:val="TableNormal"/>
    <w:next w:val="TableGrid"/>
    <w:uiPriority w:val="39"/>
    <w:rsid w:val="00BA4876"/>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
    <w:name w:val="Light Shading - Accent 12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
    <w:name w:val="Light Shading - Accent 12"/>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Spacing">
    <w:name w:val="No Spacing"/>
    <w:aliases w:val="Uvodna rečenica"/>
    <w:uiPriority w:val="1"/>
    <w:qFormat/>
    <w:rsid w:val="00BA4876"/>
    <w:pPr>
      <w:spacing w:after="0" w:line="240" w:lineRule="auto"/>
      <w:jc w:val="both"/>
    </w:pPr>
    <w:rPr>
      <w:b/>
      <w:color w:val="2F5496" w:themeColor="accent1" w:themeShade="BF"/>
      <w:sz w:val="20"/>
    </w:rPr>
  </w:style>
  <w:style w:type="table" w:customStyle="1" w:styleId="LightShading-Accent3351">
    <w:name w:val="Light Shading - Accent 3351"/>
    <w:basedOn w:val="TableNormal"/>
    <w:next w:val="LightShading-Accent3"/>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
    <w:name w:val="Light Shading - Accent 1221"/>
    <w:basedOn w:val="TableNormal"/>
    <w:uiPriority w:val="60"/>
    <w:rsid w:val="00BA4876"/>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rmalWeb">
    <w:name w:val="Normal (Web)"/>
    <w:basedOn w:val="Normal"/>
    <w:uiPriority w:val="99"/>
    <w:semiHidden/>
    <w:unhideWhenUsed/>
    <w:rsid w:val="00BA48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34"/>
    <w:locked/>
    <w:rsid w:val="00BA4876"/>
  </w:style>
  <w:style w:type="table" w:customStyle="1" w:styleId="LightShading-Accent1211">
    <w:name w:val="Light Shading - Accent 121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
    <w:name w:val="List Table 6 Colorful - Accent 61"/>
    <w:basedOn w:val="TableNormal"/>
    <w:uiPriority w:val="51"/>
    <w:rsid w:val="00BA4876"/>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yperlink2">
    <w:name w:val="Hyperlink2"/>
    <w:basedOn w:val="DefaultParagraphFont"/>
    <w:uiPriority w:val="99"/>
    <w:rsid w:val="00BA4876"/>
    <w:rPr>
      <w:color w:val="0563C1"/>
      <w:u w:val="single"/>
    </w:rPr>
  </w:style>
  <w:style w:type="table" w:customStyle="1" w:styleId="ListTable1Light-Accent61">
    <w:name w:val="List Table 1 Light - Accent 61"/>
    <w:basedOn w:val="TableNormal"/>
    <w:uiPriority w:val="46"/>
    <w:rsid w:val="00BA4876"/>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
    <w:name w:val="Light Shading - Accent 336"/>
    <w:basedOn w:val="TableNormal"/>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2">
    <w:name w:val="Unresolved Mention2"/>
    <w:basedOn w:val="DefaultParagraphFont"/>
    <w:uiPriority w:val="99"/>
    <w:semiHidden/>
    <w:unhideWhenUsed/>
    <w:rsid w:val="00BA4876"/>
    <w:rPr>
      <w:color w:val="605E5C"/>
      <w:shd w:val="clear" w:color="auto" w:fill="E1DFDD"/>
    </w:rPr>
  </w:style>
  <w:style w:type="table" w:customStyle="1" w:styleId="LightShading-Accent337">
    <w:name w:val="Light Shading - Accent 337"/>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
    <w:name w:val="Light Shading - Accent 338"/>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3">
    <w:name w:val="Unresolved Mention3"/>
    <w:basedOn w:val="DefaultParagraphFont"/>
    <w:uiPriority w:val="99"/>
    <w:semiHidden/>
    <w:unhideWhenUsed/>
    <w:rsid w:val="001E3C08"/>
    <w:rPr>
      <w:color w:val="605E5C"/>
      <w:shd w:val="clear" w:color="auto" w:fill="E1DFDD"/>
    </w:rPr>
  </w:style>
  <w:style w:type="table" w:customStyle="1" w:styleId="LightShading-Accent3371">
    <w:name w:val="Light Shading - Accent 337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
    <w:name w:val="No List2"/>
    <w:next w:val="NoList"/>
    <w:uiPriority w:val="99"/>
    <w:semiHidden/>
    <w:unhideWhenUsed/>
    <w:rsid w:val="005C34A0"/>
  </w:style>
  <w:style w:type="table" w:customStyle="1" w:styleId="TableGrid3">
    <w:name w:val="Table Grid3"/>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
    <w:name w:val="Grid Table 5 Dark - Accent 52"/>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
    <w:name w:val="Light Shading - Accent 3332"/>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
    <w:name w:val="Light Shading - Accent 32"/>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
    <w:name w:val="Table Grid22"/>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
    <w:name w:val="Light Shading - Accent 3352"/>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
    <w:name w:val="No List11"/>
    <w:next w:val="NoList"/>
    <w:uiPriority w:val="99"/>
    <w:semiHidden/>
    <w:unhideWhenUsed/>
    <w:rsid w:val="005C34A0"/>
  </w:style>
  <w:style w:type="table" w:customStyle="1" w:styleId="TableGrid11">
    <w:name w:val="Table Grid11"/>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
    <w:name w:val="Grid Table 5 Dark - Accent 511"/>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
    <w:name w:val="Light Shading - Accent 33311"/>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
    <w:name w:val="Light Shading - Accent 311"/>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
    <w:name w:val="Table Grid211"/>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
    <w:name w:val="Light Shading - Accent 121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
    <w:name w:val="Light Shading - Accent 12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
    <w:name w:val="Light Shading - Accent 33511"/>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
    <w:name w:val="Light Shading - Accent 12211"/>
    <w:basedOn w:val="TableNormal"/>
    <w:uiPriority w:val="60"/>
    <w:rsid w:val="005C34A0"/>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
    <w:name w:val="Light Shading - Accent 12111"/>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7">
    <w:name w:val="List Table 6 Colorful - Accent 617"/>
    <w:basedOn w:val="TableNormal"/>
    <w:next w:val="ListTable6Colorful-Accent61"/>
    <w:uiPriority w:val="51"/>
    <w:rsid w:val="005C34A0"/>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
    <w:name w:val="List Table 1 Light - Accent 611"/>
    <w:basedOn w:val="TableNormal"/>
    <w:uiPriority w:val="46"/>
    <w:rsid w:val="005C34A0"/>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
    <w:name w:val="Light Shading - Accent 336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
    <w:name w:val="Light Shading - Accent 3372"/>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
    <w:name w:val="Light Shading - Accent 338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
    <w:name w:val="Table Grid4"/>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1301A"/>
    <w:rPr>
      <w:b/>
      <w:bCs/>
    </w:rPr>
  </w:style>
  <w:style w:type="table" w:customStyle="1" w:styleId="PlainTable41">
    <w:name w:val="Plain Table 41"/>
    <w:basedOn w:val="TableNormal"/>
    <w:uiPriority w:val="44"/>
    <w:rsid w:val="001901F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5">
    <w:name w:val="Grid Table 5 Dark Accent 5"/>
    <w:basedOn w:val="TableNormal"/>
    <w:uiPriority w:val="50"/>
    <w:rsid w:val="00C2610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6Colorful-Accent6">
    <w:name w:val="List Table 6 Colorful Accent 6"/>
    <w:basedOn w:val="TableNormal"/>
    <w:uiPriority w:val="51"/>
    <w:rsid w:val="00C26107"/>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jlqj4b">
    <w:name w:val="jlqj4b"/>
    <w:basedOn w:val="DefaultParagraphFont"/>
    <w:rsid w:val="007A529E"/>
  </w:style>
  <w:style w:type="table" w:styleId="ListTable1Light-Accent3">
    <w:name w:val="List Table 1 Light Accent 3"/>
    <w:basedOn w:val="TableNormal"/>
    <w:uiPriority w:val="46"/>
    <w:rsid w:val="006E4FB8"/>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
    <w:name w:val="Plain Table 411"/>
    <w:basedOn w:val="TableNormal"/>
    <w:uiPriority w:val="44"/>
    <w:rsid w:val="00BB2F0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BB2F03"/>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
    <w:name w:val="Light Shading - Accent 3382"/>
    <w:basedOn w:val="TableNormal"/>
    <w:uiPriority w:val="60"/>
    <w:rsid w:val="00BB2F03"/>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
    <w:name w:val="Light Shading - Accent 12121"/>
    <w:basedOn w:val="TableNormal"/>
    <w:uiPriority w:val="60"/>
    <w:rsid w:val="00BB2F03"/>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
    <w:name w:val="Light Shading - Accent 1222"/>
    <w:basedOn w:val="TableNormal"/>
    <w:uiPriority w:val="60"/>
    <w:rsid w:val="00BB2F03"/>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
    <w:name w:val="Table Grid61"/>
    <w:basedOn w:val="TableNormal"/>
    <w:next w:val="TableGrid"/>
    <w:uiPriority w:val="39"/>
    <w:rsid w:val="00BB2F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BB2F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
    <w:name w:val="Grid Table 5 Dark - Accent 512"/>
    <w:basedOn w:val="TableNormal"/>
    <w:next w:val="GridTable5Dark-Accent518"/>
    <w:uiPriority w:val="50"/>
    <w:rsid w:val="00E124C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
    <w:name w:val="List Table 6 Colorful - Accent 611"/>
    <w:basedOn w:val="TableNormal"/>
    <w:next w:val="ListTable6Colorful-Accent617"/>
    <w:uiPriority w:val="51"/>
    <w:rsid w:val="00E124CF"/>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FollowedHyperlink">
    <w:name w:val="FollowedHyperlink"/>
    <w:basedOn w:val="DefaultParagraphFont"/>
    <w:uiPriority w:val="99"/>
    <w:unhideWhenUsed/>
    <w:rsid w:val="00593E7B"/>
    <w:rPr>
      <w:color w:val="954F72" w:themeColor="followedHyperlink"/>
      <w:u w:val="single"/>
    </w:rPr>
  </w:style>
  <w:style w:type="paragraph" w:customStyle="1" w:styleId="NumPar1">
    <w:name w:val="NumPar 1"/>
    <w:basedOn w:val="Normal"/>
    <w:next w:val="Normal"/>
    <w:link w:val="FootnoteReference"/>
    <w:uiPriority w:val="99"/>
    <w:rsid w:val="00593E7B"/>
    <w:pPr>
      <w:numPr>
        <w:numId w:val="13"/>
      </w:numPr>
      <w:spacing w:before="120" w:after="120" w:line="240" w:lineRule="auto"/>
    </w:pPr>
    <w:rPr>
      <w:color w:val="auto"/>
      <w:sz w:val="22"/>
      <w:vertAlign w:val="superscript"/>
    </w:rPr>
  </w:style>
  <w:style w:type="paragraph" w:customStyle="1" w:styleId="NumPar2">
    <w:name w:val="NumPar 2"/>
    <w:basedOn w:val="Normal"/>
    <w:next w:val="Normal"/>
    <w:rsid w:val="00593E7B"/>
    <w:pPr>
      <w:numPr>
        <w:ilvl w:val="1"/>
        <w:numId w:val="13"/>
      </w:numPr>
      <w:spacing w:before="120" w:after="120" w:line="240" w:lineRule="auto"/>
    </w:pPr>
    <w:rPr>
      <w:rFonts w:ascii="Tunga" w:eastAsia="Arial Unicode MS" w:hAnsi="Tunga" w:cs="Tunga"/>
      <w:snapToGrid w:val="0"/>
      <w:color w:val="auto"/>
      <w:szCs w:val="20"/>
    </w:rPr>
  </w:style>
  <w:style w:type="paragraph" w:customStyle="1" w:styleId="NumPar3">
    <w:name w:val="NumPar 3"/>
    <w:basedOn w:val="Normal"/>
    <w:next w:val="Normal"/>
    <w:rsid w:val="00593E7B"/>
    <w:pPr>
      <w:numPr>
        <w:ilvl w:val="2"/>
        <w:numId w:val="13"/>
      </w:numPr>
      <w:spacing w:before="120" w:after="120" w:line="240" w:lineRule="auto"/>
    </w:pPr>
    <w:rPr>
      <w:rFonts w:ascii="Tunga" w:eastAsia="Arial Unicode MS" w:hAnsi="Tunga" w:cs="Tunga"/>
      <w:snapToGrid w:val="0"/>
      <w:color w:val="auto"/>
      <w:szCs w:val="20"/>
    </w:rPr>
  </w:style>
  <w:style w:type="paragraph" w:customStyle="1" w:styleId="NumPar4">
    <w:name w:val="NumPar 4"/>
    <w:basedOn w:val="Normal"/>
    <w:next w:val="Normal"/>
    <w:rsid w:val="00593E7B"/>
    <w:pPr>
      <w:numPr>
        <w:ilvl w:val="3"/>
        <w:numId w:val="13"/>
      </w:numPr>
      <w:spacing w:before="120" w:after="120" w:line="240" w:lineRule="auto"/>
    </w:pPr>
    <w:rPr>
      <w:rFonts w:ascii="Tunga" w:eastAsia="Arial Unicode MS" w:hAnsi="Tunga" w:cs="Tunga"/>
      <w:snapToGrid w:val="0"/>
      <w:color w:val="auto"/>
      <w:szCs w:val="20"/>
    </w:rPr>
  </w:style>
  <w:style w:type="paragraph" w:styleId="Revision">
    <w:name w:val="Revision"/>
    <w:hidden/>
    <w:uiPriority w:val="99"/>
    <w:semiHidden/>
    <w:rsid w:val="009377F8"/>
    <w:pPr>
      <w:spacing w:after="0" w:line="240" w:lineRule="auto"/>
    </w:pPr>
    <w:rPr>
      <w:color w:val="44546A" w:themeColor="text2"/>
      <w:sz w:val="20"/>
    </w:rPr>
  </w:style>
  <w:style w:type="character" w:customStyle="1" w:styleId="rynqvb">
    <w:name w:val="rynqvb"/>
    <w:basedOn w:val="DefaultParagraphFont"/>
    <w:rsid w:val="00907B95"/>
  </w:style>
  <w:style w:type="character" w:customStyle="1" w:styleId="hwtze">
    <w:name w:val="hwtze"/>
    <w:basedOn w:val="DefaultParagraphFont"/>
    <w:rsid w:val="00907B95"/>
  </w:style>
  <w:style w:type="table" w:customStyle="1" w:styleId="TableGrid621">
    <w:name w:val="Table Grid621"/>
    <w:basedOn w:val="TableNormal"/>
    <w:next w:val="TableGrid"/>
    <w:uiPriority w:val="39"/>
    <w:rsid w:val="000724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355">
    <w:name w:val="Light Shading - Accent 3355"/>
    <w:basedOn w:val="TableNormal"/>
    <w:next w:val="LightShading-Accent3"/>
    <w:uiPriority w:val="60"/>
    <w:rsid w:val="00AF42E4"/>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4">
    <w:name w:val="Light Shading - Accent 12214"/>
    <w:basedOn w:val="TableNormal"/>
    <w:uiPriority w:val="60"/>
    <w:rsid w:val="00DE7B2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4">
    <w:name w:val="Light Shading - Accent 12114"/>
    <w:basedOn w:val="TableNormal"/>
    <w:uiPriority w:val="60"/>
    <w:rsid w:val="00DE7B2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numbering" w:customStyle="1" w:styleId="NoList3">
    <w:name w:val="No List3"/>
    <w:next w:val="NoList"/>
    <w:uiPriority w:val="99"/>
    <w:semiHidden/>
    <w:unhideWhenUsed/>
    <w:rsid w:val="00330999"/>
  </w:style>
  <w:style w:type="table" w:customStyle="1" w:styleId="TableGrid7">
    <w:name w:val="Table Grid7"/>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3">
    <w:name w:val="Grid Table 5 Dark - Accent 513"/>
    <w:basedOn w:val="TableNormal"/>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3">
    <w:name w:val="Light Shading - Accent 3333"/>
    <w:basedOn w:val="TableNormal"/>
    <w:next w:val="LightShading-Accent3"/>
    <w:uiPriority w:val="60"/>
    <w:rsid w:val="0033099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
    <w:name w:val="Light Shading - Accent 33"/>
    <w:basedOn w:val="TableNormal"/>
    <w:next w:val="LightShading-Accent3"/>
    <w:uiPriority w:val="60"/>
    <w:semiHidden/>
    <w:unhideWhenUsed/>
    <w:rsid w:val="00330999"/>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3">
    <w:name w:val="Table Grid23"/>
    <w:basedOn w:val="TableNormal"/>
    <w:next w:val="TableGrid"/>
    <w:uiPriority w:val="39"/>
    <w:rsid w:val="0033099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3">
    <w:name w:val="Light Shading - Accent 3353"/>
    <w:basedOn w:val="TableNormal"/>
    <w:next w:val="LightShading-Accent3"/>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2">
    <w:name w:val="No List12"/>
    <w:next w:val="NoList"/>
    <w:uiPriority w:val="99"/>
    <w:semiHidden/>
    <w:unhideWhenUsed/>
    <w:rsid w:val="00330999"/>
  </w:style>
  <w:style w:type="table" w:customStyle="1" w:styleId="TableGrid13">
    <w:name w:val="Table Grid13"/>
    <w:basedOn w:val="TableNormal"/>
    <w:next w:val="TableGrid"/>
    <w:uiPriority w:val="5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4">
    <w:name w:val="Grid Table 5 Dark - Accent 514"/>
    <w:basedOn w:val="TableNormal"/>
    <w:next w:val="GridTable5Dark-Accent518"/>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2">
    <w:name w:val="Light Shading - Accent 33312"/>
    <w:basedOn w:val="TableNormal"/>
    <w:next w:val="LightShading-Accent3"/>
    <w:uiPriority w:val="60"/>
    <w:rsid w:val="0033099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2">
    <w:name w:val="Light Shading - Accent 312"/>
    <w:basedOn w:val="TableNormal"/>
    <w:next w:val="LightShading-Accent3"/>
    <w:uiPriority w:val="60"/>
    <w:semiHidden/>
    <w:unhideWhenUsed/>
    <w:rsid w:val="00330999"/>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2">
    <w:name w:val="Table Grid212"/>
    <w:basedOn w:val="TableNormal"/>
    <w:next w:val="TableGrid"/>
    <w:uiPriority w:val="39"/>
    <w:rsid w:val="0033099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3">
    <w:name w:val="Light Shading - Accent 1213"/>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3">
    <w:name w:val="Light Shading - Accent 123"/>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2">
    <w:name w:val="Light Shading - Accent 33512"/>
    <w:basedOn w:val="TableNormal"/>
    <w:next w:val="LightShading-Accent3"/>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2">
    <w:name w:val="Light Shading - Accent 12212"/>
    <w:basedOn w:val="TableNormal"/>
    <w:uiPriority w:val="60"/>
    <w:rsid w:val="00330999"/>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2">
    <w:name w:val="Light Shading - Accent 12112"/>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2">
    <w:name w:val="List Table 6 Colorful - Accent 612"/>
    <w:basedOn w:val="TableNormal"/>
    <w:uiPriority w:val="51"/>
    <w:rsid w:val="0033099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2">
    <w:name w:val="List Table 1 Light - Accent 612"/>
    <w:basedOn w:val="TableNormal"/>
    <w:uiPriority w:val="46"/>
    <w:rsid w:val="00330999"/>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2">
    <w:name w:val="Light Shading - Accent 3362"/>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3">
    <w:name w:val="Light Shading - Accent 3373"/>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3">
    <w:name w:val="Light Shading - Accent 3383"/>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1">
    <w:name w:val="Light Shading - Accent 3371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1">
    <w:name w:val="No List21"/>
    <w:next w:val="NoList"/>
    <w:uiPriority w:val="99"/>
    <w:semiHidden/>
    <w:unhideWhenUsed/>
    <w:rsid w:val="00330999"/>
  </w:style>
  <w:style w:type="table" w:customStyle="1" w:styleId="TableGrid31">
    <w:name w:val="Table Grid3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1">
    <w:name w:val="Grid Table 5 Dark - Accent 521"/>
    <w:basedOn w:val="TableNormal"/>
    <w:next w:val="GridTable5Dark-Accent518"/>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1">
    <w:name w:val="Light Shading - Accent 33321"/>
    <w:basedOn w:val="TableNormal"/>
    <w:next w:val="LightShading-Accent3"/>
    <w:uiPriority w:val="60"/>
    <w:rsid w:val="0033099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1">
    <w:name w:val="Light Shading - Accent 321"/>
    <w:basedOn w:val="TableNormal"/>
    <w:next w:val="LightShading-Accent3"/>
    <w:uiPriority w:val="60"/>
    <w:semiHidden/>
    <w:unhideWhenUsed/>
    <w:rsid w:val="00330999"/>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1">
    <w:name w:val="Table Grid221"/>
    <w:basedOn w:val="TableNormal"/>
    <w:next w:val="TableGrid"/>
    <w:uiPriority w:val="39"/>
    <w:rsid w:val="0033099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1">
    <w:name w:val="Light Shading - Accent 33521"/>
    <w:basedOn w:val="TableNormal"/>
    <w:next w:val="LightShading-Accent3"/>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1">
    <w:name w:val="No List111"/>
    <w:next w:val="NoList"/>
    <w:uiPriority w:val="99"/>
    <w:semiHidden/>
    <w:unhideWhenUsed/>
    <w:rsid w:val="00330999"/>
  </w:style>
  <w:style w:type="table" w:customStyle="1" w:styleId="TableGrid111">
    <w:name w:val="Table Grid111"/>
    <w:basedOn w:val="TableNormal"/>
    <w:next w:val="TableGrid"/>
    <w:uiPriority w:val="5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1">
    <w:name w:val="Grid Table 5 Dark - Accent 5111"/>
    <w:basedOn w:val="TableNormal"/>
    <w:next w:val="GridTable5Dark-Accent518"/>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1">
    <w:name w:val="Light Shading - Accent 333111"/>
    <w:basedOn w:val="TableNormal"/>
    <w:next w:val="LightShading-Accent3"/>
    <w:uiPriority w:val="60"/>
    <w:rsid w:val="0033099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1">
    <w:name w:val="Light Shading - Accent 3111"/>
    <w:basedOn w:val="TableNormal"/>
    <w:next w:val="LightShading-Accent3"/>
    <w:uiPriority w:val="60"/>
    <w:semiHidden/>
    <w:unhideWhenUsed/>
    <w:rsid w:val="00330999"/>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1">
    <w:name w:val="Table Grid2111"/>
    <w:basedOn w:val="TableNormal"/>
    <w:next w:val="TableGrid"/>
    <w:uiPriority w:val="39"/>
    <w:rsid w:val="0033099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2">
    <w:name w:val="Light Shading - Accent 12122"/>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3">
    <w:name w:val="Light Shading - Accent 1223"/>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1">
    <w:name w:val="Light Shading - Accent 335111"/>
    <w:basedOn w:val="TableNormal"/>
    <w:next w:val="LightShading-Accent3"/>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1">
    <w:name w:val="Light Shading - Accent 122111"/>
    <w:basedOn w:val="TableNormal"/>
    <w:uiPriority w:val="60"/>
    <w:rsid w:val="00330999"/>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1">
    <w:name w:val="Light Shading - Accent 121111"/>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3">
    <w:name w:val="List Table 6 Colorful - Accent 613"/>
    <w:basedOn w:val="TableNormal"/>
    <w:next w:val="ListTable6Colorful-Accent617"/>
    <w:uiPriority w:val="51"/>
    <w:rsid w:val="0033099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1">
    <w:name w:val="List Table 1 Light - Accent 6111"/>
    <w:basedOn w:val="TableNormal"/>
    <w:uiPriority w:val="46"/>
    <w:rsid w:val="00330999"/>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1">
    <w:name w:val="Light Shading - Accent 3361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1">
    <w:name w:val="Light Shading - Accent 3372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1">
    <w:name w:val="Light Shading - Accent 3381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1">
    <w:name w:val="Table Grid4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2">
    <w:name w:val="Plain Table 412"/>
    <w:basedOn w:val="TableNormal"/>
    <w:uiPriority w:val="44"/>
    <w:rsid w:val="0033099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3">
    <w:name w:val="Grid Table 5 Dark - Accent 53"/>
    <w:basedOn w:val="TableNormal"/>
    <w:next w:val="GridTable5Dark-Accent5"/>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2">
    <w:name w:val="List Table 6 Colorful - Accent 62"/>
    <w:basedOn w:val="TableNormal"/>
    <w:next w:val="ListTable6Colorful-Accent6"/>
    <w:uiPriority w:val="51"/>
    <w:rsid w:val="0033099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1">
    <w:name w:val="List Table 1 Light - Accent 31"/>
    <w:basedOn w:val="TableNormal"/>
    <w:next w:val="ListTable1Light-Accent3"/>
    <w:uiPriority w:val="46"/>
    <w:rsid w:val="00330999"/>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1">
    <w:name w:val="Plain Table 4111"/>
    <w:basedOn w:val="TableNormal"/>
    <w:uiPriority w:val="44"/>
    <w:rsid w:val="0033099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1">
    <w:name w:val="Grid Table 6 Colorful - Accent 11"/>
    <w:basedOn w:val="TableNormal"/>
    <w:next w:val="GridTable6Colorful-Accent1"/>
    <w:uiPriority w:val="51"/>
    <w:rsid w:val="0033099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1">
    <w:name w:val="Light Shading - Accent 3382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1">
    <w:name w:val="Light Shading - Accent 121211"/>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1">
    <w:name w:val="Light Shading - Accent 12221"/>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1">
    <w:name w:val="Table Grid61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1">
    <w:name w:val="Grid Table 5 Dark - Accent 5121"/>
    <w:basedOn w:val="TableNormal"/>
    <w:next w:val="GridTable5Dark-Accent518"/>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1">
    <w:name w:val="List Table 6 Colorful - Accent 6111"/>
    <w:basedOn w:val="TableNormal"/>
    <w:next w:val="ListTable6Colorful-Accent617"/>
    <w:uiPriority w:val="51"/>
    <w:rsid w:val="0033099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1">
    <w:name w:val="Table Grid621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paragraph"/>
    <w:basedOn w:val="Normal"/>
    <w:rsid w:val="00330999"/>
    <w:pPr>
      <w:spacing w:before="100" w:beforeAutospacing="1" w:after="100" w:afterAutospacing="1" w:line="240" w:lineRule="auto"/>
      <w:jc w:val="left"/>
    </w:pPr>
    <w:rPr>
      <w:rFonts w:ascii="Times New Roman" w:hAnsi="Times New Roman" w:cs="Times New Roman"/>
      <w:color w:val="auto"/>
      <w:sz w:val="24"/>
      <w:szCs w:val="24"/>
    </w:rPr>
  </w:style>
  <w:style w:type="table" w:styleId="PlainTable2">
    <w:name w:val="Plain Table 2"/>
    <w:basedOn w:val="TableNormal"/>
    <w:uiPriority w:val="42"/>
    <w:rsid w:val="0068378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5Dark-Accent517">
    <w:name w:val="Grid Table 5 Dark - Accent 517"/>
    <w:basedOn w:val="TableNormal"/>
    <w:next w:val="GridTable5Dark-Accent518"/>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6">
    <w:name w:val="List Table 6 Colorful - Accent 616"/>
    <w:basedOn w:val="TableNormal"/>
    <w:next w:val="ListTable6Colorful-Accent617"/>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numbering" w:customStyle="1" w:styleId="NoList4">
    <w:name w:val="No List4"/>
    <w:next w:val="NoList"/>
    <w:uiPriority w:val="99"/>
    <w:semiHidden/>
    <w:unhideWhenUsed/>
    <w:rsid w:val="008D31CC"/>
  </w:style>
  <w:style w:type="table" w:customStyle="1" w:styleId="TableGrid8">
    <w:name w:val="Table Grid8"/>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5">
    <w:name w:val="Grid Table 5 Dark - Accent 515"/>
    <w:basedOn w:val="TableNormal"/>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4">
    <w:name w:val="Light Shading - Accent 3334"/>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
    <w:name w:val="Light Shading - Accent 34"/>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4">
    <w:name w:val="Table Grid24"/>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4">
    <w:name w:val="Light Shading - Accent 3354"/>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3">
    <w:name w:val="No List13"/>
    <w:next w:val="NoList"/>
    <w:uiPriority w:val="99"/>
    <w:semiHidden/>
    <w:unhideWhenUsed/>
    <w:rsid w:val="008D31CC"/>
  </w:style>
  <w:style w:type="table" w:customStyle="1" w:styleId="TableGrid14">
    <w:name w:val="Table Grid14"/>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3313">
    <w:name w:val="Light Shading - Accent 33313"/>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3">
    <w:name w:val="Light Shading - Accent 313"/>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3">
    <w:name w:val="Table Grid213"/>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4">
    <w:name w:val="Light Shading - Accent 1214"/>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4">
    <w:name w:val="Light Shading - Accent 124"/>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3">
    <w:name w:val="Light Shading - Accent 33513"/>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3">
    <w:name w:val="Light Shading - Accent 12213"/>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3">
    <w:name w:val="Light Shading - Accent 1211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4">
    <w:name w:val="List Table 6 Colorful - Accent 614"/>
    <w:basedOn w:val="TableNormal"/>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3">
    <w:name w:val="List Table 1 Light - Accent 613"/>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3">
    <w:name w:val="Light Shading - Accent 336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4">
    <w:name w:val="Light Shading - Accent 3374"/>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4">
    <w:name w:val="Light Shading - Accent 3384"/>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2">
    <w:name w:val="Light Shading - Accent 337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2">
    <w:name w:val="No List22"/>
    <w:next w:val="NoList"/>
    <w:uiPriority w:val="99"/>
    <w:semiHidden/>
    <w:unhideWhenUsed/>
    <w:rsid w:val="008D31CC"/>
  </w:style>
  <w:style w:type="table" w:customStyle="1" w:styleId="TableGrid32">
    <w:name w:val="Table Grid3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2">
    <w:name w:val="Grid Table 5 Dark - Accent 522"/>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2">
    <w:name w:val="Light Shading - Accent 3332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2">
    <w:name w:val="Light Shading - Accent 32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2">
    <w:name w:val="Table Grid22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2">
    <w:name w:val="Light Shading - Accent 3352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2">
    <w:name w:val="No List112"/>
    <w:next w:val="NoList"/>
    <w:uiPriority w:val="99"/>
    <w:semiHidden/>
    <w:unhideWhenUsed/>
    <w:rsid w:val="008D31CC"/>
  </w:style>
  <w:style w:type="table" w:customStyle="1" w:styleId="TableGrid112">
    <w:name w:val="Table Grid11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2">
    <w:name w:val="Grid Table 5 Dark - Accent 5112"/>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2">
    <w:name w:val="Light Shading - Accent 33311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2">
    <w:name w:val="Light Shading - Accent 311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2">
    <w:name w:val="Table Grid211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3">
    <w:name w:val="Light Shading - Accent 1212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4">
    <w:name w:val="Light Shading - Accent 1224"/>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2">
    <w:name w:val="Light Shading - Accent 33511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2">
    <w:name w:val="Light Shading - Accent 122112"/>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2">
    <w:name w:val="Light Shading - Accent 1211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1Light-Accent6112">
    <w:name w:val="List Table 1 Light - Accent 6112"/>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2">
    <w:name w:val="Light Shading - Accent 336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2">
    <w:name w:val="Light Shading - Accent 3372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2">
    <w:name w:val="Light Shading - Accent 338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2">
    <w:name w:val="Table Grid4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3">
    <w:name w:val="Plain Table 413"/>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4">
    <w:name w:val="Grid Table 5 Dark - Accent 54"/>
    <w:basedOn w:val="TableNormal"/>
    <w:next w:val="GridTable5Dark-Accent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3">
    <w:name w:val="List Table 6 Colorful - Accent 63"/>
    <w:basedOn w:val="TableNormal"/>
    <w:next w:val="ListTable6Colorful-Accent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2">
    <w:name w:val="List Table 1 Light - Accent 32"/>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2">
    <w:name w:val="Plain Table 4112"/>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2">
    <w:name w:val="Grid Table 6 Colorful - Accent 12"/>
    <w:basedOn w:val="TableNormal"/>
    <w:next w:val="GridTable6Colorful-Accent1"/>
    <w:uiPriority w:val="51"/>
    <w:rsid w:val="008D31C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2">
    <w:name w:val="Light Shading - Accent 3382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2">
    <w:name w:val="Light Shading - Accent 1212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2">
    <w:name w:val="Light Shading - Accent 1222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2">
    <w:name w:val="Table Grid6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2">
    <w:name w:val="Grid Table 5 Dark - Accent 5122"/>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2">
    <w:name w:val="List Table 6 Colorful - Accent 6112"/>
    <w:basedOn w:val="TableNormal"/>
    <w:next w:val="ListTable6Colorful-Accent61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2">
    <w:name w:val="Table Grid62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8D31CC"/>
  </w:style>
  <w:style w:type="table" w:customStyle="1" w:styleId="TableGrid71">
    <w:name w:val="Table Grid7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31">
    <w:name w:val="Grid Table 5 Dark - Accent 5131"/>
    <w:basedOn w:val="TableNormal"/>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31">
    <w:name w:val="Light Shading - Accent 33331"/>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1">
    <w:name w:val="Light Shading - Accent 331"/>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31">
    <w:name w:val="Table Grid231"/>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31">
    <w:name w:val="Light Shading - Accent 3353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21">
    <w:name w:val="No List121"/>
    <w:next w:val="NoList"/>
    <w:uiPriority w:val="99"/>
    <w:semiHidden/>
    <w:unhideWhenUsed/>
    <w:rsid w:val="008D31CC"/>
  </w:style>
  <w:style w:type="table" w:customStyle="1" w:styleId="TableGrid131">
    <w:name w:val="Table Grid131"/>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41">
    <w:name w:val="Grid Table 5 Dark - Accent 514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21">
    <w:name w:val="Light Shading - Accent 333121"/>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21">
    <w:name w:val="Light Shading - Accent 3121"/>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21">
    <w:name w:val="Table Grid2121"/>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31">
    <w:name w:val="Light Shading - Accent 1213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31">
    <w:name w:val="Light Shading - Accent 123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21">
    <w:name w:val="Light Shading - Accent 33512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21">
    <w:name w:val="Light Shading - Accent 122121"/>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21">
    <w:name w:val="Light Shading - Accent 12112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21">
    <w:name w:val="List Table 6 Colorful - Accent 6121"/>
    <w:basedOn w:val="TableNormal"/>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21">
    <w:name w:val="List Table 1 Light - Accent 6121"/>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21">
    <w:name w:val="Light Shading - Accent 3362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31">
    <w:name w:val="Light Shading - Accent 3373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31">
    <w:name w:val="Light Shading - Accent 3383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11">
    <w:name w:val="Light Shading - Accent 3371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11">
    <w:name w:val="No List211"/>
    <w:next w:val="NoList"/>
    <w:uiPriority w:val="99"/>
    <w:semiHidden/>
    <w:unhideWhenUsed/>
    <w:rsid w:val="008D31CC"/>
  </w:style>
  <w:style w:type="table" w:customStyle="1" w:styleId="TableGrid311">
    <w:name w:val="Table Grid3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11">
    <w:name w:val="Grid Table 5 Dark - Accent 521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11">
    <w:name w:val="Light Shading - Accent 333211"/>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11">
    <w:name w:val="Light Shading - Accent 3211"/>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11">
    <w:name w:val="Table Grid2211"/>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11">
    <w:name w:val="Light Shading - Accent 33521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11">
    <w:name w:val="No List1111"/>
    <w:next w:val="NoList"/>
    <w:uiPriority w:val="99"/>
    <w:semiHidden/>
    <w:unhideWhenUsed/>
    <w:rsid w:val="008D31CC"/>
  </w:style>
  <w:style w:type="table" w:customStyle="1" w:styleId="TableGrid1111">
    <w:name w:val="Table Grid1111"/>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11">
    <w:name w:val="Grid Table 5 Dark - Accent 5111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11">
    <w:name w:val="Light Shading - Accent 3331111"/>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11">
    <w:name w:val="Light Shading - Accent 31111"/>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11">
    <w:name w:val="Table Grid21111"/>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21">
    <w:name w:val="Light Shading - Accent 12122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31">
    <w:name w:val="Light Shading - Accent 1223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11">
    <w:name w:val="Light Shading - Accent 335111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11">
    <w:name w:val="Light Shading - Accent 1221111"/>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11">
    <w:name w:val="Light Shading - Accent 121111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31">
    <w:name w:val="List Table 6 Colorful - Accent 6131"/>
    <w:basedOn w:val="TableNormal"/>
    <w:next w:val="ListTable6Colorful-Accent61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11">
    <w:name w:val="List Table 1 Light - Accent 61111"/>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11">
    <w:name w:val="Light Shading - Accent 3361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11">
    <w:name w:val="Light Shading - Accent 3372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11">
    <w:name w:val="Light Shading - Accent 3381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11">
    <w:name w:val="Table Grid4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21">
    <w:name w:val="Plain Table 4121"/>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31">
    <w:name w:val="Grid Table 5 Dark - Accent 531"/>
    <w:basedOn w:val="TableNormal"/>
    <w:next w:val="GridTable5Dark-Accent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21">
    <w:name w:val="List Table 6 Colorful - Accent 621"/>
    <w:basedOn w:val="TableNormal"/>
    <w:next w:val="ListTable6Colorful-Accent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11">
    <w:name w:val="List Table 1 Light - Accent 311"/>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11">
    <w:name w:val="Plain Table 41111"/>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11">
    <w:name w:val="Grid Table 6 Colorful - Accent 111"/>
    <w:basedOn w:val="TableNormal"/>
    <w:next w:val="GridTable6Colorful-Accent1"/>
    <w:uiPriority w:val="51"/>
    <w:rsid w:val="008D31C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11">
    <w:name w:val="Light Shading - Accent 3382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11">
    <w:name w:val="Light Shading - Accent 121211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11">
    <w:name w:val="Light Shading - Accent 12221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11">
    <w:name w:val="Table Grid61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11">
    <w:name w:val="Grid Table 5 Dark - Accent 5121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11">
    <w:name w:val="List Table 6 Colorful - Accent 61111"/>
    <w:basedOn w:val="TableNormal"/>
    <w:next w:val="ListTable6Colorful-Accent61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11">
    <w:name w:val="Table Grid621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8D31CC"/>
  </w:style>
  <w:style w:type="table" w:customStyle="1" w:styleId="TableGrid9">
    <w:name w:val="Table Grid9"/>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6">
    <w:name w:val="Grid Table 5 Dark - Accent 516"/>
    <w:basedOn w:val="TableNormal"/>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5">
    <w:name w:val="Light Shading - Accent 3335"/>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5">
    <w:name w:val="Light Shading - Accent 35"/>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5">
    <w:name w:val="Table Grid25"/>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numbering" w:customStyle="1" w:styleId="NoList14">
    <w:name w:val="No List14"/>
    <w:next w:val="NoList"/>
    <w:uiPriority w:val="99"/>
    <w:semiHidden/>
    <w:unhideWhenUsed/>
    <w:rsid w:val="008D31CC"/>
  </w:style>
  <w:style w:type="table" w:customStyle="1" w:styleId="TableGrid15">
    <w:name w:val="Table Grid15"/>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51">
    <w:name w:val="Grid Table 5 Dark - Accent 515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4">
    <w:name w:val="Light Shading - Accent 33314"/>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4">
    <w:name w:val="Light Shading - Accent 314"/>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4">
    <w:name w:val="Table Grid214"/>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5">
    <w:name w:val="Light Shading - Accent 1215"/>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5">
    <w:name w:val="Light Shading - Accent 125"/>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4">
    <w:name w:val="Light Shading - Accent 33514"/>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Table6Colorful-Accent615">
    <w:name w:val="List Table 6 Colorful - Accent 615"/>
    <w:basedOn w:val="TableNormal"/>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4">
    <w:name w:val="List Table 1 Light - Accent 614"/>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4">
    <w:name w:val="Light Shading - Accent 3364"/>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5">
    <w:name w:val="Light Shading - Accent 3375"/>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5">
    <w:name w:val="Light Shading - Accent 3385"/>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3">
    <w:name w:val="Light Shading - Accent 3371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3">
    <w:name w:val="No List23"/>
    <w:next w:val="NoList"/>
    <w:uiPriority w:val="99"/>
    <w:semiHidden/>
    <w:unhideWhenUsed/>
    <w:rsid w:val="008D31CC"/>
  </w:style>
  <w:style w:type="table" w:customStyle="1" w:styleId="TableGrid33">
    <w:name w:val="Table Grid3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3">
    <w:name w:val="Grid Table 5 Dark - Accent 523"/>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3">
    <w:name w:val="Light Shading - Accent 33323"/>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3">
    <w:name w:val="Light Shading - Accent 323"/>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3">
    <w:name w:val="Table Grid223"/>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3">
    <w:name w:val="Light Shading - Accent 33523"/>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3">
    <w:name w:val="No List113"/>
    <w:next w:val="NoList"/>
    <w:uiPriority w:val="99"/>
    <w:semiHidden/>
    <w:unhideWhenUsed/>
    <w:rsid w:val="008D31CC"/>
  </w:style>
  <w:style w:type="table" w:customStyle="1" w:styleId="TableGrid113">
    <w:name w:val="Table Grid113"/>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3">
    <w:name w:val="Grid Table 5 Dark - Accent 5113"/>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3">
    <w:name w:val="Light Shading - Accent 333113"/>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3">
    <w:name w:val="Light Shading - Accent 3113"/>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3">
    <w:name w:val="Table Grid2113"/>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4">
    <w:name w:val="Light Shading - Accent 12124"/>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5">
    <w:name w:val="Light Shading - Accent 1225"/>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3">
    <w:name w:val="Light Shading - Accent 335113"/>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3">
    <w:name w:val="Light Shading - Accent 122113"/>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3">
    <w:name w:val="Light Shading - Accent 12111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41">
    <w:name w:val="List Table 6 Colorful - Accent 6141"/>
    <w:basedOn w:val="TableNormal"/>
    <w:next w:val="ListTable6Colorful-Accent61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3">
    <w:name w:val="List Table 1 Light - Accent 6113"/>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3">
    <w:name w:val="Light Shading - Accent 3361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3">
    <w:name w:val="Light Shading - Accent 3372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3">
    <w:name w:val="Light Shading - Accent 3381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3">
    <w:name w:val="Table Grid4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4">
    <w:name w:val="Plain Table 414"/>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5">
    <w:name w:val="Grid Table 5 Dark - Accent 55"/>
    <w:basedOn w:val="TableNormal"/>
    <w:next w:val="GridTable5Dark-Accent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4">
    <w:name w:val="List Table 6 Colorful - Accent 64"/>
    <w:basedOn w:val="TableNormal"/>
    <w:next w:val="ListTable6Colorful-Accent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3">
    <w:name w:val="List Table 1 Light - Accent 33"/>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3">
    <w:name w:val="Plain Table 4113"/>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3">
    <w:name w:val="Grid Table 6 Colorful - Accent 13"/>
    <w:basedOn w:val="TableNormal"/>
    <w:next w:val="GridTable6Colorful-Accent1"/>
    <w:uiPriority w:val="51"/>
    <w:rsid w:val="008D31C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3">
    <w:name w:val="Light Shading - Accent 3382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3">
    <w:name w:val="Light Shading - Accent 12121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3">
    <w:name w:val="Light Shading - Accent 1222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3">
    <w:name w:val="Table Grid61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3">
    <w:name w:val="Grid Table 5 Dark - Accent 5123"/>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3">
    <w:name w:val="List Table 6 Colorful - Accent 6113"/>
    <w:basedOn w:val="TableNormal"/>
    <w:next w:val="ListTable6Colorful-Accent614"/>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3">
    <w:name w:val="Table Grid621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8D31CC"/>
  </w:style>
  <w:style w:type="table" w:customStyle="1" w:styleId="TableGrid72">
    <w:name w:val="Table Grid7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32">
    <w:name w:val="Grid Table 5 Dark - Accent 5132"/>
    <w:basedOn w:val="TableNormal"/>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32">
    <w:name w:val="Light Shading - Accent 3333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2">
    <w:name w:val="Light Shading - Accent 33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32">
    <w:name w:val="Table Grid23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32">
    <w:name w:val="Light Shading - Accent 3353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22">
    <w:name w:val="No List122"/>
    <w:next w:val="NoList"/>
    <w:uiPriority w:val="99"/>
    <w:semiHidden/>
    <w:unhideWhenUsed/>
    <w:rsid w:val="008D31CC"/>
  </w:style>
  <w:style w:type="table" w:customStyle="1" w:styleId="TableGrid132">
    <w:name w:val="Table Grid13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42">
    <w:name w:val="Grid Table 5 Dark - Accent 5142"/>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22">
    <w:name w:val="Light Shading - Accent 33312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22">
    <w:name w:val="Light Shading - Accent 312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22">
    <w:name w:val="Table Grid212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32">
    <w:name w:val="Light Shading - Accent 1213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32">
    <w:name w:val="Light Shading - Accent 123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22">
    <w:name w:val="Light Shading - Accent 33512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22">
    <w:name w:val="Light Shading - Accent 122122"/>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22">
    <w:name w:val="Light Shading - Accent 12112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22">
    <w:name w:val="List Table 6 Colorful - Accent 6122"/>
    <w:basedOn w:val="TableNormal"/>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22">
    <w:name w:val="List Table 1 Light - Accent 6122"/>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22">
    <w:name w:val="Light Shading - Accent 3362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32">
    <w:name w:val="Light Shading - Accent 3373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32">
    <w:name w:val="Light Shading - Accent 3383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12">
    <w:name w:val="Light Shading - Accent 3371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12">
    <w:name w:val="No List212"/>
    <w:next w:val="NoList"/>
    <w:uiPriority w:val="99"/>
    <w:semiHidden/>
    <w:unhideWhenUsed/>
    <w:rsid w:val="008D31CC"/>
  </w:style>
  <w:style w:type="table" w:customStyle="1" w:styleId="TableGrid312">
    <w:name w:val="Table Grid3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12">
    <w:name w:val="Grid Table 5 Dark - Accent 5212"/>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12">
    <w:name w:val="Light Shading - Accent 33321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12">
    <w:name w:val="Light Shading - Accent 321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12">
    <w:name w:val="Table Grid221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12">
    <w:name w:val="Light Shading - Accent 33521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12">
    <w:name w:val="No List1112"/>
    <w:next w:val="NoList"/>
    <w:uiPriority w:val="99"/>
    <w:semiHidden/>
    <w:unhideWhenUsed/>
    <w:rsid w:val="008D31CC"/>
  </w:style>
  <w:style w:type="table" w:customStyle="1" w:styleId="TableGrid1112">
    <w:name w:val="Table Grid111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12">
    <w:name w:val="Grid Table 5 Dark - Accent 51112"/>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12">
    <w:name w:val="Light Shading - Accent 333111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12">
    <w:name w:val="Light Shading - Accent 3111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12">
    <w:name w:val="Table Grid2111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22">
    <w:name w:val="Light Shading - Accent 12122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32">
    <w:name w:val="Light Shading - Accent 1223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12">
    <w:name w:val="Light Shading - Accent 335111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12">
    <w:name w:val="Light Shading - Accent 1221112"/>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12">
    <w:name w:val="Light Shading - Accent 12111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32">
    <w:name w:val="List Table 6 Colorful - Accent 6132"/>
    <w:basedOn w:val="TableNormal"/>
    <w:next w:val="ListTable6Colorful-Accent614"/>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12">
    <w:name w:val="List Table 1 Light - Accent 61112"/>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12">
    <w:name w:val="Light Shading - Accent 3361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12">
    <w:name w:val="Light Shading - Accent 3372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12">
    <w:name w:val="Light Shading - Accent 3381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12">
    <w:name w:val="Table Grid4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22">
    <w:name w:val="Plain Table 4122"/>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32">
    <w:name w:val="Grid Table 5 Dark - Accent 532"/>
    <w:basedOn w:val="TableNormal"/>
    <w:next w:val="GridTable5Dark-Accent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22">
    <w:name w:val="List Table 6 Colorful - Accent 622"/>
    <w:basedOn w:val="TableNormal"/>
    <w:next w:val="ListTable6Colorful-Accent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12">
    <w:name w:val="List Table 1 Light - Accent 312"/>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12">
    <w:name w:val="Plain Table 41112"/>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12">
    <w:name w:val="Grid Table 6 Colorful - Accent 112"/>
    <w:basedOn w:val="TableNormal"/>
    <w:next w:val="GridTable6Colorful-Accent1"/>
    <w:uiPriority w:val="51"/>
    <w:rsid w:val="008D31C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12">
    <w:name w:val="Light Shading - Accent 3382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12">
    <w:name w:val="Light Shading - Accent 12121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12">
    <w:name w:val="Light Shading - Accent 1222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12">
    <w:name w:val="Table Grid61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12">
    <w:name w:val="Grid Table 5 Dark - Accent 51212"/>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12">
    <w:name w:val="List Table 6 Colorful - Accent 61112"/>
    <w:basedOn w:val="TableNormal"/>
    <w:next w:val="ListTable6Colorful-Accent614"/>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12">
    <w:name w:val="Table Grid621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3541">
    <w:name w:val="Light Shading - Accent 3354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GridTable1Light-Accent51">
    <w:name w:val="Grid Table 1 Light - Accent 51"/>
    <w:basedOn w:val="TableNormal"/>
    <w:next w:val="GridTable1Light-Accent5"/>
    <w:uiPriority w:val="46"/>
    <w:rsid w:val="008D31CC"/>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D31CC"/>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ListTable1Light-Accent34">
    <w:name w:val="List Table 1 Light - Accent 34"/>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ListTable1Light-Accent35">
    <w:name w:val="List Table 1 Light - Accent 35"/>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1">
    <w:name w:val="Grid Table 1 Light Accent 1"/>
    <w:basedOn w:val="TableNormal"/>
    <w:uiPriority w:val="46"/>
    <w:rsid w:val="00714AD2"/>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Heading3Char">
    <w:name w:val="Heading 3 Char"/>
    <w:basedOn w:val="DefaultParagraphFont"/>
    <w:link w:val="Heading3"/>
    <w:uiPriority w:val="9"/>
    <w:rsid w:val="002F5C60"/>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BD4B78"/>
    <w:rPr>
      <w:rFonts w:asciiTheme="majorHAnsi" w:eastAsiaTheme="majorEastAsia" w:hAnsiTheme="majorHAnsi" w:cstheme="majorBidi"/>
      <w:i/>
      <w:iCs/>
      <w:color w:val="1F3864" w:themeColor="accent1" w:themeShade="80"/>
    </w:rPr>
  </w:style>
  <w:style w:type="character" w:customStyle="1" w:styleId="Heading5Char">
    <w:name w:val="Heading 5 Char"/>
    <w:basedOn w:val="DefaultParagraphFont"/>
    <w:link w:val="Heading5"/>
    <w:uiPriority w:val="9"/>
    <w:rsid w:val="00BD4B78"/>
    <w:rPr>
      <w:rFonts w:asciiTheme="majorHAnsi" w:eastAsiaTheme="majorEastAsia" w:hAnsiTheme="majorHAnsi" w:cstheme="majorBidi"/>
      <w:color w:val="1F3864" w:themeColor="accent1" w:themeShade="80"/>
    </w:rPr>
  </w:style>
  <w:style w:type="character" w:customStyle="1" w:styleId="Heading6Char">
    <w:name w:val="Heading 6 Char"/>
    <w:basedOn w:val="DefaultParagraphFont"/>
    <w:link w:val="Heading6"/>
    <w:uiPriority w:val="9"/>
    <w:rsid w:val="00BD4B78"/>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BD4B78"/>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BD4B78"/>
    <w:rPr>
      <w:rFonts w:asciiTheme="majorHAnsi" w:eastAsiaTheme="majorEastAsia" w:hAnsiTheme="majorHAnsi" w:cstheme="majorBidi"/>
      <w:color w:val="272727" w:themeColor="text1" w:themeTint="D8"/>
      <w:szCs w:val="21"/>
    </w:rPr>
  </w:style>
  <w:style w:type="character" w:customStyle="1" w:styleId="Heading9Char">
    <w:name w:val="Heading 9 Char"/>
    <w:basedOn w:val="DefaultParagraphFont"/>
    <w:link w:val="Heading9"/>
    <w:uiPriority w:val="9"/>
    <w:rsid w:val="00BD4B78"/>
    <w:rPr>
      <w:rFonts w:asciiTheme="majorHAnsi" w:eastAsiaTheme="majorEastAsia" w:hAnsiTheme="majorHAnsi" w:cstheme="majorBidi"/>
      <w:i/>
      <w:iCs/>
      <w:color w:val="272727" w:themeColor="text1" w:themeTint="D8"/>
      <w:szCs w:val="21"/>
    </w:rPr>
  </w:style>
  <w:style w:type="paragraph" w:styleId="Title">
    <w:name w:val="Title"/>
    <w:basedOn w:val="Normal"/>
    <w:next w:val="Normal"/>
    <w:link w:val="TitleChar"/>
    <w:uiPriority w:val="10"/>
    <w:qFormat/>
    <w:rsid w:val="00BD4B78"/>
    <w:pPr>
      <w:spacing w:after="0" w:line="240" w:lineRule="auto"/>
      <w:contextualSpacing/>
      <w:jc w:val="left"/>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BD4B7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D4B78"/>
    <w:pPr>
      <w:numPr>
        <w:ilvl w:val="1"/>
      </w:numPr>
      <w:spacing w:after="0" w:line="240" w:lineRule="auto"/>
      <w:jc w:val="left"/>
    </w:pPr>
    <w:rPr>
      <w:rFonts w:eastAsiaTheme="minorEastAsia"/>
      <w:color w:val="5A5A5A" w:themeColor="text1" w:themeTint="A5"/>
      <w:spacing w:val="15"/>
      <w:sz w:val="22"/>
    </w:rPr>
  </w:style>
  <w:style w:type="character" w:customStyle="1" w:styleId="SubtitleChar">
    <w:name w:val="Subtitle Char"/>
    <w:basedOn w:val="DefaultParagraphFont"/>
    <w:link w:val="Subtitle"/>
    <w:uiPriority w:val="11"/>
    <w:rsid w:val="00BD4B78"/>
    <w:rPr>
      <w:rFonts w:eastAsiaTheme="minorEastAsia"/>
      <w:color w:val="5A5A5A" w:themeColor="text1" w:themeTint="A5"/>
      <w:spacing w:val="15"/>
    </w:rPr>
  </w:style>
  <w:style w:type="character" w:styleId="SubtleEmphasis">
    <w:name w:val="Subtle Emphasis"/>
    <w:basedOn w:val="DefaultParagraphFont"/>
    <w:uiPriority w:val="19"/>
    <w:qFormat/>
    <w:rsid w:val="00BD4B78"/>
    <w:rPr>
      <w:i/>
      <w:iCs/>
      <w:color w:val="404040" w:themeColor="text1" w:themeTint="BF"/>
    </w:rPr>
  </w:style>
  <w:style w:type="character" w:styleId="Emphasis">
    <w:name w:val="Emphasis"/>
    <w:basedOn w:val="DefaultParagraphFont"/>
    <w:uiPriority w:val="20"/>
    <w:qFormat/>
    <w:rsid w:val="00BD4B78"/>
    <w:rPr>
      <w:i/>
      <w:iCs/>
    </w:rPr>
  </w:style>
  <w:style w:type="character" w:styleId="IntenseEmphasis">
    <w:name w:val="Intense Emphasis"/>
    <w:basedOn w:val="DefaultParagraphFont"/>
    <w:uiPriority w:val="21"/>
    <w:qFormat/>
    <w:rsid w:val="00BD4B78"/>
    <w:rPr>
      <w:i/>
      <w:iCs/>
      <w:color w:val="1F3864" w:themeColor="accent1" w:themeShade="80"/>
    </w:rPr>
  </w:style>
  <w:style w:type="paragraph" w:styleId="Quote">
    <w:name w:val="Quote"/>
    <w:basedOn w:val="Normal"/>
    <w:next w:val="Normal"/>
    <w:link w:val="QuoteChar"/>
    <w:uiPriority w:val="29"/>
    <w:qFormat/>
    <w:rsid w:val="00BD4B78"/>
    <w:pPr>
      <w:spacing w:before="200" w:after="0" w:line="240" w:lineRule="auto"/>
      <w:ind w:left="864" w:right="864"/>
      <w:jc w:val="center"/>
    </w:pPr>
    <w:rPr>
      <w:i/>
      <w:iCs/>
      <w:color w:val="404040" w:themeColor="text1" w:themeTint="BF"/>
      <w:sz w:val="22"/>
    </w:rPr>
  </w:style>
  <w:style w:type="character" w:customStyle="1" w:styleId="QuoteChar">
    <w:name w:val="Quote Char"/>
    <w:basedOn w:val="DefaultParagraphFont"/>
    <w:link w:val="Quote"/>
    <w:uiPriority w:val="29"/>
    <w:rsid w:val="00BD4B78"/>
    <w:rPr>
      <w:i/>
      <w:iCs/>
      <w:color w:val="404040" w:themeColor="text1" w:themeTint="BF"/>
    </w:rPr>
  </w:style>
  <w:style w:type="paragraph" w:styleId="IntenseQuote">
    <w:name w:val="Intense Quote"/>
    <w:basedOn w:val="Normal"/>
    <w:next w:val="Normal"/>
    <w:link w:val="IntenseQuoteChar"/>
    <w:uiPriority w:val="30"/>
    <w:qFormat/>
    <w:rsid w:val="00BD4B78"/>
    <w:pPr>
      <w:pBdr>
        <w:top w:val="single" w:sz="4" w:space="10" w:color="1F3864" w:themeColor="accent1" w:themeShade="80"/>
        <w:bottom w:val="single" w:sz="4" w:space="10" w:color="1F3864" w:themeColor="accent1" w:themeShade="80"/>
      </w:pBdr>
      <w:spacing w:before="360" w:after="360" w:line="240" w:lineRule="auto"/>
      <w:ind w:left="864" w:right="864"/>
      <w:jc w:val="center"/>
    </w:pPr>
    <w:rPr>
      <w:i/>
      <w:iCs/>
      <w:color w:val="1F3864" w:themeColor="accent1" w:themeShade="80"/>
      <w:sz w:val="22"/>
    </w:rPr>
  </w:style>
  <w:style w:type="character" w:customStyle="1" w:styleId="IntenseQuoteChar">
    <w:name w:val="Intense Quote Char"/>
    <w:basedOn w:val="DefaultParagraphFont"/>
    <w:link w:val="IntenseQuote"/>
    <w:uiPriority w:val="30"/>
    <w:rsid w:val="00BD4B78"/>
    <w:rPr>
      <w:i/>
      <w:iCs/>
      <w:color w:val="1F3864" w:themeColor="accent1" w:themeShade="80"/>
    </w:rPr>
  </w:style>
  <w:style w:type="character" w:styleId="SubtleReference">
    <w:name w:val="Subtle Reference"/>
    <w:basedOn w:val="DefaultParagraphFont"/>
    <w:uiPriority w:val="31"/>
    <w:qFormat/>
    <w:rsid w:val="00BD4B78"/>
    <w:rPr>
      <w:smallCaps/>
      <w:color w:val="5A5A5A" w:themeColor="text1" w:themeTint="A5"/>
    </w:rPr>
  </w:style>
  <w:style w:type="character" w:styleId="IntenseReference">
    <w:name w:val="Intense Reference"/>
    <w:basedOn w:val="DefaultParagraphFont"/>
    <w:uiPriority w:val="32"/>
    <w:qFormat/>
    <w:rsid w:val="00BD4B78"/>
    <w:rPr>
      <w:b/>
      <w:bCs/>
      <w:caps w:val="0"/>
      <w:smallCaps/>
      <w:color w:val="1F3864" w:themeColor="accent1" w:themeShade="80"/>
      <w:spacing w:val="5"/>
    </w:rPr>
  </w:style>
  <w:style w:type="character" w:styleId="BookTitle">
    <w:name w:val="Book Title"/>
    <w:basedOn w:val="DefaultParagraphFont"/>
    <w:uiPriority w:val="33"/>
    <w:qFormat/>
    <w:rsid w:val="00BD4B78"/>
    <w:rPr>
      <w:b/>
      <w:bCs/>
      <w:i/>
      <w:iCs/>
      <w:spacing w:val="5"/>
    </w:rPr>
  </w:style>
  <w:style w:type="paragraph" w:styleId="BlockText">
    <w:name w:val="Block Text"/>
    <w:basedOn w:val="Normal"/>
    <w:uiPriority w:val="99"/>
    <w:semiHidden/>
    <w:unhideWhenUsed/>
    <w:rsid w:val="00BD4B78"/>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spacing w:after="0" w:line="240" w:lineRule="auto"/>
      <w:ind w:left="1152" w:right="1152"/>
      <w:jc w:val="left"/>
    </w:pPr>
    <w:rPr>
      <w:rFonts w:eastAsiaTheme="minorEastAsia"/>
      <w:i/>
      <w:iCs/>
      <w:color w:val="1F3864" w:themeColor="accent1" w:themeShade="80"/>
      <w:sz w:val="22"/>
    </w:rPr>
  </w:style>
  <w:style w:type="paragraph" w:styleId="BodyText3">
    <w:name w:val="Body Text 3"/>
    <w:basedOn w:val="Normal"/>
    <w:link w:val="BodyText3Char"/>
    <w:uiPriority w:val="99"/>
    <w:semiHidden/>
    <w:unhideWhenUsed/>
    <w:rsid w:val="00BD4B78"/>
    <w:pPr>
      <w:spacing w:after="120" w:line="240" w:lineRule="auto"/>
      <w:jc w:val="left"/>
    </w:pPr>
    <w:rPr>
      <w:color w:val="auto"/>
      <w:sz w:val="22"/>
      <w:szCs w:val="16"/>
    </w:rPr>
  </w:style>
  <w:style w:type="character" w:customStyle="1" w:styleId="BodyText3Char">
    <w:name w:val="Body Text 3 Char"/>
    <w:basedOn w:val="DefaultParagraphFont"/>
    <w:link w:val="BodyText3"/>
    <w:uiPriority w:val="99"/>
    <w:semiHidden/>
    <w:rsid w:val="00BD4B78"/>
    <w:rPr>
      <w:szCs w:val="16"/>
    </w:rPr>
  </w:style>
  <w:style w:type="paragraph" w:styleId="BodyTextIndent3">
    <w:name w:val="Body Text Indent 3"/>
    <w:basedOn w:val="Normal"/>
    <w:link w:val="BodyTextIndent3Char"/>
    <w:uiPriority w:val="99"/>
    <w:semiHidden/>
    <w:unhideWhenUsed/>
    <w:rsid w:val="00BD4B78"/>
    <w:pPr>
      <w:spacing w:after="120" w:line="240" w:lineRule="auto"/>
      <w:ind w:left="360"/>
      <w:jc w:val="left"/>
    </w:pPr>
    <w:rPr>
      <w:color w:val="auto"/>
      <w:sz w:val="22"/>
      <w:szCs w:val="16"/>
    </w:rPr>
  </w:style>
  <w:style w:type="character" w:customStyle="1" w:styleId="BodyTextIndent3Char">
    <w:name w:val="Body Text Indent 3 Char"/>
    <w:basedOn w:val="DefaultParagraphFont"/>
    <w:link w:val="BodyTextIndent3"/>
    <w:uiPriority w:val="99"/>
    <w:semiHidden/>
    <w:rsid w:val="00BD4B78"/>
    <w:rPr>
      <w:szCs w:val="16"/>
    </w:rPr>
  </w:style>
  <w:style w:type="paragraph" w:styleId="DocumentMap">
    <w:name w:val="Document Map"/>
    <w:basedOn w:val="Normal"/>
    <w:link w:val="DocumentMapChar"/>
    <w:uiPriority w:val="99"/>
    <w:semiHidden/>
    <w:unhideWhenUsed/>
    <w:rsid w:val="00BD4B78"/>
    <w:pPr>
      <w:spacing w:after="0" w:line="240" w:lineRule="auto"/>
      <w:jc w:val="left"/>
    </w:pPr>
    <w:rPr>
      <w:rFonts w:ascii="Segoe UI" w:hAnsi="Segoe UI" w:cs="Segoe UI"/>
      <w:color w:val="auto"/>
      <w:sz w:val="22"/>
      <w:szCs w:val="16"/>
    </w:rPr>
  </w:style>
  <w:style w:type="character" w:customStyle="1" w:styleId="DocumentMapChar">
    <w:name w:val="Document Map Char"/>
    <w:basedOn w:val="DefaultParagraphFont"/>
    <w:link w:val="DocumentMap"/>
    <w:uiPriority w:val="99"/>
    <w:semiHidden/>
    <w:rsid w:val="00BD4B78"/>
    <w:rPr>
      <w:rFonts w:ascii="Segoe UI" w:hAnsi="Segoe UI" w:cs="Segoe UI"/>
      <w:szCs w:val="16"/>
    </w:rPr>
  </w:style>
  <w:style w:type="paragraph" w:styleId="EndnoteText">
    <w:name w:val="endnote text"/>
    <w:basedOn w:val="Normal"/>
    <w:link w:val="EndnoteTextChar"/>
    <w:uiPriority w:val="99"/>
    <w:semiHidden/>
    <w:unhideWhenUsed/>
    <w:rsid w:val="00BD4B78"/>
    <w:pPr>
      <w:spacing w:after="0" w:line="240" w:lineRule="auto"/>
      <w:jc w:val="left"/>
    </w:pPr>
    <w:rPr>
      <w:color w:val="auto"/>
      <w:sz w:val="22"/>
      <w:szCs w:val="20"/>
    </w:rPr>
  </w:style>
  <w:style w:type="character" w:customStyle="1" w:styleId="EndnoteTextChar">
    <w:name w:val="Endnote Text Char"/>
    <w:basedOn w:val="DefaultParagraphFont"/>
    <w:link w:val="EndnoteText"/>
    <w:uiPriority w:val="99"/>
    <w:semiHidden/>
    <w:rsid w:val="00BD4B78"/>
    <w:rPr>
      <w:szCs w:val="20"/>
    </w:rPr>
  </w:style>
  <w:style w:type="paragraph" w:styleId="EnvelopeReturn">
    <w:name w:val="envelope return"/>
    <w:basedOn w:val="Normal"/>
    <w:uiPriority w:val="99"/>
    <w:semiHidden/>
    <w:unhideWhenUsed/>
    <w:rsid w:val="00BD4B78"/>
    <w:pPr>
      <w:spacing w:after="0" w:line="240" w:lineRule="auto"/>
      <w:jc w:val="left"/>
    </w:pPr>
    <w:rPr>
      <w:rFonts w:asciiTheme="majorHAnsi" w:eastAsiaTheme="majorEastAsia" w:hAnsiTheme="majorHAnsi" w:cstheme="majorBidi"/>
      <w:color w:val="auto"/>
      <w:sz w:val="22"/>
      <w:szCs w:val="20"/>
    </w:rPr>
  </w:style>
  <w:style w:type="character" w:styleId="HTMLCode">
    <w:name w:val="HTML Code"/>
    <w:basedOn w:val="DefaultParagraphFont"/>
    <w:uiPriority w:val="99"/>
    <w:semiHidden/>
    <w:unhideWhenUsed/>
    <w:rsid w:val="00BD4B78"/>
    <w:rPr>
      <w:rFonts w:ascii="Consolas" w:hAnsi="Consolas"/>
      <w:sz w:val="22"/>
      <w:szCs w:val="20"/>
    </w:rPr>
  </w:style>
  <w:style w:type="character" w:styleId="HTMLKeyboard">
    <w:name w:val="HTML Keyboard"/>
    <w:basedOn w:val="DefaultParagraphFont"/>
    <w:uiPriority w:val="99"/>
    <w:semiHidden/>
    <w:unhideWhenUsed/>
    <w:rsid w:val="00BD4B78"/>
    <w:rPr>
      <w:rFonts w:ascii="Consolas" w:hAnsi="Consolas"/>
      <w:sz w:val="22"/>
      <w:szCs w:val="20"/>
    </w:rPr>
  </w:style>
  <w:style w:type="paragraph" w:styleId="HTMLPreformatted">
    <w:name w:val="HTML Preformatted"/>
    <w:basedOn w:val="Normal"/>
    <w:link w:val="HTMLPreformattedChar"/>
    <w:uiPriority w:val="99"/>
    <w:semiHidden/>
    <w:unhideWhenUsed/>
    <w:rsid w:val="00BD4B78"/>
    <w:pPr>
      <w:spacing w:after="0" w:line="240" w:lineRule="auto"/>
      <w:jc w:val="left"/>
    </w:pPr>
    <w:rPr>
      <w:rFonts w:ascii="Consolas" w:hAnsi="Consolas"/>
      <w:color w:val="auto"/>
      <w:sz w:val="22"/>
      <w:szCs w:val="20"/>
    </w:rPr>
  </w:style>
  <w:style w:type="character" w:customStyle="1" w:styleId="HTMLPreformattedChar">
    <w:name w:val="HTML Preformatted Char"/>
    <w:basedOn w:val="DefaultParagraphFont"/>
    <w:link w:val="HTMLPreformatted"/>
    <w:uiPriority w:val="99"/>
    <w:semiHidden/>
    <w:rsid w:val="00BD4B78"/>
    <w:rPr>
      <w:rFonts w:ascii="Consolas" w:hAnsi="Consolas"/>
      <w:szCs w:val="20"/>
    </w:rPr>
  </w:style>
  <w:style w:type="character" w:styleId="HTMLTypewriter">
    <w:name w:val="HTML Typewriter"/>
    <w:basedOn w:val="DefaultParagraphFont"/>
    <w:uiPriority w:val="99"/>
    <w:semiHidden/>
    <w:unhideWhenUsed/>
    <w:rsid w:val="00BD4B78"/>
    <w:rPr>
      <w:rFonts w:ascii="Consolas" w:hAnsi="Consolas"/>
      <w:sz w:val="22"/>
      <w:szCs w:val="20"/>
    </w:rPr>
  </w:style>
  <w:style w:type="paragraph" w:styleId="MacroText">
    <w:name w:val="macro"/>
    <w:link w:val="MacroTextChar"/>
    <w:uiPriority w:val="99"/>
    <w:semiHidden/>
    <w:unhideWhenUsed/>
    <w:rsid w:val="00BD4B7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Cs w:val="20"/>
    </w:rPr>
  </w:style>
  <w:style w:type="character" w:customStyle="1" w:styleId="MacroTextChar">
    <w:name w:val="Macro Text Char"/>
    <w:basedOn w:val="DefaultParagraphFont"/>
    <w:link w:val="MacroText"/>
    <w:uiPriority w:val="99"/>
    <w:semiHidden/>
    <w:rsid w:val="00BD4B78"/>
    <w:rPr>
      <w:rFonts w:ascii="Consolas" w:hAnsi="Consolas"/>
      <w:szCs w:val="20"/>
    </w:rPr>
  </w:style>
  <w:style w:type="paragraph" w:styleId="PlainText">
    <w:name w:val="Plain Text"/>
    <w:basedOn w:val="Normal"/>
    <w:link w:val="PlainTextChar"/>
    <w:uiPriority w:val="99"/>
    <w:semiHidden/>
    <w:unhideWhenUsed/>
    <w:rsid w:val="00BD4B78"/>
    <w:pPr>
      <w:spacing w:after="0" w:line="240" w:lineRule="auto"/>
      <w:jc w:val="left"/>
    </w:pPr>
    <w:rPr>
      <w:rFonts w:ascii="Consolas" w:hAnsi="Consolas"/>
      <w:color w:val="auto"/>
      <w:sz w:val="22"/>
      <w:szCs w:val="21"/>
    </w:rPr>
  </w:style>
  <w:style w:type="character" w:customStyle="1" w:styleId="PlainTextChar">
    <w:name w:val="Plain Text Char"/>
    <w:basedOn w:val="DefaultParagraphFont"/>
    <w:link w:val="PlainText"/>
    <w:uiPriority w:val="99"/>
    <w:semiHidden/>
    <w:rsid w:val="00BD4B78"/>
    <w:rPr>
      <w:rFonts w:ascii="Consolas" w:hAnsi="Consolas"/>
      <w:szCs w:val="21"/>
    </w:rPr>
  </w:style>
  <w:style w:type="character" w:styleId="PlaceholderText">
    <w:name w:val="Placeholder Text"/>
    <w:basedOn w:val="DefaultParagraphFont"/>
    <w:uiPriority w:val="99"/>
    <w:semiHidden/>
    <w:rsid w:val="00BD4B78"/>
    <w:rPr>
      <w:color w:val="3B3838" w:themeColor="background2" w:themeShade="40"/>
    </w:rPr>
  </w:style>
  <w:style w:type="paragraph" w:styleId="TOC9">
    <w:name w:val="toc 9"/>
    <w:basedOn w:val="Normal"/>
    <w:next w:val="Normal"/>
    <w:autoRedefine/>
    <w:uiPriority w:val="39"/>
    <w:semiHidden/>
    <w:unhideWhenUsed/>
    <w:rsid w:val="00BD4B78"/>
    <w:pPr>
      <w:spacing w:after="120" w:line="240" w:lineRule="auto"/>
      <w:ind w:left="1757"/>
      <w:jc w:val="left"/>
    </w:pPr>
    <w:rPr>
      <w:color w:val="auto"/>
      <w:sz w:val="22"/>
    </w:rPr>
  </w:style>
  <w:style w:type="table" w:styleId="PlainTable4">
    <w:name w:val="Plain Table 4"/>
    <w:basedOn w:val="TableNormal"/>
    <w:uiPriority w:val="44"/>
    <w:rsid w:val="00BD4B7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62937">
      <w:bodyDiv w:val="1"/>
      <w:marLeft w:val="0"/>
      <w:marRight w:val="0"/>
      <w:marTop w:val="0"/>
      <w:marBottom w:val="0"/>
      <w:divBdr>
        <w:top w:val="none" w:sz="0" w:space="0" w:color="auto"/>
        <w:left w:val="none" w:sz="0" w:space="0" w:color="auto"/>
        <w:bottom w:val="none" w:sz="0" w:space="0" w:color="auto"/>
        <w:right w:val="none" w:sz="0" w:space="0" w:color="auto"/>
      </w:divBdr>
    </w:div>
    <w:div w:id="224491268">
      <w:bodyDiv w:val="1"/>
      <w:marLeft w:val="0"/>
      <w:marRight w:val="0"/>
      <w:marTop w:val="0"/>
      <w:marBottom w:val="0"/>
      <w:divBdr>
        <w:top w:val="none" w:sz="0" w:space="0" w:color="auto"/>
        <w:left w:val="none" w:sz="0" w:space="0" w:color="auto"/>
        <w:bottom w:val="none" w:sz="0" w:space="0" w:color="auto"/>
        <w:right w:val="none" w:sz="0" w:space="0" w:color="auto"/>
      </w:divBdr>
    </w:div>
    <w:div w:id="327100904">
      <w:bodyDiv w:val="1"/>
      <w:marLeft w:val="0"/>
      <w:marRight w:val="0"/>
      <w:marTop w:val="0"/>
      <w:marBottom w:val="0"/>
      <w:divBdr>
        <w:top w:val="none" w:sz="0" w:space="0" w:color="auto"/>
        <w:left w:val="none" w:sz="0" w:space="0" w:color="auto"/>
        <w:bottom w:val="none" w:sz="0" w:space="0" w:color="auto"/>
        <w:right w:val="none" w:sz="0" w:space="0" w:color="auto"/>
      </w:divBdr>
    </w:div>
    <w:div w:id="405343483">
      <w:bodyDiv w:val="1"/>
      <w:marLeft w:val="0"/>
      <w:marRight w:val="0"/>
      <w:marTop w:val="0"/>
      <w:marBottom w:val="0"/>
      <w:divBdr>
        <w:top w:val="none" w:sz="0" w:space="0" w:color="auto"/>
        <w:left w:val="none" w:sz="0" w:space="0" w:color="auto"/>
        <w:bottom w:val="none" w:sz="0" w:space="0" w:color="auto"/>
        <w:right w:val="none" w:sz="0" w:space="0" w:color="auto"/>
      </w:divBdr>
    </w:div>
    <w:div w:id="496309330">
      <w:bodyDiv w:val="1"/>
      <w:marLeft w:val="0"/>
      <w:marRight w:val="0"/>
      <w:marTop w:val="0"/>
      <w:marBottom w:val="0"/>
      <w:divBdr>
        <w:top w:val="none" w:sz="0" w:space="0" w:color="auto"/>
        <w:left w:val="none" w:sz="0" w:space="0" w:color="auto"/>
        <w:bottom w:val="none" w:sz="0" w:space="0" w:color="auto"/>
        <w:right w:val="none" w:sz="0" w:space="0" w:color="auto"/>
      </w:divBdr>
    </w:div>
    <w:div w:id="496505828">
      <w:bodyDiv w:val="1"/>
      <w:marLeft w:val="0"/>
      <w:marRight w:val="0"/>
      <w:marTop w:val="0"/>
      <w:marBottom w:val="0"/>
      <w:divBdr>
        <w:top w:val="none" w:sz="0" w:space="0" w:color="auto"/>
        <w:left w:val="none" w:sz="0" w:space="0" w:color="auto"/>
        <w:bottom w:val="none" w:sz="0" w:space="0" w:color="auto"/>
        <w:right w:val="none" w:sz="0" w:space="0" w:color="auto"/>
      </w:divBdr>
    </w:div>
    <w:div w:id="707607753">
      <w:bodyDiv w:val="1"/>
      <w:marLeft w:val="0"/>
      <w:marRight w:val="0"/>
      <w:marTop w:val="0"/>
      <w:marBottom w:val="0"/>
      <w:divBdr>
        <w:top w:val="none" w:sz="0" w:space="0" w:color="auto"/>
        <w:left w:val="none" w:sz="0" w:space="0" w:color="auto"/>
        <w:bottom w:val="none" w:sz="0" w:space="0" w:color="auto"/>
        <w:right w:val="none" w:sz="0" w:space="0" w:color="auto"/>
      </w:divBdr>
    </w:div>
    <w:div w:id="758334793">
      <w:bodyDiv w:val="1"/>
      <w:marLeft w:val="0"/>
      <w:marRight w:val="0"/>
      <w:marTop w:val="0"/>
      <w:marBottom w:val="0"/>
      <w:divBdr>
        <w:top w:val="none" w:sz="0" w:space="0" w:color="auto"/>
        <w:left w:val="none" w:sz="0" w:space="0" w:color="auto"/>
        <w:bottom w:val="none" w:sz="0" w:space="0" w:color="auto"/>
        <w:right w:val="none" w:sz="0" w:space="0" w:color="auto"/>
      </w:divBdr>
    </w:div>
    <w:div w:id="815489490">
      <w:bodyDiv w:val="1"/>
      <w:marLeft w:val="0"/>
      <w:marRight w:val="0"/>
      <w:marTop w:val="0"/>
      <w:marBottom w:val="0"/>
      <w:divBdr>
        <w:top w:val="none" w:sz="0" w:space="0" w:color="auto"/>
        <w:left w:val="none" w:sz="0" w:space="0" w:color="auto"/>
        <w:bottom w:val="none" w:sz="0" w:space="0" w:color="auto"/>
        <w:right w:val="none" w:sz="0" w:space="0" w:color="auto"/>
      </w:divBdr>
    </w:div>
    <w:div w:id="830950672">
      <w:bodyDiv w:val="1"/>
      <w:marLeft w:val="0"/>
      <w:marRight w:val="0"/>
      <w:marTop w:val="0"/>
      <w:marBottom w:val="0"/>
      <w:divBdr>
        <w:top w:val="none" w:sz="0" w:space="0" w:color="auto"/>
        <w:left w:val="none" w:sz="0" w:space="0" w:color="auto"/>
        <w:bottom w:val="none" w:sz="0" w:space="0" w:color="auto"/>
        <w:right w:val="none" w:sz="0" w:space="0" w:color="auto"/>
      </w:divBdr>
    </w:div>
    <w:div w:id="930700882">
      <w:bodyDiv w:val="1"/>
      <w:marLeft w:val="0"/>
      <w:marRight w:val="0"/>
      <w:marTop w:val="0"/>
      <w:marBottom w:val="0"/>
      <w:divBdr>
        <w:top w:val="none" w:sz="0" w:space="0" w:color="auto"/>
        <w:left w:val="none" w:sz="0" w:space="0" w:color="auto"/>
        <w:bottom w:val="none" w:sz="0" w:space="0" w:color="auto"/>
        <w:right w:val="none" w:sz="0" w:space="0" w:color="auto"/>
      </w:divBdr>
    </w:div>
    <w:div w:id="988559316">
      <w:bodyDiv w:val="1"/>
      <w:marLeft w:val="0"/>
      <w:marRight w:val="0"/>
      <w:marTop w:val="0"/>
      <w:marBottom w:val="0"/>
      <w:divBdr>
        <w:top w:val="none" w:sz="0" w:space="0" w:color="auto"/>
        <w:left w:val="none" w:sz="0" w:space="0" w:color="auto"/>
        <w:bottom w:val="none" w:sz="0" w:space="0" w:color="auto"/>
        <w:right w:val="none" w:sz="0" w:space="0" w:color="auto"/>
      </w:divBdr>
    </w:div>
    <w:div w:id="1221474541">
      <w:bodyDiv w:val="1"/>
      <w:marLeft w:val="0"/>
      <w:marRight w:val="0"/>
      <w:marTop w:val="0"/>
      <w:marBottom w:val="0"/>
      <w:divBdr>
        <w:top w:val="none" w:sz="0" w:space="0" w:color="auto"/>
        <w:left w:val="none" w:sz="0" w:space="0" w:color="auto"/>
        <w:bottom w:val="none" w:sz="0" w:space="0" w:color="auto"/>
        <w:right w:val="none" w:sz="0" w:space="0" w:color="auto"/>
      </w:divBdr>
    </w:div>
    <w:div w:id="1241981220">
      <w:bodyDiv w:val="1"/>
      <w:marLeft w:val="0"/>
      <w:marRight w:val="0"/>
      <w:marTop w:val="0"/>
      <w:marBottom w:val="0"/>
      <w:divBdr>
        <w:top w:val="none" w:sz="0" w:space="0" w:color="auto"/>
        <w:left w:val="none" w:sz="0" w:space="0" w:color="auto"/>
        <w:bottom w:val="none" w:sz="0" w:space="0" w:color="auto"/>
        <w:right w:val="none" w:sz="0" w:space="0" w:color="auto"/>
      </w:divBdr>
    </w:div>
    <w:div w:id="1285890058">
      <w:bodyDiv w:val="1"/>
      <w:marLeft w:val="0"/>
      <w:marRight w:val="0"/>
      <w:marTop w:val="0"/>
      <w:marBottom w:val="0"/>
      <w:divBdr>
        <w:top w:val="none" w:sz="0" w:space="0" w:color="auto"/>
        <w:left w:val="none" w:sz="0" w:space="0" w:color="auto"/>
        <w:bottom w:val="none" w:sz="0" w:space="0" w:color="auto"/>
        <w:right w:val="none" w:sz="0" w:space="0" w:color="auto"/>
      </w:divBdr>
    </w:div>
    <w:div w:id="1337615248">
      <w:bodyDiv w:val="1"/>
      <w:marLeft w:val="0"/>
      <w:marRight w:val="0"/>
      <w:marTop w:val="0"/>
      <w:marBottom w:val="0"/>
      <w:divBdr>
        <w:top w:val="none" w:sz="0" w:space="0" w:color="auto"/>
        <w:left w:val="none" w:sz="0" w:space="0" w:color="auto"/>
        <w:bottom w:val="none" w:sz="0" w:space="0" w:color="auto"/>
        <w:right w:val="none" w:sz="0" w:space="0" w:color="auto"/>
      </w:divBdr>
    </w:div>
    <w:div w:id="1579943587">
      <w:bodyDiv w:val="1"/>
      <w:marLeft w:val="0"/>
      <w:marRight w:val="0"/>
      <w:marTop w:val="0"/>
      <w:marBottom w:val="0"/>
      <w:divBdr>
        <w:top w:val="none" w:sz="0" w:space="0" w:color="auto"/>
        <w:left w:val="none" w:sz="0" w:space="0" w:color="auto"/>
        <w:bottom w:val="none" w:sz="0" w:space="0" w:color="auto"/>
        <w:right w:val="none" w:sz="0" w:space="0" w:color="auto"/>
      </w:divBdr>
    </w:div>
    <w:div w:id="1582787724">
      <w:bodyDiv w:val="1"/>
      <w:marLeft w:val="0"/>
      <w:marRight w:val="0"/>
      <w:marTop w:val="0"/>
      <w:marBottom w:val="0"/>
      <w:divBdr>
        <w:top w:val="none" w:sz="0" w:space="0" w:color="auto"/>
        <w:left w:val="none" w:sz="0" w:space="0" w:color="auto"/>
        <w:bottom w:val="none" w:sz="0" w:space="0" w:color="auto"/>
        <w:right w:val="none" w:sz="0" w:space="0" w:color="auto"/>
      </w:divBdr>
    </w:div>
    <w:div w:id="1613324982">
      <w:bodyDiv w:val="1"/>
      <w:marLeft w:val="0"/>
      <w:marRight w:val="0"/>
      <w:marTop w:val="0"/>
      <w:marBottom w:val="0"/>
      <w:divBdr>
        <w:top w:val="none" w:sz="0" w:space="0" w:color="auto"/>
        <w:left w:val="none" w:sz="0" w:space="0" w:color="auto"/>
        <w:bottom w:val="none" w:sz="0" w:space="0" w:color="auto"/>
        <w:right w:val="none" w:sz="0" w:space="0" w:color="auto"/>
      </w:divBdr>
    </w:div>
    <w:div w:id="1657223301">
      <w:bodyDiv w:val="1"/>
      <w:marLeft w:val="0"/>
      <w:marRight w:val="0"/>
      <w:marTop w:val="0"/>
      <w:marBottom w:val="0"/>
      <w:divBdr>
        <w:top w:val="none" w:sz="0" w:space="0" w:color="auto"/>
        <w:left w:val="none" w:sz="0" w:space="0" w:color="auto"/>
        <w:bottom w:val="none" w:sz="0" w:space="0" w:color="auto"/>
        <w:right w:val="none" w:sz="0" w:space="0" w:color="auto"/>
      </w:divBdr>
    </w:div>
    <w:div w:id="1678337853">
      <w:bodyDiv w:val="1"/>
      <w:marLeft w:val="0"/>
      <w:marRight w:val="0"/>
      <w:marTop w:val="0"/>
      <w:marBottom w:val="0"/>
      <w:divBdr>
        <w:top w:val="none" w:sz="0" w:space="0" w:color="auto"/>
        <w:left w:val="none" w:sz="0" w:space="0" w:color="auto"/>
        <w:bottom w:val="none" w:sz="0" w:space="0" w:color="auto"/>
        <w:right w:val="none" w:sz="0" w:space="0" w:color="auto"/>
      </w:divBdr>
    </w:div>
    <w:div w:id="1685552747">
      <w:bodyDiv w:val="1"/>
      <w:marLeft w:val="0"/>
      <w:marRight w:val="0"/>
      <w:marTop w:val="0"/>
      <w:marBottom w:val="0"/>
      <w:divBdr>
        <w:top w:val="none" w:sz="0" w:space="0" w:color="auto"/>
        <w:left w:val="none" w:sz="0" w:space="0" w:color="auto"/>
        <w:bottom w:val="none" w:sz="0" w:space="0" w:color="auto"/>
        <w:right w:val="none" w:sz="0" w:space="0" w:color="auto"/>
      </w:divBdr>
    </w:div>
    <w:div w:id="1697268533">
      <w:bodyDiv w:val="1"/>
      <w:marLeft w:val="0"/>
      <w:marRight w:val="0"/>
      <w:marTop w:val="0"/>
      <w:marBottom w:val="0"/>
      <w:divBdr>
        <w:top w:val="none" w:sz="0" w:space="0" w:color="auto"/>
        <w:left w:val="none" w:sz="0" w:space="0" w:color="auto"/>
        <w:bottom w:val="none" w:sz="0" w:space="0" w:color="auto"/>
        <w:right w:val="none" w:sz="0" w:space="0" w:color="auto"/>
      </w:divBdr>
    </w:div>
    <w:div w:id="1741367302">
      <w:bodyDiv w:val="1"/>
      <w:marLeft w:val="0"/>
      <w:marRight w:val="0"/>
      <w:marTop w:val="0"/>
      <w:marBottom w:val="0"/>
      <w:divBdr>
        <w:top w:val="none" w:sz="0" w:space="0" w:color="auto"/>
        <w:left w:val="none" w:sz="0" w:space="0" w:color="auto"/>
        <w:bottom w:val="none" w:sz="0" w:space="0" w:color="auto"/>
        <w:right w:val="none" w:sz="0" w:space="0" w:color="auto"/>
      </w:divBdr>
    </w:div>
    <w:div w:id="1750691447">
      <w:bodyDiv w:val="1"/>
      <w:marLeft w:val="0"/>
      <w:marRight w:val="0"/>
      <w:marTop w:val="0"/>
      <w:marBottom w:val="0"/>
      <w:divBdr>
        <w:top w:val="none" w:sz="0" w:space="0" w:color="auto"/>
        <w:left w:val="none" w:sz="0" w:space="0" w:color="auto"/>
        <w:bottom w:val="none" w:sz="0" w:space="0" w:color="auto"/>
        <w:right w:val="none" w:sz="0" w:space="0" w:color="auto"/>
      </w:divBdr>
    </w:div>
    <w:div w:id="1980568835">
      <w:bodyDiv w:val="1"/>
      <w:marLeft w:val="0"/>
      <w:marRight w:val="0"/>
      <w:marTop w:val="0"/>
      <w:marBottom w:val="0"/>
      <w:divBdr>
        <w:top w:val="none" w:sz="0" w:space="0" w:color="auto"/>
        <w:left w:val="none" w:sz="0" w:space="0" w:color="auto"/>
        <w:bottom w:val="none" w:sz="0" w:space="0" w:color="auto"/>
        <w:right w:val="none" w:sz="0" w:space="0" w:color="auto"/>
      </w:divBdr>
    </w:div>
    <w:div w:id="2078817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22.xml"/><Relationship Id="rId21" Type="http://schemas.openxmlformats.org/officeDocument/2006/relationships/image" Target="media/image1.gif"/><Relationship Id="rId42" Type="http://schemas.openxmlformats.org/officeDocument/2006/relationships/chart" Target="charts/chart15.xml"/><Relationship Id="rId63" Type="http://schemas.openxmlformats.org/officeDocument/2006/relationships/chart" Target="charts/chart35.xml"/><Relationship Id="rId84" Type="http://schemas.openxmlformats.org/officeDocument/2006/relationships/chart" Target="charts/chart54.xml"/><Relationship Id="rId138" Type="http://schemas.openxmlformats.org/officeDocument/2006/relationships/header" Target="header30.xml"/><Relationship Id="rId159" Type="http://schemas.openxmlformats.org/officeDocument/2006/relationships/chart" Target="charts/chart69.xml"/><Relationship Id="rId170" Type="http://schemas.openxmlformats.org/officeDocument/2006/relationships/footer" Target="footer43.xml"/><Relationship Id="rId191" Type="http://schemas.openxmlformats.org/officeDocument/2006/relationships/image" Target="media/image16.jpeg"/><Relationship Id="rId205" Type="http://schemas.openxmlformats.org/officeDocument/2006/relationships/footer" Target="footer51.xml"/><Relationship Id="rId107" Type="http://schemas.openxmlformats.org/officeDocument/2006/relationships/header" Target="header17.xml"/><Relationship Id="rId11" Type="http://schemas.openxmlformats.org/officeDocument/2006/relationships/header" Target="header3.xml"/><Relationship Id="rId32" Type="http://schemas.openxmlformats.org/officeDocument/2006/relationships/chart" Target="charts/chart9.xml"/><Relationship Id="rId53" Type="http://schemas.openxmlformats.org/officeDocument/2006/relationships/chart" Target="charts/chart26.xml"/><Relationship Id="rId74" Type="http://schemas.openxmlformats.org/officeDocument/2006/relationships/header" Target="header9.xml"/><Relationship Id="rId128" Type="http://schemas.openxmlformats.org/officeDocument/2006/relationships/footer" Target="footer25.xml"/><Relationship Id="rId149" Type="http://schemas.openxmlformats.org/officeDocument/2006/relationships/footer" Target="footer36.xml"/><Relationship Id="rId5" Type="http://schemas.openxmlformats.org/officeDocument/2006/relationships/webSettings" Target="webSettings.xml"/><Relationship Id="rId95" Type="http://schemas.openxmlformats.org/officeDocument/2006/relationships/footer" Target="footer12.xml"/><Relationship Id="rId160" Type="http://schemas.openxmlformats.org/officeDocument/2006/relationships/chart" Target="charts/chart70.xml"/><Relationship Id="rId181" Type="http://schemas.openxmlformats.org/officeDocument/2006/relationships/chart" Target="charts/chart79.xml"/><Relationship Id="rId22" Type="http://schemas.openxmlformats.org/officeDocument/2006/relationships/chart" Target="charts/chart1.xml"/><Relationship Id="rId43" Type="http://schemas.openxmlformats.org/officeDocument/2006/relationships/chart" Target="charts/chart16.xml"/><Relationship Id="rId64" Type="http://schemas.openxmlformats.org/officeDocument/2006/relationships/chart" Target="charts/chart36.xml"/><Relationship Id="rId118" Type="http://schemas.openxmlformats.org/officeDocument/2006/relationships/chart" Target="charts/chart62.xml"/><Relationship Id="rId139" Type="http://schemas.openxmlformats.org/officeDocument/2006/relationships/footer" Target="footer31.xml"/><Relationship Id="rId85" Type="http://schemas.openxmlformats.org/officeDocument/2006/relationships/chart" Target="charts/chart55.xml"/><Relationship Id="rId150" Type="http://schemas.openxmlformats.org/officeDocument/2006/relationships/footer" Target="footer37.xml"/><Relationship Id="rId171" Type="http://schemas.openxmlformats.org/officeDocument/2006/relationships/header" Target="header40.xml"/><Relationship Id="rId192" Type="http://schemas.openxmlformats.org/officeDocument/2006/relationships/image" Target="media/image17.jpeg"/><Relationship Id="rId206" Type="http://schemas.openxmlformats.org/officeDocument/2006/relationships/header" Target="header45.xml"/><Relationship Id="rId12" Type="http://schemas.openxmlformats.org/officeDocument/2006/relationships/footer" Target="footer2.xml"/><Relationship Id="rId33" Type="http://schemas.openxmlformats.org/officeDocument/2006/relationships/chart" Target="charts/chart10.xml"/><Relationship Id="rId108" Type="http://schemas.openxmlformats.org/officeDocument/2006/relationships/header" Target="header18.xml"/><Relationship Id="rId129" Type="http://schemas.openxmlformats.org/officeDocument/2006/relationships/header" Target="header27.xml"/><Relationship Id="rId54" Type="http://schemas.openxmlformats.org/officeDocument/2006/relationships/chart" Target="charts/chart27.xml"/><Relationship Id="rId75" Type="http://schemas.openxmlformats.org/officeDocument/2006/relationships/chart" Target="charts/chart45.xml"/><Relationship Id="rId96" Type="http://schemas.openxmlformats.org/officeDocument/2006/relationships/footer" Target="footer13.xml"/><Relationship Id="rId140" Type="http://schemas.openxmlformats.org/officeDocument/2006/relationships/footer" Target="footer32.xml"/><Relationship Id="rId161" Type="http://schemas.openxmlformats.org/officeDocument/2006/relationships/header" Target="header37.xml"/><Relationship Id="rId182" Type="http://schemas.openxmlformats.org/officeDocument/2006/relationships/image" Target="media/image7.emf"/><Relationship Id="rId6" Type="http://schemas.openxmlformats.org/officeDocument/2006/relationships/footnotes" Target="footnotes.xml"/><Relationship Id="rId23" Type="http://schemas.openxmlformats.org/officeDocument/2006/relationships/chart" Target="charts/chart2.xml"/><Relationship Id="rId119" Type="http://schemas.openxmlformats.org/officeDocument/2006/relationships/chart" Target="charts/chart63.xml"/><Relationship Id="rId44" Type="http://schemas.openxmlformats.org/officeDocument/2006/relationships/chart" Target="charts/chart17.xml"/><Relationship Id="rId65" Type="http://schemas.openxmlformats.org/officeDocument/2006/relationships/chart" Target="charts/chart37.xml"/><Relationship Id="rId86" Type="http://schemas.openxmlformats.org/officeDocument/2006/relationships/chart" Target="charts/chart56.xml"/><Relationship Id="rId130" Type="http://schemas.openxmlformats.org/officeDocument/2006/relationships/header" Target="header28.xml"/><Relationship Id="rId151" Type="http://schemas.openxmlformats.org/officeDocument/2006/relationships/header" Target="header34.xml"/><Relationship Id="rId172" Type="http://schemas.openxmlformats.org/officeDocument/2006/relationships/header" Target="header41.xml"/><Relationship Id="rId193" Type="http://schemas.openxmlformats.org/officeDocument/2006/relationships/header" Target="header43.xml"/><Relationship Id="rId207" Type="http://schemas.openxmlformats.org/officeDocument/2006/relationships/fontTable" Target="fontTable.xml"/><Relationship Id="rId13" Type="http://schemas.openxmlformats.org/officeDocument/2006/relationships/footer" Target="footer3.xml"/><Relationship Id="rId109" Type="http://schemas.openxmlformats.org/officeDocument/2006/relationships/footer" Target="footer18.xml"/><Relationship Id="rId34" Type="http://schemas.openxmlformats.org/officeDocument/2006/relationships/chart" Target="charts/chart11.xml"/><Relationship Id="rId55" Type="http://schemas.openxmlformats.org/officeDocument/2006/relationships/chart" Target="charts/chart28.xml"/><Relationship Id="rId76" Type="http://schemas.openxmlformats.org/officeDocument/2006/relationships/chart" Target="charts/chart46.xml"/><Relationship Id="rId97" Type="http://schemas.openxmlformats.org/officeDocument/2006/relationships/header" Target="header12.xml"/><Relationship Id="rId120" Type="http://schemas.openxmlformats.org/officeDocument/2006/relationships/chart" Target="charts/chart64.xml"/><Relationship Id="rId141" Type="http://schemas.openxmlformats.org/officeDocument/2006/relationships/footer" Target="footer33.xml"/><Relationship Id="rId7" Type="http://schemas.openxmlformats.org/officeDocument/2006/relationships/endnotes" Target="endnotes.xml"/><Relationship Id="rId162" Type="http://schemas.openxmlformats.org/officeDocument/2006/relationships/footer" Target="footer40.xml"/><Relationship Id="rId183" Type="http://schemas.openxmlformats.org/officeDocument/2006/relationships/image" Target="media/image8.png"/><Relationship Id="rId24" Type="http://schemas.openxmlformats.org/officeDocument/2006/relationships/chart" Target="charts/chart3.xml"/><Relationship Id="rId40" Type="http://schemas.openxmlformats.org/officeDocument/2006/relationships/chart" Target="charts/chart13.xml"/><Relationship Id="rId45" Type="http://schemas.openxmlformats.org/officeDocument/2006/relationships/chart" Target="charts/chart18.xml"/><Relationship Id="rId66" Type="http://schemas.openxmlformats.org/officeDocument/2006/relationships/chart" Target="charts/chart38.xml"/><Relationship Id="rId87" Type="http://schemas.openxmlformats.org/officeDocument/2006/relationships/chart" Target="charts/chart57.xml"/><Relationship Id="rId110" Type="http://schemas.openxmlformats.org/officeDocument/2006/relationships/footer" Target="footer19.xml"/><Relationship Id="rId115" Type="http://schemas.openxmlformats.org/officeDocument/2006/relationships/footer" Target="footer20.xml"/><Relationship Id="rId131" Type="http://schemas.openxmlformats.org/officeDocument/2006/relationships/footer" Target="footer26.xml"/><Relationship Id="rId136" Type="http://schemas.openxmlformats.org/officeDocument/2006/relationships/header" Target="header29.xml"/><Relationship Id="rId157" Type="http://schemas.openxmlformats.org/officeDocument/2006/relationships/chart" Target="charts/chart68.xml"/><Relationship Id="rId178" Type="http://schemas.openxmlformats.org/officeDocument/2006/relationships/chart" Target="charts/chart76.xml"/><Relationship Id="rId61" Type="http://schemas.openxmlformats.org/officeDocument/2006/relationships/chart" Target="charts/chart33.xml"/><Relationship Id="rId82" Type="http://schemas.openxmlformats.org/officeDocument/2006/relationships/chart" Target="charts/chart52.xml"/><Relationship Id="rId152" Type="http://schemas.openxmlformats.org/officeDocument/2006/relationships/header" Target="header35.xml"/><Relationship Id="rId173" Type="http://schemas.openxmlformats.org/officeDocument/2006/relationships/footer" Target="footer44.xml"/><Relationship Id="rId194" Type="http://schemas.openxmlformats.org/officeDocument/2006/relationships/footer" Target="footer46.xml"/><Relationship Id="rId199" Type="http://schemas.openxmlformats.org/officeDocument/2006/relationships/chart" Target="charts/chart82.xml"/><Relationship Id="rId203" Type="http://schemas.openxmlformats.org/officeDocument/2006/relationships/header" Target="header44.xml"/><Relationship Id="rId208" Type="http://schemas.openxmlformats.org/officeDocument/2006/relationships/theme" Target="theme/theme1.xml"/><Relationship Id="rId19" Type="http://schemas.openxmlformats.org/officeDocument/2006/relationships/footer" Target="footer6.xml"/><Relationship Id="rId14" Type="http://schemas.openxmlformats.org/officeDocument/2006/relationships/header" Target="header4.xml"/><Relationship Id="rId30" Type="http://schemas.openxmlformats.org/officeDocument/2006/relationships/chart" Target="charts/chart7.xml"/><Relationship Id="rId35" Type="http://schemas.openxmlformats.org/officeDocument/2006/relationships/header" Target="header7.xml"/><Relationship Id="rId56" Type="http://schemas.openxmlformats.org/officeDocument/2006/relationships/chart" Target="charts/chart29.xml"/><Relationship Id="rId77" Type="http://schemas.openxmlformats.org/officeDocument/2006/relationships/chart" Target="charts/chart47.xml"/><Relationship Id="rId100" Type="http://schemas.openxmlformats.org/officeDocument/2006/relationships/footer" Target="footer14.xml"/><Relationship Id="rId105" Type="http://schemas.openxmlformats.org/officeDocument/2006/relationships/footer" Target="footer17.xml"/><Relationship Id="rId126" Type="http://schemas.openxmlformats.org/officeDocument/2006/relationships/header" Target="header26.xml"/><Relationship Id="rId147" Type="http://schemas.openxmlformats.org/officeDocument/2006/relationships/chart" Target="charts/chart66.xml"/><Relationship Id="rId168" Type="http://schemas.openxmlformats.org/officeDocument/2006/relationships/header" Target="header39.xml"/><Relationship Id="rId8" Type="http://schemas.openxmlformats.org/officeDocument/2006/relationships/header" Target="header1.xml"/><Relationship Id="rId51" Type="http://schemas.openxmlformats.org/officeDocument/2006/relationships/chart" Target="charts/chart24.xml"/><Relationship Id="rId72" Type="http://schemas.openxmlformats.org/officeDocument/2006/relationships/chart" Target="charts/chart44.xml"/><Relationship Id="rId93" Type="http://schemas.openxmlformats.org/officeDocument/2006/relationships/footer" Target="footer11.xml"/><Relationship Id="rId98" Type="http://schemas.openxmlformats.org/officeDocument/2006/relationships/header" Target="header13.xml"/><Relationship Id="rId121" Type="http://schemas.openxmlformats.org/officeDocument/2006/relationships/header" Target="header23.xml"/><Relationship Id="rId142" Type="http://schemas.openxmlformats.org/officeDocument/2006/relationships/header" Target="header31.xml"/><Relationship Id="rId163" Type="http://schemas.openxmlformats.org/officeDocument/2006/relationships/footer" Target="footer41.xml"/><Relationship Id="rId184" Type="http://schemas.openxmlformats.org/officeDocument/2006/relationships/image" Target="media/image9.jpeg"/><Relationship Id="rId189" Type="http://schemas.openxmlformats.org/officeDocument/2006/relationships/image" Target="media/image14.jpeg"/><Relationship Id="rId3" Type="http://schemas.openxmlformats.org/officeDocument/2006/relationships/styles" Target="styles.xml"/><Relationship Id="rId25" Type="http://schemas.openxmlformats.org/officeDocument/2006/relationships/image" Target="media/image1.png"/><Relationship Id="rId46" Type="http://schemas.openxmlformats.org/officeDocument/2006/relationships/chart" Target="charts/chart19.xml"/><Relationship Id="rId67" Type="http://schemas.openxmlformats.org/officeDocument/2006/relationships/chart" Target="charts/chart39.xml"/><Relationship Id="rId116" Type="http://schemas.openxmlformats.org/officeDocument/2006/relationships/footer" Target="footer21.xml"/><Relationship Id="rId137" Type="http://schemas.openxmlformats.org/officeDocument/2006/relationships/chart" Target="charts/chart65.xml"/><Relationship Id="rId158" Type="http://schemas.openxmlformats.org/officeDocument/2006/relationships/image" Target="media/image6.png"/><Relationship Id="rId20" Type="http://schemas.openxmlformats.org/officeDocument/2006/relationships/footer" Target="footer7.xml"/><Relationship Id="rId41" Type="http://schemas.openxmlformats.org/officeDocument/2006/relationships/chart" Target="charts/chart14.xml"/><Relationship Id="rId62" Type="http://schemas.openxmlformats.org/officeDocument/2006/relationships/chart" Target="charts/chart34.xml"/><Relationship Id="rId83" Type="http://schemas.openxmlformats.org/officeDocument/2006/relationships/chart" Target="charts/chart53.xml"/><Relationship Id="rId88" Type="http://schemas.openxmlformats.org/officeDocument/2006/relationships/chart" Target="charts/chart58.xml"/><Relationship Id="rId111" Type="http://schemas.openxmlformats.org/officeDocument/2006/relationships/header" Target="header19.xml"/><Relationship Id="rId132" Type="http://schemas.openxmlformats.org/officeDocument/2006/relationships/footer" Target="footer27.xml"/><Relationship Id="rId153" Type="http://schemas.openxmlformats.org/officeDocument/2006/relationships/footer" Target="footer38.xml"/><Relationship Id="rId174" Type="http://schemas.openxmlformats.org/officeDocument/2006/relationships/footer" Target="footer45.xml"/><Relationship Id="rId179" Type="http://schemas.openxmlformats.org/officeDocument/2006/relationships/chart" Target="charts/chart77.xml"/><Relationship Id="rId195" Type="http://schemas.openxmlformats.org/officeDocument/2006/relationships/footer" Target="footer47.xml"/><Relationship Id="rId190" Type="http://schemas.openxmlformats.org/officeDocument/2006/relationships/image" Target="media/image15.jpeg"/><Relationship Id="rId204" Type="http://schemas.openxmlformats.org/officeDocument/2006/relationships/footer" Target="footer50.xml"/><Relationship Id="rId15" Type="http://schemas.openxmlformats.org/officeDocument/2006/relationships/footer" Target="footer4.xml"/><Relationship Id="rId36" Type="http://schemas.openxmlformats.org/officeDocument/2006/relationships/footer" Target="footer8.xml"/><Relationship Id="rId57" Type="http://schemas.openxmlformats.org/officeDocument/2006/relationships/image" Target="media/image3.png"/><Relationship Id="rId106" Type="http://schemas.openxmlformats.org/officeDocument/2006/relationships/chart" Target="charts/chart61.xml"/><Relationship Id="rId127" Type="http://schemas.openxmlformats.org/officeDocument/2006/relationships/footer" Target="footer24.xml"/><Relationship Id="rId10" Type="http://schemas.openxmlformats.org/officeDocument/2006/relationships/header" Target="header2.xml"/><Relationship Id="rId31" Type="http://schemas.openxmlformats.org/officeDocument/2006/relationships/chart" Target="charts/chart8.xml"/><Relationship Id="rId52" Type="http://schemas.openxmlformats.org/officeDocument/2006/relationships/chart" Target="charts/chart25.xml"/><Relationship Id="rId73" Type="http://schemas.openxmlformats.org/officeDocument/2006/relationships/footer" Target="footer9.xml"/><Relationship Id="rId78" Type="http://schemas.openxmlformats.org/officeDocument/2006/relationships/chart" Target="charts/chart48.xml"/><Relationship Id="rId94" Type="http://schemas.openxmlformats.org/officeDocument/2006/relationships/header" Target="header11.xml"/><Relationship Id="rId99" Type="http://schemas.openxmlformats.org/officeDocument/2006/relationships/header" Target="header14.xml"/><Relationship Id="rId101" Type="http://schemas.openxmlformats.org/officeDocument/2006/relationships/footer" Target="footer15.xml"/><Relationship Id="rId122" Type="http://schemas.openxmlformats.org/officeDocument/2006/relationships/header" Target="header24.xml"/><Relationship Id="rId143" Type="http://schemas.openxmlformats.org/officeDocument/2006/relationships/footer" Target="footer34.xml"/><Relationship Id="rId148" Type="http://schemas.openxmlformats.org/officeDocument/2006/relationships/header" Target="header33.xml"/><Relationship Id="rId164" Type="http://schemas.openxmlformats.org/officeDocument/2006/relationships/header" Target="header38.xml"/><Relationship Id="rId169" Type="http://schemas.openxmlformats.org/officeDocument/2006/relationships/footer" Target="footer42.xml"/><Relationship Id="rId185"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chart" Target="charts/chart78.xml"/><Relationship Id="rId26" Type="http://schemas.openxmlformats.org/officeDocument/2006/relationships/chart" Target="charts/chart4.xml"/><Relationship Id="rId47" Type="http://schemas.openxmlformats.org/officeDocument/2006/relationships/chart" Target="charts/chart20.xml"/><Relationship Id="rId68" Type="http://schemas.openxmlformats.org/officeDocument/2006/relationships/chart" Target="charts/chart40.xml"/><Relationship Id="rId89" Type="http://schemas.openxmlformats.org/officeDocument/2006/relationships/chart" Target="charts/chart59.xml"/><Relationship Id="rId112" Type="http://schemas.openxmlformats.org/officeDocument/2006/relationships/image" Target="media/image4.png"/><Relationship Id="rId133" Type="http://schemas.openxmlformats.org/officeDocument/2006/relationships/footer" Target="footer28.xml"/><Relationship Id="rId154" Type="http://schemas.openxmlformats.org/officeDocument/2006/relationships/footer" Target="footer39.xml"/><Relationship Id="rId175" Type="http://schemas.openxmlformats.org/officeDocument/2006/relationships/header" Target="header42.xml"/><Relationship Id="rId196" Type="http://schemas.openxmlformats.org/officeDocument/2006/relationships/footer" Target="footer48.xml"/><Relationship Id="rId200" Type="http://schemas.openxmlformats.org/officeDocument/2006/relationships/image" Target="media/image18.jpeg"/><Relationship Id="rId16" Type="http://schemas.openxmlformats.org/officeDocument/2006/relationships/header" Target="header5.xml"/><Relationship Id="rId37" Type="http://schemas.openxmlformats.org/officeDocument/2006/relationships/header" Target="header8.xml"/><Relationship Id="rId58" Type="http://schemas.openxmlformats.org/officeDocument/2006/relationships/chart" Target="charts/chart30.xml"/><Relationship Id="rId79" Type="http://schemas.openxmlformats.org/officeDocument/2006/relationships/chart" Target="charts/chart49.xml"/><Relationship Id="rId102" Type="http://schemas.openxmlformats.org/officeDocument/2006/relationships/header" Target="header15.xml"/><Relationship Id="rId123" Type="http://schemas.openxmlformats.org/officeDocument/2006/relationships/footer" Target="footer22.xml"/><Relationship Id="rId144" Type="http://schemas.openxmlformats.org/officeDocument/2006/relationships/footer" Target="footer35.xml"/><Relationship Id="rId90" Type="http://schemas.openxmlformats.org/officeDocument/2006/relationships/chart" Target="charts/chart60.xml"/><Relationship Id="rId165" Type="http://schemas.openxmlformats.org/officeDocument/2006/relationships/chart" Target="charts/chart71.xml"/><Relationship Id="rId186" Type="http://schemas.openxmlformats.org/officeDocument/2006/relationships/image" Target="media/image11.jpeg"/><Relationship Id="rId27" Type="http://schemas.openxmlformats.org/officeDocument/2006/relationships/image" Target="media/image2.png"/><Relationship Id="rId48" Type="http://schemas.openxmlformats.org/officeDocument/2006/relationships/chart" Target="charts/chart21.xml"/><Relationship Id="rId69" Type="http://schemas.openxmlformats.org/officeDocument/2006/relationships/chart" Target="charts/chart41.xml"/><Relationship Id="rId113" Type="http://schemas.openxmlformats.org/officeDocument/2006/relationships/header" Target="header20.xml"/><Relationship Id="rId134" Type="http://schemas.openxmlformats.org/officeDocument/2006/relationships/footer" Target="footer29.xml"/><Relationship Id="rId80" Type="http://schemas.openxmlformats.org/officeDocument/2006/relationships/chart" Target="charts/chart50.xml"/><Relationship Id="rId155" Type="http://schemas.openxmlformats.org/officeDocument/2006/relationships/header" Target="header36.xml"/><Relationship Id="rId176" Type="http://schemas.openxmlformats.org/officeDocument/2006/relationships/chart" Target="charts/chart74.xml"/><Relationship Id="rId197" Type="http://schemas.openxmlformats.org/officeDocument/2006/relationships/chart" Target="charts/chart80.xml"/><Relationship Id="rId201" Type="http://schemas.openxmlformats.org/officeDocument/2006/relationships/image" Target="media/image19.jpeg"/><Relationship Id="rId17" Type="http://schemas.openxmlformats.org/officeDocument/2006/relationships/header" Target="header6.xml"/><Relationship Id="rId38" Type="http://schemas.openxmlformats.org/officeDocument/2006/relationships/image" Target="media/image2.gif"/><Relationship Id="rId59" Type="http://schemas.openxmlformats.org/officeDocument/2006/relationships/chart" Target="charts/chart31.xml"/><Relationship Id="rId103" Type="http://schemas.openxmlformats.org/officeDocument/2006/relationships/header" Target="header16.xml"/><Relationship Id="rId124" Type="http://schemas.openxmlformats.org/officeDocument/2006/relationships/footer" Target="footer23.xml"/><Relationship Id="rId70" Type="http://schemas.openxmlformats.org/officeDocument/2006/relationships/chart" Target="charts/chart42.xml"/><Relationship Id="rId91" Type="http://schemas.openxmlformats.org/officeDocument/2006/relationships/header" Target="header10.xml"/><Relationship Id="rId145" Type="http://schemas.openxmlformats.org/officeDocument/2006/relationships/header" Target="header32.xml"/><Relationship Id="rId166" Type="http://schemas.openxmlformats.org/officeDocument/2006/relationships/chart" Target="charts/chart72.xml"/><Relationship Id="rId187" Type="http://schemas.openxmlformats.org/officeDocument/2006/relationships/image" Target="media/image12.jpeg"/><Relationship Id="rId1" Type="http://schemas.openxmlformats.org/officeDocument/2006/relationships/customXml" Target="../customXml/item1.xml"/><Relationship Id="rId28" Type="http://schemas.openxmlformats.org/officeDocument/2006/relationships/chart" Target="charts/chart5.xml"/><Relationship Id="rId49" Type="http://schemas.openxmlformats.org/officeDocument/2006/relationships/chart" Target="charts/chart22.xml"/><Relationship Id="rId114" Type="http://schemas.openxmlformats.org/officeDocument/2006/relationships/header" Target="header21.xml"/><Relationship Id="rId60" Type="http://schemas.openxmlformats.org/officeDocument/2006/relationships/chart" Target="charts/chart32.xml"/><Relationship Id="rId81" Type="http://schemas.openxmlformats.org/officeDocument/2006/relationships/chart" Target="charts/chart51.xml"/><Relationship Id="rId135" Type="http://schemas.openxmlformats.org/officeDocument/2006/relationships/footer" Target="footer30.xml"/><Relationship Id="rId156" Type="http://schemas.openxmlformats.org/officeDocument/2006/relationships/chart" Target="charts/chart67.xml"/><Relationship Id="rId177" Type="http://schemas.openxmlformats.org/officeDocument/2006/relationships/chart" Target="charts/chart75.xml"/><Relationship Id="rId198" Type="http://schemas.openxmlformats.org/officeDocument/2006/relationships/chart" Target="charts/chart81.xml"/><Relationship Id="rId202" Type="http://schemas.openxmlformats.org/officeDocument/2006/relationships/footer" Target="footer49.xml"/><Relationship Id="rId18" Type="http://schemas.openxmlformats.org/officeDocument/2006/relationships/footer" Target="footer5.xml"/><Relationship Id="rId39" Type="http://schemas.openxmlformats.org/officeDocument/2006/relationships/chart" Target="charts/chart12.xml"/><Relationship Id="rId50" Type="http://schemas.openxmlformats.org/officeDocument/2006/relationships/chart" Target="charts/chart23.xml"/><Relationship Id="rId104" Type="http://schemas.openxmlformats.org/officeDocument/2006/relationships/footer" Target="footer16.xml"/><Relationship Id="rId125" Type="http://schemas.openxmlformats.org/officeDocument/2006/relationships/header" Target="header25.xml"/><Relationship Id="rId146" Type="http://schemas.openxmlformats.org/officeDocument/2006/relationships/image" Target="media/image5.png"/><Relationship Id="rId167" Type="http://schemas.openxmlformats.org/officeDocument/2006/relationships/chart" Target="charts/chart73.xml"/><Relationship Id="rId188" Type="http://schemas.openxmlformats.org/officeDocument/2006/relationships/image" Target="media/image13.jpeg"/><Relationship Id="rId71" Type="http://schemas.openxmlformats.org/officeDocument/2006/relationships/chart" Target="charts/chart43.xml"/><Relationship Id="rId92" Type="http://schemas.openxmlformats.org/officeDocument/2006/relationships/footer" Target="footer10.xml"/><Relationship Id="rId2" Type="http://schemas.openxmlformats.org/officeDocument/2006/relationships/numbering" Target="numbering.xml"/><Relationship Id="rId29" Type="http://schemas.openxmlformats.org/officeDocument/2006/relationships/chart" Target="charts/chart6.xml"/></Relationships>
</file>

<file path=word/_rels/footnotes.xml.rels><?xml version="1.0" encoding="UTF-8" standalone="yes"?>
<Relationships xmlns="http://schemas.openxmlformats.org/package/2006/relationships"><Relationship Id="rId1" Type="http://schemas.openxmlformats.org/officeDocument/2006/relationships/hyperlink" Target="https://www.mfin.gov.rs//upload/media/jzsbpL_601ab1585ca02.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sara.radulovic\Dropbox\Makro%20sektor\6.%20FS\Revidirana%20FS%202026-2028\GRAFIKONI_MAKRO_okt25.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Users\sara.radulovic\Dropbox\Makro%20sektor\6.%20FS\Revidirana%20FS%202026-2028\GRAFIKONI_MAKRO_okt25.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sara.radulovic\Dropbox\Makro%20sektor\6.%20FS\Revidirana%20FS%202026-2028\GRAFIKONI_MAKRO_okt25.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2.xml"/><Relationship Id="rId4" Type="http://schemas.openxmlformats.org/officeDocument/2006/relationships/oleObject" Target="file:///C:\Users\milos.gligorijevic\Dropbox\Makro%20sektor\6.%20FS\Revidirana%20FS%202026-2028\GRAFIKONI_MAKRO_okt25.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3.xml"/><Relationship Id="rId1" Type="http://schemas.microsoft.com/office/2011/relationships/chartStyle" Target="style13.xml"/><Relationship Id="rId5" Type="http://schemas.openxmlformats.org/officeDocument/2006/relationships/chartUserShapes" Target="../drawings/drawing3.xml"/><Relationship Id="rId4" Type="http://schemas.openxmlformats.org/officeDocument/2006/relationships/oleObject" Target="file:///C:\Users\MarijaSC\Dropbox\Makro%20sektor\6.%20FS\Revidirana%20FS%202026-2028\GRAFIKONI_MAKRO_okt25.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4.xml"/><Relationship Id="rId1" Type="http://schemas.microsoft.com/office/2011/relationships/chartStyle" Target="style14.xml"/><Relationship Id="rId5" Type="http://schemas.openxmlformats.org/officeDocument/2006/relationships/chartUserShapes" Target="../drawings/drawing4.xml"/><Relationship Id="rId4" Type="http://schemas.openxmlformats.org/officeDocument/2006/relationships/oleObject" Target="file:///C:\Users\milos.gligorijevic\Dropbox\Makro%20sektor\6.%20FS\Revidirana%20FS%202026-2028\GRAFIKONI_MAKRO_okt25.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file:///C:\Users\sara.radulovic\Dropbox\Makro%20sektor\6.%20FS\Revidirana%20FS%202026-2028\GRAFIKONI_MAKRO_okt25.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5.xml"/></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C:\Users\milos.gligorijevic\Dropbox\Makro%20sektor\6.%20FS\Revidirana%20FS%202026-2028\GRAFIKONI_MAKRO_okt25.xlsx" TargetMode="External"/><Relationship Id="rId1" Type="http://schemas.openxmlformats.org/officeDocument/2006/relationships/themeOverride" Target="../theme/themeOverride12.xml"/></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C:\Users\milos.gligorijevic\Dropbox\Makro%20sektor\6.%20FS\Revidirana%20FS%202026-2028\GRAFIKONI_MAKRO_okt25.xlsx" TargetMode="External"/><Relationship Id="rId1" Type="http://schemas.openxmlformats.org/officeDocument/2006/relationships/themeOverride" Target="../theme/themeOverride13.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file:///C:\Users\milos.gligorijevic\Dropbox\Makro%20sektor\6.%20FS\Revidirana%20FS%202026-2028\GRAFIKONI_MAKRO_okt25.xlsx" TargetMode="External"/><Relationship Id="rId1" Type="http://schemas.openxmlformats.org/officeDocument/2006/relationships/themeOverride" Target="../theme/themeOverride14.xm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9.xml"/><Relationship Id="rId4" Type="http://schemas.openxmlformats.org/officeDocument/2006/relationships/oleObject" Target="file:///C:\Users\milos.gligorijevic\Dropbox\Makro%20sektor\6.%20FS\Revidirana%20FS%202026-2028\GRAFIKONI_MAKRO_okt25.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sara.radulovic\Dropbox\Makro%20sektor\6.%20FS\Revidirana%20FS%202026-2028\GRAFIKONI_MAKRO_okt25.xlsx" TargetMode="Externa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C:\Users\milos.gligorijevic\Dropbox\Makro%20sektor\6.%20FS\Revidirana%20FS%202026-2028\GRAFIKONI_MAKRO_okt25.xlsx" TargetMode="External"/><Relationship Id="rId1" Type="http://schemas.openxmlformats.org/officeDocument/2006/relationships/themeOverride" Target="../theme/themeOverride16.xml"/></Relationships>
</file>

<file path=word/charts/_rels/chart21.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oleObject" Target="file:///C:\Users\milos.gligorijevic\Dropbox\Makro%20sektor\6.%20FS\Revidirana%20FS%202026-2028\GRAFIKONI_MAKRO_okt25.xlsx" TargetMode="External"/><Relationship Id="rId1" Type="http://schemas.openxmlformats.org/officeDocument/2006/relationships/themeOverride" Target="../theme/themeOverride17.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milos.gligorijevic\Dropbox\Makro%20sektor\6.%20FS\Revidirana%20FS%202026-2028\GRAFIKONI_MAKRO_okt25.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milos.gligorijevic\Dropbox\Makro%20sektor\6.%20FS\Revidirana%20FS%202026-2028\GRAFIKONI_MAKRO_okt25.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sara.radulovic\Dropbox\Makro%20sektor\6.%20FS\Revidirana%20FS%202026-2028\GRAFIKONI_MAKRO_okt25.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sara.radulovic\Dropbox\Makro%20sektor\6.%20FS\Revidirana%20FS%202026-2028\GRAFIKONI_MAKRO_okt25.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sara.radulovic\Dropbox\Makro%20sektor\6.%20FS\Revidirana%20FS%202026-2028\GRAFIKONI_MAKRO_okt25.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sara.radulovic\Dropbox\Makro%20sektor\6.%20FS\Revidirana%20FS%202026-2028\GRAFIKONI_MAKRO_okt25.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sara.radulovic\Dropbox\Makro%20sektor\6.%20FS\Revidirana%20FS%202026-2028\GRAFIKONI_MAKRO_okt25.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sara.radulovic\Dropbox\Makro%20sektor\6.%20FS\Revidirana%20FS%202026-2028\GRAFIKONI_MAKRO_okt25.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sara.radulovic\Dropbox\Makro%20sektor\6.%20FS\Revidirana%20FS%202026-2028\GRAFIKONI_MAKRO_okt25.xlsx" TargetMode="Externa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5.xml"/><Relationship Id="rId1" Type="http://schemas.microsoft.com/office/2011/relationships/chartStyle" Target="style25.xml"/><Relationship Id="rId5" Type="http://schemas.openxmlformats.org/officeDocument/2006/relationships/chartUserShapes" Target="../drawings/drawing12.xml"/><Relationship Id="rId4" Type="http://schemas.openxmlformats.org/officeDocument/2006/relationships/oleObject" Target="file:///C:\Users\sara.radulovic\Dropbox\Makro%20sektor\6.%20FS\Revidirana%20FS%202026-2028\GRAFIKONI_MAKRO_okt25.xlsx" TargetMode="Externa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file:///C:\Users\sara.radulovic\Dropbox\Makro%20sektor\6.%20FS\Revidirana%20FS%202026-2028\GRAFIKONI_MAKRO_okt25.xlsx" TargetMode="Externa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file:///C:\Users\sara.radulovic\Dropbox\Makro%20sektor\6.%20FS\Revidirana%20FS%202026-2028\GRAFIKONI_MAKRO_okt25.xlsx" TargetMode="Externa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C:\Users\sara.radulovic\Dropbox\Makro%20sektor\6.%20FS\Revidirana%20FS%202026-2028\GRAFIKONI_MAKRO_okt25.xlsx"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C:\Users\sara.radulovic\Dropbox\Makro%20sektor\6.%20FS\Revidirana%20FS%202026-2028\GRAFIKONI_MAKRO_okt25.xlsx" TargetMode="Externa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C:\Users\sara.radulovic\Dropbox\Makro%20sektor\6.%20FS\Revidirana%20FS%202026-2028\GRAFIKONI_MAKRO_okt25.xlsx"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file:///C:\Users\sara.radulovic\Dropbox\Makro%20sektor\6.%20FS\Revidirana%20FS%202026-2028\GRAFIKONI_MAKRO_okt25.xlsx" TargetMode="Externa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oleObject" Target="file:///C:\Users\sara.radulovic\Dropbox\Makro%20sektor\6.%20FS\Revidirana%20FS%202026-2028\GRAFIKONI_MAKRO_okt25.xlsx" TargetMode="External"/></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file:///C:\Users\sara.radulovic\Dropbox\Makro%20sektor\6.%20FS\Revidirana%20FS%202026-2028\GRAFIKONI_MAKRO_okt25.xlsx" TargetMode="Externa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file:///C:\Users\sara.radulovic\Dropbox\Makro%20sektor\6.%20FS\Revidirana%20FS%202026-2028\GRAFIKONI_MAKRO_okt25.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sara.radulovic\Dropbox\Makro%20sektor\6.%20FS\Revidirana%20FS%202026-2028\GRAFIKONI_MAKRO_okt25.xlsx" TargetMode="Externa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oleObject" Target="file:///C:\Users\sara.radulovic\Dropbox\Makro%20sektor\6.%20FS\Revidirana%20FS%202026-2028\GRAFIKONI_MAKRO_okt25.xlsx" TargetMode="Externa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oleObject" Target="file:///C:\Users\sara.radulovic\Dropbox\Makro%20sektor\6.%20FS\Revidirana%20FS%202026-2028\GRAFIKONI_MAKRO_okt25.xlsx" TargetMode="External"/></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oleObject" Target="file:///C:\Users\sara.radulovic\Dropbox\Makro%20sektor\6.%20FS\Revidirana%20FS%202026-2028\GRAFIKONI_MAKRO_okt25.xlsx" TargetMode="Externa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oleObject" Target="file:///C:\Users\sara.radulovic\Dropbox\Makro%20sektor\6.%20FS\Revidirana%20FS%202026-2028\GRAFIKONI_MAKRO_okt25.xlsx" TargetMode="Externa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oleObject" Target="file:///C:\Users\rade.ciric\Dropbox\Makro%20sektor\1.%20Baze%20makro\BDP\Projekcija\F%20an%20charts\6.%20BDP%20(dynamic%20fan%20chart).xlsx" TargetMode="External"/></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40.xml"/><Relationship Id="rId1" Type="http://schemas.microsoft.com/office/2011/relationships/chartStyle" Target="style40.xml"/><Relationship Id="rId5" Type="http://schemas.openxmlformats.org/officeDocument/2006/relationships/chartUserShapes" Target="../drawings/drawing13.xml"/><Relationship Id="rId4" Type="http://schemas.openxmlformats.org/officeDocument/2006/relationships/oleObject" Target="file:///C:\Users\sara.radulovic\Dropbox\Makro%20sektor\6.%20FS\Revidirana%20FS%202026-2028\GRAFIKONI_MAKRO_okt25.xlsx" TargetMode="External"/></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41.xml"/><Relationship Id="rId1" Type="http://schemas.microsoft.com/office/2011/relationships/chartStyle" Target="style41.xml"/><Relationship Id="rId5" Type="http://schemas.openxmlformats.org/officeDocument/2006/relationships/chartUserShapes" Target="../drawings/drawing14.xml"/><Relationship Id="rId4" Type="http://schemas.openxmlformats.org/officeDocument/2006/relationships/oleObject" Target="file:///C:\Users\sara.radulovic\Dropbox\Makro%20sektor\6.%20FS\Revidirana%20FS%202026-2028\GRAFIKONI_MAKRO_okt25.xlsx" TargetMode="Externa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oleObject" Target="file:///C:\Users\milos.gligorijevic\Dropbox\Makro%20sektor\1.%20Baze%20makro\BDP\Projekcija\Fan%20charts\New%20Fan%20Chart.xlsx" TargetMode="External"/></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44.xml"/><Relationship Id="rId2" Type="http://schemas.microsoft.com/office/2011/relationships/chartColorStyle" Target="colors43.xml"/><Relationship Id="rId1" Type="http://schemas.microsoft.com/office/2011/relationships/chartStyle" Target="style43.xml"/><Relationship Id="rId5" Type="http://schemas.openxmlformats.org/officeDocument/2006/relationships/chartUserShapes" Target="../drawings/drawing15.xml"/><Relationship Id="rId4" Type="http://schemas.openxmlformats.org/officeDocument/2006/relationships/oleObject" Target="file:///C:\Users\rade.ciric\Dropbox\Makro%20sektor\6.%20FS\Revidirana%20FS%202026-2028\GRAFIKONI_MAKRO_okt25.xlsx" TargetMode="External"/></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45.xml"/><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oleObject" Target="file:///F:\Dropbox\Makro%20sektor\6.%20FS\Revidirana%20FS%202026-2028\GRAFIKONI_MAKRO_okt25.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sara.radulovic\Dropbox\Makro%20sektor\6.%20FS\Revidirana%20FS%202026-2028\GRAFIKONI_MAKRO_okt25.xlsx" TargetMode="External"/></Relationships>
</file>

<file path=word/charts/_rels/chart50.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oleObject" Target="file:///F:\Dropbox\Makro%20sektor\6.%20FS\Revidirana%20FS%202026-2028\GRAFIKONI_MAKRO_okt25.xlsx" TargetMode="External"/><Relationship Id="rId1" Type="http://schemas.openxmlformats.org/officeDocument/2006/relationships/themeOverride" Target="../theme/themeOverride46.xml"/></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45.xml"/><Relationship Id="rId1" Type="http://schemas.microsoft.com/office/2011/relationships/chartStyle" Target="style45.xml"/><Relationship Id="rId4" Type="http://schemas.openxmlformats.org/officeDocument/2006/relationships/oleObject" Target="file:///F:\Dropbox\Makro%20sektor\6.%20FS\Revidirana%20FS%202026-2028\GRAFIKONI_MAKRO_okt25.xlsx" TargetMode="External"/></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48.xml"/><Relationship Id="rId2" Type="http://schemas.microsoft.com/office/2011/relationships/chartColorStyle" Target="colors46.xml"/><Relationship Id="rId1" Type="http://schemas.microsoft.com/office/2011/relationships/chartStyle" Target="style46.xml"/><Relationship Id="rId4" Type="http://schemas.openxmlformats.org/officeDocument/2006/relationships/oleObject" Target="file:///F:\Dropbox\Makro%20sektor\6.%20FS\Revidirana%20FS%202026-2028\GRAFIKONI_MAKRO_okt25.xlsx" TargetMode="External"/></Relationships>
</file>

<file path=word/charts/_rels/chart53.xml.rels><?xml version="1.0" encoding="UTF-8" standalone="yes"?>
<Relationships xmlns="http://schemas.openxmlformats.org/package/2006/relationships"><Relationship Id="rId3" Type="http://schemas.openxmlformats.org/officeDocument/2006/relationships/themeOverride" Target="../theme/themeOverride49.xml"/><Relationship Id="rId2" Type="http://schemas.microsoft.com/office/2011/relationships/chartColorStyle" Target="colors47.xml"/><Relationship Id="rId1" Type="http://schemas.microsoft.com/office/2011/relationships/chartStyle" Target="style47.xml"/><Relationship Id="rId4" Type="http://schemas.openxmlformats.org/officeDocument/2006/relationships/oleObject" Target="file:///F:\Dropbox\Makro%20sektor\6.%20FS\Revidirana%20FS%202026-2028\GRAFIKONI_MAKRO_okt25.xlsx" TargetMode="External"/></Relationships>
</file>

<file path=word/charts/_rels/chart54.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oleObject" Target="file:///F:\Dropbox\Makro%20sektor\6.%20FS\Revidirana%20FS%202026-2028\GRAFIKONI_MAKRO_okt25.xlsx" TargetMode="External"/></Relationships>
</file>

<file path=word/charts/_rels/chart55.xml.rels><?xml version="1.0" encoding="UTF-8" standalone="yes"?>
<Relationships xmlns="http://schemas.openxmlformats.org/package/2006/relationships"><Relationship Id="rId3" Type="http://schemas.openxmlformats.org/officeDocument/2006/relationships/themeOverride" Target="../theme/themeOverride51.xml"/><Relationship Id="rId2" Type="http://schemas.microsoft.com/office/2011/relationships/chartColorStyle" Target="colors49.xml"/><Relationship Id="rId1" Type="http://schemas.microsoft.com/office/2011/relationships/chartStyle" Target="style49.xml"/><Relationship Id="rId5" Type="http://schemas.openxmlformats.org/officeDocument/2006/relationships/chartUserShapes" Target="../drawings/drawing17.xml"/><Relationship Id="rId4" Type="http://schemas.openxmlformats.org/officeDocument/2006/relationships/oleObject" Target="file:///F:\Dropbox\Makro%20sektor\6.%20FS\Revidirana%20FS%202026-2028\GRAFIKONI_MAKRO_okt25.xlsx" TargetMode="External"/></Relationships>
</file>

<file path=word/charts/_rels/chart56.xml.rels><?xml version="1.0" encoding="UTF-8" standalone="yes"?>
<Relationships xmlns="http://schemas.openxmlformats.org/package/2006/relationships"><Relationship Id="rId3" Type="http://schemas.openxmlformats.org/officeDocument/2006/relationships/themeOverride" Target="../theme/themeOverride52.xml"/><Relationship Id="rId2" Type="http://schemas.microsoft.com/office/2011/relationships/chartColorStyle" Target="colors50.xml"/><Relationship Id="rId1" Type="http://schemas.microsoft.com/office/2011/relationships/chartStyle" Target="style50.xml"/><Relationship Id="rId5" Type="http://schemas.openxmlformats.org/officeDocument/2006/relationships/chartUserShapes" Target="../drawings/drawing18.xml"/><Relationship Id="rId4" Type="http://schemas.openxmlformats.org/officeDocument/2006/relationships/oleObject" Target="file:///F:\Dropbox\Makro%20sektor\6.%20FS\Revidirana%20FS%202026-2028\GRAFIKONI_MAKRO_okt25.xlsx" TargetMode="External"/></Relationships>
</file>

<file path=word/charts/_rels/chart57.xml.rels><?xml version="1.0" encoding="UTF-8" standalone="yes"?>
<Relationships xmlns="http://schemas.openxmlformats.org/package/2006/relationships"><Relationship Id="rId3" Type="http://schemas.openxmlformats.org/officeDocument/2006/relationships/themeOverride" Target="../theme/themeOverride53.xml"/><Relationship Id="rId2" Type="http://schemas.microsoft.com/office/2011/relationships/chartColorStyle" Target="colors51.xml"/><Relationship Id="rId1" Type="http://schemas.microsoft.com/office/2011/relationships/chartStyle" Target="style51.xml"/><Relationship Id="rId4" Type="http://schemas.openxmlformats.org/officeDocument/2006/relationships/oleObject" Target="file:///C:\Users\milos.gligorijevic\Dropbox\Makro%20sektor\6.%20FS\Revidirana%20FS%202026-2028\GRAFIKONI_MAKRO_maj25.xlsx" TargetMode="External"/></Relationships>
</file>

<file path=word/charts/_rels/chart58.xml.rels><?xml version="1.0" encoding="UTF-8" standalone="yes"?>
<Relationships xmlns="http://schemas.openxmlformats.org/package/2006/relationships"><Relationship Id="rId2" Type="http://schemas.openxmlformats.org/officeDocument/2006/relationships/oleObject" Target="file:///C:\Users\milos.gligorijevic\Dropbox\Makro%20sektor\6.%20FS\Revidirana%20FS%202026-2028\GRAFIKONI_MAKRO_maj25.xlsx" TargetMode="External"/><Relationship Id="rId1" Type="http://schemas.openxmlformats.org/officeDocument/2006/relationships/themeOverride" Target="../theme/themeOverride54.xml"/></Relationships>
</file>

<file path=word/charts/_rels/chart59.xml.rels><?xml version="1.0" encoding="UTF-8" standalone="yes"?>
<Relationships xmlns="http://schemas.openxmlformats.org/package/2006/relationships"><Relationship Id="rId3" Type="http://schemas.openxmlformats.org/officeDocument/2006/relationships/oleObject" Target="file:///C:\Users\sara.radulovic\Dropbox\Makro%20sektor\6.%20FS\Revidirana%20FS%202026-2028\GRAFIKONI_MAKRO_okt25.xlsx" TargetMode="External"/><Relationship Id="rId2" Type="http://schemas.microsoft.com/office/2011/relationships/chartColorStyle" Target="colors52.xml"/><Relationship Id="rId1" Type="http://schemas.microsoft.com/office/2011/relationships/chartStyle" Target="style52.xml"/><Relationship Id="rId4" Type="http://schemas.openxmlformats.org/officeDocument/2006/relationships/chartUserShapes" Target="../drawings/drawing19.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sara.radulovic\Dropbox\Makro%20sektor\6.%20FS\Revidirana%20FS%202026-2028\GRAFIKONI_MAKRO_okt25.xlsx" TargetMode="External"/></Relationships>
</file>

<file path=word/charts/_rels/chart60.xml.rels><?xml version="1.0" encoding="UTF-8" standalone="yes"?>
<Relationships xmlns="http://schemas.openxmlformats.org/package/2006/relationships"><Relationship Id="rId3" Type="http://schemas.openxmlformats.org/officeDocument/2006/relationships/oleObject" Target="file:///C:\Users\sara.radulovic\Dropbox\Makro%20sektor\6.%20FS\Revidirana%20FS%202026-2028\GRAFIKONI_MAKRO_okt25.xlsx" TargetMode="External"/><Relationship Id="rId2" Type="http://schemas.microsoft.com/office/2011/relationships/chartColorStyle" Target="colors53.xml"/><Relationship Id="rId1" Type="http://schemas.microsoft.com/office/2011/relationships/chartStyle" Target="style53.xml"/><Relationship Id="rId4" Type="http://schemas.openxmlformats.org/officeDocument/2006/relationships/chartUserShapes" Target="../drawings/drawing20.xml"/></Relationships>
</file>

<file path=word/charts/_rels/chart61.xml.rels><?xml version="1.0" encoding="UTF-8" standalone="yes"?>
<Relationships xmlns="http://schemas.openxmlformats.org/package/2006/relationships"><Relationship Id="rId3" Type="http://schemas.openxmlformats.org/officeDocument/2006/relationships/oleObject" Target="file:///C:\Users\vladimir.malbasic\Desktop\Novi%20RFZO%20Za%20bazu-%20GFS,%20SS%20bs%20,%20MMF%20table\GFS%20CONSOLIDATION_za%20analizu%20radni%20fajl-2080mq1.xlsx" TargetMode="External"/><Relationship Id="rId2" Type="http://schemas.microsoft.com/office/2011/relationships/chartColorStyle" Target="colors54.xml"/><Relationship Id="rId1" Type="http://schemas.microsoft.com/office/2011/relationships/chartStyle" Target="style54.xml"/></Relationships>
</file>

<file path=word/charts/_rels/chart62.xml.rels><?xml version="1.0" encoding="UTF-8" standalone="yes"?>
<Relationships xmlns="http://schemas.openxmlformats.org/package/2006/relationships"><Relationship Id="rId3" Type="http://schemas.openxmlformats.org/officeDocument/2006/relationships/oleObject" Target="file:///C:\Users\ivan.krstic\Dropbox\Makro%20sektor\6.%20FS\FS%202026-2028\fiskal\S0%202025%20final.xlsx" TargetMode="External"/><Relationship Id="rId2" Type="http://schemas.microsoft.com/office/2011/relationships/chartColorStyle" Target="colors55.xml"/><Relationship Id="rId1" Type="http://schemas.microsoft.com/office/2011/relationships/chartStyle" Target="style55.xml"/><Relationship Id="rId4" Type="http://schemas.openxmlformats.org/officeDocument/2006/relationships/chartUserShapes" Target="../drawings/drawing21.xml"/></Relationships>
</file>

<file path=word/charts/_rels/chart63.xml.rels><?xml version="1.0" encoding="UTF-8" standalone="yes"?>
<Relationships xmlns="http://schemas.openxmlformats.org/package/2006/relationships"><Relationship Id="rId3" Type="http://schemas.openxmlformats.org/officeDocument/2006/relationships/oleObject" Target="file:///C:\Users\ivan.krstic\Dropbox\Makro%20sektor\6.%20FS\FS%202026-2028\fiskal\S0%202025%20final.xlsx" TargetMode="External"/><Relationship Id="rId2" Type="http://schemas.microsoft.com/office/2011/relationships/chartColorStyle" Target="colors56.xml"/><Relationship Id="rId1" Type="http://schemas.microsoft.com/office/2011/relationships/chartStyle" Target="style56.xml"/><Relationship Id="rId4" Type="http://schemas.openxmlformats.org/officeDocument/2006/relationships/chartUserShapes" Target="../drawings/drawing22.xml"/></Relationships>
</file>

<file path=word/charts/_rels/chart64.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57.xml"/><Relationship Id="rId1" Type="http://schemas.microsoft.com/office/2011/relationships/chartStyle" Target="style57.xml"/></Relationships>
</file>

<file path=word/charts/_rels/chart65.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package" Target="../embeddings/Microsoft_Excel_Worksheet1.xlsx"/></Relationships>
</file>

<file path=word/charts/_rels/chart66.xml.rels><?xml version="1.0" encoding="UTF-8" standalone="yes"?>
<Relationships xmlns="http://schemas.openxmlformats.org/package/2006/relationships"><Relationship Id="rId3" Type="http://schemas.openxmlformats.org/officeDocument/2006/relationships/oleObject" Target="file:///\\10.9.19.72\fiskalnirizici$\Pracenje%20fiskalnih%20rizika\2025\Revidirana%20Fiskalna%20strategija\FS%20Q2%202025.xlsx" TargetMode="External"/><Relationship Id="rId2" Type="http://schemas.microsoft.com/office/2011/relationships/chartColorStyle" Target="colors58.xml"/><Relationship Id="rId1" Type="http://schemas.microsoft.com/office/2011/relationships/chartStyle" Target="style58.xml"/></Relationships>
</file>

<file path=word/charts/_rels/chart67.xml.rels><?xml version="1.0" encoding="UTF-8" standalone="yes"?>
<Relationships xmlns="http://schemas.openxmlformats.org/package/2006/relationships"><Relationship Id="rId3" Type="http://schemas.openxmlformats.org/officeDocument/2006/relationships/themeOverride" Target="../theme/themeOverride55.xml"/><Relationship Id="rId2" Type="http://schemas.microsoft.com/office/2011/relationships/chartColorStyle" Target="colors59.xml"/><Relationship Id="rId1" Type="http://schemas.microsoft.com/office/2011/relationships/chartStyle" Target="style59.xml"/><Relationship Id="rId4" Type="http://schemas.openxmlformats.org/officeDocument/2006/relationships/oleObject" Target="../embeddings/oleObject1.bin"/></Relationships>
</file>

<file path=word/charts/_rels/chart68.xml.rels><?xml version="1.0" encoding="UTF-8" standalone="yes"?>
<Relationships xmlns="http://schemas.openxmlformats.org/package/2006/relationships"><Relationship Id="rId3" Type="http://schemas.openxmlformats.org/officeDocument/2006/relationships/themeOverride" Target="../theme/themeOverride56.xml"/><Relationship Id="rId2" Type="http://schemas.microsoft.com/office/2011/relationships/chartColorStyle" Target="colors60.xml"/><Relationship Id="rId1" Type="http://schemas.microsoft.com/office/2011/relationships/chartStyle" Target="style60.xml"/><Relationship Id="rId4" Type="http://schemas.openxmlformats.org/officeDocument/2006/relationships/oleObject" Target="../embeddings/oleObject2.bin"/></Relationships>
</file>

<file path=word/charts/_rels/chart69.xml.rels><?xml version="1.0" encoding="UTF-8" standalone="yes"?>
<Relationships xmlns="http://schemas.openxmlformats.org/package/2006/relationships"><Relationship Id="rId3" Type="http://schemas.openxmlformats.org/officeDocument/2006/relationships/themeOverride" Target="../theme/themeOverride57.xml"/><Relationship Id="rId2" Type="http://schemas.microsoft.com/office/2011/relationships/chartColorStyle" Target="colors61.xml"/><Relationship Id="rId1" Type="http://schemas.microsoft.com/office/2011/relationships/chartStyle" Target="style61.xml"/><Relationship Id="rId5" Type="http://schemas.openxmlformats.org/officeDocument/2006/relationships/chartUserShapes" Target="../drawings/drawing24.xml"/><Relationship Id="rId4" Type="http://schemas.openxmlformats.org/officeDocument/2006/relationships/oleObject" Target="file:///\\10.9.19.72\fiskalnirizici$\Pracenje%20fiskalnih%20rizika\2025\Fiskalna%20strategija\Fiskalna%20strategija%202026%20-%202028%20EN%20i%20SP\Materijal%20za%202026%20-%202028%20revidirana\Dijagrami%20i%20tabele%20za%20Fiskalnu%20Strategiju%20Oct%202025.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sara.radulovic\Dropbox\Makro%20sektor\6.%20FS\Revidirana%20FS%202026-2028\GRAFIKONI_MAKRO_okt25.xlsx" TargetMode="External"/></Relationships>
</file>

<file path=word/charts/_rels/chart70.xml.rels><?xml version="1.0" encoding="UTF-8" standalone="yes"?>
<Relationships xmlns="http://schemas.openxmlformats.org/package/2006/relationships"><Relationship Id="rId3" Type="http://schemas.openxmlformats.org/officeDocument/2006/relationships/themeOverride" Target="../theme/themeOverride58.xml"/><Relationship Id="rId2" Type="http://schemas.microsoft.com/office/2011/relationships/chartColorStyle" Target="colors62.xml"/><Relationship Id="rId1" Type="http://schemas.microsoft.com/office/2011/relationships/chartStyle" Target="style62.xml"/><Relationship Id="rId4" Type="http://schemas.openxmlformats.org/officeDocument/2006/relationships/oleObject" Target="../embeddings/oleObject3.bin"/></Relationships>
</file>

<file path=word/charts/_rels/chart71.xml.rels><?xml version="1.0" encoding="UTF-8" standalone="yes"?>
<Relationships xmlns="http://schemas.openxmlformats.org/package/2006/relationships"><Relationship Id="rId3" Type="http://schemas.openxmlformats.org/officeDocument/2006/relationships/oleObject" Target="file:///C:\Users\vladimir.malbasic\Desktop\Radni%20fajlovi%20za%20FS,%20oktobar%202025\Grafikoni%20ciklicnog%20deficita,%20poreske%20elasticnosti%20i%20osetljivost%20balansa%20novi%20BDP.xlsx" TargetMode="External"/><Relationship Id="rId2" Type="http://schemas.microsoft.com/office/2011/relationships/chartColorStyle" Target="colors63.xml"/><Relationship Id="rId1" Type="http://schemas.microsoft.com/office/2011/relationships/chartStyle" Target="style63.xml"/><Relationship Id="rId4" Type="http://schemas.openxmlformats.org/officeDocument/2006/relationships/chartUserShapes" Target="../drawings/drawing25.xml"/></Relationships>
</file>

<file path=word/charts/_rels/chart72.xml.rels><?xml version="1.0" encoding="UTF-8" standalone="yes"?>
<Relationships xmlns="http://schemas.openxmlformats.org/package/2006/relationships"><Relationship Id="rId3" Type="http://schemas.openxmlformats.org/officeDocument/2006/relationships/oleObject" Target="file:///C:\Users\vladimir.malbasic\Desktop\Radni%20fajlovi%20za%20FS,%20oktobar%202025\Grafikoni%20ciklicnog%20deficita,%20poreske%20elasticnosti%20i%20osetljivost%20balansa%20novi%20BDP.xlsx" TargetMode="External"/><Relationship Id="rId2" Type="http://schemas.microsoft.com/office/2011/relationships/chartColorStyle" Target="colors64.xml"/><Relationship Id="rId1" Type="http://schemas.microsoft.com/office/2011/relationships/chartStyle" Target="style64.xml"/><Relationship Id="rId4" Type="http://schemas.openxmlformats.org/officeDocument/2006/relationships/chartUserShapes" Target="../drawings/drawing26.xml"/></Relationships>
</file>

<file path=word/charts/_rels/chart73.xml.rels><?xml version="1.0" encoding="UTF-8" standalone="yes"?>
<Relationships xmlns="http://schemas.openxmlformats.org/package/2006/relationships"><Relationship Id="rId3" Type="http://schemas.openxmlformats.org/officeDocument/2006/relationships/chartUserShapes" Target="../drawings/drawing27.xml"/><Relationship Id="rId2" Type="http://schemas.openxmlformats.org/officeDocument/2006/relationships/oleObject" Target="file:///C:\Users\vladimir.malbasic\Desktop\Radni%20fajlovi%20za%20FS,%20oktobar%202025\Grafikoni%20ciklicnog%20deficita,%20poreske%20elasticnosti%20i%20osetljivost%20balansa%20novi%20BDP.xlsx" TargetMode="External"/><Relationship Id="rId1" Type="http://schemas.openxmlformats.org/officeDocument/2006/relationships/themeOverride" Target="../theme/themeOverride59.xml"/></Relationships>
</file>

<file path=word/charts/_rels/chart74.xml.rels><?xml version="1.0" encoding="UTF-8" standalone="yes"?>
<Relationships xmlns="http://schemas.openxmlformats.org/package/2006/relationships"><Relationship Id="rId3" Type="http://schemas.openxmlformats.org/officeDocument/2006/relationships/oleObject" Target="file:///C:\Users\vladimir.malbasic\Desktop\Radni%20fajlovi%20za%20FS,%20oktobar%202025\Scenarija%20javni%20dug%20fiskalno%20prilagodjavanje%20novi%20BDP.xlsx" TargetMode="External"/><Relationship Id="rId2" Type="http://schemas.microsoft.com/office/2011/relationships/chartColorStyle" Target="colors65.xml"/><Relationship Id="rId1" Type="http://schemas.microsoft.com/office/2011/relationships/chartStyle" Target="style65.xml"/></Relationships>
</file>

<file path=word/charts/_rels/chart75.xml.rels><?xml version="1.0" encoding="UTF-8" standalone="yes"?>
<Relationships xmlns="http://schemas.openxmlformats.org/package/2006/relationships"><Relationship Id="rId3" Type="http://schemas.openxmlformats.org/officeDocument/2006/relationships/oleObject" Target="file:///C:\Users\vladimir.malbasic\Desktop\Novi%20RFZO%20Za%20bazu-%20GFS,%20SS%20bs%20,%20MMF%20table\GFS%20CONSOLIDATION_za%20analizu%20radni%20fajl-2080mq1.xlsx" TargetMode="External"/><Relationship Id="rId2" Type="http://schemas.microsoft.com/office/2011/relationships/chartColorStyle" Target="colors66.xml"/><Relationship Id="rId1" Type="http://schemas.microsoft.com/office/2011/relationships/chartStyle" Target="style66.xml"/></Relationships>
</file>

<file path=word/charts/_rels/chart76.xml.rels><?xml version="1.0" encoding="UTF-8" standalone="yes"?>
<Relationships xmlns="http://schemas.openxmlformats.org/package/2006/relationships"><Relationship Id="rId3" Type="http://schemas.openxmlformats.org/officeDocument/2006/relationships/oleObject" Target="file:///C:\Users\vladimir.malbasic\Desktop\Radni%20fajlovi%20za%20FS,%20oktobar%202025\Scenarija%20javni%20dug%20fiskalno%20prilagodjavanje%20novi%20BDP.xlsx" TargetMode="External"/><Relationship Id="rId2" Type="http://schemas.microsoft.com/office/2011/relationships/chartColorStyle" Target="colors67.xml"/><Relationship Id="rId1" Type="http://schemas.microsoft.com/office/2011/relationships/chartStyle" Target="style67.xml"/><Relationship Id="rId4" Type="http://schemas.openxmlformats.org/officeDocument/2006/relationships/chartUserShapes" Target="../drawings/drawing28.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60.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61.xml"/></Relationships>
</file>

<file path=word/charts/_rels/chart79.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62.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sara.radulovic\Dropbox\Makro%20sektor\6.%20FS\Revidirana%20FS%202026-2028\GRAFIKONI_MAKRO_okt25.xlsx" TargetMode="External"/></Relationships>
</file>

<file path=word/charts/_rels/chart80.xml.rels><?xml version="1.0" encoding="UTF-8" standalone="yes"?>
<Relationships xmlns="http://schemas.openxmlformats.org/package/2006/relationships"><Relationship Id="rId2" Type="http://schemas.openxmlformats.org/officeDocument/2006/relationships/oleObject" Target="file:///D:\Javni%20dug\old\Ou-gi\Note\!%20RI%202024-12\Strategija%202026-2028\Revidirana%20strategija%20-%20update%202110\MTDS%20R%202026-2028%20-%20V0%20-%2043.6y.xlsm" TargetMode="External"/><Relationship Id="rId1" Type="http://schemas.openxmlformats.org/officeDocument/2006/relationships/themeOverride" Target="../theme/themeOverride63.xml"/></Relationships>
</file>

<file path=word/charts/_rels/chart81.xml.rels><?xml version="1.0" encoding="UTF-8" standalone="yes"?>
<Relationships xmlns="http://schemas.openxmlformats.org/package/2006/relationships"><Relationship Id="rId2" Type="http://schemas.openxmlformats.org/officeDocument/2006/relationships/oleObject" Target="file:///D:\Javni%20dug\old\Ou-gi\Note\!%20RI%202024-12\Strategija%202026-2028\Revidirana%20strategija%20-%20update%202110\MTDS%20R%202026-2028%20-%20V0%20-%2043.6y.xlsm" TargetMode="External"/><Relationship Id="rId1" Type="http://schemas.openxmlformats.org/officeDocument/2006/relationships/themeOverride" Target="../theme/themeOverride64.xml"/></Relationships>
</file>

<file path=word/charts/_rels/chart82.xml.rels><?xml version="1.0" encoding="UTF-8" standalone="yes"?>
<Relationships xmlns="http://schemas.openxmlformats.org/package/2006/relationships"><Relationship Id="rId3" Type="http://schemas.openxmlformats.org/officeDocument/2006/relationships/oleObject" Target="file:///C:\Users\oliver.minic\Desktop\REVIDIRANA%20STRATEGIJA\STRAT2026-2028-OKTOBAR.xlsx" TargetMode="External"/><Relationship Id="rId2" Type="http://schemas.microsoft.com/office/2011/relationships/chartColorStyle" Target="colors68.xml"/><Relationship Id="rId1" Type="http://schemas.microsoft.com/office/2011/relationships/chartStyle" Target="style6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sara.radulovic\Dropbox\Makro%20sektor\6.%20FS\Revidirana%20FS%202026-2028\GRAFIKONI_MAKRO_okt25.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'Ekonomska neizvesnost WEO25'!$M$7</c:f>
              <c:strCache>
                <c:ptCount val="1"/>
                <c:pt idx="0">
                  <c:v>Укупна неизвесност</c:v>
                </c:pt>
              </c:strCache>
            </c:strRef>
          </c:tx>
          <c:spPr>
            <a:ln w="15875" cap="rnd">
              <a:solidFill>
                <a:schemeClr val="accent1">
                  <a:lumMod val="75000"/>
                </a:schemeClr>
              </a:solidFill>
              <a:round/>
            </a:ln>
            <a:effectLst/>
          </c:spPr>
          <c:marker>
            <c:symbol val="none"/>
          </c:marker>
          <c:cat>
            <c:strRef>
              <c:f>'Ekonomska neizvesnost WEO25'!$K$9:$K$136</c:f>
              <c:strCache>
                <c:ptCount val="128"/>
                <c:pt idx="0">
                  <c:v>Јан 2015</c:v>
                </c:pt>
                <c:pt idx="24">
                  <c:v>Јан 17</c:v>
                </c:pt>
                <c:pt idx="48">
                  <c:v>Јан 19</c:v>
                </c:pt>
                <c:pt idx="72">
                  <c:v>Јан 21</c:v>
                </c:pt>
                <c:pt idx="96">
                  <c:v>Јан 23</c:v>
                </c:pt>
                <c:pt idx="127">
                  <c:v>Авг 25</c:v>
                </c:pt>
              </c:strCache>
            </c:strRef>
          </c:cat>
          <c:val>
            <c:numRef>
              <c:f>'Ekonomska neizvesnost WEO25'!$M$9:$M$136</c:f>
              <c:numCache>
                <c:formatCode>0.0</c:formatCode>
                <c:ptCount val="128"/>
                <c:pt idx="0">
                  <c:v>25443.97</c:v>
                </c:pt>
                <c:pt idx="1">
                  <c:v>29456.69</c:v>
                </c:pt>
                <c:pt idx="2">
                  <c:v>29700.53</c:v>
                </c:pt>
                <c:pt idx="3">
                  <c:v>22530.23</c:v>
                </c:pt>
                <c:pt idx="4">
                  <c:v>21803.69</c:v>
                </c:pt>
                <c:pt idx="5">
                  <c:v>25042.18</c:v>
                </c:pt>
                <c:pt idx="6">
                  <c:v>26689.86</c:v>
                </c:pt>
                <c:pt idx="7">
                  <c:v>22015.01</c:v>
                </c:pt>
                <c:pt idx="8">
                  <c:v>20895.169999999998</c:v>
                </c:pt>
                <c:pt idx="9">
                  <c:v>25572.94</c:v>
                </c:pt>
                <c:pt idx="10">
                  <c:v>21316.99</c:v>
                </c:pt>
                <c:pt idx="11">
                  <c:v>16845.93</c:v>
                </c:pt>
                <c:pt idx="12">
                  <c:v>18498.77</c:v>
                </c:pt>
                <c:pt idx="13">
                  <c:v>20446.37</c:v>
                </c:pt>
                <c:pt idx="14">
                  <c:v>22191.53</c:v>
                </c:pt>
                <c:pt idx="15">
                  <c:v>15032.11</c:v>
                </c:pt>
                <c:pt idx="16">
                  <c:v>21466.45</c:v>
                </c:pt>
                <c:pt idx="17">
                  <c:v>17423.54</c:v>
                </c:pt>
                <c:pt idx="18">
                  <c:v>45973.39</c:v>
                </c:pt>
                <c:pt idx="19">
                  <c:v>44083.75</c:v>
                </c:pt>
                <c:pt idx="20">
                  <c:v>28374.06</c:v>
                </c:pt>
                <c:pt idx="21">
                  <c:v>18582.509999999998</c:v>
                </c:pt>
                <c:pt idx="22">
                  <c:v>26743.54</c:v>
                </c:pt>
                <c:pt idx="23">
                  <c:v>30556.11</c:v>
                </c:pt>
                <c:pt idx="24">
                  <c:v>38065.040000000001</c:v>
                </c:pt>
                <c:pt idx="25">
                  <c:v>34721.72</c:v>
                </c:pt>
                <c:pt idx="26">
                  <c:v>28585.07</c:v>
                </c:pt>
                <c:pt idx="27">
                  <c:v>22038.28</c:v>
                </c:pt>
                <c:pt idx="28">
                  <c:v>20300.89</c:v>
                </c:pt>
                <c:pt idx="29">
                  <c:v>15384.21</c:v>
                </c:pt>
                <c:pt idx="30">
                  <c:v>16915.2</c:v>
                </c:pt>
                <c:pt idx="31">
                  <c:v>21567.95</c:v>
                </c:pt>
                <c:pt idx="32">
                  <c:v>15468.96</c:v>
                </c:pt>
                <c:pt idx="33">
                  <c:v>20376.240000000002</c:v>
                </c:pt>
                <c:pt idx="34">
                  <c:v>20821.27</c:v>
                </c:pt>
                <c:pt idx="35">
                  <c:v>27945.3</c:v>
                </c:pt>
                <c:pt idx="36">
                  <c:v>21420.12</c:v>
                </c:pt>
                <c:pt idx="37">
                  <c:v>17493.080000000002</c:v>
                </c:pt>
                <c:pt idx="38">
                  <c:v>12197.86</c:v>
                </c:pt>
                <c:pt idx="39">
                  <c:v>12920.08</c:v>
                </c:pt>
                <c:pt idx="40">
                  <c:v>19883.07</c:v>
                </c:pt>
                <c:pt idx="41">
                  <c:v>25859.360000000001</c:v>
                </c:pt>
                <c:pt idx="42">
                  <c:v>22117.7</c:v>
                </c:pt>
                <c:pt idx="43">
                  <c:v>30926.84</c:v>
                </c:pt>
                <c:pt idx="44">
                  <c:v>27915.26</c:v>
                </c:pt>
                <c:pt idx="45">
                  <c:v>22779.45</c:v>
                </c:pt>
                <c:pt idx="46">
                  <c:v>18793.39</c:v>
                </c:pt>
                <c:pt idx="47">
                  <c:v>26231.1</c:v>
                </c:pt>
                <c:pt idx="48">
                  <c:v>36382.28</c:v>
                </c:pt>
                <c:pt idx="49">
                  <c:v>51178.63</c:v>
                </c:pt>
                <c:pt idx="50">
                  <c:v>35809.01</c:v>
                </c:pt>
                <c:pt idx="51">
                  <c:v>27627.57</c:v>
                </c:pt>
                <c:pt idx="52">
                  <c:v>57517.98</c:v>
                </c:pt>
                <c:pt idx="53">
                  <c:v>41085.629999999997</c:v>
                </c:pt>
                <c:pt idx="54">
                  <c:v>22822.22</c:v>
                </c:pt>
                <c:pt idx="55">
                  <c:v>33126.300000000003</c:v>
                </c:pt>
                <c:pt idx="56">
                  <c:v>32220.86</c:v>
                </c:pt>
                <c:pt idx="57">
                  <c:v>39475.35</c:v>
                </c:pt>
                <c:pt idx="58">
                  <c:v>39040.36</c:v>
                </c:pt>
                <c:pt idx="59">
                  <c:v>52683.16</c:v>
                </c:pt>
                <c:pt idx="60">
                  <c:v>42258.74</c:v>
                </c:pt>
                <c:pt idx="61">
                  <c:v>39762.47</c:v>
                </c:pt>
                <c:pt idx="62">
                  <c:v>56223.62</c:v>
                </c:pt>
                <c:pt idx="63">
                  <c:v>21438.99</c:v>
                </c:pt>
                <c:pt idx="64">
                  <c:v>26490.73</c:v>
                </c:pt>
                <c:pt idx="65">
                  <c:v>28737.919999999998</c:v>
                </c:pt>
                <c:pt idx="66">
                  <c:v>26888.29</c:v>
                </c:pt>
                <c:pt idx="67">
                  <c:v>20430.03</c:v>
                </c:pt>
                <c:pt idx="68">
                  <c:v>26409.8</c:v>
                </c:pt>
                <c:pt idx="69">
                  <c:v>28194.52</c:v>
                </c:pt>
                <c:pt idx="70">
                  <c:v>25062.17</c:v>
                </c:pt>
                <c:pt idx="71">
                  <c:v>14886.35</c:v>
                </c:pt>
                <c:pt idx="72">
                  <c:v>11956.53</c:v>
                </c:pt>
                <c:pt idx="73">
                  <c:v>9050.2710000000006</c:v>
                </c:pt>
                <c:pt idx="74">
                  <c:v>13602.12</c:v>
                </c:pt>
                <c:pt idx="75">
                  <c:v>14889.97</c:v>
                </c:pt>
                <c:pt idx="76">
                  <c:v>15392.93</c:v>
                </c:pt>
                <c:pt idx="77">
                  <c:v>21543.41</c:v>
                </c:pt>
                <c:pt idx="78">
                  <c:v>19371.39</c:v>
                </c:pt>
                <c:pt idx="79">
                  <c:v>17169.7</c:v>
                </c:pt>
                <c:pt idx="80">
                  <c:v>23904</c:v>
                </c:pt>
                <c:pt idx="81">
                  <c:v>10477.780000000001</c:v>
                </c:pt>
                <c:pt idx="82">
                  <c:v>14556.52</c:v>
                </c:pt>
                <c:pt idx="83">
                  <c:v>28225.75</c:v>
                </c:pt>
                <c:pt idx="84">
                  <c:v>25576.78</c:v>
                </c:pt>
                <c:pt idx="85">
                  <c:v>25212.720000000001</c:v>
                </c:pt>
                <c:pt idx="86">
                  <c:v>27256.75</c:v>
                </c:pt>
                <c:pt idx="87">
                  <c:v>41669.1</c:v>
                </c:pt>
                <c:pt idx="88">
                  <c:v>25064.35</c:v>
                </c:pt>
                <c:pt idx="89">
                  <c:v>23022.65</c:v>
                </c:pt>
                <c:pt idx="90">
                  <c:v>19588.13</c:v>
                </c:pt>
                <c:pt idx="91">
                  <c:v>31577.91</c:v>
                </c:pt>
                <c:pt idx="92">
                  <c:v>22559.72</c:v>
                </c:pt>
                <c:pt idx="93">
                  <c:v>28962.720000000001</c:v>
                </c:pt>
                <c:pt idx="94">
                  <c:v>34628.480000000003</c:v>
                </c:pt>
                <c:pt idx="95">
                  <c:v>17405.95</c:v>
                </c:pt>
                <c:pt idx="96">
                  <c:v>29339.84</c:v>
                </c:pt>
                <c:pt idx="97">
                  <c:v>32027.81</c:v>
                </c:pt>
                <c:pt idx="98">
                  <c:v>17736.47</c:v>
                </c:pt>
                <c:pt idx="99">
                  <c:v>37638.800000000003</c:v>
                </c:pt>
                <c:pt idx="100">
                  <c:v>37309.42</c:v>
                </c:pt>
                <c:pt idx="101">
                  <c:v>17679.009999999998</c:v>
                </c:pt>
                <c:pt idx="102">
                  <c:v>15649.48</c:v>
                </c:pt>
                <c:pt idx="103">
                  <c:v>22258</c:v>
                </c:pt>
                <c:pt idx="104">
                  <c:v>16389.48</c:v>
                </c:pt>
                <c:pt idx="105">
                  <c:v>15354.48</c:v>
                </c:pt>
                <c:pt idx="106">
                  <c:v>17278.77</c:v>
                </c:pt>
                <c:pt idx="107">
                  <c:v>17108.95</c:v>
                </c:pt>
                <c:pt idx="108">
                  <c:v>17865.73</c:v>
                </c:pt>
                <c:pt idx="109">
                  <c:v>16358.07</c:v>
                </c:pt>
                <c:pt idx="110">
                  <c:v>17273.86</c:v>
                </c:pt>
                <c:pt idx="111">
                  <c:v>16746.02</c:v>
                </c:pt>
                <c:pt idx="112">
                  <c:v>15083.26</c:v>
                </c:pt>
                <c:pt idx="113">
                  <c:v>14606.01</c:v>
                </c:pt>
                <c:pt idx="114">
                  <c:v>15929.92</c:v>
                </c:pt>
                <c:pt idx="115">
                  <c:v>21425.35</c:v>
                </c:pt>
                <c:pt idx="116">
                  <c:v>20372.419999999998</c:v>
                </c:pt>
                <c:pt idx="117">
                  <c:v>21669.22</c:v>
                </c:pt>
                <c:pt idx="118">
                  <c:v>24333.03</c:v>
                </c:pt>
                <c:pt idx="119">
                  <c:v>30375.61</c:v>
                </c:pt>
                <c:pt idx="120">
                  <c:v>41383.230000000003</c:v>
                </c:pt>
                <c:pt idx="121">
                  <c:v>48816.02</c:v>
                </c:pt>
                <c:pt idx="122">
                  <c:v>53189.5</c:v>
                </c:pt>
                <c:pt idx="123">
                  <c:v>72733.48</c:v>
                </c:pt>
                <c:pt idx="124">
                  <c:v>77997.679999999993</c:v>
                </c:pt>
                <c:pt idx="125">
                  <c:v>84305.33</c:v>
                </c:pt>
                <c:pt idx="126">
                  <c:v>95509.3</c:v>
                </c:pt>
                <c:pt idx="127">
                  <c:v>105558.3</c:v>
                </c:pt>
              </c:numCache>
            </c:numRef>
          </c:val>
          <c:smooth val="0"/>
          <c:extLst>
            <c:ext xmlns:c16="http://schemas.microsoft.com/office/drawing/2014/chart" uri="{C3380CC4-5D6E-409C-BE32-E72D297353CC}">
              <c16:uniqueId val="{00000000-016D-4D8E-BBE2-B94B8946B740}"/>
            </c:ext>
          </c:extLst>
        </c:ser>
        <c:dLbls>
          <c:showLegendKey val="0"/>
          <c:showVal val="0"/>
          <c:showCatName val="0"/>
          <c:showSerName val="0"/>
          <c:showPercent val="0"/>
          <c:showBubbleSize val="0"/>
        </c:dLbls>
        <c:marker val="1"/>
        <c:smooth val="0"/>
        <c:axId val="1774207632"/>
        <c:axId val="1774208464"/>
      </c:lineChart>
      <c:lineChart>
        <c:grouping val="standard"/>
        <c:varyColors val="0"/>
        <c:ser>
          <c:idx val="1"/>
          <c:order val="1"/>
          <c:tx>
            <c:strRef>
              <c:f>'Ekonomska neizvesnost WEO25'!$N$7</c:f>
              <c:strCache>
                <c:ptCount val="1"/>
                <c:pt idx="0">
                  <c:v>Неизвесност трговинске политике (десна скала)</c:v>
                </c:pt>
              </c:strCache>
            </c:strRef>
          </c:tx>
          <c:spPr>
            <a:ln w="15875" cap="rnd">
              <a:solidFill>
                <a:schemeClr val="accent4"/>
              </a:solidFill>
              <a:round/>
            </a:ln>
            <a:effectLst/>
          </c:spPr>
          <c:marker>
            <c:symbol val="none"/>
          </c:marker>
          <c:cat>
            <c:strRef>
              <c:f>'Ekonomska neizvesnost WEO25'!$K$9:$K$135</c:f>
              <c:strCache>
                <c:ptCount val="97"/>
                <c:pt idx="0">
                  <c:v>Јан 2015</c:v>
                </c:pt>
                <c:pt idx="24">
                  <c:v>Јан 17</c:v>
                </c:pt>
                <c:pt idx="48">
                  <c:v>Јан 19</c:v>
                </c:pt>
                <c:pt idx="72">
                  <c:v>Јан 21</c:v>
                </c:pt>
                <c:pt idx="96">
                  <c:v>Јан 23</c:v>
                </c:pt>
              </c:strCache>
            </c:strRef>
          </c:cat>
          <c:val>
            <c:numRef>
              <c:f>'Ekonomska neizvesnost WEO25'!$N$9:$N$136</c:f>
              <c:numCache>
                <c:formatCode>0.0</c:formatCode>
                <c:ptCount val="128"/>
                <c:pt idx="0">
                  <c:v>26.613</c:v>
                </c:pt>
                <c:pt idx="1">
                  <c:v>25.193000000000001</c:v>
                </c:pt>
                <c:pt idx="2">
                  <c:v>20.873000000000001</c:v>
                </c:pt>
                <c:pt idx="3">
                  <c:v>21.367999999999999</c:v>
                </c:pt>
                <c:pt idx="4">
                  <c:v>43.44</c:v>
                </c:pt>
                <c:pt idx="5">
                  <c:v>44.503</c:v>
                </c:pt>
                <c:pt idx="6">
                  <c:v>26.478999999999999</c:v>
                </c:pt>
                <c:pt idx="7">
                  <c:v>35.421999999999997</c:v>
                </c:pt>
                <c:pt idx="8">
                  <c:v>29.247</c:v>
                </c:pt>
                <c:pt idx="9">
                  <c:v>53.252000000000002</c:v>
                </c:pt>
                <c:pt idx="10">
                  <c:v>30.721</c:v>
                </c:pt>
                <c:pt idx="11">
                  <c:v>31.821000000000002</c:v>
                </c:pt>
                <c:pt idx="12">
                  <c:v>36.033000000000001</c:v>
                </c:pt>
                <c:pt idx="13">
                  <c:v>32.207999999999998</c:v>
                </c:pt>
                <c:pt idx="14">
                  <c:v>54.326999999999998</c:v>
                </c:pt>
                <c:pt idx="15">
                  <c:v>46.85</c:v>
                </c:pt>
                <c:pt idx="16">
                  <c:v>57.420999999999999</c:v>
                </c:pt>
                <c:pt idx="17">
                  <c:v>74.691000000000003</c:v>
                </c:pt>
                <c:pt idx="18">
                  <c:v>46.107999999999997</c:v>
                </c:pt>
                <c:pt idx="19">
                  <c:v>43.67</c:v>
                </c:pt>
                <c:pt idx="20">
                  <c:v>44.246000000000002</c:v>
                </c:pt>
                <c:pt idx="21">
                  <c:v>50.46</c:v>
                </c:pt>
                <c:pt idx="22">
                  <c:v>111.297</c:v>
                </c:pt>
                <c:pt idx="23">
                  <c:v>105.83799999999999</c:v>
                </c:pt>
                <c:pt idx="24">
                  <c:v>166.42099999999999</c:v>
                </c:pt>
                <c:pt idx="25">
                  <c:v>122.703</c:v>
                </c:pt>
                <c:pt idx="26">
                  <c:v>90.581999999999994</c:v>
                </c:pt>
                <c:pt idx="27">
                  <c:v>97.091999999999999</c:v>
                </c:pt>
                <c:pt idx="28">
                  <c:v>54.456000000000003</c:v>
                </c:pt>
                <c:pt idx="29">
                  <c:v>60.115000000000002</c:v>
                </c:pt>
                <c:pt idx="30">
                  <c:v>65.977000000000004</c:v>
                </c:pt>
                <c:pt idx="31">
                  <c:v>54.826000000000001</c:v>
                </c:pt>
                <c:pt idx="32">
                  <c:v>51.304000000000002</c:v>
                </c:pt>
                <c:pt idx="33">
                  <c:v>47.737000000000002</c:v>
                </c:pt>
                <c:pt idx="34">
                  <c:v>44.029000000000003</c:v>
                </c:pt>
                <c:pt idx="35">
                  <c:v>46.752000000000002</c:v>
                </c:pt>
                <c:pt idx="36">
                  <c:v>73.215000000000003</c:v>
                </c:pt>
                <c:pt idx="37">
                  <c:v>57.03</c:v>
                </c:pt>
                <c:pt idx="38">
                  <c:v>260.55599999999998</c:v>
                </c:pt>
                <c:pt idx="39">
                  <c:v>174.208</c:v>
                </c:pt>
                <c:pt idx="40">
                  <c:v>152.25</c:v>
                </c:pt>
                <c:pt idx="41">
                  <c:v>228.62299999999999</c:v>
                </c:pt>
                <c:pt idx="42">
                  <c:v>246.38200000000001</c:v>
                </c:pt>
                <c:pt idx="43">
                  <c:v>225.82900000000001</c:v>
                </c:pt>
                <c:pt idx="44">
                  <c:v>150.10900000000001</c:v>
                </c:pt>
                <c:pt idx="45">
                  <c:v>155.20699999999999</c:v>
                </c:pt>
                <c:pt idx="46">
                  <c:v>144.83099999999999</c:v>
                </c:pt>
                <c:pt idx="47">
                  <c:v>164.64599999999999</c:v>
                </c:pt>
                <c:pt idx="48">
                  <c:v>141.71100000000001</c:v>
                </c:pt>
                <c:pt idx="49">
                  <c:v>127.47199999999999</c:v>
                </c:pt>
                <c:pt idx="50">
                  <c:v>94.097999999999999</c:v>
                </c:pt>
                <c:pt idx="51">
                  <c:v>91.159000000000006</c:v>
                </c:pt>
                <c:pt idx="52">
                  <c:v>189.79300000000001</c:v>
                </c:pt>
                <c:pt idx="53">
                  <c:v>266.005</c:v>
                </c:pt>
                <c:pt idx="54">
                  <c:v>145.11500000000001</c:v>
                </c:pt>
                <c:pt idx="55">
                  <c:v>254.22</c:v>
                </c:pt>
                <c:pt idx="56">
                  <c:v>136.93199999999999</c:v>
                </c:pt>
                <c:pt idx="57">
                  <c:v>139.26599999999999</c:v>
                </c:pt>
                <c:pt idx="58">
                  <c:v>119.83499999999999</c:v>
                </c:pt>
                <c:pt idx="59">
                  <c:v>146.315</c:v>
                </c:pt>
                <c:pt idx="60">
                  <c:v>139.63999999999999</c:v>
                </c:pt>
                <c:pt idx="61">
                  <c:v>95.738</c:v>
                </c:pt>
                <c:pt idx="62">
                  <c:v>61.234000000000002</c:v>
                </c:pt>
                <c:pt idx="63">
                  <c:v>55.478999999999999</c:v>
                </c:pt>
                <c:pt idx="64">
                  <c:v>66.5</c:v>
                </c:pt>
                <c:pt idx="65">
                  <c:v>59.9</c:v>
                </c:pt>
                <c:pt idx="66">
                  <c:v>57.4</c:v>
                </c:pt>
                <c:pt idx="67">
                  <c:v>67.2</c:v>
                </c:pt>
                <c:pt idx="68">
                  <c:v>67.8</c:v>
                </c:pt>
                <c:pt idx="69">
                  <c:v>70.248999999999995</c:v>
                </c:pt>
                <c:pt idx="70">
                  <c:v>69.875</c:v>
                </c:pt>
                <c:pt idx="71">
                  <c:v>98.012</c:v>
                </c:pt>
                <c:pt idx="72">
                  <c:v>75.442999999999998</c:v>
                </c:pt>
                <c:pt idx="73">
                  <c:v>36.854999999999997</c:v>
                </c:pt>
                <c:pt idx="74">
                  <c:v>46.825000000000003</c:v>
                </c:pt>
                <c:pt idx="75">
                  <c:v>47.951000000000001</c:v>
                </c:pt>
                <c:pt idx="76">
                  <c:v>49.258000000000003</c:v>
                </c:pt>
                <c:pt idx="77">
                  <c:v>49.348999999999997</c:v>
                </c:pt>
                <c:pt idx="78">
                  <c:v>57.22</c:v>
                </c:pt>
                <c:pt idx="79">
                  <c:v>39.46</c:v>
                </c:pt>
                <c:pt idx="80">
                  <c:v>51.542999999999999</c:v>
                </c:pt>
                <c:pt idx="81">
                  <c:v>56.061999999999998</c:v>
                </c:pt>
                <c:pt idx="82">
                  <c:v>48.49</c:v>
                </c:pt>
                <c:pt idx="83">
                  <c:v>37.116999999999997</c:v>
                </c:pt>
                <c:pt idx="84">
                  <c:v>46.606000000000002</c:v>
                </c:pt>
                <c:pt idx="85">
                  <c:v>54.304000000000002</c:v>
                </c:pt>
                <c:pt idx="86">
                  <c:v>53.628</c:v>
                </c:pt>
                <c:pt idx="87">
                  <c:v>41.192999999999998</c:v>
                </c:pt>
                <c:pt idx="88">
                  <c:v>63.286999999999999</c:v>
                </c:pt>
                <c:pt idx="89">
                  <c:v>74.510999999999996</c:v>
                </c:pt>
                <c:pt idx="90">
                  <c:v>67.036000000000001</c:v>
                </c:pt>
                <c:pt idx="91">
                  <c:v>65.856999999999999</c:v>
                </c:pt>
                <c:pt idx="92">
                  <c:v>48.506</c:v>
                </c:pt>
                <c:pt idx="93">
                  <c:v>46.552999999999997</c:v>
                </c:pt>
                <c:pt idx="94">
                  <c:v>49.305</c:v>
                </c:pt>
                <c:pt idx="95">
                  <c:v>48.77</c:v>
                </c:pt>
                <c:pt idx="96">
                  <c:v>52.738</c:v>
                </c:pt>
                <c:pt idx="97">
                  <c:v>43.682000000000002</c:v>
                </c:pt>
                <c:pt idx="98">
                  <c:v>65.441000000000003</c:v>
                </c:pt>
                <c:pt idx="99">
                  <c:v>33.893000000000001</c:v>
                </c:pt>
                <c:pt idx="100">
                  <c:v>59.655999999999999</c:v>
                </c:pt>
                <c:pt idx="101">
                  <c:v>52.33</c:v>
                </c:pt>
                <c:pt idx="102">
                  <c:v>63.295999999999999</c:v>
                </c:pt>
                <c:pt idx="103">
                  <c:v>59.966000000000001</c:v>
                </c:pt>
                <c:pt idx="104">
                  <c:v>63.603999999999999</c:v>
                </c:pt>
                <c:pt idx="105">
                  <c:v>44.459000000000003</c:v>
                </c:pt>
                <c:pt idx="106">
                  <c:v>40.948</c:v>
                </c:pt>
                <c:pt idx="107">
                  <c:v>65.307000000000002</c:v>
                </c:pt>
                <c:pt idx="108">
                  <c:v>69.603999999999999</c:v>
                </c:pt>
                <c:pt idx="109">
                  <c:v>62.576000000000001</c:v>
                </c:pt>
                <c:pt idx="110">
                  <c:v>82.19</c:v>
                </c:pt>
                <c:pt idx="111">
                  <c:v>90.974000000000004</c:v>
                </c:pt>
                <c:pt idx="112">
                  <c:v>94.477000000000004</c:v>
                </c:pt>
                <c:pt idx="113">
                  <c:v>89.055999999999997</c:v>
                </c:pt>
                <c:pt idx="114">
                  <c:v>101.366</c:v>
                </c:pt>
                <c:pt idx="115">
                  <c:v>98.14</c:v>
                </c:pt>
                <c:pt idx="116">
                  <c:v>128.64099999999999</c:v>
                </c:pt>
                <c:pt idx="117">
                  <c:v>147.92699999999999</c:v>
                </c:pt>
                <c:pt idx="118">
                  <c:v>373.31200000000001</c:v>
                </c:pt>
                <c:pt idx="119">
                  <c:v>247.67599999999999</c:v>
                </c:pt>
                <c:pt idx="120">
                  <c:v>360.89100000000002</c:v>
                </c:pt>
                <c:pt idx="121">
                  <c:v>469.77199999999999</c:v>
                </c:pt>
                <c:pt idx="122">
                  <c:v>603.07799999999997</c:v>
                </c:pt>
                <c:pt idx="123">
                  <c:v>1151.356</c:v>
                </c:pt>
                <c:pt idx="124">
                  <c:v>723.13199999999995</c:v>
                </c:pt>
                <c:pt idx="125">
                  <c:v>472.512</c:v>
                </c:pt>
                <c:pt idx="126">
                  <c:v>554.85</c:v>
                </c:pt>
                <c:pt idx="127">
                  <c:v>575.84</c:v>
                </c:pt>
              </c:numCache>
            </c:numRef>
          </c:val>
          <c:smooth val="0"/>
          <c:extLst>
            <c:ext xmlns:c16="http://schemas.microsoft.com/office/drawing/2014/chart" uri="{C3380CC4-5D6E-409C-BE32-E72D297353CC}">
              <c16:uniqueId val="{00000001-016D-4D8E-BBE2-B94B8946B740}"/>
            </c:ext>
          </c:extLst>
        </c:ser>
        <c:ser>
          <c:idx val="2"/>
          <c:order val="2"/>
          <c:tx>
            <c:strRef>
              <c:f>'Ekonomska neizvesnost WEO25'!$O$7</c:f>
              <c:strCache>
                <c:ptCount val="1"/>
                <c:pt idx="0">
                  <c:v>Неизвесност економске политике (десна скала)</c:v>
                </c:pt>
              </c:strCache>
            </c:strRef>
          </c:tx>
          <c:spPr>
            <a:ln w="15875" cap="rnd">
              <a:solidFill>
                <a:srgbClr val="9E0000"/>
              </a:solidFill>
              <a:round/>
            </a:ln>
            <a:effectLst/>
          </c:spPr>
          <c:marker>
            <c:symbol val="none"/>
          </c:marker>
          <c:cat>
            <c:strRef>
              <c:f>'Ekonomska neizvesnost WEO25'!$K$9:$K$135</c:f>
              <c:strCache>
                <c:ptCount val="97"/>
                <c:pt idx="0">
                  <c:v>Јан 2015</c:v>
                </c:pt>
                <c:pt idx="24">
                  <c:v>Јан 17</c:v>
                </c:pt>
                <c:pt idx="48">
                  <c:v>Јан 19</c:v>
                </c:pt>
                <c:pt idx="72">
                  <c:v>Јан 21</c:v>
                </c:pt>
                <c:pt idx="96">
                  <c:v>Јан 23</c:v>
                </c:pt>
              </c:strCache>
            </c:strRef>
          </c:cat>
          <c:val>
            <c:numRef>
              <c:f>'Ekonomska neizvesnost WEO25'!$O$9:$O$136</c:f>
              <c:numCache>
                <c:formatCode>0.0</c:formatCode>
                <c:ptCount val="128"/>
                <c:pt idx="0">
                  <c:v>135.15600000000001</c:v>
                </c:pt>
                <c:pt idx="1">
                  <c:v>122.717</c:v>
                </c:pt>
                <c:pt idx="2">
                  <c:v>117.892</c:v>
                </c:pt>
                <c:pt idx="3">
                  <c:v>100.83</c:v>
                </c:pt>
                <c:pt idx="4">
                  <c:v>101.505</c:v>
                </c:pt>
                <c:pt idx="5">
                  <c:v>118.732</c:v>
                </c:pt>
                <c:pt idx="6">
                  <c:v>122.958</c:v>
                </c:pt>
                <c:pt idx="7">
                  <c:v>117.194</c:v>
                </c:pt>
                <c:pt idx="8">
                  <c:v>153.84700000000001</c:v>
                </c:pt>
                <c:pt idx="9">
                  <c:v>115.405</c:v>
                </c:pt>
                <c:pt idx="10">
                  <c:v>106.06699999999999</c:v>
                </c:pt>
                <c:pt idx="11">
                  <c:v>116.93</c:v>
                </c:pt>
                <c:pt idx="12">
                  <c:v>140.989</c:v>
                </c:pt>
                <c:pt idx="13">
                  <c:v>145.78399999999999</c:v>
                </c:pt>
                <c:pt idx="14">
                  <c:v>162.357</c:v>
                </c:pt>
                <c:pt idx="15">
                  <c:v>146.411</c:v>
                </c:pt>
                <c:pt idx="16">
                  <c:v>123.783</c:v>
                </c:pt>
                <c:pt idx="17">
                  <c:v>220.87299999999999</c:v>
                </c:pt>
                <c:pt idx="18">
                  <c:v>189.042</c:v>
                </c:pt>
                <c:pt idx="19">
                  <c:v>136.53200000000001</c:v>
                </c:pt>
                <c:pt idx="20">
                  <c:v>139.173</c:v>
                </c:pt>
                <c:pt idx="21">
                  <c:v>122.42</c:v>
                </c:pt>
                <c:pt idx="22">
                  <c:v>215.21</c:v>
                </c:pt>
                <c:pt idx="23">
                  <c:v>186.78200000000001</c:v>
                </c:pt>
                <c:pt idx="24">
                  <c:v>255.44300000000001</c:v>
                </c:pt>
                <c:pt idx="25">
                  <c:v>189.768</c:v>
                </c:pt>
                <c:pt idx="26">
                  <c:v>250.268</c:v>
                </c:pt>
                <c:pt idx="27">
                  <c:v>177.88200000000001</c:v>
                </c:pt>
                <c:pt idx="28">
                  <c:v>142.74</c:v>
                </c:pt>
                <c:pt idx="29">
                  <c:v>175.62299999999999</c:v>
                </c:pt>
                <c:pt idx="30">
                  <c:v>172.39599999999999</c:v>
                </c:pt>
                <c:pt idx="31">
                  <c:v>141.851</c:v>
                </c:pt>
                <c:pt idx="32">
                  <c:v>163.554</c:v>
                </c:pt>
                <c:pt idx="33">
                  <c:v>149.88499999999999</c:v>
                </c:pt>
                <c:pt idx="34">
                  <c:v>168.114</c:v>
                </c:pt>
                <c:pt idx="35">
                  <c:v>155.631</c:v>
                </c:pt>
                <c:pt idx="36">
                  <c:v>180.22499999999999</c:v>
                </c:pt>
                <c:pt idx="37">
                  <c:v>130.84399999999999</c:v>
                </c:pt>
                <c:pt idx="38">
                  <c:v>181.58099999999999</c:v>
                </c:pt>
                <c:pt idx="39">
                  <c:v>173.6</c:v>
                </c:pt>
                <c:pt idx="40">
                  <c:v>172.63399999999999</c:v>
                </c:pt>
                <c:pt idx="41">
                  <c:v>163.601</c:v>
                </c:pt>
                <c:pt idx="42">
                  <c:v>238.65199999999999</c:v>
                </c:pt>
                <c:pt idx="43">
                  <c:v>182.25399999999999</c:v>
                </c:pt>
                <c:pt idx="44">
                  <c:v>205.87200000000001</c:v>
                </c:pt>
                <c:pt idx="45">
                  <c:v>225.98599999999999</c:v>
                </c:pt>
                <c:pt idx="46">
                  <c:v>265.39999999999998</c:v>
                </c:pt>
                <c:pt idx="47">
                  <c:v>218.36799999999999</c:v>
                </c:pt>
                <c:pt idx="48">
                  <c:v>243.73599999999999</c:v>
                </c:pt>
                <c:pt idx="49">
                  <c:v>177.88499999999999</c:v>
                </c:pt>
                <c:pt idx="50">
                  <c:v>251.88900000000001</c:v>
                </c:pt>
                <c:pt idx="51">
                  <c:v>204.94499999999999</c:v>
                </c:pt>
                <c:pt idx="52">
                  <c:v>238.297</c:v>
                </c:pt>
                <c:pt idx="53">
                  <c:v>350.08600000000001</c:v>
                </c:pt>
                <c:pt idx="54">
                  <c:v>259.89</c:v>
                </c:pt>
                <c:pt idx="55">
                  <c:v>293.23200000000003</c:v>
                </c:pt>
                <c:pt idx="56">
                  <c:v>250.53100000000001</c:v>
                </c:pt>
                <c:pt idx="57">
                  <c:v>208.97300000000001</c:v>
                </c:pt>
                <c:pt idx="58">
                  <c:v>259.39800000000002</c:v>
                </c:pt>
                <c:pt idx="59">
                  <c:v>244.63800000000001</c:v>
                </c:pt>
                <c:pt idx="60">
                  <c:v>199.44300000000001</c:v>
                </c:pt>
                <c:pt idx="61">
                  <c:v>198.108</c:v>
                </c:pt>
                <c:pt idx="62">
                  <c:v>311.58800000000002</c:v>
                </c:pt>
                <c:pt idx="63">
                  <c:v>335.00900000000001</c:v>
                </c:pt>
                <c:pt idx="64">
                  <c:v>424.14</c:v>
                </c:pt>
                <c:pt idx="65">
                  <c:v>325.17599999999999</c:v>
                </c:pt>
                <c:pt idx="66">
                  <c:v>308.72899999999998</c:v>
                </c:pt>
                <c:pt idx="67">
                  <c:v>304.47300000000001</c:v>
                </c:pt>
                <c:pt idx="68">
                  <c:v>328.029</c:v>
                </c:pt>
                <c:pt idx="69">
                  <c:v>313.23200000000003</c:v>
                </c:pt>
                <c:pt idx="70">
                  <c:v>421.69499999999999</c:v>
                </c:pt>
                <c:pt idx="71">
                  <c:v>315.13299999999998</c:v>
                </c:pt>
                <c:pt idx="72">
                  <c:v>283.339</c:v>
                </c:pt>
                <c:pt idx="73">
                  <c:v>200.184</c:v>
                </c:pt>
                <c:pt idx="74">
                  <c:v>221.559</c:v>
                </c:pt>
                <c:pt idx="75">
                  <c:v>206.52099999999999</c:v>
                </c:pt>
                <c:pt idx="76">
                  <c:v>179.91900000000001</c:v>
                </c:pt>
                <c:pt idx="77">
                  <c:v>181.261</c:v>
                </c:pt>
                <c:pt idx="78">
                  <c:v>190.679</c:v>
                </c:pt>
                <c:pt idx="79">
                  <c:v>210.24199999999999</c:v>
                </c:pt>
                <c:pt idx="80">
                  <c:v>220.05500000000001</c:v>
                </c:pt>
                <c:pt idx="81">
                  <c:v>195.58199999999999</c:v>
                </c:pt>
                <c:pt idx="82">
                  <c:v>234.941</c:v>
                </c:pt>
                <c:pt idx="83">
                  <c:v>267.82</c:v>
                </c:pt>
                <c:pt idx="84">
                  <c:v>233.876</c:v>
                </c:pt>
                <c:pt idx="85">
                  <c:v>186.524</c:v>
                </c:pt>
                <c:pt idx="86">
                  <c:v>305.97199999999998</c:v>
                </c:pt>
                <c:pt idx="87">
                  <c:v>288.40199999999999</c:v>
                </c:pt>
                <c:pt idx="88">
                  <c:v>290.887</c:v>
                </c:pt>
                <c:pt idx="89">
                  <c:v>265.70100000000002</c:v>
                </c:pt>
                <c:pt idx="90">
                  <c:v>305.858</c:v>
                </c:pt>
                <c:pt idx="91">
                  <c:v>242.029</c:v>
                </c:pt>
                <c:pt idx="92">
                  <c:v>254.291</c:v>
                </c:pt>
                <c:pt idx="93">
                  <c:v>269.45299999999997</c:v>
                </c:pt>
                <c:pt idx="94">
                  <c:v>327.46699999999998</c:v>
                </c:pt>
                <c:pt idx="95">
                  <c:v>256.11900000000003</c:v>
                </c:pt>
                <c:pt idx="96">
                  <c:v>229.434</c:v>
                </c:pt>
                <c:pt idx="97">
                  <c:v>263.60899999999998</c:v>
                </c:pt>
                <c:pt idx="98">
                  <c:v>340.048</c:v>
                </c:pt>
                <c:pt idx="99">
                  <c:v>284.59399999999999</c:v>
                </c:pt>
                <c:pt idx="100">
                  <c:v>214.14699999999999</c:v>
                </c:pt>
                <c:pt idx="101">
                  <c:v>238.55199999999999</c:v>
                </c:pt>
                <c:pt idx="102">
                  <c:v>203.31700000000001</c:v>
                </c:pt>
                <c:pt idx="103">
                  <c:v>188.506</c:v>
                </c:pt>
                <c:pt idx="104">
                  <c:v>213.36600000000001</c:v>
                </c:pt>
                <c:pt idx="105">
                  <c:v>199.518</c:v>
                </c:pt>
                <c:pt idx="106">
                  <c:v>221.267</c:v>
                </c:pt>
                <c:pt idx="107">
                  <c:v>250.07599999999999</c:v>
                </c:pt>
                <c:pt idx="108">
                  <c:v>263.25900000000001</c:v>
                </c:pt>
                <c:pt idx="109">
                  <c:v>182.02799999999999</c:v>
                </c:pt>
                <c:pt idx="110">
                  <c:v>189.94200000000001</c:v>
                </c:pt>
                <c:pt idx="111">
                  <c:v>178.214</c:v>
                </c:pt>
                <c:pt idx="112">
                  <c:v>191.464</c:v>
                </c:pt>
                <c:pt idx="113">
                  <c:v>175.65700000000001</c:v>
                </c:pt>
                <c:pt idx="114">
                  <c:v>244.922</c:v>
                </c:pt>
                <c:pt idx="115">
                  <c:v>202.023</c:v>
                </c:pt>
                <c:pt idx="116">
                  <c:v>211.56100000000001</c:v>
                </c:pt>
                <c:pt idx="117">
                  <c:v>215.363</c:v>
                </c:pt>
                <c:pt idx="118">
                  <c:v>282.03199999999998</c:v>
                </c:pt>
                <c:pt idx="119">
                  <c:v>336.70699999999999</c:v>
                </c:pt>
                <c:pt idx="120">
                  <c:v>309.75900000000001</c:v>
                </c:pt>
                <c:pt idx="121">
                  <c:v>319.89299999999997</c:v>
                </c:pt>
                <c:pt idx="122">
                  <c:v>458.71499999999997</c:v>
                </c:pt>
                <c:pt idx="123">
                  <c:v>585.04899999999998</c:v>
                </c:pt>
                <c:pt idx="124">
                  <c:v>487.68200000000002</c:v>
                </c:pt>
                <c:pt idx="125">
                  <c:v>357.59500000000003</c:v>
                </c:pt>
                <c:pt idx="126">
                  <c:v>377.14699999999999</c:v>
                </c:pt>
              </c:numCache>
            </c:numRef>
          </c:val>
          <c:smooth val="0"/>
          <c:extLst>
            <c:ext xmlns:c16="http://schemas.microsoft.com/office/drawing/2014/chart" uri="{C3380CC4-5D6E-409C-BE32-E72D297353CC}">
              <c16:uniqueId val="{00000002-016D-4D8E-BBE2-B94B8946B740}"/>
            </c:ext>
          </c:extLst>
        </c:ser>
        <c:dLbls>
          <c:showLegendKey val="0"/>
          <c:showVal val="0"/>
          <c:showCatName val="0"/>
          <c:showSerName val="0"/>
          <c:showPercent val="0"/>
          <c:showBubbleSize val="0"/>
        </c:dLbls>
        <c:marker val="1"/>
        <c:smooth val="0"/>
        <c:axId val="1757812912"/>
        <c:axId val="1757811664"/>
      </c:lineChart>
      <c:catAx>
        <c:axId val="1774207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 spcFirstLastPara="1" vertOverflow="ellipsis"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774208464"/>
        <c:crosses val="autoZero"/>
        <c:auto val="1"/>
        <c:lblAlgn val="ctr"/>
        <c:lblOffset val="100"/>
        <c:noMultiLvlLbl val="0"/>
      </c:catAx>
      <c:valAx>
        <c:axId val="17742084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774207632"/>
        <c:crosses val="autoZero"/>
        <c:crossBetween val="between"/>
      </c:valAx>
      <c:valAx>
        <c:axId val="1757811664"/>
        <c:scaling>
          <c:orientation val="minMax"/>
          <c:max val="120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757812912"/>
        <c:crosses val="max"/>
        <c:crossBetween val="between"/>
        <c:majorUnit val="200"/>
      </c:valAx>
      <c:catAx>
        <c:axId val="1757812912"/>
        <c:scaling>
          <c:orientation val="minMax"/>
        </c:scaling>
        <c:delete val="1"/>
        <c:axPos val="b"/>
        <c:numFmt formatCode="General" sourceLinked="1"/>
        <c:majorTickMark val="out"/>
        <c:minorTickMark val="none"/>
        <c:tickLblPos val="nextTo"/>
        <c:crossAx val="1757811664"/>
        <c:crosses val="autoZero"/>
        <c:auto val="1"/>
        <c:lblAlgn val="ctr"/>
        <c:lblOffset val="100"/>
        <c:noMultiLvlLbl val="0"/>
      </c:catAx>
      <c:spPr>
        <a:noFill/>
        <a:ln>
          <a:noFill/>
        </a:ln>
        <a:effectLst/>
      </c:spPr>
    </c:plotArea>
    <c:legend>
      <c:legendPos val="b"/>
      <c:layout>
        <c:manualLayout>
          <c:xMode val="edge"/>
          <c:yMode val="edge"/>
          <c:x val="3.1370436649964216E-2"/>
          <c:y val="0.75788697709082664"/>
          <c:w val="0.9582745168217609"/>
          <c:h val="0.16495252908201288"/>
        </c:manualLayout>
      </c:layout>
      <c:overlay val="0"/>
      <c:spPr>
        <a:noFill/>
        <a:ln>
          <a:noFill/>
        </a:ln>
        <a:effectLst/>
      </c:spPr>
      <c:txPr>
        <a:bodyPr rot="0" spcFirstLastPara="1" vertOverflow="ellipsis" vert="horz" wrap="square" anchor="ctr" anchorCtr="1"/>
        <a:lstStyle/>
        <a:p>
          <a:pPr>
            <a:defRPr sz="65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9410569105691"/>
          <c:y val="5.8005314731772131E-2"/>
          <c:w val="0.83454945799457991"/>
          <c:h val="0.60627480775429388"/>
        </c:manualLayout>
      </c:layout>
      <c:lineChart>
        <c:grouping val="standard"/>
        <c:varyColors val="0"/>
        <c:ser>
          <c:idx val="0"/>
          <c:order val="0"/>
          <c:tx>
            <c:strRef>
              <c:f>'Commodities 2'!$K$113</c:f>
              <c:strCache>
                <c:ptCount val="1"/>
              </c:strCache>
            </c:strRef>
          </c:tx>
          <c:spPr>
            <a:ln w="22225" cap="rnd">
              <a:solidFill>
                <a:srgbClr val="00A651"/>
              </a:solidFill>
              <a:prstDash val="sysDot"/>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2'!$K$115:$K$124</c:f>
              <c:numCache>
                <c:formatCode>0.0</c:formatCode>
                <c:ptCount val="10"/>
                <c:pt idx="0">
                  <c:v>100</c:v>
                </c:pt>
                <c:pt idx="1">
                  <c:v>101.73694273925733</c:v>
                </c:pt>
                <c:pt idx="2">
                  <c:v>129.16775686827012</c:v>
                </c:pt>
                <c:pt idx="3">
                  <c:v>148.3365200764818</c:v>
                </c:pt>
                <c:pt idx="4">
                  <c:v>138.31739961759081</c:v>
                </c:pt>
                <c:pt idx="5">
                  <c:v>133.98611250880546</c:v>
                </c:pt>
                <c:pt idx="6">
                  <c:v>129.14259836972931</c:v>
                </c:pt>
                <c:pt idx="7">
                  <c:v>129.2180738653517</c:v>
                </c:pt>
                <c:pt idx="8">
                  <c:v>129.02686927644157</c:v>
                </c:pt>
                <c:pt idx="9">
                  <c:v>129.04498339539097</c:v>
                </c:pt>
              </c:numCache>
            </c:numRef>
          </c:val>
          <c:smooth val="0"/>
          <c:extLst>
            <c:ext xmlns:c16="http://schemas.microsoft.com/office/drawing/2014/chart" uri="{C3380CC4-5D6E-409C-BE32-E72D297353CC}">
              <c16:uniqueId val="{00000000-AAEF-42B9-B09B-5983EB15C42D}"/>
            </c:ext>
          </c:extLst>
        </c:ser>
        <c:ser>
          <c:idx val="1"/>
          <c:order val="1"/>
          <c:tx>
            <c:strRef>
              <c:f>'Commodities 2'!$L$113</c:f>
              <c:strCache>
                <c:ptCount val="1"/>
              </c:strCache>
            </c:strRef>
          </c:tx>
          <c:spPr>
            <a:ln w="22225" cap="rnd">
              <a:solidFill>
                <a:srgbClr val="EC008C"/>
              </a:solidFill>
              <a:prstDash val="sysDot"/>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2'!$L$115:$L$124</c:f>
              <c:numCache>
                <c:formatCode>0.0</c:formatCode>
                <c:ptCount val="10"/>
                <c:pt idx="0">
                  <c:v>100</c:v>
                </c:pt>
                <c:pt idx="1">
                  <c:v>103.46585870529117</c:v>
                </c:pt>
                <c:pt idx="2">
                  <c:v>151.79796039018626</c:v>
                </c:pt>
                <c:pt idx="3">
                  <c:v>143.28628436299144</c:v>
                </c:pt>
                <c:pt idx="4">
                  <c:v>139.33490984333432</c:v>
                </c:pt>
                <c:pt idx="5">
                  <c:v>136.67528820573457</c:v>
                </c:pt>
                <c:pt idx="6">
                  <c:v>131.1454330475909</c:v>
                </c:pt>
                <c:pt idx="7">
                  <c:v>128.06237067691399</c:v>
                </c:pt>
                <c:pt idx="8">
                  <c:v>128.72376588826486</c:v>
                </c:pt>
                <c:pt idx="9">
                  <c:v>130.03103754064441</c:v>
                </c:pt>
              </c:numCache>
            </c:numRef>
          </c:val>
          <c:smooth val="0"/>
          <c:extLst>
            <c:ext xmlns:c16="http://schemas.microsoft.com/office/drawing/2014/chart" uri="{C3380CC4-5D6E-409C-BE32-E72D297353CC}">
              <c16:uniqueId val="{00000001-AAEF-42B9-B09B-5983EB15C42D}"/>
            </c:ext>
          </c:extLst>
        </c:ser>
        <c:ser>
          <c:idx val="2"/>
          <c:order val="2"/>
          <c:tx>
            <c:strRef>
              <c:f>'Commodities 2'!$M$113</c:f>
              <c:strCache>
                <c:ptCount val="1"/>
              </c:strCache>
            </c:strRef>
          </c:tx>
          <c:spPr>
            <a:ln w="22225" cap="rnd">
              <a:solidFill>
                <a:srgbClr val="003891"/>
              </a:solidFill>
              <a:prstDash val="sysDot"/>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2'!$M$115:$M$124</c:f>
              <c:numCache>
                <c:formatCode>0.0</c:formatCode>
                <c:ptCount val="10"/>
                <c:pt idx="0">
                  <c:v>100</c:v>
                </c:pt>
                <c:pt idx="1">
                  <c:v>67.984943361711103</c:v>
                </c:pt>
                <c:pt idx="2">
                  <c:v>112.70738056708647</c:v>
                </c:pt>
                <c:pt idx="3">
                  <c:v>156.808555547738</c:v>
                </c:pt>
                <c:pt idx="4">
                  <c:v>131.21156687539576</c:v>
                </c:pt>
                <c:pt idx="5">
                  <c:v>128.92703862660943</c:v>
                </c:pt>
                <c:pt idx="6">
                  <c:v>109.01428269893761</c:v>
                </c:pt>
                <c:pt idx="7">
                  <c:v>101.59150073876029</c:v>
                </c:pt>
                <c:pt idx="8">
                  <c:v>102.15788362766483</c:v>
                </c:pt>
                <c:pt idx="9">
                  <c:v>103.55449236614366</c:v>
                </c:pt>
              </c:numCache>
            </c:numRef>
          </c:val>
          <c:smooth val="0"/>
          <c:extLst>
            <c:ext xmlns:c16="http://schemas.microsoft.com/office/drawing/2014/chart" uri="{C3380CC4-5D6E-409C-BE32-E72D297353CC}">
              <c16:uniqueId val="{00000002-AAEF-42B9-B09B-5983EB15C42D}"/>
            </c:ext>
          </c:extLst>
        </c:ser>
        <c:ser>
          <c:idx val="3"/>
          <c:order val="3"/>
          <c:tx>
            <c:strRef>
              <c:f>'Commodities 2'!$N$113</c:f>
              <c:strCache>
                <c:ptCount val="1"/>
              </c:strCache>
            </c:strRef>
          </c:tx>
          <c:spPr>
            <a:ln w="22225" cap="rnd">
              <a:solidFill>
                <a:srgbClr val="00A651"/>
              </a:solidFill>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2'!$N$115:$N$124</c:f>
              <c:numCache>
                <c:formatCode>0.0</c:formatCode>
                <c:ptCount val="10"/>
                <c:pt idx="0">
                  <c:v>100</c:v>
                </c:pt>
                <c:pt idx="1">
                  <c:v>101.73694273925733</c:v>
                </c:pt>
                <c:pt idx="2">
                  <c:v>129.16775686827012</c:v>
                </c:pt>
                <c:pt idx="3">
                  <c:v>148.3365200764818</c:v>
                </c:pt>
                <c:pt idx="4">
                  <c:v>138.31739961759081</c:v>
                </c:pt>
                <c:pt idx="5">
                  <c:v>133.98611250880546</c:v>
                </c:pt>
                <c:pt idx="6">
                  <c:v>128.03763711381703</c:v>
                </c:pt>
                <c:pt idx="7">
                  <c:v>131.00332092180739</c:v>
                </c:pt>
                <c:pt idx="8">
                  <c:v>131.9452551071752</c:v>
                </c:pt>
                <c:pt idx="9">
                  <c:v>132.3286706249371</c:v>
                </c:pt>
              </c:numCache>
            </c:numRef>
          </c:val>
          <c:smooth val="0"/>
          <c:extLst>
            <c:ext xmlns:c16="http://schemas.microsoft.com/office/drawing/2014/chart" uri="{C3380CC4-5D6E-409C-BE32-E72D297353CC}">
              <c16:uniqueId val="{00000003-AAEF-42B9-B09B-5983EB15C42D}"/>
            </c:ext>
          </c:extLst>
        </c:ser>
        <c:ser>
          <c:idx val="4"/>
          <c:order val="4"/>
          <c:tx>
            <c:strRef>
              <c:f>'Commodities 2'!$O$113</c:f>
              <c:strCache>
                <c:ptCount val="1"/>
              </c:strCache>
            </c:strRef>
          </c:tx>
          <c:spPr>
            <a:ln w="22225" cap="rnd">
              <a:solidFill>
                <a:srgbClr val="EC008C"/>
              </a:solidFill>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2'!$O$115:$O$124</c:f>
              <c:numCache>
                <c:formatCode>0.0</c:formatCode>
                <c:ptCount val="10"/>
                <c:pt idx="0">
                  <c:v>100</c:v>
                </c:pt>
                <c:pt idx="1">
                  <c:v>103.46585870529117</c:v>
                </c:pt>
                <c:pt idx="2">
                  <c:v>151.79796039018626</c:v>
                </c:pt>
                <c:pt idx="3">
                  <c:v>143.28628436299144</c:v>
                </c:pt>
                <c:pt idx="4">
                  <c:v>139.33490984333432</c:v>
                </c:pt>
                <c:pt idx="5">
                  <c:v>136.67528820573457</c:v>
                </c:pt>
                <c:pt idx="6">
                  <c:v>137.10316287318949</c:v>
                </c:pt>
                <c:pt idx="7">
                  <c:v>141.26884422110552</c:v>
                </c:pt>
                <c:pt idx="8">
                  <c:v>140.65843925509901</c:v>
                </c:pt>
                <c:pt idx="9">
                  <c:v>139.62385456695242</c:v>
                </c:pt>
              </c:numCache>
            </c:numRef>
          </c:val>
          <c:smooth val="0"/>
          <c:extLst>
            <c:ext xmlns:c16="http://schemas.microsoft.com/office/drawing/2014/chart" uri="{C3380CC4-5D6E-409C-BE32-E72D297353CC}">
              <c16:uniqueId val="{00000004-AAEF-42B9-B09B-5983EB15C42D}"/>
            </c:ext>
          </c:extLst>
        </c:ser>
        <c:ser>
          <c:idx val="5"/>
          <c:order val="5"/>
          <c:tx>
            <c:strRef>
              <c:f>'Commodities 2'!$P$113</c:f>
              <c:strCache>
                <c:ptCount val="1"/>
              </c:strCache>
            </c:strRef>
          </c:tx>
          <c:spPr>
            <a:ln w="22225" cap="rnd">
              <a:solidFill>
                <a:srgbClr val="003891"/>
              </a:solidFill>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2'!$P$115:$P$124</c:f>
              <c:numCache>
                <c:formatCode>0.0</c:formatCode>
                <c:ptCount val="10"/>
                <c:pt idx="0">
                  <c:v>100</c:v>
                </c:pt>
                <c:pt idx="1">
                  <c:v>67.984943361711103</c:v>
                </c:pt>
                <c:pt idx="2">
                  <c:v>112.70738056708647</c:v>
                </c:pt>
                <c:pt idx="3">
                  <c:v>156.808555547738</c:v>
                </c:pt>
                <c:pt idx="4">
                  <c:v>131.21156687539576</c:v>
                </c:pt>
                <c:pt idx="5">
                  <c:v>128.92703862660943</c:v>
                </c:pt>
                <c:pt idx="6">
                  <c:v>112.24090621262224</c:v>
                </c:pt>
                <c:pt idx="7">
                  <c:v>107.24407232815028</c:v>
                </c:pt>
                <c:pt idx="8">
                  <c:v>107.00626187293322</c:v>
                </c:pt>
                <c:pt idx="9">
                  <c:v>107.94694997537466</c:v>
                </c:pt>
              </c:numCache>
            </c:numRef>
          </c:val>
          <c:smooth val="0"/>
          <c:extLst>
            <c:ext xmlns:c16="http://schemas.microsoft.com/office/drawing/2014/chart" uri="{C3380CC4-5D6E-409C-BE32-E72D297353CC}">
              <c16:uniqueId val="{00000005-AAEF-42B9-B09B-5983EB15C42D}"/>
            </c:ext>
          </c:extLst>
        </c:ser>
        <c:ser>
          <c:idx val="6"/>
          <c:order val="6"/>
          <c:tx>
            <c:strRef>
              <c:f>'Commodities 2'!$Q$113</c:f>
              <c:strCache>
                <c:ptCount val="1"/>
              </c:strCache>
            </c:strRef>
          </c:tx>
          <c:spPr>
            <a:ln w="28575" cap="rnd">
              <a:noFill/>
              <a:round/>
            </a:ln>
            <a:effectLst/>
          </c:spPr>
          <c:marker>
            <c:symbol val="square"/>
            <c:size val="2"/>
            <c:spPr>
              <a:solidFill>
                <a:schemeClr val="bg1"/>
              </a:solidFill>
              <a:ln w="9525">
                <a:noFill/>
              </a:ln>
              <a:effectLst/>
            </c:spPr>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2'!$Q$115:$Q$124</c:f>
              <c:numCache>
                <c:formatCode>General</c:formatCode>
                <c:ptCount val="10"/>
                <c:pt idx="0">
                  <c:v>60</c:v>
                </c:pt>
                <c:pt idx="1">
                  <c:v>60</c:v>
                </c:pt>
                <c:pt idx="2">
                  <c:v>60</c:v>
                </c:pt>
                <c:pt idx="3">
                  <c:v>60</c:v>
                </c:pt>
                <c:pt idx="4">
                  <c:v>60</c:v>
                </c:pt>
                <c:pt idx="5">
                  <c:v>60</c:v>
                </c:pt>
                <c:pt idx="6">
                  <c:v>60</c:v>
                </c:pt>
                <c:pt idx="7">
                  <c:v>60</c:v>
                </c:pt>
                <c:pt idx="8">
                  <c:v>60</c:v>
                </c:pt>
                <c:pt idx="9">
                  <c:v>60</c:v>
                </c:pt>
              </c:numCache>
            </c:numRef>
          </c:val>
          <c:smooth val="0"/>
          <c:extLst>
            <c:ext xmlns:c16="http://schemas.microsoft.com/office/drawing/2014/chart" uri="{C3380CC4-5D6E-409C-BE32-E72D297353CC}">
              <c16:uniqueId val="{00000006-AAEF-42B9-B09B-5983EB15C42D}"/>
            </c:ext>
          </c:extLst>
        </c:ser>
        <c:dLbls>
          <c:showLegendKey val="0"/>
          <c:showVal val="0"/>
          <c:showCatName val="0"/>
          <c:showSerName val="0"/>
          <c:showPercent val="0"/>
          <c:showBubbleSize val="0"/>
        </c:dLbls>
        <c:smooth val="0"/>
        <c:axId val="1767812416"/>
        <c:axId val="1767804256"/>
      </c:lineChart>
      <c:catAx>
        <c:axId val="176781241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7804256"/>
        <c:crosses val="autoZero"/>
        <c:auto val="1"/>
        <c:lblAlgn val="ctr"/>
        <c:lblOffset val="100"/>
        <c:noMultiLvlLbl val="0"/>
      </c:catAx>
      <c:valAx>
        <c:axId val="1767804256"/>
        <c:scaling>
          <c:orientation val="minMax"/>
          <c:min val="6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7812416"/>
        <c:crosses val="autoZero"/>
        <c:crossBetween val="midCat"/>
        <c:majorUnit val="10"/>
      </c:valAx>
      <c:spPr>
        <a:noFill/>
        <a:ln>
          <a:noFill/>
        </a:ln>
        <a:effectLst/>
      </c:spPr>
    </c:plotArea>
    <c:legend>
      <c:legendPos val="b"/>
      <c:layout>
        <c:manualLayout>
          <c:xMode val="edge"/>
          <c:yMode val="edge"/>
          <c:x val="0.32921296296296299"/>
          <c:y val="0.87949164249205691"/>
          <c:w val="0.55453703703703705"/>
          <c:h val="0.1069415665147119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055612097101833E-2"/>
          <c:y val="5.8666642029756626E-2"/>
          <c:w val="0.86447596098653134"/>
          <c:h val="0.66799888888888881"/>
        </c:manualLayout>
      </c:layout>
      <c:lineChart>
        <c:grouping val="standard"/>
        <c:varyColors val="0"/>
        <c:ser>
          <c:idx val="0"/>
          <c:order val="0"/>
          <c:tx>
            <c:strRef>
              <c:f>'NBS kretanje referentne ks'!$J$9</c:f>
              <c:strCache>
                <c:ptCount val="1"/>
                <c:pt idx="0">
                  <c:v>USA</c:v>
                </c:pt>
              </c:strCache>
            </c:strRef>
          </c:tx>
          <c:spPr>
            <a:ln w="22225" cap="rnd">
              <a:solidFill>
                <a:srgbClr val="00A651"/>
              </a:solidFill>
              <a:round/>
            </a:ln>
            <a:effectLst/>
          </c:spPr>
          <c:marker>
            <c:symbol val="none"/>
          </c:marker>
          <c:cat>
            <c:multiLvlStrRef>
              <c:f>'NBS kretanje referentne ks'!$H$143:$I$188</c:f>
              <c:multiLvlStrCache>
                <c:ptCount val="4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lvl>
                <c:lvl>
                  <c:pt idx="0">
                    <c:v>2022</c:v>
                  </c:pt>
                  <c:pt idx="12">
                    <c:v>2023</c:v>
                  </c:pt>
                  <c:pt idx="24">
                    <c:v>2024</c:v>
                  </c:pt>
                  <c:pt idx="36">
                    <c:v>2025</c:v>
                  </c:pt>
                </c:lvl>
              </c:multiLvlStrCache>
            </c:multiLvlStrRef>
          </c:cat>
          <c:val>
            <c:numRef>
              <c:f>'NBS kretanje referentne ks'!$J$143:$J$188</c:f>
              <c:numCache>
                <c:formatCode>0.00</c:formatCode>
                <c:ptCount val="46"/>
                <c:pt idx="0">
                  <c:v>0.25</c:v>
                </c:pt>
                <c:pt idx="1">
                  <c:v>0.25</c:v>
                </c:pt>
                <c:pt idx="2">
                  <c:v>0.5</c:v>
                </c:pt>
                <c:pt idx="3">
                  <c:v>0.5</c:v>
                </c:pt>
                <c:pt idx="4">
                  <c:v>1</c:v>
                </c:pt>
                <c:pt idx="5">
                  <c:v>1.75</c:v>
                </c:pt>
                <c:pt idx="6">
                  <c:v>2.5</c:v>
                </c:pt>
                <c:pt idx="7">
                  <c:v>2.5</c:v>
                </c:pt>
                <c:pt idx="8">
                  <c:v>3.25</c:v>
                </c:pt>
                <c:pt idx="9">
                  <c:v>3.25</c:v>
                </c:pt>
                <c:pt idx="10">
                  <c:v>4</c:v>
                </c:pt>
                <c:pt idx="11">
                  <c:v>4.5</c:v>
                </c:pt>
                <c:pt idx="12">
                  <c:v>4.5</c:v>
                </c:pt>
                <c:pt idx="13">
                  <c:v>4.75</c:v>
                </c:pt>
                <c:pt idx="14">
                  <c:v>5</c:v>
                </c:pt>
                <c:pt idx="15">
                  <c:v>5</c:v>
                </c:pt>
                <c:pt idx="16">
                  <c:v>5.25</c:v>
                </c:pt>
                <c:pt idx="17">
                  <c:v>5.25</c:v>
                </c:pt>
                <c:pt idx="18">
                  <c:v>5.5</c:v>
                </c:pt>
                <c:pt idx="19">
                  <c:v>5.5</c:v>
                </c:pt>
                <c:pt idx="20">
                  <c:v>5.5</c:v>
                </c:pt>
                <c:pt idx="21">
                  <c:v>5.5</c:v>
                </c:pt>
                <c:pt idx="22">
                  <c:v>5.5</c:v>
                </c:pt>
                <c:pt idx="23">
                  <c:v>5.5</c:v>
                </c:pt>
                <c:pt idx="24">
                  <c:v>5.5</c:v>
                </c:pt>
                <c:pt idx="25">
                  <c:v>5.5</c:v>
                </c:pt>
                <c:pt idx="26">
                  <c:v>5.5</c:v>
                </c:pt>
                <c:pt idx="27">
                  <c:v>5.5</c:v>
                </c:pt>
                <c:pt idx="28">
                  <c:v>5.5</c:v>
                </c:pt>
                <c:pt idx="29">
                  <c:v>5.5</c:v>
                </c:pt>
                <c:pt idx="30">
                  <c:v>5.5</c:v>
                </c:pt>
                <c:pt idx="31">
                  <c:v>5.5</c:v>
                </c:pt>
                <c:pt idx="32">
                  <c:v>5</c:v>
                </c:pt>
                <c:pt idx="33">
                  <c:v>5</c:v>
                </c:pt>
                <c:pt idx="34">
                  <c:v>4.75</c:v>
                </c:pt>
                <c:pt idx="35">
                  <c:v>4.5</c:v>
                </c:pt>
                <c:pt idx="36">
                  <c:v>4.5</c:v>
                </c:pt>
                <c:pt idx="37">
                  <c:v>4.5</c:v>
                </c:pt>
                <c:pt idx="38">
                  <c:v>4.5</c:v>
                </c:pt>
                <c:pt idx="39">
                  <c:v>4.5</c:v>
                </c:pt>
                <c:pt idx="40">
                  <c:v>4.5</c:v>
                </c:pt>
                <c:pt idx="41">
                  <c:v>4.5</c:v>
                </c:pt>
                <c:pt idx="42">
                  <c:v>4.5</c:v>
                </c:pt>
                <c:pt idx="43">
                  <c:v>4.5</c:v>
                </c:pt>
                <c:pt idx="44">
                  <c:v>4.25</c:v>
                </c:pt>
                <c:pt idx="45">
                  <c:v>4.25</c:v>
                </c:pt>
              </c:numCache>
            </c:numRef>
          </c:val>
          <c:smooth val="0"/>
          <c:extLst>
            <c:ext xmlns:c16="http://schemas.microsoft.com/office/drawing/2014/chart" uri="{C3380CC4-5D6E-409C-BE32-E72D297353CC}">
              <c16:uniqueId val="{00000000-9059-435D-810B-6F7D1E1717BE}"/>
            </c:ext>
          </c:extLst>
        </c:ser>
        <c:ser>
          <c:idx val="1"/>
          <c:order val="1"/>
          <c:tx>
            <c:strRef>
              <c:f>'NBS kretanje referentne ks'!$K$9</c:f>
              <c:strCache>
                <c:ptCount val="1"/>
                <c:pt idx="0">
                  <c:v>Euro area</c:v>
                </c:pt>
              </c:strCache>
            </c:strRef>
          </c:tx>
          <c:spPr>
            <a:ln w="22225" cap="rnd">
              <a:solidFill>
                <a:srgbClr val="7F3F98"/>
              </a:solidFill>
              <a:round/>
            </a:ln>
            <a:effectLst/>
          </c:spPr>
          <c:marker>
            <c:symbol val="none"/>
          </c:marker>
          <c:cat>
            <c:multiLvlStrRef>
              <c:f>'NBS kretanje referentne ks'!$H$143:$I$188</c:f>
              <c:multiLvlStrCache>
                <c:ptCount val="4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lvl>
                <c:lvl>
                  <c:pt idx="0">
                    <c:v>2022</c:v>
                  </c:pt>
                  <c:pt idx="12">
                    <c:v>2023</c:v>
                  </c:pt>
                  <c:pt idx="24">
                    <c:v>2024</c:v>
                  </c:pt>
                  <c:pt idx="36">
                    <c:v>2025</c:v>
                  </c:pt>
                </c:lvl>
              </c:multiLvlStrCache>
            </c:multiLvlStrRef>
          </c:cat>
          <c:val>
            <c:numRef>
              <c:f>'NBS kretanje referentne ks'!$K$143:$K$188</c:f>
              <c:numCache>
                <c:formatCode>0.00</c:formatCode>
                <c:ptCount val="46"/>
                <c:pt idx="0">
                  <c:v>0</c:v>
                </c:pt>
                <c:pt idx="1">
                  <c:v>0</c:v>
                </c:pt>
                <c:pt idx="2">
                  <c:v>0</c:v>
                </c:pt>
                <c:pt idx="3">
                  <c:v>0</c:v>
                </c:pt>
                <c:pt idx="4">
                  <c:v>0</c:v>
                </c:pt>
                <c:pt idx="5">
                  <c:v>0</c:v>
                </c:pt>
                <c:pt idx="6">
                  <c:v>0.5</c:v>
                </c:pt>
                <c:pt idx="7">
                  <c:v>0.5</c:v>
                </c:pt>
                <c:pt idx="8">
                  <c:v>1.25</c:v>
                </c:pt>
                <c:pt idx="9">
                  <c:v>1.25</c:v>
                </c:pt>
                <c:pt idx="10">
                  <c:v>2</c:v>
                </c:pt>
                <c:pt idx="11">
                  <c:v>2.5</c:v>
                </c:pt>
                <c:pt idx="12">
                  <c:v>2.5</c:v>
                </c:pt>
                <c:pt idx="13">
                  <c:v>3</c:v>
                </c:pt>
                <c:pt idx="14">
                  <c:v>3.5</c:v>
                </c:pt>
                <c:pt idx="15">
                  <c:v>3.5</c:v>
                </c:pt>
                <c:pt idx="16">
                  <c:v>3.75</c:v>
                </c:pt>
                <c:pt idx="17">
                  <c:v>4</c:v>
                </c:pt>
                <c:pt idx="18">
                  <c:v>4.25</c:v>
                </c:pt>
                <c:pt idx="19">
                  <c:v>4.25</c:v>
                </c:pt>
                <c:pt idx="20">
                  <c:v>4.5</c:v>
                </c:pt>
                <c:pt idx="21">
                  <c:v>4.5</c:v>
                </c:pt>
                <c:pt idx="22">
                  <c:v>4.5</c:v>
                </c:pt>
                <c:pt idx="23">
                  <c:v>4.5</c:v>
                </c:pt>
                <c:pt idx="24">
                  <c:v>4.5</c:v>
                </c:pt>
                <c:pt idx="25">
                  <c:v>4.5</c:v>
                </c:pt>
                <c:pt idx="26">
                  <c:v>4.5</c:v>
                </c:pt>
                <c:pt idx="27">
                  <c:v>4.5</c:v>
                </c:pt>
                <c:pt idx="28">
                  <c:v>4.5</c:v>
                </c:pt>
                <c:pt idx="29">
                  <c:v>4.25</c:v>
                </c:pt>
                <c:pt idx="30">
                  <c:v>4.25</c:v>
                </c:pt>
                <c:pt idx="31">
                  <c:v>4.25</c:v>
                </c:pt>
                <c:pt idx="32">
                  <c:v>3.65</c:v>
                </c:pt>
                <c:pt idx="33">
                  <c:v>3.4</c:v>
                </c:pt>
                <c:pt idx="34">
                  <c:v>3.4</c:v>
                </c:pt>
                <c:pt idx="35">
                  <c:v>3.15</c:v>
                </c:pt>
                <c:pt idx="36">
                  <c:v>3.15</c:v>
                </c:pt>
                <c:pt idx="37">
                  <c:v>2.9</c:v>
                </c:pt>
                <c:pt idx="38">
                  <c:v>2.65</c:v>
                </c:pt>
                <c:pt idx="39">
                  <c:v>2.4</c:v>
                </c:pt>
                <c:pt idx="40">
                  <c:v>2.4</c:v>
                </c:pt>
                <c:pt idx="41">
                  <c:v>2.15</c:v>
                </c:pt>
                <c:pt idx="42">
                  <c:v>2.15</c:v>
                </c:pt>
                <c:pt idx="43">
                  <c:v>2.15</c:v>
                </c:pt>
                <c:pt idx="44">
                  <c:v>2.15</c:v>
                </c:pt>
                <c:pt idx="45">
                  <c:v>2.15</c:v>
                </c:pt>
              </c:numCache>
            </c:numRef>
          </c:val>
          <c:smooth val="0"/>
          <c:extLst>
            <c:ext xmlns:c16="http://schemas.microsoft.com/office/drawing/2014/chart" uri="{C3380CC4-5D6E-409C-BE32-E72D297353CC}">
              <c16:uniqueId val="{00000001-9059-435D-810B-6F7D1E1717BE}"/>
            </c:ext>
          </c:extLst>
        </c:ser>
        <c:ser>
          <c:idx val="2"/>
          <c:order val="2"/>
          <c:tx>
            <c:strRef>
              <c:f>'NBS kretanje referentne ks'!$L$9</c:f>
              <c:strCache>
                <c:ptCount val="1"/>
                <c:pt idx="0">
                  <c:v>UK</c:v>
                </c:pt>
              </c:strCache>
            </c:strRef>
          </c:tx>
          <c:spPr>
            <a:ln w="22225" cap="rnd">
              <a:solidFill>
                <a:srgbClr val="EC008C"/>
              </a:solidFill>
              <a:round/>
            </a:ln>
            <a:effectLst/>
          </c:spPr>
          <c:marker>
            <c:symbol val="none"/>
          </c:marker>
          <c:cat>
            <c:multiLvlStrRef>
              <c:f>'NBS kretanje referentne ks'!$H$143:$I$188</c:f>
              <c:multiLvlStrCache>
                <c:ptCount val="4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lvl>
                <c:lvl>
                  <c:pt idx="0">
                    <c:v>2022</c:v>
                  </c:pt>
                  <c:pt idx="12">
                    <c:v>2023</c:v>
                  </c:pt>
                  <c:pt idx="24">
                    <c:v>2024</c:v>
                  </c:pt>
                  <c:pt idx="36">
                    <c:v>2025</c:v>
                  </c:pt>
                </c:lvl>
              </c:multiLvlStrCache>
            </c:multiLvlStrRef>
          </c:cat>
          <c:val>
            <c:numRef>
              <c:f>'NBS kretanje referentne ks'!$L$143:$L$188</c:f>
              <c:numCache>
                <c:formatCode>0.00</c:formatCode>
                <c:ptCount val="46"/>
                <c:pt idx="0">
                  <c:v>0.25</c:v>
                </c:pt>
                <c:pt idx="1">
                  <c:v>0.5</c:v>
                </c:pt>
                <c:pt idx="2">
                  <c:v>0.75</c:v>
                </c:pt>
                <c:pt idx="3">
                  <c:v>0.75</c:v>
                </c:pt>
                <c:pt idx="4">
                  <c:v>1</c:v>
                </c:pt>
                <c:pt idx="5">
                  <c:v>1.25</c:v>
                </c:pt>
                <c:pt idx="6">
                  <c:v>1.25</c:v>
                </c:pt>
                <c:pt idx="7">
                  <c:v>1.75</c:v>
                </c:pt>
                <c:pt idx="8">
                  <c:v>2.25</c:v>
                </c:pt>
                <c:pt idx="9">
                  <c:v>2.25</c:v>
                </c:pt>
                <c:pt idx="10">
                  <c:v>3</c:v>
                </c:pt>
                <c:pt idx="11">
                  <c:v>3.5</c:v>
                </c:pt>
                <c:pt idx="12">
                  <c:v>3.5</c:v>
                </c:pt>
                <c:pt idx="13">
                  <c:v>4</c:v>
                </c:pt>
                <c:pt idx="14">
                  <c:v>4.25</c:v>
                </c:pt>
                <c:pt idx="15">
                  <c:v>4.25</c:v>
                </c:pt>
                <c:pt idx="16">
                  <c:v>4.5</c:v>
                </c:pt>
                <c:pt idx="17">
                  <c:v>5</c:v>
                </c:pt>
                <c:pt idx="18">
                  <c:v>5</c:v>
                </c:pt>
                <c:pt idx="19">
                  <c:v>5.25</c:v>
                </c:pt>
                <c:pt idx="20">
                  <c:v>5.25</c:v>
                </c:pt>
                <c:pt idx="21">
                  <c:v>5.25</c:v>
                </c:pt>
                <c:pt idx="22">
                  <c:v>5.25</c:v>
                </c:pt>
                <c:pt idx="23">
                  <c:v>5.25</c:v>
                </c:pt>
                <c:pt idx="24">
                  <c:v>5.25</c:v>
                </c:pt>
                <c:pt idx="25">
                  <c:v>5.25</c:v>
                </c:pt>
                <c:pt idx="26">
                  <c:v>5.25</c:v>
                </c:pt>
                <c:pt idx="27">
                  <c:v>5.25</c:v>
                </c:pt>
                <c:pt idx="28">
                  <c:v>5.25</c:v>
                </c:pt>
                <c:pt idx="29">
                  <c:v>5.25</c:v>
                </c:pt>
                <c:pt idx="30">
                  <c:v>5.25</c:v>
                </c:pt>
                <c:pt idx="31">
                  <c:v>5</c:v>
                </c:pt>
                <c:pt idx="32">
                  <c:v>5</c:v>
                </c:pt>
                <c:pt idx="33">
                  <c:v>5</c:v>
                </c:pt>
                <c:pt idx="34">
                  <c:v>4.75</c:v>
                </c:pt>
                <c:pt idx="35">
                  <c:v>4.75</c:v>
                </c:pt>
                <c:pt idx="36">
                  <c:v>4.75</c:v>
                </c:pt>
                <c:pt idx="37">
                  <c:v>4.5</c:v>
                </c:pt>
                <c:pt idx="38">
                  <c:v>4.5</c:v>
                </c:pt>
                <c:pt idx="39">
                  <c:v>4.5</c:v>
                </c:pt>
                <c:pt idx="40">
                  <c:v>4.25</c:v>
                </c:pt>
                <c:pt idx="41">
                  <c:v>4.25</c:v>
                </c:pt>
                <c:pt idx="42">
                  <c:v>4.25</c:v>
                </c:pt>
                <c:pt idx="43">
                  <c:v>4</c:v>
                </c:pt>
                <c:pt idx="44">
                  <c:v>4</c:v>
                </c:pt>
                <c:pt idx="45">
                  <c:v>4</c:v>
                </c:pt>
              </c:numCache>
            </c:numRef>
          </c:val>
          <c:smooth val="0"/>
          <c:extLst>
            <c:ext xmlns:c16="http://schemas.microsoft.com/office/drawing/2014/chart" uri="{C3380CC4-5D6E-409C-BE32-E72D297353CC}">
              <c16:uniqueId val="{00000002-9059-435D-810B-6F7D1E1717BE}"/>
            </c:ext>
          </c:extLst>
        </c:ser>
        <c:dLbls>
          <c:showLegendKey val="0"/>
          <c:showVal val="0"/>
          <c:showCatName val="0"/>
          <c:showSerName val="0"/>
          <c:showPercent val="0"/>
          <c:showBubbleSize val="0"/>
        </c:dLbls>
        <c:smooth val="0"/>
        <c:axId val="1425258495"/>
        <c:axId val="1425258911"/>
      </c:lineChart>
      <c:catAx>
        <c:axId val="1425258495"/>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0" spcFirstLastPara="1" vertOverflow="ellipsis"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425258911"/>
        <c:crosses val="autoZero"/>
        <c:auto val="1"/>
        <c:lblAlgn val="ctr"/>
        <c:lblOffset val="100"/>
        <c:noMultiLvlLbl val="1"/>
      </c:catAx>
      <c:valAx>
        <c:axId val="1425258911"/>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425258495"/>
        <c:crosses val="autoZero"/>
        <c:crossBetween val="between"/>
        <c:majorUnit val="2"/>
      </c:valAx>
      <c:spPr>
        <a:noFill/>
        <a:ln>
          <a:noFill/>
        </a:ln>
        <a:effectLst/>
      </c:spPr>
    </c:plotArea>
    <c:legend>
      <c:legendPos val="b"/>
      <c:layout>
        <c:manualLayout>
          <c:xMode val="edge"/>
          <c:yMode val="edge"/>
          <c:x val="0.10002272236541014"/>
          <c:y val="0.90899489386041199"/>
          <c:w val="0.77729137507784785"/>
          <c:h val="8.0338443952359492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agregati'!$B$6</c:f>
              <c:strCache>
                <c:ptCount val="1"/>
                <c:pt idx="0">
                  <c:v>Реални раст БДП, %</c:v>
                </c:pt>
              </c:strCache>
            </c:strRef>
          </c:tx>
          <c:spPr>
            <a:solidFill>
              <a:srgbClr val="00389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217F-4637-AE48-BBDAE83A0098}"/>
              </c:ext>
            </c:extLst>
          </c:dPt>
          <c:dPt>
            <c:idx val="1"/>
            <c:invertIfNegative val="0"/>
            <c:bubble3D val="0"/>
            <c:spPr>
              <a:solidFill>
                <a:srgbClr val="ED1C24"/>
              </a:solidFill>
              <a:ln>
                <a:noFill/>
              </a:ln>
              <a:effectLst/>
            </c:spPr>
            <c:extLst>
              <c:ext xmlns:c16="http://schemas.microsoft.com/office/drawing/2014/chart" uri="{C3380CC4-5D6E-409C-BE32-E72D297353CC}">
                <c16:uniqueId val="{00000003-217F-4637-AE48-BBDAE83A0098}"/>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217F-4637-AE48-BBDAE83A0098}"/>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217F-4637-AE48-BBDAE83A00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agregati'!$C$6,'Osn. makroekon. agregati'!$D$6)</c:f>
              <c:numCache>
                <c:formatCode>0.0</c:formatCode>
                <c:ptCount val="2"/>
                <c:pt idx="0">
                  <c:v>3</c:v>
                </c:pt>
                <c:pt idx="1">
                  <c:v>2.2999999999999998</c:v>
                </c:pt>
              </c:numCache>
            </c:numRef>
          </c:val>
          <c:extLst>
            <c:ext xmlns:c16="http://schemas.microsoft.com/office/drawing/2014/chart" uri="{C3380CC4-5D6E-409C-BE32-E72D297353CC}">
              <c16:uniqueId val="{00000004-217F-4637-AE48-BBDAE83A0098}"/>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590421037E-2"/>
          <c:y val="0.11348336551369499"/>
          <c:w val="0.91418918918918923"/>
          <c:h val="0.73303303303303291"/>
        </c:manualLayout>
      </c:layout>
      <c:barChart>
        <c:barDir val="col"/>
        <c:grouping val="clustered"/>
        <c:varyColors val="0"/>
        <c:ser>
          <c:idx val="0"/>
          <c:order val="0"/>
          <c:tx>
            <c:strRef>
              <c:f>'Osn. makroekon. agregati'!$B$6</c:f>
              <c:strCache>
                <c:ptCount val="1"/>
                <c:pt idx="0">
                  <c:v>Реални раст БДП,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EB8E-445A-AE4E-9638E6D9AAE0}"/>
              </c:ext>
            </c:extLst>
          </c:dPt>
          <c:dPt>
            <c:idx val="1"/>
            <c:invertIfNegative val="0"/>
            <c:bubble3D val="0"/>
            <c:spPr>
              <a:solidFill>
                <a:srgbClr val="ED1C24"/>
              </a:solidFill>
              <a:ln>
                <a:noFill/>
              </a:ln>
              <a:effectLst/>
            </c:spPr>
            <c:extLst>
              <c:ext xmlns:c16="http://schemas.microsoft.com/office/drawing/2014/chart" uri="{C3380CC4-5D6E-409C-BE32-E72D297353CC}">
                <c16:uniqueId val="{00000003-EB8E-445A-AE4E-9638E6D9AAE0}"/>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B8E-445A-AE4E-9638E6D9AAE0}"/>
                </c:ext>
              </c:extLst>
            </c:dLbl>
            <c:dLbl>
              <c:idx val="1"/>
              <c:layout>
                <c:manualLayout>
                  <c:x val="-8.7398890260461573E-17"/>
                  <c:y val="0"/>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8E-445A-AE4E-9638E6D9AAE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agregati'!$E$6,'Osn. makroekon. agregati'!$F$6)</c:f>
              <c:numCache>
                <c:formatCode>0.0</c:formatCode>
                <c:ptCount val="2"/>
                <c:pt idx="0">
                  <c:v>4.2</c:v>
                </c:pt>
                <c:pt idx="1">
                  <c:v>3</c:v>
                </c:pt>
              </c:numCache>
            </c:numRef>
          </c:val>
          <c:extLst>
            <c:ext xmlns:c16="http://schemas.microsoft.com/office/drawing/2014/chart" uri="{C3380CC4-5D6E-409C-BE32-E72D297353CC}">
              <c16:uniqueId val="{00000004-EB8E-445A-AE4E-9638E6D9AAE0}"/>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agregati'!$B$7</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A5B6-48C4-90C2-7CD75A630BAC}"/>
              </c:ext>
            </c:extLst>
          </c:dPt>
          <c:dPt>
            <c:idx val="1"/>
            <c:invertIfNegative val="0"/>
            <c:bubble3D val="0"/>
            <c:spPr>
              <a:solidFill>
                <a:srgbClr val="ED1C24"/>
              </a:solidFill>
              <a:ln>
                <a:noFill/>
              </a:ln>
              <a:effectLst/>
            </c:spPr>
            <c:extLst>
              <c:ext xmlns:c16="http://schemas.microsoft.com/office/drawing/2014/chart" uri="{C3380CC4-5D6E-409C-BE32-E72D297353CC}">
                <c16:uniqueId val="{00000003-A5B6-48C4-90C2-7CD75A630BAC}"/>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B6-48C4-90C2-7CD75A630BAC}"/>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B6-48C4-90C2-7CD75A630B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agregati'!$C$7,'Osn. makroekon. agregati'!$D$7)</c:f>
              <c:numCache>
                <c:formatCode>0.0</c:formatCode>
                <c:ptCount val="2"/>
                <c:pt idx="0">
                  <c:v>-5</c:v>
                </c:pt>
                <c:pt idx="1">
                  <c:v>-5.3</c:v>
                </c:pt>
              </c:numCache>
            </c:numRef>
          </c:val>
          <c:extLst>
            <c:ext xmlns:c16="http://schemas.microsoft.com/office/drawing/2014/chart" uri="{C3380CC4-5D6E-409C-BE32-E72D297353CC}">
              <c16:uniqueId val="{00000004-A5B6-48C4-90C2-7CD75A630BAC}"/>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1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agregati'!$B$7</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41B1-4429-80DA-028B14A6FA91}"/>
              </c:ext>
            </c:extLst>
          </c:dPt>
          <c:dPt>
            <c:idx val="1"/>
            <c:invertIfNegative val="0"/>
            <c:bubble3D val="0"/>
            <c:spPr>
              <a:solidFill>
                <a:srgbClr val="ED1C24"/>
              </a:solidFill>
              <a:ln>
                <a:noFill/>
              </a:ln>
              <a:effectLst/>
            </c:spPr>
            <c:extLst>
              <c:ext xmlns:c16="http://schemas.microsoft.com/office/drawing/2014/chart" uri="{C3380CC4-5D6E-409C-BE32-E72D297353CC}">
                <c16:uniqueId val="{00000003-41B1-4429-80DA-028B14A6FA91}"/>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B1-4429-80DA-028B14A6FA91}"/>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B1-4429-80DA-028B14A6FA9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agregati'!$E$7,'Osn. makroekon. agregati'!$F$7)</c:f>
              <c:numCache>
                <c:formatCode>0.0</c:formatCode>
                <c:ptCount val="2"/>
                <c:pt idx="0">
                  <c:v>-5.4</c:v>
                </c:pt>
                <c:pt idx="1">
                  <c:v>-6</c:v>
                </c:pt>
              </c:numCache>
            </c:numRef>
          </c:val>
          <c:extLst>
            <c:ext xmlns:c16="http://schemas.microsoft.com/office/drawing/2014/chart" uri="{C3380CC4-5D6E-409C-BE32-E72D297353CC}">
              <c16:uniqueId val="{00000004-41B1-4429-80DA-028B14A6FA91}"/>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1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agregati'!$B$8</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56B4-441D-8D03-487CF374DF9E}"/>
              </c:ext>
            </c:extLst>
          </c:dPt>
          <c:dPt>
            <c:idx val="1"/>
            <c:invertIfNegative val="0"/>
            <c:bubble3D val="0"/>
            <c:spPr>
              <a:solidFill>
                <a:srgbClr val="ED1C24"/>
              </a:solidFill>
              <a:ln>
                <a:noFill/>
              </a:ln>
              <a:effectLst/>
            </c:spPr>
            <c:extLst>
              <c:ext xmlns:c16="http://schemas.microsoft.com/office/drawing/2014/chart" uri="{C3380CC4-5D6E-409C-BE32-E72D297353CC}">
                <c16:uniqueId val="{00000003-56B4-441D-8D03-487CF374DF9E}"/>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56B4-441D-8D03-487CF374DF9E}"/>
                </c:ext>
              </c:extLst>
            </c:dLbl>
            <c:dLbl>
              <c:idx val="1"/>
              <c:spPr>
                <a:noFill/>
                <a:ln>
                  <a:noFill/>
                </a:ln>
                <a:effectLst/>
              </c:spPr>
              <c:txPr>
                <a:bodyPr rot="0" spcFirstLastPara="1" vertOverflow="ellipsis" vert="horz" wrap="none" lIns="38100" tIns="19050" rIns="38100" bIns="19050" anchor="ctr" anchorCtr="1">
                  <a:no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56B4-441D-8D03-487CF374DF9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agregati'!$C$8,'Osn. makroekon. agregati'!$D$8)</c:f>
              <c:numCache>
                <c:formatCode>0.0</c:formatCode>
                <c:ptCount val="2"/>
                <c:pt idx="0">
                  <c:v>4</c:v>
                </c:pt>
                <c:pt idx="1">
                  <c:v>3.9</c:v>
                </c:pt>
              </c:numCache>
            </c:numRef>
          </c:val>
          <c:extLst>
            <c:ext xmlns:c16="http://schemas.microsoft.com/office/drawing/2014/chart" uri="{C3380CC4-5D6E-409C-BE32-E72D297353CC}">
              <c16:uniqueId val="{00000004-56B4-441D-8D03-487CF374DF9E}"/>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10"/>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agregati'!$B$8</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EB9A-48E6-B166-798274629E88}"/>
              </c:ext>
            </c:extLst>
          </c:dPt>
          <c:dPt>
            <c:idx val="1"/>
            <c:invertIfNegative val="0"/>
            <c:bubble3D val="0"/>
            <c:spPr>
              <a:solidFill>
                <a:srgbClr val="ED1C24"/>
              </a:solidFill>
              <a:ln>
                <a:noFill/>
              </a:ln>
              <a:effectLst/>
            </c:spPr>
            <c:extLst>
              <c:ext xmlns:c16="http://schemas.microsoft.com/office/drawing/2014/chart" uri="{C3380CC4-5D6E-409C-BE32-E72D297353CC}">
                <c16:uniqueId val="{00000003-EB9A-48E6-B166-798274629E88}"/>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EB9A-48E6-B166-798274629E88}"/>
                </c:ext>
              </c:extLst>
            </c:dLbl>
            <c:dLbl>
              <c:idx val="1"/>
              <c:spPr>
                <a:noFill/>
                <a:ln>
                  <a:noFill/>
                </a:ln>
                <a:effectLst/>
              </c:spPr>
              <c:txPr>
                <a:bodyPr rot="0" spcFirstLastPara="1" vertOverflow="ellipsis" vert="horz" wrap="none" lIns="38100" tIns="19050" rIns="38100" bIns="19050" anchor="ctr" anchorCtr="1">
                  <a:no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EB9A-48E6-B166-798274629E8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agregati'!$E$8,'Osn. makroekon. agregati'!$F$8)</c:f>
              <c:numCache>
                <c:formatCode>0.0</c:formatCode>
                <c:ptCount val="2"/>
                <c:pt idx="0">
                  <c:v>3.5</c:v>
                </c:pt>
                <c:pt idx="1">
                  <c:v>3.7</c:v>
                </c:pt>
              </c:numCache>
            </c:numRef>
          </c:val>
          <c:extLst>
            <c:ext xmlns:c16="http://schemas.microsoft.com/office/drawing/2014/chart" uri="{C3380CC4-5D6E-409C-BE32-E72D297353CC}">
              <c16:uniqueId val="{00000004-EB9A-48E6-B166-798274629E88}"/>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10"/>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agregati'!$B$9</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8C1E-4984-BBC7-D9D0141CE902}"/>
              </c:ext>
            </c:extLst>
          </c:dPt>
          <c:dPt>
            <c:idx val="1"/>
            <c:invertIfNegative val="0"/>
            <c:bubble3D val="0"/>
            <c:spPr>
              <a:solidFill>
                <a:srgbClr val="ED1C24"/>
              </a:solidFill>
              <a:ln>
                <a:noFill/>
              </a:ln>
              <a:effectLst/>
            </c:spPr>
            <c:extLst>
              <c:ext xmlns:c16="http://schemas.microsoft.com/office/drawing/2014/chart" uri="{C3380CC4-5D6E-409C-BE32-E72D297353CC}">
                <c16:uniqueId val="{00000003-8C1E-4984-BBC7-D9D0141CE902}"/>
              </c:ext>
            </c:extLst>
          </c:dPt>
          <c:dLbls>
            <c:dLbl>
              <c:idx val="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8C1E-4984-BBC7-D9D0141CE902}"/>
                </c:ext>
              </c:extLst>
            </c:dLbl>
            <c:dLbl>
              <c:idx val="1"/>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8C1E-4984-BBC7-D9D0141CE90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agregati'!$C$9,'Osn. makroekon. agregati'!$D$9)</c:f>
              <c:numCache>
                <c:formatCode>0.0</c:formatCode>
                <c:ptCount val="2"/>
                <c:pt idx="0">
                  <c:v>-3</c:v>
                </c:pt>
                <c:pt idx="1">
                  <c:v>-3</c:v>
                </c:pt>
              </c:numCache>
            </c:numRef>
          </c:val>
          <c:extLst>
            <c:ext xmlns:c16="http://schemas.microsoft.com/office/drawing/2014/chart" uri="{C3380CC4-5D6E-409C-BE32-E72D297353CC}">
              <c16:uniqueId val="{00000004-8C1E-4984-BBC7-D9D0141CE902}"/>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agregati'!$B$9</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40B8-4C95-A912-0BD15D266245}"/>
              </c:ext>
            </c:extLst>
          </c:dPt>
          <c:dPt>
            <c:idx val="1"/>
            <c:invertIfNegative val="0"/>
            <c:bubble3D val="0"/>
            <c:spPr>
              <a:solidFill>
                <a:srgbClr val="ED1C24"/>
              </a:solidFill>
              <a:ln>
                <a:noFill/>
              </a:ln>
              <a:effectLst/>
            </c:spPr>
            <c:extLst>
              <c:ext xmlns:c16="http://schemas.microsoft.com/office/drawing/2014/chart" uri="{C3380CC4-5D6E-409C-BE32-E72D297353CC}">
                <c16:uniqueId val="{00000003-40B8-4C95-A912-0BD15D266245}"/>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40B8-4C95-A912-0BD15D26624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agregati'!$E$9,'Osn. makroekon. agregati'!$F$9)</c:f>
              <c:numCache>
                <c:formatCode>0.0</c:formatCode>
                <c:ptCount val="2"/>
                <c:pt idx="0">
                  <c:v>-3</c:v>
                </c:pt>
                <c:pt idx="1">
                  <c:v>-3</c:v>
                </c:pt>
              </c:numCache>
            </c:numRef>
          </c:val>
          <c:extLst>
            <c:ext xmlns:c16="http://schemas.microsoft.com/office/drawing/2014/chart" uri="{C3380CC4-5D6E-409C-BE32-E72D297353CC}">
              <c16:uniqueId val="{00000004-40B8-4C95-A912-0BD15D266245}"/>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979221347331585E-2"/>
          <c:y val="5.0925925925925923E-2"/>
          <c:w val="0.91179855643044616"/>
          <c:h val="0.55948245614035086"/>
        </c:manualLayout>
      </c:layout>
      <c:barChart>
        <c:barDir val="col"/>
        <c:grouping val="stacked"/>
        <c:varyColors val="0"/>
        <c:ser>
          <c:idx val="0"/>
          <c:order val="0"/>
          <c:tx>
            <c:strRef>
              <c:f>'WEO_ekon. rast'!$B$25</c:f>
              <c:strCache>
                <c:ptCount val="1"/>
                <c:pt idx="0">
                  <c:v>Развијене економије искључујући САД и ЕУ</c:v>
                </c:pt>
              </c:strCache>
            </c:strRef>
          </c:tx>
          <c:spPr>
            <a:solidFill>
              <a:srgbClr val="10103C"/>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rast'!$G$25:$P$25</c:f>
              <c:numCache>
                <c:formatCode>0.00</c:formatCode>
                <c:ptCount val="10"/>
                <c:pt idx="0">
                  <c:v>7.7208640000000051E-2</c:v>
                </c:pt>
                <c:pt idx="1">
                  <c:v>-0.48477521000000023</c:v>
                </c:pt>
                <c:pt idx="2">
                  <c:v>0.59401820000000027</c:v>
                </c:pt>
                <c:pt idx="3">
                  <c:v>0.28173376</c:v>
                </c:pt>
                <c:pt idx="4">
                  <c:v>0.17774287999999988</c:v>
                </c:pt>
                <c:pt idx="5">
                  <c:v>0.14771634999999994</c:v>
                </c:pt>
                <c:pt idx="6">
                  <c:v>0.13700254999999995</c:v>
                </c:pt>
                <c:pt idx="7">
                  <c:v>0.13044169999999999</c:v>
                </c:pt>
                <c:pt idx="8">
                  <c:v>0.14546545000000011</c:v>
                </c:pt>
                <c:pt idx="9">
                  <c:v>0.14546545000000011</c:v>
                </c:pt>
              </c:numCache>
            </c:numRef>
          </c:val>
          <c:extLst>
            <c:ext xmlns:c16="http://schemas.microsoft.com/office/drawing/2014/chart" uri="{C3380CC4-5D6E-409C-BE32-E72D297353CC}">
              <c16:uniqueId val="{00000000-8486-4731-9F31-601C029B8A06}"/>
            </c:ext>
          </c:extLst>
        </c:ser>
        <c:ser>
          <c:idx val="1"/>
          <c:order val="1"/>
          <c:tx>
            <c:strRef>
              <c:f>'WEO_ekon. rast'!$B$26</c:f>
              <c:strCache>
                <c:ptCount val="1"/>
                <c:pt idx="0">
                  <c:v>САД</c:v>
                </c:pt>
              </c:strCache>
            </c:strRef>
          </c:tx>
          <c:spPr>
            <a:solidFill>
              <a:srgbClr val="2A489A"/>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rast'!$G$26:$P$26</c:f>
              <c:numCache>
                <c:formatCode>0.00</c:formatCode>
                <c:ptCount val="10"/>
                <c:pt idx="0">
                  <c:v>0.39592047999999996</c:v>
                </c:pt>
                <c:pt idx="1">
                  <c:v>-0.31712359000000001</c:v>
                </c:pt>
                <c:pt idx="2">
                  <c:v>0.92944416000000007</c:v>
                </c:pt>
                <c:pt idx="3">
                  <c:v>0.37723703999999997</c:v>
                </c:pt>
                <c:pt idx="4">
                  <c:v>0.43655190000000005</c:v>
                </c:pt>
                <c:pt idx="5">
                  <c:v>0.41347571999999999</c:v>
                </c:pt>
                <c:pt idx="6">
                  <c:v>0.29553083999999996</c:v>
                </c:pt>
                <c:pt idx="7">
                  <c:v>0.30512631999999995</c:v>
                </c:pt>
                <c:pt idx="8">
                  <c:v>0.29499525000000004</c:v>
                </c:pt>
                <c:pt idx="9">
                  <c:v>0.29499525000000004</c:v>
                </c:pt>
              </c:numCache>
            </c:numRef>
          </c:val>
          <c:extLst>
            <c:ext xmlns:c16="http://schemas.microsoft.com/office/drawing/2014/chart" uri="{C3380CC4-5D6E-409C-BE32-E72D297353CC}">
              <c16:uniqueId val="{00000001-8486-4731-9F31-601C029B8A06}"/>
            </c:ext>
          </c:extLst>
        </c:ser>
        <c:ser>
          <c:idx val="2"/>
          <c:order val="2"/>
          <c:tx>
            <c:strRef>
              <c:f>'WEO_ekon. rast'!$B$27</c:f>
              <c:strCache>
                <c:ptCount val="1"/>
                <c:pt idx="0">
                  <c:v>ЕУ</c:v>
                </c:pt>
              </c:strCache>
            </c:strRef>
          </c:tx>
          <c:spPr>
            <a:solidFill>
              <a:srgbClr val="2183C4"/>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rast'!$G$27:$P$27</c:f>
              <c:numCache>
                <c:formatCode>0.00</c:formatCode>
                <c:ptCount val="10"/>
                <c:pt idx="0">
                  <c:v>0.31546857999999994</c:v>
                </c:pt>
                <c:pt idx="1">
                  <c:v>-0.83666639999999992</c:v>
                </c:pt>
                <c:pt idx="2">
                  <c:v>0.96140968000000004</c:v>
                </c:pt>
                <c:pt idx="3">
                  <c:v>0.56032599999999999</c:v>
                </c:pt>
                <c:pt idx="4">
                  <c:v>8.0356430000000006E-2</c:v>
                </c:pt>
                <c:pt idx="5">
                  <c:v>0.16319516000000001</c:v>
                </c:pt>
                <c:pt idx="6">
                  <c:v>0.19548221000000002</c:v>
                </c:pt>
                <c:pt idx="7">
                  <c:v>0.19414289999999998</c:v>
                </c:pt>
                <c:pt idx="8">
                  <c:v>0.21481505000000001</c:v>
                </c:pt>
                <c:pt idx="9">
                  <c:v>0.21481505000000001</c:v>
                </c:pt>
              </c:numCache>
            </c:numRef>
          </c:val>
          <c:extLst>
            <c:ext xmlns:c16="http://schemas.microsoft.com/office/drawing/2014/chart" uri="{C3380CC4-5D6E-409C-BE32-E72D297353CC}">
              <c16:uniqueId val="{00000002-8486-4731-9F31-601C029B8A06}"/>
            </c:ext>
          </c:extLst>
        </c:ser>
        <c:ser>
          <c:idx val="3"/>
          <c:order val="3"/>
          <c:tx>
            <c:strRef>
              <c:f>'WEO_ekon. rast'!$B$28</c:f>
              <c:strCache>
                <c:ptCount val="1"/>
                <c:pt idx="0">
                  <c:v>Земље у успону Азијског континента без Кине</c:v>
                </c:pt>
              </c:strCache>
            </c:strRef>
          </c:tx>
          <c:spPr>
            <a:solidFill>
              <a:srgbClr val="51BBE7"/>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rast'!$G$28:$P$28</c:f>
              <c:numCache>
                <c:formatCode>0.00</c:formatCode>
                <c:ptCount val="10"/>
                <c:pt idx="0">
                  <c:v>0.63133325999999967</c:v>
                </c:pt>
                <c:pt idx="1">
                  <c:v>-0.59419141000000009</c:v>
                </c:pt>
                <c:pt idx="2">
                  <c:v>0.9324231000000005</c:v>
                </c:pt>
                <c:pt idx="3">
                  <c:v>0.9622483199999996</c:v>
                </c:pt>
                <c:pt idx="4">
                  <c:v>1.0250228699999999</c:v>
                </c:pt>
                <c:pt idx="5">
                  <c:v>0.86402427999999987</c:v>
                </c:pt>
                <c:pt idx="6">
                  <c:v>0.87266484</c:v>
                </c:pt>
                <c:pt idx="7">
                  <c:v>0.85762011000000016</c:v>
                </c:pt>
                <c:pt idx="8">
                  <c:v>0.91816578000000004</c:v>
                </c:pt>
                <c:pt idx="9">
                  <c:v>0.91816578000000004</c:v>
                </c:pt>
              </c:numCache>
            </c:numRef>
          </c:val>
          <c:extLst>
            <c:ext xmlns:c16="http://schemas.microsoft.com/office/drawing/2014/chart" uri="{C3380CC4-5D6E-409C-BE32-E72D297353CC}">
              <c16:uniqueId val="{00000003-8486-4731-9F31-601C029B8A06}"/>
            </c:ext>
          </c:extLst>
        </c:ser>
        <c:ser>
          <c:idx val="4"/>
          <c:order val="4"/>
          <c:tx>
            <c:strRef>
              <c:f>'WEO_ekon. rast'!$B$29</c:f>
              <c:strCache>
                <c:ptCount val="1"/>
                <c:pt idx="0">
                  <c:v>Кина</c:v>
                </c:pt>
              </c:strCache>
            </c:strRef>
          </c:tx>
          <c:spPr>
            <a:solidFill>
              <a:srgbClr val="90CAE2"/>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rast'!$G$29:$P$29</c:f>
              <c:numCache>
                <c:formatCode>0.00</c:formatCode>
                <c:ptCount val="10"/>
                <c:pt idx="0">
                  <c:v>1.0698660000000002</c:v>
                </c:pt>
                <c:pt idx="1">
                  <c:v>0.43255533000000007</c:v>
                </c:pt>
                <c:pt idx="2">
                  <c:v>1.60288104</c:v>
                </c:pt>
                <c:pt idx="3">
                  <c:v>0.58004568000000001</c:v>
                </c:pt>
                <c:pt idx="4">
                  <c:v>1.0210922999999998</c:v>
                </c:pt>
                <c:pt idx="5">
                  <c:v>0.96587918000000006</c:v>
                </c:pt>
                <c:pt idx="6">
                  <c:v>0.94140684000000008</c:v>
                </c:pt>
                <c:pt idx="7">
                  <c:v>0.82589757000000008</c:v>
                </c:pt>
                <c:pt idx="8">
                  <c:v>0.83841393999999991</c:v>
                </c:pt>
                <c:pt idx="9">
                  <c:v>0.83841393999999991</c:v>
                </c:pt>
              </c:numCache>
            </c:numRef>
          </c:val>
          <c:extLst>
            <c:ext xmlns:c16="http://schemas.microsoft.com/office/drawing/2014/chart" uri="{C3380CC4-5D6E-409C-BE32-E72D297353CC}">
              <c16:uniqueId val="{00000004-8486-4731-9F31-601C029B8A06}"/>
            </c:ext>
          </c:extLst>
        </c:ser>
        <c:ser>
          <c:idx val="5"/>
          <c:order val="5"/>
          <c:tx>
            <c:strRef>
              <c:f>'WEO_ekon. rast'!$B$30</c:f>
              <c:strCache>
                <c:ptCount val="1"/>
                <c:pt idx="0">
                  <c:v>Остале земље у успону</c:v>
                </c:pt>
              </c:strCache>
            </c:strRef>
          </c:tx>
          <c:spPr>
            <a:solidFill>
              <a:srgbClr val="C9E4EB"/>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rast'!$G$30:$P$30</c:f>
              <c:numCache>
                <c:formatCode>0.00</c:formatCode>
                <c:ptCount val="10"/>
                <c:pt idx="0">
                  <c:v>0.47820304000000036</c:v>
                </c:pt>
                <c:pt idx="1">
                  <c:v>-0.90879872000000006</c:v>
                </c:pt>
                <c:pt idx="2">
                  <c:v>1.5968238199999991</c:v>
                </c:pt>
                <c:pt idx="3">
                  <c:v>0.98840920000000043</c:v>
                </c:pt>
                <c:pt idx="4">
                  <c:v>0.77223362000000018</c:v>
                </c:pt>
                <c:pt idx="5">
                  <c:v>0.7817093100000001</c:v>
                </c:pt>
                <c:pt idx="6">
                  <c:v>0.72091271999999984</c:v>
                </c:pt>
                <c:pt idx="7">
                  <c:v>0.7757714</c:v>
                </c:pt>
                <c:pt idx="8">
                  <c:v>0.8171445300000002</c:v>
                </c:pt>
                <c:pt idx="9">
                  <c:v>0.79814453000000007</c:v>
                </c:pt>
              </c:numCache>
            </c:numRef>
          </c:val>
          <c:extLst>
            <c:ext xmlns:c16="http://schemas.microsoft.com/office/drawing/2014/chart" uri="{C3380CC4-5D6E-409C-BE32-E72D297353CC}">
              <c16:uniqueId val="{00000005-8486-4731-9F31-601C029B8A06}"/>
            </c:ext>
          </c:extLst>
        </c:ser>
        <c:dLbls>
          <c:showLegendKey val="0"/>
          <c:showVal val="0"/>
          <c:showCatName val="0"/>
          <c:showSerName val="0"/>
          <c:showPercent val="0"/>
          <c:showBubbleSize val="0"/>
        </c:dLbls>
        <c:gapWidth val="30"/>
        <c:overlap val="100"/>
        <c:axId val="1642271680"/>
        <c:axId val="1642274400"/>
      </c:barChart>
      <c:lineChart>
        <c:grouping val="standard"/>
        <c:varyColors val="0"/>
        <c:ser>
          <c:idx val="6"/>
          <c:order val="6"/>
          <c:tx>
            <c:strRef>
              <c:f>'WEO_ekon. rast'!$B$31</c:f>
              <c:strCache>
                <c:ptCount val="1"/>
                <c:pt idx="0">
                  <c:v>Светски раст</c:v>
                </c:pt>
              </c:strCache>
            </c:strRef>
          </c:tx>
          <c:spPr>
            <a:ln w="25400" cap="rnd">
              <a:solidFill>
                <a:srgbClr val="FF0000"/>
              </a:solidFill>
              <a:round/>
            </a:ln>
            <a:effectLst/>
          </c:spPr>
          <c:marker>
            <c:symbol val="none"/>
          </c:marker>
          <c:dLbls>
            <c:dLbl>
              <c:idx val="1"/>
              <c:layout>
                <c:manualLayout>
                  <c:x val="-6.6898148148148151E-2"/>
                  <c:y val="4.55033416875522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486-4731-9F31-601C029B8A06}"/>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rast'!$G$31:$P$31</c:f>
              <c:numCache>
                <c:formatCode>0.0</c:formatCode>
                <c:ptCount val="10"/>
                <c:pt idx="0">
                  <c:v>2.968</c:v>
                </c:pt>
                <c:pt idx="1">
                  <c:v>-2.7090000000000001</c:v>
                </c:pt>
                <c:pt idx="2">
                  <c:v>6.617</c:v>
                </c:pt>
                <c:pt idx="3">
                  <c:v>3.75</c:v>
                </c:pt>
                <c:pt idx="4">
                  <c:v>3.5129999999999999</c:v>
                </c:pt>
                <c:pt idx="5">
                  <c:v>3.3359999999999999</c:v>
                </c:pt>
                <c:pt idx="6">
                  <c:v>3.1629999999999998</c:v>
                </c:pt>
                <c:pt idx="7">
                  <c:v>3.089</c:v>
                </c:pt>
                <c:pt idx="8">
                  <c:v>3.2290000000000001</c:v>
                </c:pt>
                <c:pt idx="9">
                  <c:v>3.21</c:v>
                </c:pt>
              </c:numCache>
            </c:numRef>
          </c:val>
          <c:smooth val="0"/>
          <c:extLst>
            <c:ext xmlns:c16="http://schemas.microsoft.com/office/drawing/2014/chart" uri="{C3380CC4-5D6E-409C-BE32-E72D297353CC}">
              <c16:uniqueId val="{00000007-8486-4731-9F31-601C029B8A06}"/>
            </c:ext>
          </c:extLst>
        </c:ser>
        <c:ser>
          <c:idx val="7"/>
          <c:order val="7"/>
          <c:tx>
            <c:strRef>
              <c:f>'WEO_ekon. rast'!$B$32</c:f>
              <c:strCache>
                <c:ptCount val="1"/>
              </c:strCache>
            </c:strRef>
          </c:tx>
          <c:spPr>
            <a:ln w="28575" cap="rnd">
              <a:noFill/>
              <a:round/>
            </a:ln>
            <a:effectLst/>
          </c:spPr>
          <c:marker>
            <c:symbol val="none"/>
          </c:marker>
          <c:dLbls>
            <c:dLbl>
              <c:idx val="1"/>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b"/>
              <c:showLegendKey val="0"/>
              <c:showVal val="0"/>
              <c:showCatName val="1"/>
              <c:showSerName val="0"/>
              <c:showPercent val="0"/>
              <c:showBubbleSize val="0"/>
              <c:extLst>
                <c:ext xmlns:c16="http://schemas.microsoft.com/office/drawing/2014/chart" uri="{C3380CC4-5D6E-409C-BE32-E72D297353CC}">
                  <c16:uniqueId val="{00000008-8486-4731-9F31-601C029B8A06}"/>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rast'!$G$32:$P$32</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9-8486-4731-9F31-601C029B8A06}"/>
            </c:ext>
          </c:extLst>
        </c:ser>
        <c:dLbls>
          <c:showLegendKey val="0"/>
          <c:showVal val="0"/>
          <c:showCatName val="0"/>
          <c:showSerName val="0"/>
          <c:showPercent val="0"/>
          <c:showBubbleSize val="0"/>
        </c:dLbls>
        <c:marker val="1"/>
        <c:smooth val="0"/>
        <c:axId val="1642271680"/>
        <c:axId val="1642274400"/>
      </c:lineChart>
      <c:catAx>
        <c:axId val="164227168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642274400"/>
        <c:crosses val="autoZero"/>
        <c:auto val="1"/>
        <c:lblAlgn val="ctr"/>
        <c:lblOffset val="100"/>
        <c:noMultiLvlLbl val="0"/>
      </c:catAx>
      <c:valAx>
        <c:axId val="1642274400"/>
        <c:scaling>
          <c:orientation val="minMax"/>
          <c:min val="-4.5"/>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642271680"/>
        <c:crosses val="autoZero"/>
        <c:crossBetween val="between"/>
        <c:majorUnit val="1.5"/>
      </c:valAx>
      <c:spPr>
        <a:noFill/>
        <a:ln>
          <a:noFill/>
        </a:ln>
        <a:effectLst/>
      </c:spPr>
    </c:plotArea>
    <c:legend>
      <c:legendPos val="b"/>
      <c:legendEntry>
        <c:idx val="7"/>
        <c:delete val="1"/>
      </c:legendEntry>
      <c:layout>
        <c:manualLayout>
          <c:xMode val="edge"/>
          <c:yMode val="edge"/>
          <c:x val="2.7777777777777776E-2"/>
          <c:y val="0.60335806648022206"/>
          <c:w val="0.94944444444444465"/>
          <c:h val="0.39664193351977794"/>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agregati'!$B$10</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4918-4E20-A1CE-F8DC7414CCB4}"/>
              </c:ext>
            </c:extLst>
          </c:dPt>
          <c:dPt>
            <c:idx val="1"/>
            <c:invertIfNegative val="0"/>
            <c:bubble3D val="0"/>
            <c:spPr>
              <a:solidFill>
                <a:srgbClr val="ED1C24"/>
              </a:solidFill>
              <a:ln>
                <a:noFill/>
              </a:ln>
              <a:effectLst/>
            </c:spPr>
            <c:extLst>
              <c:ext xmlns:c16="http://schemas.microsoft.com/office/drawing/2014/chart" uri="{C3380CC4-5D6E-409C-BE32-E72D297353CC}">
                <c16:uniqueId val="{00000003-4918-4E20-A1CE-F8DC7414CCB4}"/>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4918-4E20-A1CE-F8DC7414CCB4}"/>
                </c:ext>
              </c:extLst>
            </c:dLbl>
            <c:dLbl>
              <c:idx val="1"/>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4918-4E20-A1CE-F8DC7414CCB4}"/>
                </c:ext>
              </c:extLst>
            </c:dLbl>
            <c:spPr>
              <a:noFill/>
              <a:ln>
                <a:noFill/>
              </a:ln>
              <a:effectLst/>
            </c:spPr>
            <c:txPr>
              <a:bodyPr rot="0" spcFirstLastPara="1" vertOverflow="ellipsis" vert="horz" wrap="non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agregati'!$C$10,'Osn. makroekon. agregati'!$D$10)</c:f>
              <c:numCache>
                <c:formatCode>0.0</c:formatCode>
                <c:ptCount val="2"/>
                <c:pt idx="0">
                  <c:v>46.8</c:v>
                </c:pt>
                <c:pt idx="1">
                  <c:v>45</c:v>
                </c:pt>
              </c:numCache>
            </c:numRef>
          </c:val>
          <c:extLst>
            <c:ext xmlns:c16="http://schemas.microsoft.com/office/drawing/2014/chart" uri="{C3380CC4-5D6E-409C-BE32-E72D297353CC}">
              <c16:uniqueId val="{00000004-4918-4E20-A1CE-F8DC7414CCB4}"/>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0"/>
          <c:min val="3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agregati'!$B$10</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7F3A-4B69-A6B9-EDE172311D90}"/>
              </c:ext>
            </c:extLst>
          </c:dPt>
          <c:dPt>
            <c:idx val="1"/>
            <c:invertIfNegative val="0"/>
            <c:bubble3D val="0"/>
            <c:spPr>
              <a:solidFill>
                <a:srgbClr val="ED1C24"/>
              </a:solidFill>
              <a:ln>
                <a:noFill/>
              </a:ln>
              <a:effectLst/>
            </c:spPr>
            <c:extLst>
              <c:ext xmlns:c16="http://schemas.microsoft.com/office/drawing/2014/chart" uri="{C3380CC4-5D6E-409C-BE32-E72D297353CC}">
                <c16:uniqueId val="{00000003-7F3A-4B69-A6B9-EDE172311D90}"/>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7F3A-4B69-A6B9-EDE172311D90}"/>
                </c:ext>
              </c:extLst>
            </c:dLbl>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agregati'!$E$10,'Osn. makroekon. agregati'!$F$10)</c:f>
              <c:numCache>
                <c:formatCode>0.0</c:formatCode>
                <c:ptCount val="2"/>
                <c:pt idx="0">
                  <c:v>46.5</c:v>
                </c:pt>
                <c:pt idx="1">
                  <c:v>44.5</c:v>
                </c:pt>
              </c:numCache>
            </c:numRef>
          </c:val>
          <c:extLst>
            <c:ext xmlns:c16="http://schemas.microsoft.com/office/drawing/2014/chart" uri="{C3380CC4-5D6E-409C-BE32-E72D297353CC}">
              <c16:uniqueId val="{00000004-7F3A-4B69-A6B9-EDE172311D90}"/>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0"/>
          <c:min val="3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2091256084322588"/>
        </c:manualLayout>
      </c:layout>
      <c:barChart>
        <c:barDir val="col"/>
        <c:grouping val="stacked"/>
        <c:varyColors val="0"/>
        <c:ser>
          <c:idx val="0"/>
          <c:order val="0"/>
          <c:tx>
            <c:strRef>
              <c:f>BDPQ_doprinosi!$R$34</c:f>
              <c:strCache>
                <c:ptCount val="1"/>
                <c:pt idx="0">
                  <c:v>Пољопривреда</c:v>
                </c:pt>
              </c:strCache>
            </c:strRef>
          </c:tx>
          <c:spPr>
            <a:solidFill>
              <a:srgbClr val="10103C"/>
            </a:solidFill>
            <a:ln>
              <a:noFill/>
            </a:ln>
            <a:effectLst/>
          </c:spPr>
          <c:invertIfNegative val="0"/>
          <c:cat>
            <c:multiLvlStrRef>
              <c:f>BDPQ_doprinosi!$BK$32:$BT$33</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BDPQ_doprinosi!$BK$34:$BT$34</c:f>
              <c:numCache>
                <c:formatCode>0.0</c:formatCode>
                <c:ptCount val="10"/>
                <c:pt idx="0">
                  <c:v>0.22269753247600746</c:v>
                </c:pt>
                <c:pt idx="1">
                  <c:v>0.2153921133876919</c:v>
                </c:pt>
                <c:pt idx="2">
                  <c:v>0.67867761058146792</c:v>
                </c:pt>
                <c:pt idx="3">
                  <c:v>0.45660108939302813</c:v>
                </c:pt>
                <c:pt idx="4">
                  <c:v>4.7453164869642364E-2</c:v>
                </c:pt>
                <c:pt idx="5">
                  <c:v>-4.9381302363665953E-2</c:v>
                </c:pt>
                <c:pt idx="6">
                  <c:v>-0.76432248579815876</c:v>
                </c:pt>
                <c:pt idx="7">
                  <c:v>-0.41724621905858894</c:v>
                </c:pt>
                <c:pt idx="8">
                  <c:v>8.7004228673240036E-2</c:v>
                </c:pt>
                <c:pt idx="9">
                  <c:v>0.10863561860106953</c:v>
                </c:pt>
              </c:numCache>
            </c:numRef>
          </c:val>
          <c:extLst>
            <c:ext xmlns:c16="http://schemas.microsoft.com/office/drawing/2014/chart" uri="{C3380CC4-5D6E-409C-BE32-E72D297353CC}">
              <c16:uniqueId val="{00000000-730D-4D55-86F7-AE67285E7042}"/>
            </c:ext>
          </c:extLst>
        </c:ser>
        <c:ser>
          <c:idx val="1"/>
          <c:order val="1"/>
          <c:tx>
            <c:strRef>
              <c:f>BDPQ_doprinosi!$R$35</c:f>
              <c:strCache>
                <c:ptCount val="1"/>
                <c:pt idx="0">
                  <c:v>Индустрија</c:v>
                </c:pt>
              </c:strCache>
            </c:strRef>
          </c:tx>
          <c:spPr>
            <a:solidFill>
              <a:srgbClr val="29489A"/>
            </a:solidFill>
            <a:ln>
              <a:noFill/>
            </a:ln>
            <a:effectLst/>
          </c:spPr>
          <c:invertIfNegative val="0"/>
          <c:cat>
            <c:multiLvlStrRef>
              <c:f>BDPQ_doprinosi!$BK$32:$BT$33</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BDPQ_doprinosi!$BK$35:$BT$35</c:f>
              <c:numCache>
                <c:formatCode>0.0</c:formatCode>
                <c:ptCount val="10"/>
                <c:pt idx="0">
                  <c:v>0.28475908865083494</c:v>
                </c:pt>
                <c:pt idx="1">
                  <c:v>5.6267164164747627E-2</c:v>
                </c:pt>
                <c:pt idx="2">
                  <c:v>0.7470607679012653</c:v>
                </c:pt>
                <c:pt idx="3">
                  <c:v>0.60221828119106557</c:v>
                </c:pt>
                <c:pt idx="4">
                  <c:v>0.51744718792634214</c:v>
                </c:pt>
                <c:pt idx="5">
                  <c:v>0.32681426646830969</c:v>
                </c:pt>
                <c:pt idx="6">
                  <c:v>0.69053195564820735</c:v>
                </c:pt>
                <c:pt idx="7">
                  <c:v>0.68009681926447652</c:v>
                </c:pt>
                <c:pt idx="8">
                  <c:v>0.36443484696472511</c:v>
                </c:pt>
                <c:pt idx="9">
                  <c:v>0.54045631954897122</c:v>
                </c:pt>
              </c:numCache>
            </c:numRef>
          </c:val>
          <c:extLst>
            <c:ext xmlns:c16="http://schemas.microsoft.com/office/drawing/2014/chart" uri="{C3380CC4-5D6E-409C-BE32-E72D297353CC}">
              <c16:uniqueId val="{00000001-730D-4D55-86F7-AE67285E7042}"/>
            </c:ext>
          </c:extLst>
        </c:ser>
        <c:ser>
          <c:idx val="2"/>
          <c:order val="2"/>
          <c:tx>
            <c:strRef>
              <c:f>BDPQ_doprinosi!$R$36</c:f>
              <c:strCache>
                <c:ptCount val="1"/>
                <c:pt idx="0">
                  <c:v>Грађевинарство</c:v>
                </c:pt>
              </c:strCache>
            </c:strRef>
          </c:tx>
          <c:spPr>
            <a:solidFill>
              <a:srgbClr val="2183C4"/>
            </a:solidFill>
            <a:ln>
              <a:noFill/>
            </a:ln>
            <a:effectLst/>
          </c:spPr>
          <c:invertIfNegative val="0"/>
          <c:cat>
            <c:multiLvlStrRef>
              <c:f>BDPQ_doprinosi!$BK$32:$BT$33</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BDPQ_doprinosi!$BK$36:$BT$36</c:f>
              <c:numCache>
                <c:formatCode>0.0</c:formatCode>
                <c:ptCount val="10"/>
                <c:pt idx="0">
                  <c:v>8.5202416419324686E-3</c:v>
                </c:pt>
                <c:pt idx="1">
                  <c:v>0.76024876003348985</c:v>
                </c:pt>
                <c:pt idx="2">
                  <c:v>0.74100680183294676</c:v>
                </c:pt>
                <c:pt idx="3">
                  <c:v>0.46979934788165306</c:v>
                </c:pt>
                <c:pt idx="4">
                  <c:v>0.5814560187847716</c:v>
                </c:pt>
                <c:pt idx="5">
                  <c:v>0.415169980817791</c:v>
                </c:pt>
                <c:pt idx="6">
                  <c:v>-1.9457680877647047E-2</c:v>
                </c:pt>
                <c:pt idx="7">
                  <c:v>-0.33106369552120507</c:v>
                </c:pt>
                <c:pt idx="8">
                  <c:v>-0.23855767903441391</c:v>
                </c:pt>
                <c:pt idx="9">
                  <c:v>-0.84513304029881708</c:v>
                </c:pt>
              </c:numCache>
            </c:numRef>
          </c:val>
          <c:extLst>
            <c:ext xmlns:c16="http://schemas.microsoft.com/office/drawing/2014/chart" uri="{C3380CC4-5D6E-409C-BE32-E72D297353CC}">
              <c16:uniqueId val="{00000002-730D-4D55-86F7-AE67285E7042}"/>
            </c:ext>
          </c:extLst>
        </c:ser>
        <c:ser>
          <c:idx val="3"/>
          <c:order val="3"/>
          <c:tx>
            <c:strRef>
              <c:f>BDPQ_doprinosi!$R$37</c:f>
              <c:strCache>
                <c:ptCount val="1"/>
                <c:pt idx="0">
                  <c:v>Услуге</c:v>
                </c:pt>
              </c:strCache>
            </c:strRef>
          </c:tx>
          <c:spPr>
            <a:solidFill>
              <a:srgbClr val="51BBE7"/>
            </a:solidFill>
            <a:ln>
              <a:noFill/>
            </a:ln>
            <a:effectLst/>
          </c:spPr>
          <c:invertIfNegative val="0"/>
          <c:cat>
            <c:multiLvlStrRef>
              <c:f>BDPQ_doprinosi!$BK$32:$BT$33</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BDPQ_doprinosi!$BK$37:$BT$37</c:f>
              <c:numCache>
                <c:formatCode>0.0</c:formatCode>
                <c:ptCount val="10"/>
                <c:pt idx="0">
                  <c:v>2.1484373830007879</c:v>
                </c:pt>
                <c:pt idx="1">
                  <c:v>2.4363704346393966</c:v>
                </c:pt>
                <c:pt idx="2">
                  <c:v>2.9087859274136481</c:v>
                </c:pt>
                <c:pt idx="3">
                  <c:v>3.5351129829030317</c:v>
                </c:pt>
                <c:pt idx="4">
                  <c:v>3.010153736601112</c:v>
                </c:pt>
                <c:pt idx="5">
                  <c:v>3.2487010838205816</c:v>
                </c:pt>
                <c:pt idx="6">
                  <c:v>2.6159783588917889</c:v>
                </c:pt>
                <c:pt idx="7">
                  <c:v>2.7656980171826184</c:v>
                </c:pt>
                <c:pt idx="8">
                  <c:v>1.3224958906838282</c:v>
                </c:pt>
                <c:pt idx="9">
                  <c:v>1.7046483166117872</c:v>
                </c:pt>
              </c:numCache>
            </c:numRef>
          </c:val>
          <c:extLst>
            <c:ext xmlns:c16="http://schemas.microsoft.com/office/drawing/2014/chart" uri="{C3380CC4-5D6E-409C-BE32-E72D297353CC}">
              <c16:uniqueId val="{00000003-730D-4D55-86F7-AE67285E7042}"/>
            </c:ext>
          </c:extLst>
        </c:ser>
        <c:ser>
          <c:idx val="4"/>
          <c:order val="4"/>
          <c:tx>
            <c:strRef>
              <c:f>BDPQ_doprinosi!$R$38</c:f>
              <c:strCache>
                <c:ptCount val="1"/>
                <c:pt idx="0">
                  <c:v>Нето порези</c:v>
                </c:pt>
              </c:strCache>
            </c:strRef>
          </c:tx>
          <c:spPr>
            <a:solidFill>
              <a:srgbClr val="9ED1E6"/>
            </a:solidFill>
            <a:ln>
              <a:noFill/>
            </a:ln>
            <a:effectLst/>
          </c:spPr>
          <c:invertIfNegative val="0"/>
          <c:cat>
            <c:multiLvlStrRef>
              <c:f>BDPQ_doprinosi!$BK$32:$BT$33</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BDPQ_doprinosi!$BK$38:$BT$38</c:f>
              <c:numCache>
                <c:formatCode>0.0</c:formatCode>
                <c:ptCount val="10"/>
                <c:pt idx="0">
                  <c:v>-0.34370473342958285</c:v>
                </c:pt>
                <c:pt idx="1">
                  <c:v>-0.43824910064523204</c:v>
                </c:pt>
                <c:pt idx="2">
                  <c:v>-0.27342824451538994</c:v>
                </c:pt>
                <c:pt idx="3">
                  <c:v>1.8895200821628294E-2</c:v>
                </c:pt>
                <c:pt idx="4">
                  <c:v>0.42363984241746838</c:v>
                </c:pt>
                <c:pt idx="5">
                  <c:v>0.56999119720583225</c:v>
                </c:pt>
                <c:pt idx="6">
                  <c:v>0.71558552921571306</c:v>
                </c:pt>
                <c:pt idx="7">
                  <c:v>0.5874846404660462</c:v>
                </c:pt>
                <c:pt idx="8">
                  <c:v>0.33167163084816798</c:v>
                </c:pt>
                <c:pt idx="9">
                  <c:v>0.5415483427436808</c:v>
                </c:pt>
              </c:numCache>
            </c:numRef>
          </c:val>
          <c:extLst>
            <c:ext xmlns:c16="http://schemas.microsoft.com/office/drawing/2014/chart" uri="{C3380CC4-5D6E-409C-BE32-E72D297353CC}">
              <c16:uniqueId val="{00000004-730D-4D55-86F7-AE67285E7042}"/>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BDPQ_doprinosi!$R$39</c:f>
              <c:strCache>
                <c:ptCount val="1"/>
                <c:pt idx="0">
                  <c:v>Реални раст БДП</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BDPQ_doprinosi!$BK$32:$BT$33</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BDPQ_doprinosi!$BK$39:$BT$39</c:f>
              <c:numCache>
                <c:formatCode>0.0</c:formatCode>
                <c:ptCount val="10"/>
                <c:pt idx="0">
                  <c:v>2.320709512340021</c:v>
                </c:pt>
                <c:pt idx="1">
                  <c:v>3.0300293715801172</c:v>
                </c:pt>
                <c:pt idx="2">
                  <c:v>4.802102863214059</c:v>
                </c:pt>
                <c:pt idx="3">
                  <c:v>5.0826269021904906</c:v>
                </c:pt>
                <c:pt idx="4">
                  <c:v>4.5801499504263754</c:v>
                </c:pt>
                <c:pt idx="5">
                  <c:v>4.5112952261276318</c:v>
                </c:pt>
                <c:pt idx="6">
                  <c:v>3.2383156772741</c:v>
                </c:pt>
                <c:pt idx="7">
                  <c:v>3.2849695627374524</c:v>
                </c:pt>
                <c:pt idx="8">
                  <c:v>1.8670489184555561</c:v>
                </c:pt>
                <c:pt idx="9">
                  <c:v>2.0501555571902759</c:v>
                </c:pt>
              </c:numCache>
            </c:numRef>
          </c:val>
          <c:smooth val="0"/>
          <c:extLst>
            <c:ext xmlns:c16="http://schemas.microsoft.com/office/drawing/2014/chart" uri="{C3380CC4-5D6E-409C-BE32-E72D297353CC}">
              <c16:uniqueId val="{00000005-730D-4D55-86F7-AE67285E7042}"/>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8336"/>
        <c:crosses val="autoZero"/>
        <c:auto val="1"/>
        <c:lblAlgn val="ctr"/>
        <c:lblOffset val="0"/>
        <c:noMultiLvlLbl val="0"/>
      </c:catAx>
      <c:valAx>
        <c:axId val="1768858336"/>
        <c:scaling>
          <c:orientation val="minMax"/>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792"/>
        <c:crosses val="autoZero"/>
        <c:crossBetween val="between"/>
        <c:majorUnit val="2"/>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3880572945331671"/>
        </c:manualLayout>
      </c:layout>
      <c:barChart>
        <c:barDir val="col"/>
        <c:grouping val="stacked"/>
        <c:varyColors val="0"/>
        <c:ser>
          <c:idx val="2"/>
          <c:order val="0"/>
          <c:tx>
            <c:strRef>
              <c:f>BDPQ_doprinosi!$R$8</c:f>
              <c:strCache>
                <c:ptCount val="1"/>
                <c:pt idx="0">
                  <c:v>Приватна потрошња</c:v>
                </c:pt>
              </c:strCache>
            </c:strRef>
          </c:tx>
          <c:spPr>
            <a:solidFill>
              <a:srgbClr val="10103C"/>
            </a:solidFill>
            <a:ln>
              <a:noFill/>
            </a:ln>
            <a:effectLst/>
          </c:spPr>
          <c:invertIfNegative val="0"/>
          <c:cat>
            <c:multiLvlStrRef>
              <c:f>BDPQ_doprinosi!$BK$5:$BT$6</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BDPQ_doprinosi!$BK$8:$BT$8</c:f>
              <c:numCache>
                <c:formatCode>0.0</c:formatCode>
                <c:ptCount val="10"/>
                <c:pt idx="0">
                  <c:v>-0.17859795362691036</c:v>
                </c:pt>
                <c:pt idx="1">
                  <c:v>-0.85511654475844212</c:v>
                </c:pt>
                <c:pt idx="2">
                  <c:v>0.72013207013652192</c:v>
                </c:pt>
                <c:pt idx="3">
                  <c:v>1.5487960391477393</c:v>
                </c:pt>
                <c:pt idx="4">
                  <c:v>2.7097850847028622</c:v>
                </c:pt>
                <c:pt idx="5">
                  <c:v>2.9919659711924513</c:v>
                </c:pt>
                <c:pt idx="6">
                  <c:v>2.456632927065709</c:v>
                </c:pt>
                <c:pt idx="7">
                  <c:v>2.3454223854284471</c:v>
                </c:pt>
                <c:pt idx="8">
                  <c:v>0.9979394376933659</c:v>
                </c:pt>
                <c:pt idx="9">
                  <c:v>1.9732304203171898</c:v>
                </c:pt>
              </c:numCache>
            </c:numRef>
          </c:val>
          <c:extLst>
            <c:ext xmlns:c16="http://schemas.microsoft.com/office/drawing/2014/chart" uri="{C3380CC4-5D6E-409C-BE32-E72D297353CC}">
              <c16:uniqueId val="{00000000-D0F0-4525-9248-28703AB93A84}"/>
            </c:ext>
          </c:extLst>
        </c:ser>
        <c:ser>
          <c:idx val="3"/>
          <c:order val="1"/>
          <c:tx>
            <c:strRef>
              <c:f>BDPQ_doprinosi!$R$9</c:f>
              <c:strCache>
                <c:ptCount val="1"/>
                <c:pt idx="0">
                  <c:v>Државна потрошња</c:v>
                </c:pt>
              </c:strCache>
            </c:strRef>
          </c:tx>
          <c:spPr>
            <a:solidFill>
              <a:srgbClr val="29489A"/>
            </a:solidFill>
            <a:ln>
              <a:noFill/>
            </a:ln>
            <a:effectLst/>
          </c:spPr>
          <c:invertIfNegative val="0"/>
          <c:cat>
            <c:multiLvlStrRef>
              <c:f>BDPQ_doprinosi!$BK$5:$BT$6</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BDPQ_doprinosi!$BK$9:$BT$9</c:f>
              <c:numCache>
                <c:formatCode>0.0</c:formatCode>
                <c:ptCount val="10"/>
                <c:pt idx="0">
                  <c:v>-1.5864007047842152</c:v>
                </c:pt>
                <c:pt idx="1">
                  <c:v>-0.81939508111800674</c:v>
                </c:pt>
                <c:pt idx="2">
                  <c:v>-0.14770903967899035</c:v>
                </c:pt>
                <c:pt idx="3">
                  <c:v>0.66509810456636875</c:v>
                </c:pt>
                <c:pt idx="4">
                  <c:v>0.60366343547899337</c:v>
                </c:pt>
                <c:pt idx="5">
                  <c:v>0.78563405819665966</c:v>
                </c:pt>
                <c:pt idx="6">
                  <c:v>0.42310436796990863</c:v>
                </c:pt>
                <c:pt idx="7">
                  <c:v>-6.4785761236071937E-2</c:v>
                </c:pt>
                <c:pt idx="8">
                  <c:v>7.4584402186717177E-2</c:v>
                </c:pt>
                <c:pt idx="9">
                  <c:v>0.68517890016895278</c:v>
                </c:pt>
              </c:numCache>
            </c:numRef>
          </c:val>
          <c:extLst>
            <c:ext xmlns:c16="http://schemas.microsoft.com/office/drawing/2014/chart" uri="{C3380CC4-5D6E-409C-BE32-E72D297353CC}">
              <c16:uniqueId val="{00000001-D0F0-4525-9248-28703AB93A84}"/>
            </c:ext>
          </c:extLst>
        </c:ser>
        <c:ser>
          <c:idx val="1"/>
          <c:order val="2"/>
          <c:tx>
            <c:strRef>
              <c:f>BDPQ_doprinosi!$R$10</c:f>
              <c:strCache>
                <c:ptCount val="1"/>
                <c:pt idx="0">
                  <c:v>Инвестиције</c:v>
                </c:pt>
              </c:strCache>
            </c:strRef>
          </c:tx>
          <c:spPr>
            <a:solidFill>
              <a:srgbClr val="2183C4"/>
            </a:solidFill>
            <a:ln>
              <a:noFill/>
            </a:ln>
            <a:effectLst/>
          </c:spPr>
          <c:invertIfNegative val="0"/>
          <c:cat>
            <c:multiLvlStrRef>
              <c:f>BDPQ_doprinosi!$BK$5:$BT$6</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BDPQ_doprinosi!$BK$10:$BT$10</c:f>
              <c:numCache>
                <c:formatCode>0.0</c:formatCode>
                <c:ptCount val="10"/>
                <c:pt idx="0">
                  <c:v>1.6932192512107991</c:v>
                </c:pt>
                <c:pt idx="1">
                  <c:v>2.0267992925921186</c:v>
                </c:pt>
                <c:pt idx="2">
                  <c:v>2.5238683803961921</c:v>
                </c:pt>
                <c:pt idx="3">
                  <c:v>2.9731661643532399</c:v>
                </c:pt>
                <c:pt idx="4">
                  <c:v>1.8544577258591706</c:v>
                </c:pt>
                <c:pt idx="5">
                  <c:v>2.3236937477355046</c:v>
                </c:pt>
                <c:pt idx="6">
                  <c:v>1.95471544049107</c:v>
                </c:pt>
                <c:pt idx="7">
                  <c:v>7.3944771991072078E-2</c:v>
                </c:pt>
                <c:pt idx="8">
                  <c:v>-0.14632874636875723</c:v>
                </c:pt>
                <c:pt idx="9">
                  <c:v>-0.90244673008991805</c:v>
                </c:pt>
              </c:numCache>
            </c:numRef>
          </c:val>
          <c:extLst>
            <c:ext xmlns:c16="http://schemas.microsoft.com/office/drawing/2014/chart" uri="{C3380CC4-5D6E-409C-BE32-E72D297353CC}">
              <c16:uniqueId val="{00000002-D0F0-4525-9248-28703AB93A84}"/>
            </c:ext>
          </c:extLst>
        </c:ser>
        <c:ser>
          <c:idx val="0"/>
          <c:order val="3"/>
          <c:tx>
            <c:strRef>
              <c:f>BDPQ_doprinosi!$R$11</c:f>
              <c:strCache>
                <c:ptCount val="1"/>
                <c:pt idx="0">
                  <c:v>Нето извоз</c:v>
                </c:pt>
              </c:strCache>
            </c:strRef>
          </c:tx>
          <c:spPr>
            <a:solidFill>
              <a:srgbClr val="51BBE7"/>
            </a:solidFill>
            <a:ln>
              <a:noFill/>
            </a:ln>
            <a:effectLst/>
          </c:spPr>
          <c:invertIfNegative val="0"/>
          <c:cat>
            <c:multiLvlStrRef>
              <c:f>BDPQ_doprinosi!$BK$5:$BT$6</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BDPQ_doprinosi!$BK$11:$BT$11</c:f>
              <c:numCache>
                <c:formatCode>0.0</c:formatCode>
                <c:ptCount val="10"/>
                <c:pt idx="0">
                  <c:v>6.7021925054660132</c:v>
                </c:pt>
                <c:pt idx="1">
                  <c:v>6.1635865224273729</c:v>
                </c:pt>
                <c:pt idx="2">
                  <c:v>0.92070541307283171</c:v>
                </c:pt>
                <c:pt idx="3">
                  <c:v>-2.0405343190694194</c:v>
                </c:pt>
                <c:pt idx="4">
                  <c:v>-0.32069839698601643</c:v>
                </c:pt>
                <c:pt idx="5">
                  <c:v>-1.3559485110901246</c:v>
                </c:pt>
                <c:pt idx="6">
                  <c:v>-4.6142390333432282</c:v>
                </c:pt>
                <c:pt idx="7">
                  <c:v>0.29650386775328919</c:v>
                </c:pt>
                <c:pt idx="8">
                  <c:v>-1.8760599497380106</c:v>
                </c:pt>
                <c:pt idx="9">
                  <c:v>-3.2529634828938296</c:v>
                </c:pt>
              </c:numCache>
            </c:numRef>
          </c:val>
          <c:extLst>
            <c:ext xmlns:c16="http://schemas.microsoft.com/office/drawing/2014/chart" uri="{C3380CC4-5D6E-409C-BE32-E72D297353CC}">
              <c16:uniqueId val="{00000003-D0F0-4525-9248-28703AB93A84}"/>
            </c:ext>
          </c:extLst>
        </c:ser>
        <c:ser>
          <c:idx val="4"/>
          <c:order val="4"/>
          <c:tx>
            <c:strRef>
              <c:f>BDPQ_doprinosi!$R$12</c:f>
              <c:strCache>
                <c:ptCount val="1"/>
                <c:pt idx="0">
                  <c:v>Промена у залихама</c:v>
                </c:pt>
              </c:strCache>
            </c:strRef>
          </c:tx>
          <c:spPr>
            <a:solidFill>
              <a:srgbClr val="9ED1E6"/>
            </a:solidFill>
            <a:ln>
              <a:noFill/>
            </a:ln>
            <a:effectLst/>
          </c:spPr>
          <c:invertIfNegative val="0"/>
          <c:cat>
            <c:multiLvlStrRef>
              <c:f>BDPQ_doprinosi!$BK$5:$BT$6</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BDPQ_doprinosi!$BK$12:$BT$12</c:f>
              <c:numCache>
                <c:formatCode>0.0</c:formatCode>
                <c:ptCount val="10"/>
                <c:pt idx="0">
                  <c:v>-4.3097035859256652</c:v>
                </c:pt>
                <c:pt idx="1">
                  <c:v>-3.485844817562926</c:v>
                </c:pt>
                <c:pt idx="2">
                  <c:v>0.785106039287504</c:v>
                </c:pt>
                <c:pt idx="3">
                  <c:v>1.9361009131925622</c:v>
                </c:pt>
                <c:pt idx="4">
                  <c:v>-0.26705789862863427</c:v>
                </c:pt>
                <c:pt idx="5">
                  <c:v>-0.23405003990685902</c:v>
                </c:pt>
                <c:pt idx="6">
                  <c:v>3.0181019750906408</c:v>
                </c:pt>
                <c:pt idx="7">
                  <c:v>0.63388429880071628</c:v>
                </c:pt>
                <c:pt idx="8">
                  <c:v>2.816913774682241</c:v>
                </c:pt>
                <c:pt idx="9">
                  <c:v>3.5471564496878809</c:v>
                </c:pt>
              </c:numCache>
            </c:numRef>
          </c:val>
          <c:extLst>
            <c:ext xmlns:c16="http://schemas.microsoft.com/office/drawing/2014/chart" uri="{C3380CC4-5D6E-409C-BE32-E72D297353CC}">
              <c16:uniqueId val="{00000004-D0F0-4525-9248-28703AB93A84}"/>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BDPQ_doprinosi!$R$13</c:f>
              <c:strCache>
                <c:ptCount val="1"/>
                <c:pt idx="0">
                  <c:v>Реални раст БДП</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BDPQ_doprinosi!$BK$5:$BT$6</c:f>
              <c:multiLvlStrCache>
                <c:ptCount val="10"/>
                <c:lvl>
                  <c:pt idx="0">
                    <c:v>Q1</c:v>
                  </c:pt>
                  <c:pt idx="1">
                    <c:v>Q2</c:v>
                  </c:pt>
                  <c:pt idx="2">
                    <c:v>Q3</c:v>
                  </c:pt>
                  <c:pt idx="3">
                    <c:v>Q4</c:v>
                  </c:pt>
                  <c:pt idx="4">
                    <c:v>Q1</c:v>
                  </c:pt>
                  <c:pt idx="5">
                    <c:v>Q2</c:v>
                  </c:pt>
                  <c:pt idx="6">
                    <c:v>Q3</c:v>
                  </c:pt>
                  <c:pt idx="7">
                    <c:v>Q4</c:v>
                  </c:pt>
                  <c:pt idx="8">
                    <c:v>Q1</c:v>
                  </c:pt>
                  <c:pt idx="9">
                    <c:v>Q2</c:v>
                  </c:pt>
                </c:lvl>
                <c:lvl>
                  <c:pt idx="0">
                    <c:v>2023</c:v>
                  </c:pt>
                  <c:pt idx="4">
                    <c:v>2024</c:v>
                  </c:pt>
                  <c:pt idx="8">
                    <c:v>2025</c:v>
                  </c:pt>
                </c:lvl>
              </c:multiLvlStrCache>
            </c:multiLvlStrRef>
          </c:cat>
          <c:val>
            <c:numRef>
              <c:f>BDPQ_doprinosi!$BK$13:$BT$13</c:f>
              <c:numCache>
                <c:formatCode>0.0</c:formatCode>
                <c:ptCount val="10"/>
                <c:pt idx="0">
                  <c:v>2.320709512340021</c:v>
                </c:pt>
                <c:pt idx="1">
                  <c:v>3.0300293715801172</c:v>
                </c:pt>
                <c:pt idx="2">
                  <c:v>4.802102863214059</c:v>
                </c:pt>
                <c:pt idx="3">
                  <c:v>5.0826269021904906</c:v>
                </c:pt>
                <c:pt idx="4">
                  <c:v>4.5801499504263754</c:v>
                </c:pt>
                <c:pt idx="5">
                  <c:v>4.5112952261276318</c:v>
                </c:pt>
                <c:pt idx="6">
                  <c:v>3.2383156772741</c:v>
                </c:pt>
                <c:pt idx="7">
                  <c:v>3.2849695627374524</c:v>
                </c:pt>
                <c:pt idx="8">
                  <c:v>1.8670489184555561</c:v>
                </c:pt>
                <c:pt idx="9">
                  <c:v>2.0501555571902759</c:v>
                </c:pt>
              </c:numCache>
            </c:numRef>
          </c:val>
          <c:smooth val="0"/>
          <c:extLst>
            <c:ext xmlns:c16="http://schemas.microsoft.com/office/drawing/2014/chart" uri="{C3380CC4-5D6E-409C-BE32-E72D297353CC}">
              <c16:uniqueId val="{00000005-D0F0-4525-9248-28703AB93A84}"/>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5072"/>
        <c:crosses val="autoZero"/>
        <c:auto val="1"/>
        <c:lblAlgn val="ctr"/>
        <c:lblOffset val="0"/>
        <c:noMultiLvlLbl val="0"/>
      </c:catAx>
      <c:valAx>
        <c:axId val="1768855072"/>
        <c:scaling>
          <c:orientation val="minMax"/>
          <c:max val="8"/>
          <c:min val="-8"/>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248"/>
        <c:crosses val="autoZero"/>
        <c:crossBetween val="between"/>
        <c:majorUnit val="2"/>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4.2497000239980799E-2"/>
          <c:w val="0.88461960155100949"/>
          <c:h val="0.84012087087087106"/>
        </c:manualLayout>
      </c:layout>
      <c:lineChart>
        <c:grouping val="standard"/>
        <c:varyColors val="0"/>
        <c:ser>
          <c:idx val="0"/>
          <c:order val="0"/>
          <c:tx>
            <c:strRef>
              <c:f>Usluge!$E$5</c:f>
              <c:strCache>
                <c:ptCount val="1"/>
                <c:pt idx="0">
                  <c:v>y</c:v>
                </c:pt>
              </c:strCache>
            </c:strRef>
          </c:tx>
          <c:spPr>
            <a:ln w="12700" cap="rnd">
              <a:solidFill>
                <a:srgbClr val="7F3F98"/>
              </a:solidFill>
              <a:prstDash val="sysDash"/>
              <a:round/>
            </a:ln>
            <a:effectLst/>
          </c:spPr>
          <c:marker>
            <c:symbol val="none"/>
          </c:marker>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Usluge!$E$174:$E$204</c:f>
              <c:numCache>
                <c:formatCode>0.0</c:formatCode>
                <c:ptCount val="31"/>
                <c:pt idx="0">
                  <c:v>83.246076837000004</c:v>
                </c:pt>
                <c:pt idx="1">
                  <c:v>79.914472910000001</c:v>
                </c:pt>
                <c:pt idx="2">
                  <c:v>91.467343444999997</c:v>
                </c:pt>
                <c:pt idx="3">
                  <c:v>92.806409857999995</c:v>
                </c:pt>
                <c:pt idx="4">
                  <c:v>92.359305065000001</c:v>
                </c:pt>
                <c:pt idx="5">
                  <c:v>93.438145956</c:v>
                </c:pt>
                <c:pt idx="6">
                  <c:v>98.798891843000007</c:v>
                </c:pt>
                <c:pt idx="7">
                  <c:v>99.277481608000002</c:v>
                </c:pt>
                <c:pt idx="8">
                  <c:v>96.588565790999994</c:v>
                </c:pt>
                <c:pt idx="9">
                  <c:v>101.36575942499999</c:v>
                </c:pt>
                <c:pt idx="10">
                  <c:v>100.271893226</c:v>
                </c:pt>
                <c:pt idx="11">
                  <c:v>108.949395317</c:v>
                </c:pt>
                <c:pt idx="12">
                  <c:v>86.590151645999995</c:v>
                </c:pt>
                <c:pt idx="13">
                  <c:v>86.776673349000006</c:v>
                </c:pt>
                <c:pt idx="14">
                  <c:v>97.440492444</c:v>
                </c:pt>
                <c:pt idx="15">
                  <c:v>103.32614981499999</c:v>
                </c:pt>
                <c:pt idx="16">
                  <c:v>98.509431837999998</c:v>
                </c:pt>
                <c:pt idx="17">
                  <c:v>100.21987883</c:v>
                </c:pt>
                <c:pt idx="18">
                  <c:v>104.496336396</c:v>
                </c:pt>
                <c:pt idx="19">
                  <c:v>104.591419504</c:v>
                </c:pt>
                <c:pt idx="20">
                  <c:v>99.647097854999998</c:v>
                </c:pt>
                <c:pt idx="21">
                  <c:v>104.87666883</c:v>
                </c:pt>
                <c:pt idx="22">
                  <c:v>101.738926245</c:v>
                </c:pt>
                <c:pt idx="23">
                  <c:v>109.82099048000001</c:v>
                </c:pt>
                <c:pt idx="24">
                  <c:v>89.4</c:v>
                </c:pt>
                <c:pt idx="25">
                  <c:v>86.8</c:v>
                </c:pt>
                <c:pt idx="26">
                  <c:v>97.9</c:v>
                </c:pt>
                <c:pt idx="27">
                  <c:v>104</c:v>
                </c:pt>
                <c:pt idx="28">
                  <c:v>104.3</c:v>
                </c:pt>
                <c:pt idx="29">
                  <c:v>104.8</c:v>
                </c:pt>
                <c:pt idx="30">
                  <c:v>106.5</c:v>
                </c:pt>
              </c:numCache>
            </c:numRef>
          </c:val>
          <c:smooth val="0"/>
          <c:extLst>
            <c:ext xmlns:c16="http://schemas.microsoft.com/office/drawing/2014/chart" uri="{C3380CC4-5D6E-409C-BE32-E72D297353CC}">
              <c16:uniqueId val="{00000000-B56F-477F-A42D-DED9A346EDF0}"/>
            </c:ext>
          </c:extLst>
        </c:ser>
        <c:ser>
          <c:idx val="1"/>
          <c:order val="1"/>
          <c:tx>
            <c:strRef>
              <c:f>Usluge!$F$5</c:f>
              <c:strCache>
                <c:ptCount val="1"/>
                <c:pt idx="0">
                  <c:v>sa</c:v>
                </c:pt>
              </c:strCache>
            </c:strRef>
          </c:tx>
          <c:spPr>
            <a:ln w="22225" cap="rnd">
              <a:solidFill>
                <a:srgbClr val="25AAE1"/>
              </a:solidFill>
              <a:round/>
            </a:ln>
            <a:effectLst/>
          </c:spPr>
          <c:marker>
            <c:symbol val="none"/>
          </c:marker>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Usluge!$F$174:$F$204</c:f>
              <c:numCache>
                <c:formatCode>0.0</c:formatCode>
                <c:ptCount val="31"/>
                <c:pt idx="0">
                  <c:v>94.950621104999996</c:v>
                </c:pt>
                <c:pt idx="1">
                  <c:v>93.845193488999996</c:v>
                </c:pt>
                <c:pt idx="2">
                  <c:v>93.351580104000007</c:v>
                </c:pt>
                <c:pt idx="3">
                  <c:v>92.604870257000002</c:v>
                </c:pt>
                <c:pt idx="4">
                  <c:v>92.331070226999998</c:v>
                </c:pt>
                <c:pt idx="5">
                  <c:v>91.511813513000007</c:v>
                </c:pt>
                <c:pt idx="6">
                  <c:v>94.812929471999993</c:v>
                </c:pt>
                <c:pt idx="7">
                  <c:v>95.241222074000007</c:v>
                </c:pt>
                <c:pt idx="8">
                  <c:v>95.549227078000001</c:v>
                </c:pt>
                <c:pt idx="9">
                  <c:v>97.208677589000004</c:v>
                </c:pt>
                <c:pt idx="10">
                  <c:v>98.835248351999994</c:v>
                </c:pt>
                <c:pt idx="11">
                  <c:v>99.054224051000006</c:v>
                </c:pt>
                <c:pt idx="12">
                  <c:v>97.522661925999998</c:v>
                </c:pt>
                <c:pt idx="13">
                  <c:v>98.216238782000005</c:v>
                </c:pt>
                <c:pt idx="14">
                  <c:v>100.045551459</c:v>
                </c:pt>
                <c:pt idx="15">
                  <c:v>101.490047713</c:v>
                </c:pt>
                <c:pt idx="16">
                  <c:v>98.847028546000004</c:v>
                </c:pt>
                <c:pt idx="17">
                  <c:v>99.114015619</c:v>
                </c:pt>
                <c:pt idx="18">
                  <c:v>99.813729260000002</c:v>
                </c:pt>
                <c:pt idx="19">
                  <c:v>99.601708115999998</c:v>
                </c:pt>
                <c:pt idx="20">
                  <c:v>100.42510581099999</c:v>
                </c:pt>
                <c:pt idx="21">
                  <c:v>99.539125429999999</c:v>
                </c:pt>
                <c:pt idx="22">
                  <c:v>99.424126255000004</c:v>
                </c:pt>
                <c:pt idx="23">
                  <c:v>100.42711484599999</c:v>
                </c:pt>
                <c:pt idx="24">
                  <c:v>101.30946067000001</c:v>
                </c:pt>
                <c:pt idx="25">
                  <c:v>101.867800492</c:v>
                </c:pt>
                <c:pt idx="26">
                  <c:v>100.58654073</c:v>
                </c:pt>
                <c:pt idx="27">
                  <c:v>102.847984927</c:v>
                </c:pt>
                <c:pt idx="28">
                  <c:v>103.49700143299999</c:v>
                </c:pt>
                <c:pt idx="29">
                  <c:v>104.07005622299999</c:v>
                </c:pt>
                <c:pt idx="30">
                  <c:v>101.982524897</c:v>
                </c:pt>
              </c:numCache>
            </c:numRef>
          </c:val>
          <c:smooth val="0"/>
          <c:extLst>
            <c:ext xmlns:c16="http://schemas.microsoft.com/office/drawing/2014/chart" uri="{C3380CC4-5D6E-409C-BE32-E72D297353CC}">
              <c16:uniqueId val="{00000001-B56F-477F-A42D-DED9A346EDF0}"/>
            </c:ext>
          </c:extLst>
        </c:ser>
        <c:ser>
          <c:idx val="2"/>
          <c:order val="2"/>
          <c:tx>
            <c:strRef>
              <c:f>Usluge!$G$5</c:f>
              <c:strCache>
                <c:ptCount val="1"/>
                <c:pt idx="0">
                  <c:v>t</c:v>
                </c:pt>
              </c:strCache>
            </c:strRef>
          </c:tx>
          <c:spPr>
            <a:ln w="25400" cap="rnd">
              <a:solidFill>
                <a:srgbClr val="FF0000"/>
              </a:solidFill>
              <a:round/>
            </a:ln>
            <a:effectLst/>
          </c:spPr>
          <c:marker>
            <c:symbol val="none"/>
          </c:marker>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Usluge!$G$174:$G$204</c:f>
              <c:numCache>
                <c:formatCode>0.0</c:formatCode>
                <c:ptCount val="31"/>
                <c:pt idx="0">
                  <c:v>94.340321216000007</c:v>
                </c:pt>
                <c:pt idx="1">
                  <c:v>93.691056854999999</c:v>
                </c:pt>
                <c:pt idx="2">
                  <c:v>93.151688747999998</c:v>
                </c:pt>
                <c:pt idx="3">
                  <c:v>92.866825452</c:v>
                </c:pt>
                <c:pt idx="4">
                  <c:v>92.885414964999995</c:v>
                </c:pt>
                <c:pt idx="5">
                  <c:v>93.260888331999993</c:v>
                </c:pt>
                <c:pt idx="6">
                  <c:v>94.047352642999996</c:v>
                </c:pt>
                <c:pt idx="7">
                  <c:v>95.125046648999998</c:v>
                </c:pt>
                <c:pt idx="8">
                  <c:v>96.216774509999993</c:v>
                </c:pt>
                <c:pt idx="9">
                  <c:v>97.145515744999997</c:v>
                </c:pt>
                <c:pt idx="10">
                  <c:v>97.855014553999993</c:v>
                </c:pt>
                <c:pt idx="11">
                  <c:v>98.366603339999998</c:v>
                </c:pt>
                <c:pt idx="12">
                  <c:v>98.714135983999995</c:v>
                </c:pt>
                <c:pt idx="13">
                  <c:v>98.943128453</c:v>
                </c:pt>
                <c:pt idx="14">
                  <c:v>99.074059943999998</c:v>
                </c:pt>
                <c:pt idx="15">
                  <c:v>99.203627819999994</c:v>
                </c:pt>
                <c:pt idx="16">
                  <c:v>99.375664912999994</c:v>
                </c:pt>
                <c:pt idx="17">
                  <c:v>99.521429044000001</c:v>
                </c:pt>
                <c:pt idx="18">
                  <c:v>99.582474798999996</c:v>
                </c:pt>
                <c:pt idx="19">
                  <c:v>99.604502816999997</c:v>
                </c:pt>
                <c:pt idx="20">
                  <c:v>99.710511831000005</c:v>
                </c:pt>
                <c:pt idx="21">
                  <c:v>99.887963119999995</c:v>
                </c:pt>
                <c:pt idx="22">
                  <c:v>100.10633648300001</c:v>
                </c:pt>
                <c:pt idx="23">
                  <c:v>100.411460023</c:v>
                </c:pt>
                <c:pt idx="24">
                  <c:v>100.890804989</c:v>
                </c:pt>
                <c:pt idx="25">
                  <c:v>101.498472456</c:v>
                </c:pt>
                <c:pt idx="26">
                  <c:v>102.118614384</c:v>
                </c:pt>
                <c:pt idx="27">
                  <c:v>102.64355510199999</c:v>
                </c:pt>
                <c:pt idx="28">
                  <c:v>103.003230942</c:v>
                </c:pt>
                <c:pt idx="29">
                  <c:v>103.215613573</c:v>
                </c:pt>
                <c:pt idx="30">
                  <c:v>103.315747532</c:v>
                </c:pt>
              </c:numCache>
            </c:numRef>
          </c:val>
          <c:smooth val="0"/>
          <c:extLst>
            <c:ext xmlns:c16="http://schemas.microsoft.com/office/drawing/2014/chart" uri="{C3380CC4-5D6E-409C-BE32-E72D297353CC}">
              <c16:uniqueId val="{00000002-B56F-477F-A42D-DED9A346EDF0}"/>
            </c:ext>
          </c:extLst>
        </c:ser>
        <c:ser>
          <c:idx val="3"/>
          <c:order val="3"/>
          <c:tx>
            <c:strRef>
              <c:f>Usluge!$H$5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2438108692908215"/>
                  <c:y val="4.582650130065464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56F-477F-A42D-DED9A346EDF0}"/>
                </c:ext>
              </c:extLst>
            </c:dLbl>
            <c:dLbl>
              <c:idx val="12"/>
              <c:layout>
                <c:manualLayout>
                  <c:x val="7.536260554451521E-2"/>
                  <c:y val="5.561223231787752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56F-477F-A42D-DED9A346EDF0}"/>
                </c:ext>
              </c:extLst>
            </c:dLbl>
            <c:dLbl>
              <c:idx val="24"/>
              <c:layout>
                <c:manualLayout>
                  <c:x val="1.8610271017899898E-2"/>
                  <c:y val="5.561223231787752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56F-477F-A42D-DED9A346EDF0}"/>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Usluge!$H$174:$H$204</c:f>
              <c:numCache>
                <c:formatCode>General</c:formatCode>
                <c:ptCount val="31"/>
                <c:pt idx="0">
                  <c:v>60</c:v>
                </c:pt>
                <c:pt idx="12">
                  <c:v>60</c:v>
                </c:pt>
                <c:pt idx="24">
                  <c:v>60</c:v>
                </c:pt>
              </c:numCache>
            </c:numRef>
          </c:val>
          <c:smooth val="0"/>
          <c:extLst>
            <c:ext xmlns:c16="http://schemas.microsoft.com/office/drawing/2014/chart" uri="{C3380CC4-5D6E-409C-BE32-E72D297353CC}">
              <c16:uniqueId val="{00000006-B56F-477F-A42D-DED9A346EDF0}"/>
            </c:ext>
          </c:extLst>
        </c:ser>
        <c:ser>
          <c:idx val="4"/>
          <c:order val="4"/>
          <c:tx>
            <c:strRef>
              <c:f>Usluge!$I$5</c:f>
              <c:strCache>
                <c:ptCount val="1"/>
                <c:pt idx="0">
                  <c:v>Series5</c:v>
                </c:pt>
              </c:strCache>
            </c:strRef>
          </c:tx>
          <c:spPr>
            <a:ln w="28575" cap="rnd">
              <a:noFill/>
              <a:round/>
            </a:ln>
            <a:effectLst/>
          </c:spPr>
          <c:marker>
            <c:symbol val="none"/>
          </c:marker>
          <c:dLbls>
            <c:dLbl>
              <c:idx val="0"/>
              <c:tx>
                <c:rich>
                  <a:bodyPr/>
                  <a:lstStyle/>
                  <a:p>
                    <a:fld id="{625CB484-78EB-452E-9488-3B415E0E83F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B56F-477F-A42D-DED9A346EDF0}"/>
                </c:ext>
              </c:extLst>
            </c:dLbl>
            <c:dLbl>
              <c:idx val="1"/>
              <c:tx>
                <c:rich>
                  <a:bodyPr/>
                  <a:lstStyle/>
                  <a:p>
                    <a:fld id="{2A44FE9D-A27B-4846-9953-C7990863FBF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B56F-477F-A42D-DED9A346EDF0}"/>
                </c:ext>
              </c:extLst>
            </c:dLbl>
            <c:dLbl>
              <c:idx val="2"/>
              <c:tx>
                <c:rich>
                  <a:bodyPr/>
                  <a:lstStyle/>
                  <a:p>
                    <a:fld id="{4B33D681-E28D-4B26-8D0C-38852CA30A2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B56F-477F-A42D-DED9A346EDF0}"/>
                </c:ext>
              </c:extLst>
            </c:dLbl>
            <c:dLbl>
              <c:idx val="3"/>
              <c:tx>
                <c:rich>
                  <a:bodyPr/>
                  <a:lstStyle/>
                  <a:p>
                    <a:fld id="{D970CFBF-E6CA-426A-8338-54FB4987743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B56F-477F-A42D-DED9A346EDF0}"/>
                </c:ext>
              </c:extLst>
            </c:dLbl>
            <c:dLbl>
              <c:idx val="4"/>
              <c:tx>
                <c:rich>
                  <a:bodyPr/>
                  <a:lstStyle/>
                  <a:p>
                    <a:fld id="{BE9A6168-D44F-4AB0-9D37-749BEDA45F5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B56F-477F-A42D-DED9A346EDF0}"/>
                </c:ext>
              </c:extLst>
            </c:dLbl>
            <c:dLbl>
              <c:idx val="5"/>
              <c:tx>
                <c:rich>
                  <a:bodyPr/>
                  <a:lstStyle/>
                  <a:p>
                    <a:fld id="{686CC462-958A-4339-87F0-6C456826D9F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B56F-477F-A42D-DED9A346EDF0}"/>
                </c:ext>
              </c:extLst>
            </c:dLbl>
            <c:dLbl>
              <c:idx val="6"/>
              <c:tx>
                <c:rich>
                  <a:bodyPr/>
                  <a:lstStyle/>
                  <a:p>
                    <a:fld id="{C0C8F0F7-45DD-4E53-B202-81B9697CA83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B56F-477F-A42D-DED9A346EDF0}"/>
                </c:ext>
              </c:extLst>
            </c:dLbl>
            <c:dLbl>
              <c:idx val="7"/>
              <c:tx>
                <c:rich>
                  <a:bodyPr/>
                  <a:lstStyle/>
                  <a:p>
                    <a:fld id="{9BBE1B02-35ED-4880-8850-21F24327583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B56F-477F-A42D-DED9A346EDF0}"/>
                </c:ext>
              </c:extLst>
            </c:dLbl>
            <c:dLbl>
              <c:idx val="8"/>
              <c:tx>
                <c:rich>
                  <a:bodyPr/>
                  <a:lstStyle/>
                  <a:p>
                    <a:fld id="{6E500241-322B-4BBC-B494-BC8579381E7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B56F-477F-A42D-DED9A346EDF0}"/>
                </c:ext>
              </c:extLst>
            </c:dLbl>
            <c:dLbl>
              <c:idx val="9"/>
              <c:tx>
                <c:rich>
                  <a:bodyPr/>
                  <a:lstStyle/>
                  <a:p>
                    <a:fld id="{96B057F5-4E0F-454E-961B-6A8B9F6907D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B56F-477F-A42D-DED9A346EDF0}"/>
                </c:ext>
              </c:extLst>
            </c:dLbl>
            <c:dLbl>
              <c:idx val="10"/>
              <c:tx>
                <c:rich>
                  <a:bodyPr/>
                  <a:lstStyle/>
                  <a:p>
                    <a:fld id="{6C1E59EE-81EE-4653-809E-CF139990080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B56F-477F-A42D-DED9A346EDF0}"/>
                </c:ext>
              </c:extLst>
            </c:dLbl>
            <c:dLbl>
              <c:idx val="11"/>
              <c:tx>
                <c:rich>
                  <a:bodyPr/>
                  <a:lstStyle/>
                  <a:p>
                    <a:fld id="{249EC6FE-30B6-4325-A1B2-110AE12797D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B56F-477F-A42D-DED9A346EDF0}"/>
                </c:ext>
              </c:extLst>
            </c:dLbl>
            <c:dLbl>
              <c:idx val="12"/>
              <c:tx>
                <c:rich>
                  <a:bodyPr/>
                  <a:lstStyle/>
                  <a:p>
                    <a:fld id="{D8A9827C-6846-40EF-AF28-18B059EC8C2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B56F-477F-A42D-DED9A346EDF0}"/>
                </c:ext>
              </c:extLst>
            </c:dLbl>
            <c:dLbl>
              <c:idx val="13"/>
              <c:tx>
                <c:rich>
                  <a:bodyPr/>
                  <a:lstStyle/>
                  <a:p>
                    <a:fld id="{CBA5BD8B-C370-40C9-BC3C-4746040A7BB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B56F-477F-A42D-DED9A346EDF0}"/>
                </c:ext>
              </c:extLst>
            </c:dLbl>
            <c:dLbl>
              <c:idx val="14"/>
              <c:tx>
                <c:rich>
                  <a:bodyPr/>
                  <a:lstStyle/>
                  <a:p>
                    <a:fld id="{4BFC36F7-8F82-4BC9-9833-5B0949943FE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B56F-477F-A42D-DED9A346EDF0}"/>
                </c:ext>
              </c:extLst>
            </c:dLbl>
            <c:dLbl>
              <c:idx val="15"/>
              <c:tx>
                <c:rich>
                  <a:bodyPr/>
                  <a:lstStyle/>
                  <a:p>
                    <a:fld id="{0BC7465C-F045-454E-A5DA-DB8EBE69082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B56F-477F-A42D-DED9A346EDF0}"/>
                </c:ext>
              </c:extLst>
            </c:dLbl>
            <c:dLbl>
              <c:idx val="16"/>
              <c:tx>
                <c:rich>
                  <a:bodyPr/>
                  <a:lstStyle/>
                  <a:p>
                    <a:fld id="{2B894CB2-5241-40C5-AE34-0B032786A3A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B56F-477F-A42D-DED9A346EDF0}"/>
                </c:ext>
              </c:extLst>
            </c:dLbl>
            <c:dLbl>
              <c:idx val="17"/>
              <c:tx>
                <c:rich>
                  <a:bodyPr/>
                  <a:lstStyle/>
                  <a:p>
                    <a:fld id="{76134F9D-1608-4DCE-A3C2-4224369C464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B56F-477F-A42D-DED9A346EDF0}"/>
                </c:ext>
              </c:extLst>
            </c:dLbl>
            <c:dLbl>
              <c:idx val="18"/>
              <c:tx>
                <c:rich>
                  <a:bodyPr/>
                  <a:lstStyle/>
                  <a:p>
                    <a:fld id="{EFAFDCF8-665D-4502-99AB-05AD91F18D3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B56F-477F-A42D-DED9A346EDF0}"/>
                </c:ext>
              </c:extLst>
            </c:dLbl>
            <c:dLbl>
              <c:idx val="19"/>
              <c:tx>
                <c:rich>
                  <a:bodyPr/>
                  <a:lstStyle/>
                  <a:p>
                    <a:fld id="{5B806661-13AE-495B-AE80-58FB5D27432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B56F-477F-A42D-DED9A346EDF0}"/>
                </c:ext>
              </c:extLst>
            </c:dLbl>
            <c:dLbl>
              <c:idx val="20"/>
              <c:tx>
                <c:rich>
                  <a:bodyPr/>
                  <a:lstStyle/>
                  <a:p>
                    <a:fld id="{A8498884-018C-4046-96FE-64086DA6A73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B56F-477F-A42D-DED9A346EDF0}"/>
                </c:ext>
              </c:extLst>
            </c:dLbl>
            <c:dLbl>
              <c:idx val="21"/>
              <c:tx>
                <c:rich>
                  <a:bodyPr/>
                  <a:lstStyle/>
                  <a:p>
                    <a:fld id="{AD1F1B63-35CC-41BC-AD55-7D27F418937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B56F-477F-A42D-DED9A346EDF0}"/>
                </c:ext>
              </c:extLst>
            </c:dLbl>
            <c:dLbl>
              <c:idx val="22"/>
              <c:tx>
                <c:rich>
                  <a:bodyPr/>
                  <a:lstStyle/>
                  <a:p>
                    <a:fld id="{8E9557BF-B22F-4F44-AA8A-3E121C9AA51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B56F-477F-A42D-DED9A346EDF0}"/>
                </c:ext>
              </c:extLst>
            </c:dLbl>
            <c:dLbl>
              <c:idx val="23"/>
              <c:tx>
                <c:rich>
                  <a:bodyPr/>
                  <a:lstStyle/>
                  <a:p>
                    <a:fld id="{982AA9FA-1923-4ED1-91F0-C74E5886EEF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B56F-477F-A42D-DED9A346EDF0}"/>
                </c:ext>
              </c:extLst>
            </c:dLbl>
            <c:dLbl>
              <c:idx val="24"/>
              <c:tx>
                <c:rich>
                  <a:bodyPr/>
                  <a:lstStyle/>
                  <a:p>
                    <a:fld id="{ECBDC9FD-0552-4A0D-8392-C31BA72525D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B56F-477F-A42D-DED9A346EDF0}"/>
                </c:ext>
              </c:extLst>
            </c:dLbl>
            <c:dLbl>
              <c:idx val="25"/>
              <c:tx>
                <c:rich>
                  <a:bodyPr/>
                  <a:lstStyle/>
                  <a:p>
                    <a:fld id="{7A82CE99-C590-4862-BB3B-C9DCCB6470E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B56F-477F-A42D-DED9A346EDF0}"/>
                </c:ext>
              </c:extLst>
            </c:dLbl>
            <c:dLbl>
              <c:idx val="26"/>
              <c:tx>
                <c:rich>
                  <a:bodyPr/>
                  <a:lstStyle/>
                  <a:p>
                    <a:fld id="{FF4A6647-2CE0-498B-8321-4971C70B36A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B56F-477F-A42D-DED9A346EDF0}"/>
                </c:ext>
              </c:extLst>
            </c:dLbl>
            <c:dLbl>
              <c:idx val="27"/>
              <c:tx>
                <c:rich>
                  <a:bodyPr/>
                  <a:lstStyle/>
                  <a:p>
                    <a:fld id="{1B83DABA-F705-4BAC-BF18-48DAA544DAD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B56F-477F-A42D-DED9A346EDF0}"/>
                </c:ext>
              </c:extLst>
            </c:dLbl>
            <c:dLbl>
              <c:idx val="28"/>
              <c:tx>
                <c:rich>
                  <a:bodyPr/>
                  <a:lstStyle/>
                  <a:p>
                    <a:fld id="{3B18B6DD-5F26-402E-9336-4E33D00C655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B56F-477F-A42D-DED9A346EDF0}"/>
                </c:ext>
              </c:extLst>
            </c:dLbl>
            <c:dLbl>
              <c:idx val="29"/>
              <c:tx>
                <c:rich>
                  <a:bodyPr/>
                  <a:lstStyle/>
                  <a:p>
                    <a:fld id="{4E4E8439-0173-4234-BB64-30A85EAC410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B56F-477F-A42D-DED9A346EDF0}"/>
                </c:ext>
              </c:extLst>
            </c:dLbl>
            <c:dLbl>
              <c:idx val="30"/>
              <c:tx>
                <c:rich>
                  <a:bodyPr/>
                  <a:lstStyle/>
                  <a:p>
                    <a:fld id="{31D77086-74F0-464C-8AA2-FCC0FC699D4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B56F-477F-A42D-DED9A346EDF0}"/>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Usluge!$I$174:$I$204</c:f>
              <c:numCache>
                <c:formatCode>General</c:formatCode>
                <c:ptCount val="31"/>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numCache>
            </c:numRef>
          </c:val>
          <c:smooth val="0"/>
          <c:extLst>
            <c:ext xmlns:c15="http://schemas.microsoft.com/office/drawing/2012/chart" uri="{02D57815-91ED-43cb-92C2-25804820EDAC}">
              <c15:datalabelsRange>
                <c15:f>Usluge!$J$150:$J$193</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6-B56F-477F-A42D-DED9A346EDF0}"/>
            </c:ext>
          </c:extLst>
        </c:ser>
        <c:dLbls>
          <c:showLegendKey val="0"/>
          <c:showVal val="0"/>
          <c:showCatName val="0"/>
          <c:showSerName val="0"/>
          <c:showPercent val="0"/>
          <c:showBubbleSize val="0"/>
        </c:dLbls>
        <c:smooth val="0"/>
        <c:axId val="2092186640"/>
        <c:axId val="2092182288"/>
      </c:lineChart>
      <c:dateAx>
        <c:axId val="209218664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82288"/>
        <c:crosses val="autoZero"/>
        <c:auto val="1"/>
        <c:lblOffset val="0"/>
        <c:baseTimeUnit val="months"/>
      </c:dateAx>
      <c:valAx>
        <c:axId val="2092182288"/>
        <c:scaling>
          <c:orientation val="minMax"/>
          <c:max val="115"/>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664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7139027777777778"/>
          <c:h val="0.81151726726726725"/>
        </c:manualLayout>
      </c:layout>
      <c:lineChart>
        <c:grouping val="standard"/>
        <c:varyColors val="0"/>
        <c:ser>
          <c:idx val="0"/>
          <c:order val="0"/>
          <c:tx>
            <c:strRef>
              <c:f>Usluge!$L$5</c:f>
              <c:strCache>
                <c:ptCount val="1"/>
                <c:pt idx="0">
                  <c:v>y</c:v>
                </c:pt>
              </c:strCache>
            </c:strRef>
          </c:tx>
          <c:spPr>
            <a:ln w="12700" cap="rnd">
              <a:solidFill>
                <a:srgbClr val="7F3F98"/>
              </a:solidFill>
              <a:prstDash val="sysDash"/>
              <a:round/>
            </a:ln>
            <a:effectLst/>
          </c:spPr>
          <c:marker>
            <c:symbol val="none"/>
          </c:marker>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Usluge!$L$174:$L$204</c:f>
              <c:numCache>
                <c:formatCode>0.0</c:formatCode>
                <c:ptCount val="31"/>
                <c:pt idx="0">
                  <c:v>89.763615919000003</c:v>
                </c:pt>
                <c:pt idx="1">
                  <c:v>87.763615919000003</c:v>
                </c:pt>
                <c:pt idx="2">
                  <c:v>96.863615918999997</c:v>
                </c:pt>
                <c:pt idx="3">
                  <c:v>90.463615919000006</c:v>
                </c:pt>
                <c:pt idx="4">
                  <c:v>99.463615919000006</c:v>
                </c:pt>
                <c:pt idx="5">
                  <c:v>103.96361591900001</c:v>
                </c:pt>
                <c:pt idx="6">
                  <c:v>101.063615919</c:v>
                </c:pt>
                <c:pt idx="7">
                  <c:v>107.263615919</c:v>
                </c:pt>
                <c:pt idx="8">
                  <c:v>102.1</c:v>
                </c:pt>
                <c:pt idx="9">
                  <c:v>105.8</c:v>
                </c:pt>
                <c:pt idx="10">
                  <c:v>99.8</c:v>
                </c:pt>
                <c:pt idx="11">
                  <c:v>114.6</c:v>
                </c:pt>
                <c:pt idx="12">
                  <c:v>101.881605984</c:v>
                </c:pt>
                <c:pt idx="13">
                  <c:v>98.061605983999996</c:v>
                </c:pt>
                <c:pt idx="14">
                  <c:v>102.044644009</c:v>
                </c:pt>
                <c:pt idx="15">
                  <c:v>100.34464400900001</c:v>
                </c:pt>
                <c:pt idx="16">
                  <c:v>104.614630091</c:v>
                </c:pt>
                <c:pt idx="17">
                  <c:v>101.6</c:v>
                </c:pt>
                <c:pt idx="18">
                  <c:v>99.6</c:v>
                </c:pt>
                <c:pt idx="19">
                  <c:v>102.9</c:v>
                </c:pt>
                <c:pt idx="20">
                  <c:v>101.1</c:v>
                </c:pt>
                <c:pt idx="21">
                  <c:v>102.9</c:v>
                </c:pt>
                <c:pt idx="22">
                  <c:v>93.1</c:v>
                </c:pt>
                <c:pt idx="23">
                  <c:v>107.5</c:v>
                </c:pt>
                <c:pt idx="24">
                  <c:v>91</c:v>
                </c:pt>
                <c:pt idx="25">
                  <c:v>82.1</c:v>
                </c:pt>
                <c:pt idx="26">
                  <c:v>94.7</c:v>
                </c:pt>
                <c:pt idx="27">
                  <c:v>94.7</c:v>
                </c:pt>
                <c:pt idx="28">
                  <c:v>107.4</c:v>
                </c:pt>
                <c:pt idx="29">
                  <c:v>103.2</c:v>
                </c:pt>
                <c:pt idx="30">
                  <c:v>102.7</c:v>
                </c:pt>
              </c:numCache>
            </c:numRef>
          </c:val>
          <c:smooth val="0"/>
          <c:extLst>
            <c:ext xmlns:c16="http://schemas.microsoft.com/office/drawing/2014/chart" uri="{C3380CC4-5D6E-409C-BE32-E72D297353CC}">
              <c16:uniqueId val="{00000000-67DC-4D50-99C6-CE3E3D520313}"/>
            </c:ext>
          </c:extLst>
        </c:ser>
        <c:ser>
          <c:idx val="1"/>
          <c:order val="1"/>
          <c:tx>
            <c:strRef>
              <c:f>Usluge!$M$5</c:f>
              <c:strCache>
                <c:ptCount val="1"/>
                <c:pt idx="0">
                  <c:v>sa</c:v>
                </c:pt>
              </c:strCache>
            </c:strRef>
          </c:tx>
          <c:spPr>
            <a:ln w="22225" cap="rnd">
              <a:solidFill>
                <a:srgbClr val="25AAE1"/>
              </a:solidFill>
              <a:round/>
            </a:ln>
            <a:effectLst/>
          </c:spPr>
          <c:marker>
            <c:symbol val="none"/>
          </c:marker>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Usluge!$M$174:$M$204</c:f>
              <c:numCache>
                <c:formatCode>0.0</c:formatCode>
                <c:ptCount val="31"/>
                <c:pt idx="0">
                  <c:v>94.206750701999994</c:v>
                </c:pt>
                <c:pt idx="1">
                  <c:v>95.026487455999998</c:v>
                </c:pt>
                <c:pt idx="2">
                  <c:v>97.484199011000001</c:v>
                </c:pt>
                <c:pt idx="3">
                  <c:v>95.616758899000004</c:v>
                </c:pt>
                <c:pt idx="4">
                  <c:v>95.353067684999999</c:v>
                </c:pt>
                <c:pt idx="5">
                  <c:v>100.007233537</c:v>
                </c:pt>
                <c:pt idx="6">
                  <c:v>99.246407910000002</c:v>
                </c:pt>
                <c:pt idx="7">
                  <c:v>101.72368965</c:v>
                </c:pt>
                <c:pt idx="8">
                  <c:v>101.68442453500001</c:v>
                </c:pt>
                <c:pt idx="9">
                  <c:v>102.185396989</c:v>
                </c:pt>
                <c:pt idx="10">
                  <c:v>106.30493946599999</c:v>
                </c:pt>
                <c:pt idx="11">
                  <c:v>106.301130657</c:v>
                </c:pt>
                <c:pt idx="12">
                  <c:v>107.693398551</c:v>
                </c:pt>
                <c:pt idx="13">
                  <c:v>107.137912026</c:v>
                </c:pt>
                <c:pt idx="14">
                  <c:v>103.91331019</c:v>
                </c:pt>
                <c:pt idx="15">
                  <c:v>105.2405541</c:v>
                </c:pt>
                <c:pt idx="16">
                  <c:v>100.23800665500001</c:v>
                </c:pt>
                <c:pt idx="17">
                  <c:v>99.106722422999994</c:v>
                </c:pt>
                <c:pt idx="18">
                  <c:v>98.628081828999996</c:v>
                </c:pt>
                <c:pt idx="19">
                  <c:v>98.132594952999995</c:v>
                </c:pt>
                <c:pt idx="20">
                  <c:v>100.10601990399999</c:v>
                </c:pt>
                <c:pt idx="21">
                  <c:v>98.910276707999998</c:v>
                </c:pt>
                <c:pt idx="22">
                  <c:v>98.131903910999995</c:v>
                </c:pt>
                <c:pt idx="23">
                  <c:v>98.367074762000001</c:v>
                </c:pt>
                <c:pt idx="24">
                  <c:v>96.427563993999996</c:v>
                </c:pt>
                <c:pt idx="25">
                  <c:v>90.664310173000004</c:v>
                </c:pt>
                <c:pt idx="26">
                  <c:v>97.376378998999996</c:v>
                </c:pt>
                <c:pt idx="27">
                  <c:v>99.071688944000002</c:v>
                </c:pt>
                <c:pt idx="28">
                  <c:v>102.352878777</c:v>
                </c:pt>
                <c:pt idx="29">
                  <c:v>100.997772271</c:v>
                </c:pt>
                <c:pt idx="30">
                  <c:v>101.92393011599999</c:v>
                </c:pt>
              </c:numCache>
            </c:numRef>
          </c:val>
          <c:smooth val="0"/>
          <c:extLst>
            <c:ext xmlns:c16="http://schemas.microsoft.com/office/drawing/2014/chart" uri="{C3380CC4-5D6E-409C-BE32-E72D297353CC}">
              <c16:uniqueId val="{00000001-67DC-4D50-99C6-CE3E3D520313}"/>
            </c:ext>
          </c:extLst>
        </c:ser>
        <c:ser>
          <c:idx val="2"/>
          <c:order val="2"/>
          <c:tx>
            <c:strRef>
              <c:f>Usluge!$N$5</c:f>
              <c:strCache>
                <c:ptCount val="1"/>
                <c:pt idx="0">
                  <c:v>t</c:v>
                </c:pt>
              </c:strCache>
            </c:strRef>
          </c:tx>
          <c:spPr>
            <a:ln w="25400" cap="rnd">
              <a:solidFill>
                <a:srgbClr val="FF0000"/>
              </a:solidFill>
              <a:round/>
            </a:ln>
            <a:effectLst/>
          </c:spPr>
          <c:marker>
            <c:symbol val="none"/>
          </c:marker>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Usluge!$N$174:$N$204</c:f>
              <c:numCache>
                <c:formatCode>0.0</c:formatCode>
                <c:ptCount val="31"/>
                <c:pt idx="0">
                  <c:v>96.466324639000007</c:v>
                </c:pt>
                <c:pt idx="1">
                  <c:v>96.474488929000003</c:v>
                </c:pt>
                <c:pt idx="2">
                  <c:v>96.634581531999999</c:v>
                </c:pt>
                <c:pt idx="3">
                  <c:v>97.037008755000002</c:v>
                </c:pt>
                <c:pt idx="4">
                  <c:v>97.717686839999999</c:v>
                </c:pt>
                <c:pt idx="5">
                  <c:v>98.676850306999995</c:v>
                </c:pt>
                <c:pt idx="6">
                  <c:v>99.881182267</c:v>
                </c:pt>
                <c:pt idx="7">
                  <c:v>101.229832249</c:v>
                </c:pt>
                <c:pt idx="8">
                  <c:v>102.594596318</c:v>
                </c:pt>
                <c:pt idx="9">
                  <c:v>103.80811522800001</c:v>
                </c:pt>
                <c:pt idx="10">
                  <c:v>104.714160738</c:v>
                </c:pt>
                <c:pt idx="11">
                  <c:v>105.22719865800001</c:v>
                </c:pt>
                <c:pt idx="12">
                  <c:v>105.30877936</c:v>
                </c:pt>
                <c:pt idx="13">
                  <c:v>104.98981074</c:v>
                </c:pt>
                <c:pt idx="14">
                  <c:v>104.319601616</c:v>
                </c:pt>
                <c:pt idx="15">
                  <c:v>103.39099877300001</c:v>
                </c:pt>
                <c:pt idx="16">
                  <c:v>102.319816448</c:v>
                </c:pt>
                <c:pt idx="17">
                  <c:v>101.199114811</c:v>
                </c:pt>
                <c:pt idx="18">
                  <c:v>100.12461089999999</c:v>
                </c:pt>
                <c:pt idx="19">
                  <c:v>99.198323870999999</c:v>
                </c:pt>
                <c:pt idx="20">
                  <c:v>98.492114427999994</c:v>
                </c:pt>
                <c:pt idx="21">
                  <c:v>98.051611058000006</c:v>
                </c:pt>
                <c:pt idx="22">
                  <c:v>97.875737845000003</c:v>
                </c:pt>
                <c:pt idx="23">
                  <c:v>97.929567218000003</c:v>
                </c:pt>
                <c:pt idx="24">
                  <c:v>98.172172001000007</c:v>
                </c:pt>
                <c:pt idx="25">
                  <c:v>98.550253440000006</c:v>
                </c:pt>
                <c:pt idx="26">
                  <c:v>99.031387049000003</c:v>
                </c:pt>
                <c:pt idx="27">
                  <c:v>99.568914097999993</c:v>
                </c:pt>
                <c:pt idx="28">
                  <c:v>100.112574521</c:v>
                </c:pt>
                <c:pt idx="29">
                  <c:v>100.630641122</c:v>
                </c:pt>
                <c:pt idx="30">
                  <c:v>101.079957466</c:v>
                </c:pt>
              </c:numCache>
            </c:numRef>
          </c:val>
          <c:smooth val="0"/>
          <c:extLst>
            <c:ext xmlns:c16="http://schemas.microsoft.com/office/drawing/2014/chart" uri="{C3380CC4-5D6E-409C-BE32-E72D297353CC}">
              <c16:uniqueId val="{00000002-67DC-4D50-99C6-CE3E3D520313}"/>
            </c:ext>
          </c:extLst>
        </c:ser>
        <c:ser>
          <c:idx val="3"/>
          <c:order val="3"/>
          <c:tx>
            <c:strRef>
              <c:f>Usluge!$O$5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4581652026664552"/>
                  <c:y val="6.3654639207032168E-2"/>
                </c:manualLayout>
              </c:layout>
              <c:dLblPos val="r"/>
              <c:showLegendKey val="0"/>
              <c:showVal val="0"/>
              <c:showCatName val="1"/>
              <c:showSerName val="0"/>
              <c:showPercent val="0"/>
              <c:showBubbleSize val="0"/>
              <c:extLst>
                <c:ext xmlns:c15="http://schemas.microsoft.com/office/drawing/2012/chart" uri="{CE6537A1-D6FC-4f65-9D91-7224C49458BB}">
                  <c15:layout>
                    <c:manualLayout>
                      <c:w val="9.8176091869150953E-2"/>
                      <c:h val="0.11894594577934484"/>
                    </c:manualLayout>
                  </c15:layout>
                </c:ext>
                <c:ext xmlns:c16="http://schemas.microsoft.com/office/drawing/2014/chart" uri="{C3380CC4-5D6E-409C-BE32-E72D297353CC}">
                  <c16:uniqueId val="{00000003-67DC-4D50-99C6-CE3E3D520313}"/>
                </c:ext>
              </c:extLst>
            </c:dLbl>
            <c:dLbl>
              <c:idx val="12"/>
              <c:layout>
                <c:manualLayout>
                  <c:x val="0.13181000007330554"/>
                  <c:y val="6.365502447203284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7DC-4D50-99C6-CE3E3D520313}"/>
                </c:ext>
              </c:extLst>
            </c:dLbl>
            <c:dLbl>
              <c:idx val="24"/>
              <c:layout>
                <c:manualLayout>
                  <c:x val="1.4387875532547832E-2"/>
                  <c:y val="6.365502447203284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7DC-4D50-99C6-CE3E3D52031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Usluge!$O$174:$O$204</c:f>
              <c:numCache>
                <c:formatCode>General</c:formatCode>
                <c:ptCount val="31"/>
                <c:pt idx="0">
                  <c:v>60</c:v>
                </c:pt>
                <c:pt idx="12">
                  <c:v>60</c:v>
                </c:pt>
                <c:pt idx="24">
                  <c:v>60</c:v>
                </c:pt>
              </c:numCache>
            </c:numRef>
          </c:val>
          <c:smooth val="0"/>
          <c:extLst>
            <c:ext xmlns:c16="http://schemas.microsoft.com/office/drawing/2014/chart" uri="{C3380CC4-5D6E-409C-BE32-E72D297353CC}">
              <c16:uniqueId val="{00000006-67DC-4D50-99C6-CE3E3D520313}"/>
            </c:ext>
          </c:extLst>
        </c:ser>
        <c:ser>
          <c:idx val="4"/>
          <c:order val="4"/>
          <c:tx>
            <c:strRef>
              <c:f>Usluge!$P$5</c:f>
              <c:strCache>
                <c:ptCount val="1"/>
                <c:pt idx="0">
                  <c:v>Series5</c:v>
                </c:pt>
              </c:strCache>
            </c:strRef>
          </c:tx>
          <c:spPr>
            <a:ln w="25400" cap="rnd">
              <a:noFill/>
              <a:round/>
            </a:ln>
            <a:effectLst/>
          </c:spPr>
          <c:marker>
            <c:symbol val="none"/>
          </c:marker>
          <c:dLbls>
            <c:dLbl>
              <c:idx val="0"/>
              <c:tx>
                <c:rich>
                  <a:bodyPr/>
                  <a:lstStyle/>
                  <a:p>
                    <a:fld id="{FD2EF1E8-A405-4B26-92D2-7864B82E919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67DC-4D50-99C6-CE3E3D520313}"/>
                </c:ext>
              </c:extLst>
            </c:dLbl>
            <c:dLbl>
              <c:idx val="1"/>
              <c:tx>
                <c:rich>
                  <a:bodyPr/>
                  <a:lstStyle/>
                  <a:p>
                    <a:fld id="{06A2D67B-481E-45A3-9A43-3F5A372A49B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67DC-4D50-99C6-CE3E3D520313}"/>
                </c:ext>
              </c:extLst>
            </c:dLbl>
            <c:dLbl>
              <c:idx val="2"/>
              <c:tx>
                <c:rich>
                  <a:bodyPr/>
                  <a:lstStyle/>
                  <a:p>
                    <a:fld id="{73995D55-6855-4B86-B495-A0A39721B04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7DC-4D50-99C6-CE3E3D520313}"/>
                </c:ext>
              </c:extLst>
            </c:dLbl>
            <c:dLbl>
              <c:idx val="3"/>
              <c:tx>
                <c:rich>
                  <a:bodyPr/>
                  <a:lstStyle/>
                  <a:p>
                    <a:fld id="{74FFC704-AF9E-4887-ABCD-FB6E19346C6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67DC-4D50-99C6-CE3E3D520313}"/>
                </c:ext>
              </c:extLst>
            </c:dLbl>
            <c:dLbl>
              <c:idx val="4"/>
              <c:tx>
                <c:rich>
                  <a:bodyPr/>
                  <a:lstStyle/>
                  <a:p>
                    <a:fld id="{71C4CBEE-4CB8-4014-9380-742957094B0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67DC-4D50-99C6-CE3E3D520313}"/>
                </c:ext>
              </c:extLst>
            </c:dLbl>
            <c:dLbl>
              <c:idx val="5"/>
              <c:tx>
                <c:rich>
                  <a:bodyPr/>
                  <a:lstStyle/>
                  <a:p>
                    <a:fld id="{8099E236-4FC6-4D94-B4B0-518FDB67A7A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7DC-4D50-99C6-CE3E3D520313}"/>
                </c:ext>
              </c:extLst>
            </c:dLbl>
            <c:dLbl>
              <c:idx val="6"/>
              <c:tx>
                <c:rich>
                  <a:bodyPr/>
                  <a:lstStyle/>
                  <a:p>
                    <a:fld id="{DAA9F071-0A98-4259-A3A4-31FBAFC1BA1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67DC-4D50-99C6-CE3E3D520313}"/>
                </c:ext>
              </c:extLst>
            </c:dLbl>
            <c:dLbl>
              <c:idx val="7"/>
              <c:tx>
                <c:rich>
                  <a:bodyPr/>
                  <a:lstStyle/>
                  <a:p>
                    <a:fld id="{B929458C-1714-4DCA-A8A4-31B9B50637A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67DC-4D50-99C6-CE3E3D520313}"/>
                </c:ext>
              </c:extLst>
            </c:dLbl>
            <c:dLbl>
              <c:idx val="8"/>
              <c:tx>
                <c:rich>
                  <a:bodyPr/>
                  <a:lstStyle/>
                  <a:p>
                    <a:fld id="{83DDAD57-AB70-4BDC-8D61-2C95A32C39F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7DC-4D50-99C6-CE3E3D520313}"/>
                </c:ext>
              </c:extLst>
            </c:dLbl>
            <c:dLbl>
              <c:idx val="9"/>
              <c:tx>
                <c:rich>
                  <a:bodyPr/>
                  <a:lstStyle/>
                  <a:p>
                    <a:fld id="{A7449EEE-BAC2-4D63-AF8F-04076F1C7F8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67DC-4D50-99C6-CE3E3D520313}"/>
                </c:ext>
              </c:extLst>
            </c:dLbl>
            <c:dLbl>
              <c:idx val="10"/>
              <c:tx>
                <c:rich>
                  <a:bodyPr/>
                  <a:lstStyle/>
                  <a:p>
                    <a:fld id="{205BA39B-2CB4-4CD7-8135-ED38E158DA6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67DC-4D50-99C6-CE3E3D520313}"/>
                </c:ext>
              </c:extLst>
            </c:dLbl>
            <c:dLbl>
              <c:idx val="11"/>
              <c:tx>
                <c:rich>
                  <a:bodyPr/>
                  <a:lstStyle/>
                  <a:p>
                    <a:fld id="{EBA0FB5C-0CBC-489F-B244-692696F43BE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7DC-4D50-99C6-CE3E3D520313}"/>
                </c:ext>
              </c:extLst>
            </c:dLbl>
            <c:dLbl>
              <c:idx val="12"/>
              <c:tx>
                <c:rich>
                  <a:bodyPr/>
                  <a:lstStyle/>
                  <a:p>
                    <a:fld id="{13831129-5AEB-44F9-9474-140FA493FEC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67DC-4D50-99C6-CE3E3D520313}"/>
                </c:ext>
              </c:extLst>
            </c:dLbl>
            <c:dLbl>
              <c:idx val="13"/>
              <c:tx>
                <c:rich>
                  <a:bodyPr/>
                  <a:lstStyle/>
                  <a:p>
                    <a:fld id="{49A36B06-84E5-4484-8B68-D267BD37F3A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67DC-4D50-99C6-CE3E3D520313}"/>
                </c:ext>
              </c:extLst>
            </c:dLbl>
            <c:dLbl>
              <c:idx val="14"/>
              <c:tx>
                <c:rich>
                  <a:bodyPr/>
                  <a:lstStyle/>
                  <a:p>
                    <a:fld id="{9D31D563-C3CC-4578-884E-6670799CB45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7DC-4D50-99C6-CE3E3D520313}"/>
                </c:ext>
              </c:extLst>
            </c:dLbl>
            <c:dLbl>
              <c:idx val="15"/>
              <c:tx>
                <c:rich>
                  <a:bodyPr/>
                  <a:lstStyle/>
                  <a:p>
                    <a:fld id="{9C356BF9-5CAC-43F2-ABD1-A76151CB1E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67DC-4D50-99C6-CE3E3D520313}"/>
                </c:ext>
              </c:extLst>
            </c:dLbl>
            <c:dLbl>
              <c:idx val="16"/>
              <c:tx>
                <c:rich>
                  <a:bodyPr/>
                  <a:lstStyle/>
                  <a:p>
                    <a:fld id="{217CFC7C-3E18-4309-B5A3-4346BF30E38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67DC-4D50-99C6-CE3E3D520313}"/>
                </c:ext>
              </c:extLst>
            </c:dLbl>
            <c:dLbl>
              <c:idx val="17"/>
              <c:tx>
                <c:rich>
                  <a:bodyPr/>
                  <a:lstStyle/>
                  <a:p>
                    <a:fld id="{AF0DCC0B-2DFA-4559-8E46-82F0FEF94CB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67DC-4D50-99C6-CE3E3D520313}"/>
                </c:ext>
              </c:extLst>
            </c:dLbl>
            <c:dLbl>
              <c:idx val="18"/>
              <c:tx>
                <c:rich>
                  <a:bodyPr/>
                  <a:lstStyle/>
                  <a:p>
                    <a:fld id="{499F8EA6-F354-42C6-8775-1884A78E831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67DC-4D50-99C6-CE3E3D520313}"/>
                </c:ext>
              </c:extLst>
            </c:dLbl>
            <c:dLbl>
              <c:idx val="19"/>
              <c:tx>
                <c:rich>
                  <a:bodyPr/>
                  <a:lstStyle/>
                  <a:p>
                    <a:fld id="{2E186473-54EA-4D65-83EE-89BD18327EA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67DC-4D50-99C6-CE3E3D520313}"/>
                </c:ext>
              </c:extLst>
            </c:dLbl>
            <c:dLbl>
              <c:idx val="20"/>
              <c:tx>
                <c:rich>
                  <a:bodyPr/>
                  <a:lstStyle/>
                  <a:p>
                    <a:fld id="{D37F4FA7-9F80-4C74-8170-B666A51EF6D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67DC-4D50-99C6-CE3E3D520313}"/>
                </c:ext>
              </c:extLst>
            </c:dLbl>
            <c:dLbl>
              <c:idx val="21"/>
              <c:tx>
                <c:rich>
                  <a:bodyPr/>
                  <a:lstStyle/>
                  <a:p>
                    <a:fld id="{E76BCE7F-24BD-4F6C-B8BB-05D873ADEF8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67DC-4D50-99C6-CE3E3D520313}"/>
                </c:ext>
              </c:extLst>
            </c:dLbl>
            <c:dLbl>
              <c:idx val="22"/>
              <c:tx>
                <c:rich>
                  <a:bodyPr/>
                  <a:lstStyle/>
                  <a:p>
                    <a:fld id="{9B956C9B-133C-4132-8287-162B556316C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67DC-4D50-99C6-CE3E3D520313}"/>
                </c:ext>
              </c:extLst>
            </c:dLbl>
            <c:dLbl>
              <c:idx val="23"/>
              <c:tx>
                <c:rich>
                  <a:bodyPr/>
                  <a:lstStyle/>
                  <a:p>
                    <a:fld id="{E3152737-89F1-40ED-9731-0B27623D7C6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67DC-4D50-99C6-CE3E3D520313}"/>
                </c:ext>
              </c:extLst>
            </c:dLbl>
            <c:dLbl>
              <c:idx val="24"/>
              <c:tx>
                <c:rich>
                  <a:bodyPr/>
                  <a:lstStyle/>
                  <a:p>
                    <a:fld id="{CCAF1962-7355-428A-807D-0511E591995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67DC-4D50-99C6-CE3E3D520313}"/>
                </c:ext>
              </c:extLst>
            </c:dLbl>
            <c:dLbl>
              <c:idx val="25"/>
              <c:tx>
                <c:rich>
                  <a:bodyPr/>
                  <a:lstStyle/>
                  <a:p>
                    <a:fld id="{1E099FCF-294E-4402-BE5F-F169D1417EC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67DC-4D50-99C6-CE3E3D520313}"/>
                </c:ext>
              </c:extLst>
            </c:dLbl>
            <c:dLbl>
              <c:idx val="26"/>
              <c:tx>
                <c:rich>
                  <a:bodyPr/>
                  <a:lstStyle/>
                  <a:p>
                    <a:fld id="{37DA0331-E866-4E0F-986C-040DB06884E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67DC-4D50-99C6-CE3E3D520313}"/>
                </c:ext>
              </c:extLst>
            </c:dLbl>
            <c:dLbl>
              <c:idx val="27"/>
              <c:tx>
                <c:rich>
                  <a:bodyPr/>
                  <a:lstStyle/>
                  <a:p>
                    <a:fld id="{C0B4692A-EBF8-46F1-B7A1-1FE927D245F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67DC-4D50-99C6-CE3E3D520313}"/>
                </c:ext>
              </c:extLst>
            </c:dLbl>
            <c:dLbl>
              <c:idx val="28"/>
              <c:tx>
                <c:rich>
                  <a:bodyPr/>
                  <a:lstStyle/>
                  <a:p>
                    <a:fld id="{353CD88F-B388-4EF5-AB43-721DC059B33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67DC-4D50-99C6-CE3E3D520313}"/>
                </c:ext>
              </c:extLst>
            </c:dLbl>
            <c:dLbl>
              <c:idx val="29"/>
              <c:tx>
                <c:rich>
                  <a:bodyPr/>
                  <a:lstStyle/>
                  <a:p>
                    <a:fld id="{97B3E40A-9CD4-4F60-84D2-82CB39A55F3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67DC-4D50-99C6-CE3E3D520313}"/>
                </c:ext>
              </c:extLst>
            </c:dLbl>
            <c:dLbl>
              <c:idx val="30"/>
              <c:tx>
                <c:rich>
                  <a:bodyPr/>
                  <a:lstStyle/>
                  <a:p>
                    <a:fld id="{918B0114-806F-4E58-BDA2-9770164A506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67DC-4D50-99C6-CE3E3D520313}"/>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Usluge!$A$174:$A$204</c:f>
              <c:numCache>
                <c:formatCode>yyyy</c:formatCode>
                <c:ptCount val="31"/>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numCache>
            </c:numRef>
          </c:cat>
          <c:val>
            <c:numRef>
              <c:f>Usluge!$P$174:$P$204</c:f>
              <c:numCache>
                <c:formatCode>General</c:formatCode>
                <c:ptCount val="31"/>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numCache>
            </c:numRef>
          </c:val>
          <c:smooth val="0"/>
          <c:extLst>
            <c:ext xmlns:c15="http://schemas.microsoft.com/office/drawing/2012/chart" uri="{02D57815-91ED-43cb-92C2-25804820EDAC}">
              <c15:datalabelsRange>
                <c15:f>Usluge!$J$150:$J$192</c15:f>
                <c15:dlblRangeCache>
                  <c:ptCount val="43"/>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6-67DC-4D50-99C6-CE3E3D520313}"/>
            </c:ext>
          </c:extLst>
        </c:ser>
        <c:dLbls>
          <c:showLegendKey val="0"/>
          <c:showVal val="0"/>
          <c:showCatName val="0"/>
          <c:showSerName val="0"/>
          <c:showPercent val="0"/>
          <c:showBubbleSize val="0"/>
        </c:dLbls>
        <c:smooth val="0"/>
        <c:axId val="2092161072"/>
        <c:axId val="1828937552"/>
      </c:lineChart>
      <c:dateAx>
        <c:axId val="209216107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37552"/>
        <c:crosses val="autoZero"/>
        <c:auto val="1"/>
        <c:lblOffset val="0"/>
        <c:baseTimeUnit val="months"/>
        <c:majorUnit val="12"/>
        <c:majorTimeUnit val="months"/>
      </c:dateAx>
      <c:valAx>
        <c:axId val="1828937552"/>
        <c:scaling>
          <c:orientation val="minMax"/>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6107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7139027777777778"/>
          <c:h val="0.81151726726726725"/>
        </c:manualLayout>
      </c:layout>
      <c:lineChart>
        <c:grouping val="standard"/>
        <c:varyColors val="0"/>
        <c:ser>
          <c:idx val="0"/>
          <c:order val="0"/>
          <c:tx>
            <c:strRef>
              <c:f>'Nocenja turista'!$L$5</c:f>
              <c:strCache>
                <c:ptCount val="1"/>
                <c:pt idx="0">
                  <c:v>y</c:v>
                </c:pt>
              </c:strCache>
            </c:strRef>
          </c:tx>
          <c:spPr>
            <a:ln w="12700" cap="rnd">
              <a:solidFill>
                <a:srgbClr val="7F3F98"/>
              </a:solidFill>
              <a:prstDash val="sysDash"/>
              <a:round/>
            </a:ln>
            <a:effectLst/>
          </c:spPr>
          <c:marker>
            <c:symbol val="none"/>
          </c:marker>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turista'!$L$174:$L$205</c:f>
              <c:numCache>
                <c:formatCode>0.0</c:formatCode>
                <c:ptCount val="32"/>
                <c:pt idx="0">
                  <c:v>75.274548999000004</c:v>
                </c:pt>
                <c:pt idx="1">
                  <c:v>83.674948608999998</c:v>
                </c:pt>
                <c:pt idx="2">
                  <c:v>80.926488049</c:v>
                </c:pt>
                <c:pt idx="3">
                  <c:v>90.745447948000006</c:v>
                </c:pt>
                <c:pt idx="4">
                  <c:v>109.13755738899999</c:v>
                </c:pt>
                <c:pt idx="5">
                  <c:v>110.79010700400001</c:v>
                </c:pt>
                <c:pt idx="6">
                  <c:v>156.674499825</c:v>
                </c:pt>
                <c:pt idx="7">
                  <c:v>174.51344387500001</c:v>
                </c:pt>
                <c:pt idx="8">
                  <c:v>120.96919110100001</c:v>
                </c:pt>
                <c:pt idx="9">
                  <c:v>108.210557489</c:v>
                </c:pt>
                <c:pt idx="10">
                  <c:v>75.046592211000004</c:v>
                </c:pt>
                <c:pt idx="11">
                  <c:v>67.768061736999996</c:v>
                </c:pt>
                <c:pt idx="12">
                  <c:v>80.089062186999996</c:v>
                </c:pt>
                <c:pt idx="13">
                  <c:v>85.430234162999994</c:v>
                </c:pt>
                <c:pt idx="14">
                  <c:v>89.197096704000003</c:v>
                </c:pt>
                <c:pt idx="15">
                  <c:v>100.71083398</c:v>
                </c:pt>
                <c:pt idx="16">
                  <c:v>116.742210486</c:v>
                </c:pt>
                <c:pt idx="17">
                  <c:v>112.808996158</c:v>
                </c:pt>
                <c:pt idx="18">
                  <c:v>132.878699385</c:v>
                </c:pt>
                <c:pt idx="19">
                  <c:v>148.09769420000001</c:v>
                </c:pt>
                <c:pt idx="20">
                  <c:v>93.914906490999996</c:v>
                </c:pt>
                <c:pt idx="21">
                  <c:v>92.368748897000003</c:v>
                </c:pt>
                <c:pt idx="22">
                  <c:v>75.359735737999998</c:v>
                </c:pt>
                <c:pt idx="23">
                  <c:v>72.401781608999997</c:v>
                </c:pt>
                <c:pt idx="24">
                  <c:v>92.178815373999996</c:v>
                </c:pt>
                <c:pt idx="25">
                  <c:v>72.152802342000001</c:v>
                </c:pt>
                <c:pt idx="26">
                  <c:v>68.898522667999998</c:v>
                </c:pt>
                <c:pt idx="27">
                  <c:v>80.125988628000002</c:v>
                </c:pt>
                <c:pt idx="28">
                  <c:v>112.441925403</c:v>
                </c:pt>
                <c:pt idx="29">
                  <c:v>108.948903495</c:v>
                </c:pt>
                <c:pt idx="30">
                  <c:v>129.05004903700001</c:v>
                </c:pt>
                <c:pt idx="31">
                  <c:v>148.14997618999999</c:v>
                </c:pt>
              </c:numCache>
            </c:numRef>
          </c:val>
          <c:smooth val="0"/>
          <c:extLst>
            <c:ext xmlns:c16="http://schemas.microsoft.com/office/drawing/2014/chart" uri="{C3380CC4-5D6E-409C-BE32-E72D297353CC}">
              <c16:uniqueId val="{00000000-675B-4508-AA36-9DA2271801A5}"/>
            </c:ext>
          </c:extLst>
        </c:ser>
        <c:ser>
          <c:idx val="1"/>
          <c:order val="1"/>
          <c:tx>
            <c:strRef>
              <c:f>'Nocenja turista'!$M$5</c:f>
              <c:strCache>
                <c:ptCount val="1"/>
                <c:pt idx="0">
                  <c:v>sa</c:v>
                </c:pt>
              </c:strCache>
            </c:strRef>
          </c:tx>
          <c:spPr>
            <a:ln w="22225" cap="rnd">
              <a:solidFill>
                <a:srgbClr val="25AAE1"/>
              </a:solidFill>
              <a:round/>
            </a:ln>
            <a:effectLst/>
          </c:spPr>
          <c:marker>
            <c:symbol val="none"/>
          </c:marker>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turista'!$M$174:$M$205</c:f>
              <c:numCache>
                <c:formatCode>0.0</c:formatCode>
                <c:ptCount val="32"/>
                <c:pt idx="0">
                  <c:v>93.934563424000004</c:v>
                </c:pt>
                <c:pt idx="1">
                  <c:v>105.713158405</c:v>
                </c:pt>
                <c:pt idx="2">
                  <c:v>108.142900751</c:v>
                </c:pt>
                <c:pt idx="3">
                  <c:v>109.746195335</c:v>
                </c:pt>
                <c:pt idx="4">
                  <c:v>102.990094402</c:v>
                </c:pt>
                <c:pt idx="5">
                  <c:v>98.533935395</c:v>
                </c:pt>
                <c:pt idx="6">
                  <c:v>108.23735929999999</c:v>
                </c:pt>
                <c:pt idx="7">
                  <c:v>102.773245476</c:v>
                </c:pt>
                <c:pt idx="8">
                  <c:v>104.723936674</c:v>
                </c:pt>
                <c:pt idx="9">
                  <c:v>110.91397695800001</c:v>
                </c:pt>
                <c:pt idx="10">
                  <c:v>105.574405435</c:v>
                </c:pt>
                <c:pt idx="11">
                  <c:v>104.875447057</c:v>
                </c:pt>
                <c:pt idx="12">
                  <c:v>99.820916388000001</c:v>
                </c:pt>
                <c:pt idx="13">
                  <c:v>108.313560182</c:v>
                </c:pt>
                <c:pt idx="14">
                  <c:v>116.19832822799999</c:v>
                </c:pt>
                <c:pt idx="15">
                  <c:v>118.614314667</c:v>
                </c:pt>
                <c:pt idx="16">
                  <c:v>106.37177411499999</c:v>
                </c:pt>
                <c:pt idx="17">
                  <c:v>99.986563402000002</c:v>
                </c:pt>
                <c:pt idx="18">
                  <c:v>93.570092404999997</c:v>
                </c:pt>
                <c:pt idx="19">
                  <c:v>89.452619678000005</c:v>
                </c:pt>
                <c:pt idx="20">
                  <c:v>84.008392326999996</c:v>
                </c:pt>
                <c:pt idx="21">
                  <c:v>93.708058468000004</c:v>
                </c:pt>
                <c:pt idx="22">
                  <c:v>104.66997609000001</c:v>
                </c:pt>
                <c:pt idx="23">
                  <c:v>110.788193886</c:v>
                </c:pt>
                <c:pt idx="24">
                  <c:v>114.317796405</c:v>
                </c:pt>
                <c:pt idx="25">
                  <c:v>91.090385549000004</c:v>
                </c:pt>
                <c:pt idx="26">
                  <c:v>88.430154760999997</c:v>
                </c:pt>
                <c:pt idx="27">
                  <c:v>93.193393752000006</c:v>
                </c:pt>
                <c:pt idx="28">
                  <c:v>100.360966</c:v>
                </c:pt>
                <c:pt idx="29">
                  <c:v>95.809100272999999</c:v>
                </c:pt>
                <c:pt idx="30">
                  <c:v>92.072303332999994</c:v>
                </c:pt>
                <c:pt idx="31">
                  <c:v>91.491562500000001</c:v>
                </c:pt>
              </c:numCache>
            </c:numRef>
          </c:val>
          <c:smooth val="0"/>
          <c:extLst>
            <c:ext xmlns:c16="http://schemas.microsoft.com/office/drawing/2014/chart" uri="{C3380CC4-5D6E-409C-BE32-E72D297353CC}">
              <c16:uniqueId val="{00000001-675B-4508-AA36-9DA2271801A5}"/>
            </c:ext>
          </c:extLst>
        </c:ser>
        <c:ser>
          <c:idx val="2"/>
          <c:order val="2"/>
          <c:tx>
            <c:strRef>
              <c:f>'Nocenja turista'!$N$5</c:f>
              <c:strCache>
                <c:ptCount val="1"/>
                <c:pt idx="0">
                  <c:v>t</c:v>
                </c:pt>
              </c:strCache>
            </c:strRef>
          </c:tx>
          <c:spPr>
            <a:ln w="25400" cap="rnd">
              <a:solidFill>
                <a:srgbClr val="FF0000"/>
              </a:solidFill>
              <a:round/>
            </a:ln>
            <a:effectLst/>
          </c:spPr>
          <c:marker>
            <c:symbol val="none"/>
          </c:marker>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turista'!$N$174:$N$205</c:f>
              <c:numCache>
                <c:formatCode>0.0</c:formatCode>
                <c:ptCount val="32"/>
                <c:pt idx="0">
                  <c:v>109.89822903699999</c:v>
                </c:pt>
                <c:pt idx="1">
                  <c:v>105.924881032</c:v>
                </c:pt>
                <c:pt idx="2">
                  <c:v>104.394487375</c:v>
                </c:pt>
                <c:pt idx="3">
                  <c:v>104.31666470099999</c:v>
                </c:pt>
                <c:pt idx="4">
                  <c:v>104.510861768</c:v>
                </c:pt>
                <c:pt idx="5">
                  <c:v>104.39187036</c:v>
                </c:pt>
                <c:pt idx="6">
                  <c:v>104.378650119</c:v>
                </c:pt>
                <c:pt idx="7">
                  <c:v>104.903618373</c:v>
                </c:pt>
                <c:pt idx="8">
                  <c:v>105.352017555</c:v>
                </c:pt>
                <c:pt idx="9">
                  <c:v>105.39869352300001</c:v>
                </c:pt>
                <c:pt idx="10">
                  <c:v>105.459272352</c:v>
                </c:pt>
                <c:pt idx="11">
                  <c:v>106.151903451</c:v>
                </c:pt>
                <c:pt idx="12">
                  <c:v>107.81424060400001</c:v>
                </c:pt>
                <c:pt idx="13">
                  <c:v>109.870951492</c:v>
                </c:pt>
                <c:pt idx="14">
                  <c:v>111.094145223</c:v>
                </c:pt>
                <c:pt idx="15">
                  <c:v>110.290287526</c:v>
                </c:pt>
                <c:pt idx="16">
                  <c:v>106.6508269</c:v>
                </c:pt>
                <c:pt idx="17">
                  <c:v>100.77452577699999</c:v>
                </c:pt>
                <c:pt idx="18">
                  <c:v>94.912444737000001</c:v>
                </c:pt>
                <c:pt idx="19">
                  <c:v>91.813771540000005</c:v>
                </c:pt>
                <c:pt idx="20">
                  <c:v>92.697472052999998</c:v>
                </c:pt>
                <c:pt idx="21">
                  <c:v>96.247498731999997</c:v>
                </c:pt>
                <c:pt idx="22">
                  <c:v>99.902157707000001</c:v>
                </c:pt>
                <c:pt idx="23">
                  <c:v>101.77876614199999</c:v>
                </c:pt>
                <c:pt idx="24">
                  <c:v>101.41901745600001</c:v>
                </c:pt>
                <c:pt idx="25">
                  <c:v>99.292359732999998</c:v>
                </c:pt>
                <c:pt idx="26">
                  <c:v>96.645842672000001</c:v>
                </c:pt>
                <c:pt idx="27">
                  <c:v>94.724523450000007</c:v>
                </c:pt>
                <c:pt idx="28">
                  <c:v>94.056430751999997</c:v>
                </c:pt>
                <c:pt idx="29">
                  <c:v>93.806085009</c:v>
                </c:pt>
                <c:pt idx="30">
                  <c:v>92.900608137000006</c:v>
                </c:pt>
                <c:pt idx="31">
                  <c:v>90.838378007000003</c:v>
                </c:pt>
              </c:numCache>
            </c:numRef>
          </c:val>
          <c:smooth val="0"/>
          <c:extLst>
            <c:ext xmlns:c16="http://schemas.microsoft.com/office/drawing/2014/chart" uri="{C3380CC4-5D6E-409C-BE32-E72D297353CC}">
              <c16:uniqueId val="{00000002-675B-4508-AA36-9DA2271801A5}"/>
            </c:ext>
          </c:extLst>
        </c:ser>
        <c:ser>
          <c:idx val="3"/>
          <c:order val="3"/>
          <c:tx>
            <c:strRef>
              <c:f>'Nocenja turista'!$O$5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2467768072131513"/>
                  <c:y val="6.376696789079022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75B-4508-AA36-9DA2271801A5}"/>
                </c:ext>
              </c:extLst>
            </c:dLbl>
            <c:dLbl>
              <c:idx val="12"/>
              <c:layout>
                <c:manualLayout>
                  <c:x val="5.9900131444593753E-2"/>
                  <c:y val="6.376696789079022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75B-4508-AA36-9DA2271801A5}"/>
                </c:ext>
              </c:extLst>
            </c:dLbl>
            <c:dLbl>
              <c:idx val="24"/>
              <c:layout>
                <c:manualLayout>
                  <c:x val="3.1329350547696921E-2"/>
                  <c:y val="6.376696789079022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75B-4508-AA36-9DA2271801A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turista'!$O$174:$O$205</c:f>
              <c:numCache>
                <c:formatCode>General</c:formatCode>
                <c:ptCount val="32"/>
                <c:pt idx="0">
                  <c:v>60</c:v>
                </c:pt>
                <c:pt idx="12">
                  <c:v>60</c:v>
                </c:pt>
                <c:pt idx="24">
                  <c:v>60</c:v>
                </c:pt>
              </c:numCache>
            </c:numRef>
          </c:val>
          <c:smooth val="0"/>
          <c:extLst>
            <c:ext xmlns:c16="http://schemas.microsoft.com/office/drawing/2014/chart" uri="{C3380CC4-5D6E-409C-BE32-E72D297353CC}">
              <c16:uniqueId val="{00000006-675B-4508-AA36-9DA2271801A5}"/>
            </c:ext>
          </c:extLst>
        </c:ser>
        <c:ser>
          <c:idx val="4"/>
          <c:order val="4"/>
          <c:tx>
            <c:strRef>
              <c:f>'Nocenja turista'!$P$5</c:f>
              <c:strCache>
                <c:ptCount val="1"/>
                <c:pt idx="0">
                  <c:v>Series5</c:v>
                </c:pt>
              </c:strCache>
            </c:strRef>
          </c:tx>
          <c:spPr>
            <a:ln w="25400" cap="rnd">
              <a:noFill/>
              <a:round/>
            </a:ln>
            <a:effectLst/>
          </c:spPr>
          <c:marker>
            <c:symbol val="none"/>
          </c:marker>
          <c:dLbls>
            <c:dLbl>
              <c:idx val="0"/>
              <c:tx>
                <c:rich>
                  <a:bodyPr/>
                  <a:lstStyle/>
                  <a:p>
                    <a:fld id="{F4234496-55E7-46FE-9D95-817B9AD1C81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675B-4508-AA36-9DA2271801A5}"/>
                </c:ext>
              </c:extLst>
            </c:dLbl>
            <c:dLbl>
              <c:idx val="1"/>
              <c:tx>
                <c:rich>
                  <a:bodyPr/>
                  <a:lstStyle/>
                  <a:p>
                    <a:fld id="{C0A05ED7-AB1F-4DB6-BF6B-EB6E0A19821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675B-4508-AA36-9DA2271801A5}"/>
                </c:ext>
              </c:extLst>
            </c:dLbl>
            <c:dLbl>
              <c:idx val="2"/>
              <c:tx>
                <c:rich>
                  <a:bodyPr/>
                  <a:lstStyle/>
                  <a:p>
                    <a:fld id="{1830BA9B-98C6-46DA-8F22-241FB64540B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75B-4508-AA36-9DA2271801A5}"/>
                </c:ext>
              </c:extLst>
            </c:dLbl>
            <c:dLbl>
              <c:idx val="3"/>
              <c:tx>
                <c:rich>
                  <a:bodyPr/>
                  <a:lstStyle/>
                  <a:p>
                    <a:fld id="{77EA5D54-39CA-4A8C-AED1-A8553256498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675B-4508-AA36-9DA2271801A5}"/>
                </c:ext>
              </c:extLst>
            </c:dLbl>
            <c:dLbl>
              <c:idx val="4"/>
              <c:tx>
                <c:rich>
                  <a:bodyPr/>
                  <a:lstStyle/>
                  <a:p>
                    <a:fld id="{4E69822E-EC4C-4A22-974E-78D1A9A6F3F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675B-4508-AA36-9DA2271801A5}"/>
                </c:ext>
              </c:extLst>
            </c:dLbl>
            <c:dLbl>
              <c:idx val="5"/>
              <c:tx>
                <c:rich>
                  <a:bodyPr/>
                  <a:lstStyle/>
                  <a:p>
                    <a:fld id="{33EA1002-5900-4571-948D-AD7423A5A75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75B-4508-AA36-9DA2271801A5}"/>
                </c:ext>
              </c:extLst>
            </c:dLbl>
            <c:dLbl>
              <c:idx val="6"/>
              <c:tx>
                <c:rich>
                  <a:bodyPr/>
                  <a:lstStyle/>
                  <a:p>
                    <a:fld id="{8A1037DA-7D26-4C1B-B5CD-A26D61F2EDC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675B-4508-AA36-9DA2271801A5}"/>
                </c:ext>
              </c:extLst>
            </c:dLbl>
            <c:dLbl>
              <c:idx val="7"/>
              <c:tx>
                <c:rich>
                  <a:bodyPr/>
                  <a:lstStyle/>
                  <a:p>
                    <a:fld id="{F0ED713B-EECC-40B5-B45D-4F7053C6EF1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675B-4508-AA36-9DA2271801A5}"/>
                </c:ext>
              </c:extLst>
            </c:dLbl>
            <c:dLbl>
              <c:idx val="8"/>
              <c:tx>
                <c:rich>
                  <a:bodyPr/>
                  <a:lstStyle/>
                  <a:p>
                    <a:fld id="{2965274D-185D-4A86-9401-7BE2C08626E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75B-4508-AA36-9DA2271801A5}"/>
                </c:ext>
              </c:extLst>
            </c:dLbl>
            <c:dLbl>
              <c:idx val="9"/>
              <c:tx>
                <c:rich>
                  <a:bodyPr/>
                  <a:lstStyle/>
                  <a:p>
                    <a:fld id="{4593BF5C-D448-4BC7-A528-36B419B7815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675B-4508-AA36-9DA2271801A5}"/>
                </c:ext>
              </c:extLst>
            </c:dLbl>
            <c:dLbl>
              <c:idx val="10"/>
              <c:tx>
                <c:rich>
                  <a:bodyPr/>
                  <a:lstStyle/>
                  <a:p>
                    <a:fld id="{362872DE-2382-43A2-8F7A-A7825682DC8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675B-4508-AA36-9DA2271801A5}"/>
                </c:ext>
              </c:extLst>
            </c:dLbl>
            <c:dLbl>
              <c:idx val="11"/>
              <c:tx>
                <c:rich>
                  <a:bodyPr/>
                  <a:lstStyle/>
                  <a:p>
                    <a:fld id="{ED277E1A-FC30-423C-A77C-177CDFB3E90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75B-4508-AA36-9DA2271801A5}"/>
                </c:ext>
              </c:extLst>
            </c:dLbl>
            <c:dLbl>
              <c:idx val="12"/>
              <c:tx>
                <c:rich>
                  <a:bodyPr/>
                  <a:lstStyle/>
                  <a:p>
                    <a:fld id="{7C91AFFE-7FE0-4A88-A3A5-D364E7D5727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675B-4508-AA36-9DA2271801A5}"/>
                </c:ext>
              </c:extLst>
            </c:dLbl>
            <c:dLbl>
              <c:idx val="13"/>
              <c:tx>
                <c:rich>
                  <a:bodyPr/>
                  <a:lstStyle/>
                  <a:p>
                    <a:fld id="{474DF0A5-B333-4ACA-97C2-49054ED8DF3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675B-4508-AA36-9DA2271801A5}"/>
                </c:ext>
              </c:extLst>
            </c:dLbl>
            <c:dLbl>
              <c:idx val="14"/>
              <c:tx>
                <c:rich>
                  <a:bodyPr/>
                  <a:lstStyle/>
                  <a:p>
                    <a:fld id="{9D97ABEF-AAF4-470A-819D-4162FC5C3ED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75B-4508-AA36-9DA2271801A5}"/>
                </c:ext>
              </c:extLst>
            </c:dLbl>
            <c:dLbl>
              <c:idx val="15"/>
              <c:tx>
                <c:rich>
                  <a:bodyPr/>
                  <a:lstStyle/>
                  <a:p>
                    <a:fld id="{3E2D7732-39A9-4D11-BF3C-B05F8A32E36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675B-4508-AA36-9DA2271801A5}"/>
                </c:ext>
              </c:extLst>
            </c:dLbl>
            <c:dLbl>
              <c:idx val="16"/>
              <c:tx>
                <c:rich>
                  <a:bodyPr/>
                  <a:lstStyle/>
                  <a:p>
                    <a:fld id="{7B45CB43-5548-4740-814C-2010A069424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675B-4508-AA36-9DA2271801A5}"/>
                </c:ext>
              </c:extLst>
            </c:dLbl>
            <c:dLbl>
              <c:idx val="17"/>
              <c:tx>
                <c:rich>
                  <a:bodyPr/>
                  <a:lstStyle/>
                  <a:p>
                    <a:fld id="{9C675E1C-CE6D-4B49-8D45-36684ED18EA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675B-4508-AA36-9DA2271801A5}"/>
                </c:ext>
              </c:extLst>
            </c:dLbl>
            <c:dLbl>
              <c:idx val="18"/>
              <c:tx>
                <c:rich>
                  <a:bodyPr/>
                  <a:lstStyle/>
                  <a:p>
                    <a:fld id="{2168BA44-BE95-4017-BFB7-E82C86BFBF1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675B-4508-AA36-9DA2271801A5}"/>
                </c:ext>
              </c:extLst>
            </c:dLbl>
            <c:dLbl>
              <c:idx val="19"/>
              <c:tx>
                <c:rich>
                  <a:bodyPr/>
                  <a:lstStyle/>
                  <a:p>
                    <a:fld id="{0743E8A5-16DA-4DE5-8144-C3AB50CB23D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675B-4508-AA36-9DA2271801A5}"/>
                </c:ext>
              </c:extLst>
            </c:dLbl>
            <c:dLbl>
              <c:idx val="20"/>
              <c:tx>
                <c:rich>
                  <a:bodyPr/>
                  <a:lstStyle/>
                  <a:p>
                    <a:fld id="{7A4459A4-D6C6-4268-8EAC-4DED514A6DD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675B-4508-AA36-9DA2271801A5}"/>
                </c:ext>
              </c:extLst>
            </c:dLbl>
            <c:dLbl>
              <c:idx val="21"/>
              <c:tx>
                <c:rich>
                  <a:bodyPr/>
                  <a:lstStyle/>
                  <a:p>
                    <a:fld id="{F4A1009E-DD22-4796-B354-BB8ED5BAC0C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675B-4508-AA36-9DA2271801A5}"/>
                </c:ext>
              </c:extLst>
            </c:dLbl>
            <c:dLbl>
              <c:idx val="22"/>
              <c:tx>
                <c:rich>
                  <a:bodyPr/>
                  <a:lstStyle/>
                  <a:p>
                    <a:fld id="{CF4B13CA-A2BC-4E8F-A19E-B1A3C587B1F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675B-4508-AA36-9DA2271801A5}"/>
                </c:ext>
              </c:extLst>
            </c:dLbl>
            <c:dLbl>
              <c:idx val="23"/>
              <c:tx>
                <c:rich>
                  <a:bodyPr/>
                  <a:lstStyle/>
                  <a:p>
                    <a:fld id="{A5C04157-6F33-4894-9983-3EDCCBC0C4D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675B-4508-AA36-9DA2271801A5}"/>
                </c:ext>
              </c:extLst>
            </c:dLbl>
            <c:dLbl>
              <c:idx val="24"/>
              <c:tx>
                <c:rich>
                  <a:bodyPr/>
                  <a:lstStyle/>
                  <a:p>
                    <a:fld id="{E228A711-7EE6-44DD-AEF6-1AD9161714A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675B-4508-AA36-9DA2271801A5}"/>
                </c:ext>
              </c:extLst>
            </c:dLbl>
            <c:dLbl>
              <c:idx val="25"/>
              <c:tx>
                <c:rich>
                  <a:bodyPr/>
                  <a:lstStyle/>
                  <a:p>
                    <a:fld id="{6A926B3E-0AC5-4583-AE9E-77EF6A50583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675B-4508-AA36-9DA2271801A5}"/>
                </c:ext>
              </c:extLst>
            </c:dLbl>
            <c:dLbl>
              <c:idx val="26"/>
              <c:tx>
                <c:rich>
                  <a:bodyPr/>
                  <a:lstStyle/>
                  <a:p>
                    <a:fld id="{CA3F6C5A-96DB-4179-A4FF-DC14379400D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675B-4508-AA36-9DA2271801A5}"/>
                </c:ext>
              </c:extLst>
            </c:dLbl>
            <c:dLbl>
              <c:idx val="27"/>
              <c:tx>
                <c:rich>
                  <a:bodyPr/>
                  <a:lstStyle/>
                  <a:p>
                    <a:fld id="{D7FAFD52-128D-4C6B-BEDB-C6082C754AA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675B-4508-AA36-9DA2271801A5}"/>
                </c:ext>
              </c:extLst>
            </c:dLbl>
            <c:dLbl>
              <c:idx val="28"/>
              <c:tx>
                <c:rich>
                  <a:bodyPr/>
                  <a:lstStyle/>
                  <a:p>
                    <a:fld id="{96E2FB68-52C7-4973-8B18-21B67F0D268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675B-4508-AA36-9DA2271801A5}"/>
                </c:ext>
              </c:extLst>
            </c:dLbl>
            <c:dLbl>
              <c:idx val="29"/>
              <c:tx>
                <c:rich>
                  <a:bodyPr/>
                  <a:lstStyle/>
                  <a:p>
                    <a:fld id="{03834786-EB67-4518-A2FA-6032C33CF60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675B-4508-AA36-9DA2271801A5}"/>
                </c:ext>
              </c:extLst>
            </c:dLbl>
            <c:dLbl>
              <c:idx val="30"/>
              <c:tx>
                <c:rich>
                  <a:bodyPr/>
                  <a:lstStyle/>
                  <a:p>
                    <a:fld id="{E2E48A97-C940-41A7-9754-5FA442A277F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675B-4508-AA36-9DA2271801A5}"/>
                </c:ext>
              </c:extLst>
            </c:dLbl>
            <c:dLbl>
              <c:idx val="31"/>
              <c:tx>
                <c:rich>
                  <a:bodyPr/>
                  <a:lstStyle/>
                  <a:p>
                    <a:fld id="{E6500FB2-0E11-499B-AD37-A87F7BBCCCC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675B-4508-AA36-9DA2271801A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turista'!$P$174:$P$205</c:f>
              <c:numCache>
                <c:formatCode>General</c:formatCode>
                <c:ptCount val="32"/>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numCache>
            </c:numRef>
          </c:val>
          <c:smooth val="0"/>
          <c:extLst>
            <c:ext xmlns:c15="http://schemas.microsoft.com/office/drawing/2012/chart" uri="{02D57815-91ED-43cb-92C2-25804820EDAC}">
              <c15:datalabelsRange>
                <c15:f>'Nocenja turista'!$J$150:$J$192</c15:f>
                <c15:dlblRangeCache>
                  <c:ptCount val="43"/>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7-675B-4508-AA36-9DA2271801A5}"/>
            </c:ext>
          </c:extLst>
        </c:ser>
        <c:dLbls>
          <c:showLegendKey val="0"/>
          <c:showVal val="0"/>
          <c:showCatName val="0"/>
          <c:showSerName val="0"/>
          <c:showPercent val="0"/>
          <c:showBubbleSize val="0"/>
        </c:dLbls>
        <c:smooth val="0"/>
        <c:axId val="2092161072"/>
        <c:axId val="1828937552"/>
      </c:lineChart>
      <c:dateAx>
        <c:axId val="209216107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37552"/>
        <c:crosses val="autoZero"/>
        <c:auto val="1"/>
        <c:lblOffset val="0"/>
        <c:baseTimeUnit val="months"/>
        <c:majorUnit val="12"/>
        <c:majorTimeUnit val="months"/>
      </c:dateAx>
      <c:valAx>
        <c:axId val="1828937552"/>
        <c:scaling>
          <c:orientation val="minMax"/>
          <c:max val="170"/>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61072"/>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1151726726726725"/>
        </c:manualLayout>
      </c:layout>
      <c:lineChart>
        <c:grouping val="standard"/>
        <c:varyColors val="0"/>
        <c:ser>
          <c:idx val="0"/>
          <c:order val="0"/>
          <c:tx>
            <c:strRef>
              <c:f>'Nocenja turista'!$S$5</c:f>
              <c:strCache>
                <c:ptCount val="1"/>
                <c:pt idx="0">
                  <c:v>y</c:v>
                </c:pt>
              </c:strCache>
            </c:strRef>
          </c:tx>
          <c:spPr>
            <a:ln w="12700" cap="rnd">
              <a:solidFill>
                <a:srgbClr val="7F3F98"/>
              </a:solidFill>
              <a:prstDash val="sysDash"/>
              <a:round/>
            </a:ln>
            <a:effectLst/>
          </c:spPr>
          <c:marker>
            <c:symbol val="none"/>
          </c:marker>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turista'!$S$174:$S$205</c:f>
              <c:numCache>
                <c:formatCode>0.0</c:formatCode>
                <c:ptCount val="32"/>
                <c:pt idx="0">
                  <c:v>75.085937450000003</c:v>
                </c:pt>
                <c:pt idx="1">
                  <c:v>68.023593624</c:v>
                </c:pt>
                <c:pt idx="2">
                  <c:v>77.547239153000007</c:v>
                </c:pt>
                <c:pt idx="3">
                  <c:v>87.181089283999995</c:v>
                </c:pt>
                <c:pt idx="4">
                  <c:v>91.105160280999996</c:v>
                </c:pt>
                <c:pt idx="5">
                  <c:v>94.392602909999994</c:v>
                </c:pt>
                <c:pt idx="6">
                  <c:v>115.386382746</c:v>
                </c:pt>
                <c:pt idx="7">
                  <c:v>118.821027235</c:v>
                </c:pt>
                <c:pt idx="8">
                  <c:v>104.482621374</c:v>
                </c:pt>
                <c:pt idx="9">
                  <c:v>99.099913755000003</c:v>
                </c:pt>
                <c:pt idx="10">
                  <c:v>79.756644624000003</c:v>
                </c:pt>
                <c:pt idx="11">
                  <c:v>87.740377637999998</c:v>
                </c:pt>
                <c:pt idx="12">
                  <c:v>75.991386329999997</c:v>
                </c:pt>
                <c:pt idx="13">
                  <c:v>68.839698059</c:v>
                </c:pt>
                <c:pt idx="14">
                  <c:v>85.107078037999997</c:v>
                </c:pt>
                <c:pt idx="15">
                  <c:v>93.323618272999994</c:v>
                </c:pt>
                <c:pt idx="16">
                  <c:v>112.129443176</c:v>
                </c:pt>
                <c:pt idx="17">
                  <c:v>105.115707452</c:v>
                </c:pt>
                <c:pt idx="18">
                  <c:v>129.39555235899999</c:v>
                </c:pt>
                <c:pt idx="19">
                  <c:v>131.44673550799999</c:v>
                </c:pt>
                <c:pt idx="20">
                  <c:v>104.964569713</c:v>
                </c:pt>
                <c:pt idx="21">
                  <c:v>108.665673185</c:v>
                </c:pt>
                <c:pt idx="22">
                  <c:v>89.186813035</c:v>
                </c:pt>
                <c:pt idx="23">
                  <c:v>95.833724871000001</c:v>
                </c:pt>
                <c:pt idx="24">
                  <c:v>90.123158562</c:v>
                </c:pt>
                <c:pt idx="25">
                  <c:v>74.398142659000001</c:v>
                </c:pt>
                <c:pt idx="26">
                  <c:v>80.511349351999996</c:v>
                </c:pt>
                <c:pt idx="27">
                  <c:v>93.652264138999996</c:v>
                </c:pt>
                <c:pt idx="28">
                  <c:v>104.558977419</c:v>
                </c:pt>
                <c:pt idx="29">
                  <c:v>102.962585046</c:v>
                </c:pt>
                <c:pt idx="30">
                  <c:v>127.83477968699999</c:v>
                </c:pt>
                <c:pt idx="31">
                  <c:v>130.753233693</c:v>
                </c:pt>
              </c:numCache>
            </c:numRef>
          </c:val>
          <c:smooth val="0"/>
          <c:extLst>
            <c:ext xmlns:c16="http://schemas.microsoft.com/office/drawing/2014/chart" uri="{C3380CC4-5D6E-409C-BE32-E72D297353CC}">
              <c16:uniqueId val="{00000000-09FE-4335-9506-A17D23D95357}"/>
            </c:ext>
          </c:extLst>
        </c:ser>
        <c:ser>
          <c:idx val="1"/>
          <c:order val="1"/>
          <c:tx>
            <c:strRef>
              <c:f>'Nocenja turista'!$T$5</c:f>
              <c:strCache>
                <c:ptCount val="1"/>
                <c:pt idx="0">
                  <c:v>sa</c:v>
                </c:pt>
              </c:strCache>
            </c:strRef>
          </c:tx>
          <c:spPr>
            <a:ln w="22225" cap="rnd">
              <a:solidFill>
                <a:srgbClr val="25AAE1"/>
              </a:solidFill>
              <a:round/>
            </a:ln>
            <a:effectLst/>
          </c:spPr>
          <c:marker>
            <c:symbol val="none"/>
          </c:marker>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turista'!$T$174:$T$205</c:f>
              <c:numCache>
                <c:formatCode>0.0</c:formatCode>
                <c:ptCount val="32"/>
                <c:pt idx="0">
                  <c:v>88.632525237999999</c:v>
                </c:pt>
                <c:pt idx="1">
                  <c:v>93.138154361999995</c:v>
                </c:pt>
                <c:pt idx="2">
                  <c:v>94.356565320000001</c:v>
                </c:pt>
                <c:pt idx="3">
                  <c:v>100.27894182199999</c:v>
                </c:pt>
                <c:pt idx="4">
                  <c:v>91.298992358000007</c:v>
                </c:pt>
                <c:pt idx="5">
                  <c:v>91.405471751999997</c:v>
                </c:pt>
                <c:pt idx="6">
                  <c:v>87.032786852000001</c:v>
                </c:pt>
                <c:pt idx="7">
                  <c:v>87.464600560999997</c:v>
                </c:pt>
                <c:pt idx="8">
                  <c:v>92.967988911000006</c:v>
                </c:pt>
                <c:pt idx="9">
                  <c:v>90.923427356999994</c:v>
                </c:pt>
                <c:pt idx="10">
                  <c:v>91.766508744000006</c:v>
                </c:pt>
                <c:pt idx="11">
                  <c:v>96.021461009999996</c:v>
                </c:pt>
                <c:pt idx="12">
                  <c:v>91.140719971999999</c:v>
                </c:pt>
                <c:pt idx="13">
                  <c:v>94.646955868000006</c:v>
                </c:pt>
                <c:pt idx="14">
                  <c:v>101.902735631</c:v>
                </c:pt>
                <c:pt idx="15">
                  <c:v>104.370383928</c:v>
                </c:pt>
                <c:pt idx="16">
                  <c:v>108.648413206</c:v>
                </c:pt>
                <c:pt idx="17">
                  <c:v>100.248830613</c:v>
                </c:pt>
                <c:pt idx="18">
                  <c:v>98.260363397999996</c:v>
                </c:pt>
                <c:pt idx="19">
                  <c:v>98.102531812999999</c:v>
                </c:pt>
                <c:pt idx="20">
                  <c:v>95.036527867000004</c:v>
                </c:pt>
                <c:pt idx="21">
                  <c:v>100.287208085</c:v>
                </c:pt>
                <c:pt idx="22">
                  <c:v>104.887658139</c:v>
                </c:pt>
                <c:pt idx="23">
                  <c:v>104.419608446</c:v>
                </c:pt>
                <c:pt idx="24">
                  <c:v>108.081164495</c:v>
                </c:pt>
                <c:pt idx="25">
                  <c:v>102.353450622</c:v>
                </c:pt>
                <c:pt idx="26">
                  <c:v>95.404556581999998</c:v>
                </c:pt>
                <c:pt idx="27">
                  <c:v>103.2880037</c:v>
                </c:pt>
                <c:pt idx="28">
                  <c:v>99.489444556999999</c:v>
                </c:pt>
                <c:pt idx="29">
                  <c:v>97.730931252999994</c:v>
                </c:pt>
                <c:pt idx="30">
                  <c:v>98.223870238999993</c:v>
                </c:pt>
                <c:pt idx="31">
                  <c:v>98.581994694000002</c:v>
                </c:pt>
              </c:numCache>
            </c:numRef>
          </c:val>
          <c:smooth val="0"/>
          <c:extLst>
            <c:ext xmlns:c16="http://schemas.microsoft.com/office/drawing/2014/chart" uri="{C3380CC4-5D6E-409C-BE32-E72D297353CC}">
              <c16:uniqueId val="{00000001-09FE-4335-9506-A17D23D95357}"/>
            </c:ext>
          </c:extLst>
        </c:ser>
        <c:ser>
          <c:idx val="2"/>
          <c:order val="2"/>
          <c:tx>
            <c:strRef>
              <c:f>'Nocenja turista'!$U$5</c:f>
              <c:strCache>
                <c:ptCount val="1"/>
                <c:pt idx="0">
                  <c:v>t</c:v>
                </c:pt>
              </c:strCache>
            </c:strRef>
          </c:tx>
          <c:spPr>
            <a:ln w="25400" cap="rnd">
              <a:solidFill>
                <a:srgbClr val="FF0000"/>
              </a:solidFill>
              <a:round/>
            </a:ln>
            <a:effectLst/>
          </c:spPr>
          <c:marker>
            <c:symbol val="none"/>
          </c:marker>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turista'!$U$174:$U$205</c:f>
              <c:numCache>
                <c:formatCode>0.0</c:formatCode>
                <c:ptCount val="32"/>
                <c:pt idx="0">
                  <c:v>92.073066721000004</c:v>
                </c:pt>
                <c:pt idx="1">
                  <c:v>93.433418950000004</c:v>
                </c:pt>
                <c:pt idx="2">
                  <c:v>93.929795436000006</c:v>
                </c:pt>
                <c:pt idx="3">
                  <c:v>93.608908771000003</c:v>
                </c:pt>
                <c:pt idx="4">
                  <c:v>92.614749205999999</c:v>
                </c:pt>
                <c:pt idx="5">
                  <c:v>91.156599313000001</c:v>
                </c:pt>
                <c:pt idx="6">
                  <c:v>90.037009144999999</c:v>
                </c:pt>
                <c:pt idx="7">
                  <c:v>89.631653272999998</c:v>
                </c:pt>
                <c:pt idx="8">
                  <c:v>89.997044638999995</c:v>
                </c:pt>
                <c:pt idx="9">
                  <c:v>90.821199759999999</c:v>
                </c:pt>
                <c:pt idx="10">
                  <c:v>91.830788322999993</c:v>
                </c:pt>
                <c:pt idx="11">
                  <c:v>93.20091687</c:v>
                </c:pt>
                <c:pt idx="12">
                  <c:v>95.258995970000001</c:v>
                </c:pt>
                <c:pt idx="13">
                  <c:v>97.832520224999996</c:v>
                </c:pt>
                <c:pt idx="14">
                  <c:v>100.508696231</c:v>
                </c:pt>
                <c:pt idx="15">
                  <c:v>102.402149881</c:v>
                </c:pt>
                <c:pt idx="16">
                  <c:v>102.782961394</c:v>
                </c:pt>
                <c:pt idx="17">
                  <c:v>101.806615181</c:v>
                </c:pt>
                <c:pt idx="18">
                  <c:v>100.118123707</c:v>
                </c:pt>
                <c:pt idx="19">
                  <c:v>98.853119415999998</c:v>
                </c:pt>
                <c:pt idx="20">
                  <c:v>99.097723013000007</c:v>
                </c:pt>
                <c:pt idx="21">
                  <c:v>100.57854873799999</c:v>
                </c:pt>
                <c:pt idx="22">
                  <c:v>102.415420587</c:v>
                </c:pt>
                <c:pt idx="23">
                  <c:v>103.705531865</c:v>
                </c:pt>
                <c:pt idx="24">
                  <c:v>103.852988547</c:v>
                </c:pt>
                <c:pt idx="25">
                  <c:v>102.98645655999999</c:v>
                </c:pt>
                <c:pt idx="26">
                  <c:v>101.519398561</c:v>
                </c:pt>
                <c:pt idx="27">
                  <c:v>100.115891065</c:v>
                </c:pt>
                <c:pt idx="28">
                  <c:v>99.294737483999995</c:v>
                </c:pt>
                <c:pt idx="29">
                  <c:v>98.919159242999996</c:v>
                </c:pt>
                <c:pt idx="30">
                  <c:v>98.478316035000006</c:v>
                </c:pt>
                <c:pt idx="31">
                  <c:v>97.619458354000002</c:v>
                </c:pt>
              </c:numCache>
            </c:numRef>
          </c:val>
          <c:smooth val="0"/>
          <c:extLst>
            <c:ext xmlns:c16="http://schemas.microsoft.com/office/drawing/2014/chart" uri="{C3380CC4-5D6E-409C-BE32-E72D297353CC}">
              <c16:uniqueId val="{00000002-09FE-4335-9506-A17D23D95357}"/>
            </c:ext>
          </c:extLst>
        </c:ser>
        <c:ser>
          <c:idx val="3"/>
          <c:order val="3"/>
          <c:tx>
            <c:strRef>
              <c:f>'Nocenja turista'!$V$5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138217507299792"/>
                  <c:y val="6.3683539273402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FE-4335-9506-A17D23D95357}"/>
                </c:ext>
              </c:extLst>
            </c:dLbl>
            <c:dLbl>
              <c:idx val="12"/>
              <c:layout>
                <c:manualLayout>
                  <c:x val="6.3402764836854364E-2"/>
                  <c:y val="6.3683539273402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9FE-4335-9506-A17D23D95357}"/>
                </c:ext>
              </c:extLst>
            </c:dLbl>
            <c:dLbl>
              <c:idx val="24"/>
              <c:layout>
                <c:manualLayout>
                  <c:x val="2.2861958507778678E-2"/>
                  <c:y val="6.3683539273402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FE-4335-9506-A17D23D95357}"/>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turista'!$V$174:$V$205</c:f>
              <c:numCache>
                <c:formatCode>General</c:formatCode>
                <c:ptCount val="32"/>
                <c:pt idx="0">
                  <c:v>0</c:v>
                </c:pt>
                <c:pt idx="12">
                  <c:v>0</c:v>
                </c:pt>
                <c:pt idx="24">
                  <c:v>0</c:v>
                </c:pt>
              </c:numCache>
            </c:numRef>
          </c:val>
          <c:smooth val="0"/>
          <c:extLst>
            <c:ext xmlns:c16="http://schemas.microsoft.com/office/drawing/2014/chart" uri="{C3380CC4-5D6E-409C-BE32-E72D297353CC}">
              <c16:uniqueId val="{00000006-09FE-4335-9506-A17D23D95357}"/>
            </c:ext>
          </c:extLst>
        </c:ser>
        <c:ser>
          <c:idx val="4"/>
          <c:order val="4"/>
          <c:tx>
            <c:strRef>
              <c:f>'Nocenja turista'!$W$5</c:f>
              <c:strCache>
                <c:ptCount val="1"/>
                <c:pt idx="0">
                  <c:v>Series5</c:v>
                </c:pt>
              </c:strCache>
            </c:strRef>
          </c:tx>
          <c:spPr>
            <a:ln w="28575" cap="rnd">
              <a:noFill/>
              <a:round/>
            </a:ln>
            <a:effectLst/>
          </c:spPr>
          <c:marker>
            <c:symbol val="none"/>
          </c:marker>
          <c:dLbls>
            <c:dLbl>
              <c:idx val="0"/>
              <c:tx>
                <c:rich>
                  <a:bodyPr/>
                  <a:lstStyle/>
                  <a:p>
                    <a:fld id="{5DBF15A8-6A49-4FB0-8EBB-992DC02219E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09FE-4335-9506-A17D23D95357}"/>
                </c:ext>
              </c:extLst>
            </c:dLbl>
            <c:dLbl>
              <c:idx val="1"/>
              <c:tx>
                <c:rich>
                  <a:bodyPr/>
                  <a:lstStyle/>
                  <a:p>
                    <a:fld id="{E94A58D9-A2AC-47A0-B53A-F3C06378C75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09FE-4335-9506-A17D23D95357}"/>
                </c:ext>
              </c:extLst>
            </c:dLbl>
            <c:dLbl>
              <c:idx val="2"/>
              <c:tx>
                <c:rich>
                  <a:bodyPr/>
                  <a:lstStyle/>
                  <a:p>
                    <a:fld id="{449AEEDF-8DC1-4499-9AF3-0D4710BB882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09FE-4335-9506-A17D23D95357}"/>
                </c:ext>
              </c:extLst>
            </c:dLbl>
            <c:dLbl>
              <c:idx val="3"/>
              <c:tx>
                <c:rich>
                  <a:bodyPr/>
                  <a:lstStyle/>
                  <a:p>
                    <a:fld id="{84864298-8E06-43A2-8AB1-483572AABCD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09FE-4335-9506-A17D23D95357}"/>
                </c:ext>
              </c:extLst>
            </c:dLbl>
            <c:dLbl>
              <c:idx val="4"/>
              <c:tx>
                <c:rich>
                  <a:bodyPr/>
                  <a:lstStyle/>
                  <a:p>
                    <a:fld id="{3E48D186-6296-43A1-AA9B-551385196F9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09FE-4335-9506-A17D23D95357}"/>
                </c:ext>
              </c:extLst>
            </c:dLbl>
            <c:dLbl>
              <c:idx val="5"/>
              <c:tx>
                <c:rich>
                  <a:bodyPr/>
                  <a:lstStyle/>
                  <a:p>
                    <a:fld id="{FAF638B4-F0BA-4411-89E5-E2FBE35C3A1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09FE-4335-9506-A17D23D95357}"/>
                </c:ext>
              </c:extLst>
            </c:dLbl>
            <c:dLbl>
              <c:idx val="6"/>
              <c:tx>
                <c:rich>
                  <a:bodyPr/>
                  <a:lstStyle/>
                  <a:p>
                    <a:fld id="{6890FA15-0512-4653-9BD0-01783B68AFC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09FE-4335-9506-A17D23D95357}"/>
                </c:ext>
              </c:extLst>
            </c:dLbl>
            <c:dLbl>
              <c:idx val="7"/>
              <c:tx>
                <c:rich>
                  <a:bodyPr/>
                  <a:lstStyle/>
                  <a:p>
                    <a:fld id="{2F947ABE-0A40-4AEC-B7A8-2D539BAADE9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09FE-4335-9506-A17D23D95357}"/>
                </c:ext>
              </c:extLst>
            </c:dLbl>
            <c:dLbl>
              <c:idx val="8"/>
              <c:tx>
                <c:rich>
                  <a:bodyPr/>
                  <a:lstStyle/>
                  <a:p>
                    <a:fld id="{D2645196-7692-468D-9155-76A741A45B7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09FE-4335-9506-A17D23D95357}"/>
                </c:ext>
              </c:extLst>
            </c:dLbl>
            <c:dLbl>
              <c:idx val="9"/>
              <c:tx>
                <c:rich>
                  <a:bodyPr/>
                  <a:lstStyle/>
                  <a:p>
                    <a:fld id="{B8741F84-122E-4B40-BF84-6A58CEC1530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09FE-4335-9506-A17D23D95357}"/>
                </c:ext>
              </c:extLst>
            </c:dLbl>
            <c:dLbl>
              <c:idx val="10"/>
              <c:tx>
                <c:rich>
                  <a:bodyPr/>
                  <a:lstStyle/>
                  <a:p>
                    <a:fld id="{5E722C4F-A700-4F84-9A41-4F07F63D848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09FE-4335-9506-A17D23D95357}"/>
                </c:ext>
              </c:extLst>
            </c:dLbl>
            <c:dLbl>
              <c:idx val="11"/>
              <c:tx>
                <c:rich>
                  <a:bodyPr/>
                  <a:lstStyle/>
                  <a:p>
                    <a:fld id="{3C05B775-B754-4D85-8021-332B0524385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09FE-4335-9506-A17D23D95357}"/>
                </c:ext>
              </c:extLst>
            </c:dLbl>
            <c:dLbl>
              <c:idx val="12"/>
              <c:tx>
                <c:rich>
                  <a:bodyPr/>
                  <a:lstStyle/>
                  <a:p>
                    <a:fld id="{31036D45-E67A-48CD-A6F7-7FDAC181AF7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09FE-4335-9506-A17D23D95357}"/>
                </c:ext>
              </c:extLst>
            </c:dLbl>
            <c:dLbl>
              <c:idx val="13"/>
              <c:tx>
                <c:rich>
                  <a:bodyPr/>
                  <a:lstStyle/>
                  <a:p>
                    <a:fld id="{2834A44A-FB48-4FA7-871F-72685445CF6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09FE-4335-9506-A17D23D95357}"/>
                </c:ext>
              </c:extLst>
            </c:dLbl>
            <c:dLbl>
              <c:idx val="14"/>
              <c:tx>
                <c:rich>
                  <a:bodyPr/>
                  <a:lstStyle/>
                  <a:p>
                    <a:fld id="{0C9F69B6-74A0-4316-9466-7AA3B0D0528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09FE-4335-9506-A17D23D95357}"/>
                </c:ext>
              </c:extLst>
            </c:dLbl>
            <c:dLbl>
              <c:idx val="15"/>
              <c:tx>
                <c:rich>
                  <a:bodyPr/>
                  <a:lstStyle/>
                  <a:p>
                    <a:fld id="{6E9F6EB0-EF86-44D8-AC36-A3662479F54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09FE-4335-9506-A17D23D95357}"/>
                </c:ext>
              </c:extLst>
            </c:dLbl>
            <c:dLbl>
              <c:idx val="16"/>
              <c:tx>
                <c:rich>
                  <a:bodyPr/>
                  <a:lstStyle/>
                  <a:p>
                    <a:fld id="{E49F09B1-DC79-4EEF-9FF6-BC5AA933A8C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09FE-4335-9506-A17D23D95357}"/>
                </c:ext>
              </c:extLst>
            </c:dLbl>
            <c:dLbl>
              <c:idx val="17"/>
              <c:tx>
                <c:rich>
                  <a:bodyPr/>
                  <a:lstStyle/>
                  <a:p>
                    <a:fld id="{43D74CA3-661B-4FBD-9D2D-72C85935B24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09FE-4335-9506-A17D23D95357}"/>
                </c:ext>
              </c:extLst>
            </c:dLbl>
            <c:dLbl>
              <c:idx val="18"/>
              <c:tx>
                <c:rich>
                  <a:bodyPr/>
                  <a:lstStyle/>
                  <a:p>
                    <a:fld id="{3AD0A74F-B200-40FC-B119-06BC1162E71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09FE-4335-9506-A17D23D95357}"/>
                </c:ext>
              </c:extLst>
            </c:dLbl>
            <c:dLbl>
              <c:idx val="19"/>
              <c:tx>
                <c:rich>
                  <a:bodyPr/>
                  <a:lstStyle/>
                  <a:p>
                    <a:fld id="{76520988-4618-4EA1-AE1E-5D14DC810A5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09FE-4335-9506-A17D23D95357}"/>
                </c:ext>
              </c:extLst>
            </c:dLbl>
            <c:dLbl>
              <c:idx val="20"/>
              <c:tx>
                <c:rich>
                  <a:bodyPr/>
                  <a:lstStyle/>
                  <a:p>
                    <a:fld id="{BA55AF73-423B-4061-A1C1-2D903950571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09FE-4335-9506-A17D23D95357}"/>
                </c:ext>
              </c:extLst>
            </c:dLbl>
            <c:dLbl>
              <c:idx val="21"/>
              <c:tx>
                <c:rich>
                  <a:bodyPr/>
                  <a:lstStyle/>
                  <a:p>
                    <a:fld id="{3ADCA2C3-BB9A-4263-92B1-E8B296E6A5A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09FE-4335-9506-A17D23D95357}"/>
                </c:ext>
              </c:extLst>
            </c:dLbl>
            <c:dLbl>
              <c:idx val="22"/>
              <c:tx>
                <c:rich>
                  <a:bodyPr/>
                  <a:lstStyle/>
                  <a:p>
                    <a:fld id="{63FDD2E1-388D-4FF1-82F7-8CAB13A160B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09FE-4335-9506-A17D23D95357}"/>
                </c:ext>
              </c:extLst>
            </c:dLbl>
            <c:dLbl>
              <c:idx val="23"/>
              <c:tx>
                <c:rich>
                  <a:bodyPr/>
                  <a:lstStyle/>
                  <a:p>
                    <a:fld id="{006588AE-38B4-4BB8-AAF4-71E099DC8FC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09FE-4335-9506-A17D23D95357}"/>
                </c:ext>
              </c:extLst>
            </c:dLbl>
            <c:dLbl>
              <c:idx val="24"/>
              <c:tx>
                <c:rich>
                  <a:bodyPr/>
                  <a:lstStyle/>
                  <a:p>
                    <a:fld id="{472B5E2A-7846-4A1C-9D6C-44E5294C352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09FE-4335-9506-A17D23D95357}"/>
                </c:ext>
              </c:extLst>
            </c:dLbl>
            <c:dLbl>
              <c:idx val="25"/>
              <c:tx>
                <c:rich>
                  <a:bodyPr/>
                  <a:lstStyle/>
                  <a:p>
                    <a:fld id="{55C476F4-AEBC-4B3A-A7B4-85EA54437A7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09FE-4335-9506-A17D23D95357}"/>
                </c:ext>
              </c:extLst>
            </c:dLbl>
            <c:dLbl>
              <c:idx val="26"/>
              <c:tx>
                <c:rich>
                  <a:bodyPr/>
                  <a:lstStyle/>
                  <a:p>
                    <a:fld id="{D330E2CA-BA4B-41CD-A6CA-7B889962FF0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09FE-4335-9506-A17D23D95357}"/>
                </c:ext>
              </c:extLst>
            </c:dLbl>
            <c:dLbl>
              <c:idx val="27"/>
              <c:tx>
                <c:rich>
                  <a:bodyPr/>
                  <a:lstStyle/>
                  <a:p>
                    <a:fld id="{91BF7E3A-DE47-4013-AC05-7739CC2BB87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09FE-4335-9506-A17D23D95357}"/>
                </c:ext>
              </c:extLst>
            </c:dLbl>
            <c:dLbl>
              <c:idx val="28"/>
              <c:tx>
                <c:rich>
                  <a:bodyPr/>
                  <a:lstStyle/>
                  <a:p>
                    <a:fld id="{5E67592A-13D6-46CB-AFBE-ECCCC3DC665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09FE-4335-9506-A17D23D95357}"/>
                </c:ext>
              </c:extLst>
            </c:dLbl>
            <c:dLbl>
              <c:idx val="29"/>
              <c:tx>
                <c:rich>
                  <a:bodyPr/>
                  <a:lstStyle/>
                  <a:p>
                    <a:fld id="{F3641772-A818-4FAD-9A5B-512A5E3271D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09FE-4335-9506-A17D23D95357}"/>
                </c:ext>
              </c:extLst>
            </c:dLbl>
            <c:dLbl>
              <c:idx val="30"/>
              <c:tx>
                <c:rich>
                  <a:bodyPr/>
                  <a:lstStyle/>
                  <a:p>
                    <a:fld id="{5BB23BA8-0AB2-46D0-9DFE-A4C1A48B99B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09FE-4335-9506-A17D23D95357}"/>
                </c:ext>
              </c:extLst>
            </c:dLbl>
            <c:dLbl>
              <c:idx val="31"/>
              <c:tx>
                <c:rich>
                  <a:bodyPr/>
                  <a:lstStyle/>
                  <a:p>
                    <a:fld id="{A4F1248F-4F9C-4B97-AB6F-F0BE425CF2A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09FE-4335-9506-A17D23D95357}"/>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'Nocenja turista'!$A$174:$A$205</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'Nocenja turista'!$W$174:$W$205</c:f>
              <c:numCache>
                <c:formatCode>General</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numCache>
            </c:numRef>
          </c:val>
          <c:smooth val="0"/>
          <c:extLst>
            <c:ext xmlns:c15="http://schemas.microsoft.com/office/drawing/2012/chart" uri="{02D57815-91ED-43cb-92C2-25804820EDAC}">
              <c15:datalabelsRange>
                <c15:f>'Nocenja turista'!$J$150:$J$193</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7-09FE-4335-9506-A17D23D95357}"/>
            </c:ext>
          </c:extLst>
        </c:ser>
        <c:dLbls>
          <c:showLegendKey val="0"/>
          <c:showVal val="0"/>
          <c:showCatName val="0"/>
          <c:showSerName val="0"/>
          <c:showPercent val="0"/>
          <c:showBubbleSize val="0"/>
        </c:dLbls>
        <c:smooth val="0"/>
        <c:axId val="1828917968"/>
        <c:axId val="1828917424"/>
      </c:lineChart>
      <c:dateAx>
        <c:axId val="182891796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17424"/>
        <c:crosses val="autoZero"/>
        <c:auto val="1"/>
        <c:lblOffset val="0"/>
        <c:baseTimeUnit val="months"/>
        <c:majorUnit val="12"/>
        <c:majorTimeUnit val="months"/>
      </c:dateAx>
      <c:valAx>
        <c:axId val="1828917424"/>
        <c:scaling>
          <c:orientation val="minMax"/>
          <c:max val="170"/>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17968"/>
        <c:crosses val="autoZero"/>
        <c:crossBetween val="midCat"/>
        <c:majorUnit val="4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33333333333E-2"/>
          <c:y val="6.2713213213213215E-2"/>
          <c:w val="0.86257083333333318"/>
          <c:h val="0.8328986486486486"/>
        </c:manualLayout>
      </c:layout>
      <c:lineChart>
        <c:grouping val="standard"/>
        <c:varyColors val="0"/>
        <c:ser>
          <c:idx val="0"/>
          <c:order val="0"/>
          <c:tx>
            <c:strRef>
              <c:f>'BoP_izvoz usluga'!$S$5</c:f>
              <c:strCache>
                <c:ptCount val="1"/>
                <c:pt idx="0">
                  <c:v>y</c:v>
                </c:pt>
              </c:strCache>
            </c:strRef>
          </c:tx>
          <c:spPr>
            <a:ln w="12700" cap="rnd">
              <a:solidFill>
                <a:srgbClr val="7F3F98"/>
              </a:solidFill>
              <a:prstDash val="sysDash"/>
              <a:round/>
            </a:ln>
            <a:effectLst/>
          </c:spPr>
          <c:marker>
            <c:symbol val="none"/>
          </c:marker>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usluga'!$S$138:$S$169</c:f>
              <c:numCache>
                <c:formatCode>0.0</c:formatCode>
                <c:ptCount val="32"/>
                <c:pt idx="0">
                  <c:v>71.611893398999996</c:v>
                </c:pt>
                <c:pt idx="1">
                  <c:v>73.551793392999997</c:v>
                </c:pt>
                <c:pt idx="2">
                  <c:v>83.118656485000002</c:v>
                </c:pt>
                <c:pt idx="3">
                  <c:v>79.192359637999999</c:v>
                </c:pt>
                <c:pt idx="4">
                  <c:v>81.706984988000002</c:v>
                </c:pt>
                <c:pt idx="5">
                  <c:v>85.642707246000001</c:v>
                </c:pt>
                <c:pt idx="6">
                  <c:v>81.657766785999996</c:v>
                </c:pt>
                <c:pt idx="7">
                  <c:v>87.139593095999999</c:v>
                </c:pt>
                <c:pt idx="8">
                  <c:v>81.515196786999994</c:v>
                </c:pt>
                <c:pt idx="9">
                  <c:v>83.727663836000005</c:v>
                </c:pt>
                <c:pt idx="10">
                  <c:v>89.544958176999998</c:v>
                </c:pt>
                <c:pt idx="11">
                  <c:v>99.182129040999996</c:v>
                </c:pt>
                <c:pt idx="12">
                  <c:v>88.958879117999999</c:v>
                </c:pt>
                <c:pt idx="13">
                  <c:v>87.770299703999996</c:v>
                </c:pt>
                <c:pt idx="14">
                  <c:v>89.556275783000004</c:v>
                </c:pt>
                <c:pt idx="15">
                  <c:v>102.79991460700001</c:v>
                </c:pt>
                <c:pt idx="16">
                  <c:v>100.25810500199999</c:v>
                </c:pt>
                <c:pt idx="17">
                  <c:v>94.869701849999998</c:v>
                </c:pt>
                <c:pt idx="18">
                  <c:v>105.249592427</c:v>
                </c:pt>
                <c:pt idx="19">
                  <c:v>93.842884120999997</c:v>
                </c:pt>
                <c:pt idx="20">
                  <c:v>98.027921031000005</c:v>
                </c:pt>
                <c:pt idx="21">
                  <c:v>108.976540997</c:v>
                </c:pt>
                <c:pt idx="22">
                  <c:v>107.61906643499999</c:v>
                </c:pt>
                <c:pt idx="23">
                  <c:v>122.070818923</c:v>
                </c:pt>
                <c:pt idx="24">
                  <c:v>102.304899789</c:v>
                </c:pt>
                <c:pt idx="25">
                  <c:v>103.68706407400001</c:v>
                </c:pt>
                <c:pt idx="26">
                  <c:v>111.802099438</c:v>
                </c:pt>
                <c:pt idx="27">
                  <c:v>112.35319313399999</c:v>
                </c:pt>
                <c:pt idx="28">
                  <c:v>102.86242126</c:v>
                </c:pt>
                <c:pt idx="29">
                  <c:v>110.666960315</c:v>
                </c:pt>
                <c:pt idx="30">
                  <c:v>113.281121888</c:v>
                </c:pt>
                <c:pt idx="31">
                  <c:v>104.50972904</c:v>
                </c:pt>
              </c:numCache>
            </c:numRef>
          </c:val>
          <c:smooth val="0"/>
          <c:extLst>
            <c:ext xmlns:c16="http://schemas.microsoft.com/office/drawing/2014/chart" uri="{C3380CC4-5D6E-409C-BE32-E72D297353CC}">
              <c16:uniqueId val="{00000000-6017-4372-AF61-98BEDCDBB999}"/>
            </c:ext>
          </c:extLst>
        </c:ser>
        <c:ser>
          <c:idx val="1"/>
          <c:order val="1"/>
          <c:tx>
            <c:strRef>
              <c:f>'BoP_izvoz usluga'!$T$5</c:f>
              <c:strCache>
                <c:ptCount val="1"/>
                <c:pt idx="0">
                  <c:v>sa</c:v>
                </c:pt>
              </c:strCache>
            </c:strRef>
          </c:tx>
          <c:spPr>
            <a:ln w="22225" cap="rnd">
              <a:solidFill>
                <a:srgbClr val="25AAE1"/>
              </a:solidFill>
              <a:round/>
            </a:ln>
            <a:effectLst/>
          </c:spPr>
          <c:marker>
            <c:symbol val="none"/>
          </c:marker>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usluga'!$T$138:$T$169</c:f>
              <c:numCache>
                <c:formatCode>0.0</c:formatCode>
                <c:ptCount val="32"/>
                <c:pt idx="0">
                  <c:v>73.626085754000002</c:v>
                </c:pt>
                <c:pt idx="1">
                  <c:v>79.505965071000006</c:v>
                </c:pt>
                <c:pt idx="2">
                  <c:v>78.123666450000002</c:v>
                </c:pt>
                <c:pt idx="3">
                  <c:v>81.986819089999997</c:v>
                </c:pt>
                <c:pt idx="4">
                  <c:v>83.558419960999998</c:v>
                </c:pt>
                <c:pt idx="5">
                  <c:v>83.309199569</c:v>
                </c:pt>
                <c:pt idx="6">
                  <c:v>82.583043101000001</c:v>
                </c:pt>
                <c:pt idx="7">
                  <c:v>88.546192254000005</c:v>
                </c:pt>
                <c:pt idx="8">
                  <c:v>85.163759591000002</c:v>
                </c:pt>
                <c:pt idx="9">
                  <c:v>84.725427405999994</c:v>
                </c:pt>
                <c:pt idx="10">
                  <c:v>88.085790752999998</c:v>
                </c:pt>
                <c:pt idx="11">
                  <c:v>87.798943800999993</c:v>
                </c:pt>
                <c:pt idx="12">
                  <c:v>93.281413028000003</c:v>
                </c:pt>
                <c:pt idx="13">
                  <c:v>92.720228939999998</c:v>
                </c:pt>
                <c:pt idx="14">
                  <c:v>88.274696714000001</c:v>
                </c:pt>
                <c:pt idx="15">
                  <c:v>97.562995826000005</c:v>
                </c:pt>
                <c:pt idx="16">
                  <c:v>103.35457193400001</c:v>
                </c:pt>
                <c:pt idx="17">
                  <c:v>99.208369415999996</c:v>
                </c:pt>
                <c:pt idx="18">
                  <c:v>102.121181236</c:v>
                </c:pt>
                <c:pt idx="19">
                  <c:v>96.550340492999993</c:v>
                </c:pt>
                <c:pt idx="20">
                  <c:v>104.85404763699999</c:v>
                </c:pt>
                <c:pt idx="21">
                  <c:v>106.074556288</c:v>
                </c:pt>
                <c:pt idx="22">
                  <c:v>107.52514228699999</c:v>
                </c:pt>
                <c:pt idx="23">
                  <c:v>106.76401197</c:v>
                </c:pt>
                <c:pt idx="24">
                  <c:v>108.605058589</c:v>
                </c:pt>
                <c:pt idx="25">
                  <c:v>106.417460676</c:v>
                </c:pt>
                <c:pt idx="26">
                  <c:v>113.70071110400001</c:v>
                </c:pt>
                <c:pt idx="27">
                  <c:v>109.514109936</c:v>
                </c:pt>
                <c:pt idx="28">
                  <c:v>107.27837809</c:v>
                </c:pt>
                <c:pt idx="29">
                  <c:v>114.44692652000001</c:v>
                </c:pt>
                <c:pt idx="30">
                  <c:v>107.45606235299999</c:v>
                </c:pt>
                <c:pt idx="31">
                  <c:v>111.219216051</c:v>
                </c:pt>
              </c:numCache>
            </c:numRef>
          </c:val>
          <c:smooth val="0"/>
          <c:extLst>
            <c:ext xmlns:c16="http://schemas.microsoft.com/office/drawing/2014/chart" uri="{C3380CC4-5D6E-409C-BE32-E72D297353CC}">
              <c16:uniqueId val="{00000001-6017-4372-AF61-98BEDCDBB999}"/>
            </c:ext>
          </c:extLst>
        </c:ser>
        <c:ser>
          <c:idx val="2"/>
          <c:order val="2"/>
          <c:tx>
            <c:strRef>
              <c:f>'BoP_izvoz usluga'!$U$5</c:f>
              <c:strCache>
                <c:ptCount val="1"/>
                <c:pt idx="0">
                  <c:v>t</c:v>
                </c:pt>
              </c:strCache>
            </c:strRef>
          </c:tx>
          <c:spPr>
            <a:ln w="25400" cap="rnd">
              <a:solidFill>
                <a:srgbClr val="FF0000"/>
              </a:solidFill>
              <a:round/>
            </a:ln>
            <a:effectLst/>
          </c:spPr>
          <c:marker>
            <c:symbol val="none"/>
          </c:marker>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usluga'!$U$138:$U$169</c:f>
              <c:numCache>
                <c:formatCode>0.0</c:formatCode>
                <c:ptCount val="32"/>
                <c:pt idx="0">
                  <c:v>76.761703276999995</c:v>
                </c:pt>
                <c:pt idx="1">
                  <c:v>78.207090960000002</c:v>
                </c:pt>
                <c:pt idx="2">
                  <c:v>79.735883426000001</c:v>
                </c:pt>
                <c:pt idx="3">
                  <c:v>81.167887613999994</c:v>
                </c:pt>
                <c:pt idx="4">
                  <c:v>82.337590951999999</c:v>
                </c:pt>
                <c:pt idx="5">
                  <c:v>83.232771098000001</c:v>
                </c:pt>
                <c:pt idx="6">
                  <c:v>83.830238800000004</c:v>
                </c:pt>
                <c:pt idx="7">
                  <c:v>84.329396399999993</c:v>
                </c:pt>
                <c:pt idx="8">
                  <c:v>85.027793701999997</c:v>
                </c:pt>
                <c:pt idx="9">
                  <c:v>86.050081313000007</c:v>
                </c:pt>
                <c:pt idx="10">
                  <c:v>87.516443792000004</c:v>
                </c:pt>
                <c:pt idx="11">
                  <c:v>89.321711051999998</c:v>
                </c:pt>
                <c:pt idx="12">
                  <c:v>91.290220782999995</c:v>
                </c:pt>
                <c:pt idx="13">
                  <c:v>93.292334046999997</c:v>
                </c:pt>
                <c:pt idx="14">
                  <c:v>95.198453908000005</c:v>
                </c:pt>
                <c:pt idx="15">
                  <c:v>96.912153603999997</c:v>
                </c:pt>
                <c:pt idx="16">
                  <c:v>98.499618677000001</c:v>
                </c:pt>
                <c:pt idx="17">
                  <c:v>100.092847729</c:v>
                </c:pt>
                <c:pt idx="18">
                  <c:v>101.680693234</c:v>
                </c:pt>
                <c:pt idx="19">
                  <c:v>103.289898694</c:v>
                </c:pt>
                <c:pt idx="20">
                  <c:v>104.697828805</c:v>
                </c:pt>
                <c:pt idx="21">
                  <c:v>105.864148715</c:v>
                </c:pt>
                <c:pt idx="22">
                  <c:v>106.79955040199999</c:v>
                </c:pt>
                <c:pt idx="23">
                  <c:v>107.42723877500001</c:v>
                </c:pt>
                <c:pt idx="24">
                  <c:v>107.914092334</c:v>
                </c:pt>
                <c:pt idx="25">
                  <c:v>108.317264705</c:v>
                </c:pt>
                <c:pt idx="26">
                  <c:v>108.592322411</c:v>
                </c:pt>
                <c:pt idx="27">
                  <c:v>108.76961424700001</c:v>
                </c:pt>
                <c:pt idx="28">
                  <c:v>109.003074482</c:v>
                </c:pt>
                <c:pt idx="29">
                  <c:v>109.473571807</c:v>
                </c:pt>
                <c:pt idx="30">
                  <c:v>110.46764846000001</c:v>
                </c:pt>
                <c:pt idx="31">
                  <c:v>112.076859371</c:v>
                </c:pt>
              </c:numCache>
            </c:numRef>
          </c:val>
          <c:smooth val="0"/>
          <c:extLst>
            <c:ext xmlns:c16="http://schemas.microsoft.com/office/drawing/2014/chart" uri="{C3380CC4-5D6E-409C-BE32-E72D297353CC}">
              <c16:uniqueId val="{00000002-6017-4372-AF61-98BEDCDBB999}"/>
            </c:ext>
          </c:extLst>
        </c:ser>
        <c:ser>
          <c:idx val="3"/>
          <c:order val="3"/>
          <c:tx>
            <c:strRef>
              <c:f>'BoP_izvoz usluga'!$V$5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4095903576902091"/>
                  <c:y val="4.478446405211579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17-4372-AF61-98BEDCDBB999}"/>
                </c:ext>
              </c:extLst>
            </c:dLbl>
            <c:dLbl>
              <c:idx val="12"/>
              <c:layout>
                <c:manualLayout>
                  <c:x val="9.3850136840499726E-2"/>
                  <c:y val="4.478446405211579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017-4372-AF61-98BEDCDBB999}"/>
                </c:ext>
              </c:extLst>
            </c:dLbl>
            <c:dLbl>
              <c:idx val="24"/>
              <c:layout>
                <c:manualLayout>
                  <c:x val="3.5527243881141431E-2"/>
                  <c:y val="4.478446405211579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017-4372-AF61-98BEDCDBB999}"/>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usluga'!$V$138:$V$169</c:f>
              <c:numCache>
                <c:formatCode>General</c:formatCode>
                <c:ptCount val="32"/>
                <c:pt idx="0">
                  <c:v>20</c:v>
                </c:pt>
                <c:pt idx="12">
                  <c:v>20</c:v>
                </c:pt>
                <c:pt idx="24">
                  <c:v>20</c:v>
                </c:pt>
              </c:numCache>
            </c:numRef>
          </c:val>
          <c:smooth val="0"/>
          <c:extLst>
            <c:ext xmlns:c16="http://schemas.microsoft.com/office/drawing/2014/chart" uri="{C3380CC4-5D6E-409C-BE32-E72D297353CC}">
              <c16:uniqueId val="{00000006-6017-4372-AF61-98BEDCDBB999}"/>
            </c:ext>
          </c:extLst>
        </c:ser>
        <c:ser>
          <c:idx val="4"/>
          <c:order val="4"/>
          <c:tx>
            <c:strRef>
              <c:f>'BoP_izvoz usluga'!$W$5</c:f>
              <c:strCache>
                <c:ptCount val="1"/>
                <c:pt idx="0">
                  <c:v>Series5</c:v>
                </c:pt>
              </c:strCache>
            </c:strRef>
          </c:tx>
          <c:spPr>
            <a:ln w="28575" cap="rnd">
              <a:noFill/>
              <a:round/>
            </a:ln>
            <a:effectLst/>
          </c:spPr>
          <c:marker>
            <c:symbol val="none"/>
          </c:marker>
          <c:dLbls>
            <c:dLbl>
              <c:idx val="0"/>
              <c:tx>
                <c:rich>
                  <a:bodyPr/>
                  <a:lstStyle/>
                  <a:p>
                    <a:fld id="{09902A7C-54DA-4821-A668-E147A90F3C8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6017-4372-AF61-98BEDCDBB999}"/>
                </c:ext>
              </c:extLst>
            </c:dLbl>
            <c:dLbl>
              <c:idx val="1"/>
              <c:tx>
                <c:rich>
                  <a:bodyPr/>
                  <a:lstStyle/>
                  <a:p>
                    <a:fld id="{344E532D-9B03-488A-AB5B-7BBCE8117A9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6017-4372-AF61-98BEDCDBB999}"/>
                </c:ext>
              </c:extLst>
            </c:dLbl>
            <c:dLbl>
              <c:idx val="2"/>
              <c:tx>
                <c:rich>
                  <a:bodyPr/>
                  <a:lstStyle/>
                  <a:p>
                    <a:fld id="{18490806-192B-4A83-B5D8-9D95B1CA31E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017-4372-AF61-98BEDCDBB999}"/>
                </c:ext>
              </c:extLst>
            </c:dLbl>
            <c:dLbl>
              <c:idx val="3"/>
              <c:tx>
                <c:rich>
                  <a:bodyPr/>
                  <a:lstStyle/>
                  <a:p>
                    <a:fld id="{8DBC0BE1-ABEE-43BA-82AE-E7754941CC7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6017-4372-AF61-98BEDCDBB999}"/>
                </c:ext>
              </c:extLst>
            </c:dLbl>
            <c:dLbl>
              <c:idx val="4"/>
              <c:tx>
                <c:rich>
                  <a:bodyPr/>
                  <a:lstStyle/>
                  <a:p>
                    <a:fld id="{80A058C1-A182-44E7-B1B7-DD65F7A0373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6017-4372-AF61-98BEDCDBB999}"/>
                </c:ext>
              </c:extLst>
            </c:dLbl>
            <c:dLbl>
              <c:idx val="5"/>
              <c:tx>
                <c:rich>
                  <a:bodyPr/>
                  <a:lstStyle/>
                  <a:p>
                    <a:fld id="{38E6AA78-EBBD-483A-A68F-F98D86CF84C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017-4372-AF61-98BEDCDBB999}"/>
                </c:ext>
              </c:extLst>
            </c:dLbl>
            <c:dLbl>
              <c:idx val="6"/>
              <c:tx>
                <c:rich>
                  <a:bodyPr/>
                  <a:lstStyle/>
                  <a:p>
                    <a:fld id="{7A7F4528-92CC-4690-906B-3E036535062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6017-4372-AF61-98BEDCDBB999}"/>
                </c:ext>
              </c:extLst>
            </c:dLbl>
            <c:dLbl>
              <c:idx val="7"/>
              <c:tx>
                <c:rich>
                  <a:bodyPr/>
                  <a:lstStyle/>
                  <a:p>
                    <a:fld id="{12081BF2-9038-4C24-8CB6-4054D524861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6017-4372-AF61-98BEDCDBB999}"/>
                </c:ext>
              </c:extLst>
            </c:dLbl>
            <c:dLbl>
              <c:idx val="8"/>
              <c:tx>
                <c:rich>
                  <a:bodyPr/>
                  <a:lstStyle/>
                  <a:p>
                    <a:fld id="{8F792714-5CD5-4D06-946E-4C0902C7EB5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017-4372-AF61-98BEDCDBB999}"/>
                </c:ext>
              </c:extLst>
            </c:dLbl>
            <c:dLbl>
              <c:idx val="9"/>
              <c:tx>
                <c:rich>
                  <a:bodyPr/>
                  <a:lstStyle/>
                  <a:p>
                    <a:fld id="{F2D7F5B5-111E-4FB7-B4C9-2D3EA90ADDB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6017-4372-AF61-98BEDCDBB999}"/>
                </c:ext>
              </c:extLst>
            </c:dLbl>
            <c:dLbl>
              <c:idx val="10"/>
              <c:tx>
                <c:rich>
                  <a:bodyPr/>
                  <a:lstStyle/>
                  <a:p>
                    <a:fld id="{4DFC01B4-1CB4-4356-B9A4-3E2E55F0E71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6017-4372-AF61-98BEDCDBB999}"/>
                </c:ext>
              </c:extLst>
            </c:dLbl>
            <c:dLbl>
              <c:idx val="11"/>
              <c:tx>
                <c:rich>
                  <a:bodyPr/>
                  <a:lstStyle/>
                  <a:p>
                    <a:fld id="{6A610F42-98B1-4C3B-83E2-48AAF622AD9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017-4372-AF61-98BEDCDBB999}"/>
                </c:ext>
              </c:extLst>
            </c:dLbl>
            <c:dLbl>
              <c:idx val="12"/>
              <c:tx>
                <c:rich>
                  <a:bodyPr/>
                  <a:lstStyle/>
                  <a:p>
                    <a:fld id="{3C5EB950-63D8-4764-AC72-6182C60507D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6017-4372-AF61-98BEDCDBB999}"/>
                </c:ext>
              </c:extLst>
            </c:dLbl>
            <c:dLbl>
              <c:idx val="13"/>
              <c:tx>
                <c:rich>
                  <a:bodyPr/>
                  <a:lstStyle/>
                  <a:p>
                    <a:fld id="{2D06DC66-C1C1-42BB-AE7A-CF3DA0BB879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6017-4372-AF61-98BEDCDBB999}"/>
                </c:ext>
              </c:extLst>
            </c:dLbl>
            <c:dLbl>
              <c:idx val="14"/>
              <c:tx>
                <c:rich>
                  <a:bodyPr/>
                  <a:lstStyle/>
                  <a:p>
                    <a:fld id="{C28AFE00-A2B1-454D-B6A2-1B27AAC176E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017-4372-AF61-98BEDCDBB999}"/>
                </c:ext>
              </c:extLst>
            </c:dLbl>
            <c:dLbl>
              <c:idx val="15"/>
              <c:tx>
                <c:rich>
                  <a:bodyPr/>
                  <a:lstStyle/>
                  <a:p>
                    <a:fld id="{B3DF01B1-06FB-471D-900F-6550D235469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6017-4372-AF61-98BEDCDBB999}"/>
                </c:ext>
              </c:extLst>
            </c:dLbl>
            <c:dLbl>
              <c:idx val="16"/>
              <c:tx>
                <c:rich>
                  <a:bodyPr/>
                  <a:lstStyle/>
                  <a:p>
                    <a:fld id="{581A7E09-5936-49E9-A2C1-8EC01701EB7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6017-4372-AF61-98BEDCDBB999}"/>
                </c:ext>
              </c:extLst>
            </c:dLbl>
            <c:dLbl>
              <c:idx val="17"/>
              <c:tx>
                <c:rich>
                  <a:bodyPr/>
                  <a:lstStyle/>
                  <a:p>
                    <a:fld id="{0230702F-EF0C-45AD-866B-66E8644C708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6017-4372-AF61-98BEDCDBB999}"/>
                </c:ext>
              </c:extLst>
            </c:dLbl>
            <c:dLbl>
              <c:idx val="18"/>
              <c:tx>
                <c:rich>
                  <a:bodyPr/>
                  <a:lstStyle/>
                  <a:p>
                    <a:fld id="{AF1D0698-F572-4932-9368-F7F3F2CD8AB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6017-4372-AF61-98BEDCDBB999}"/>
                </c:ext>
              </c:extLst>
            </c:dLbl>
            <c:dLbl>
              <c:idx val="19"/>
              <c:tx>
                <c:rich>
                  <a:bodyPr/>
                  <a:lstStyle/>
                  <a:p>
                    <a:endParaRPr lang="en-US"/>
                  </a:p>
                </c:rich>
              </c:tx>
              <c:dLblPos val="t"/>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6017-4372-AF61-98BEDCDBB999}"/>
                </c:ext>
              </c:extLst>
            </c:dLbl>
            <c:dLbl>
              <c:idx val="20"/>
              <c:tx>
                <c:rich>
                  <a:bodyPr/>
                  <a:lstStyle/>
                  <a:p>
                    <a:fld id="{2028A0F4-5E1B-4463-B352-5D069DB91B4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6017-4372-AF61-98BEDCDBB999}"/>
                </c:ext>
              </c:extLst>
            </c:dLbl>
            <c:dLbl>
              <c:idx val="21"/>
              <c:tx>
                <c:rich>
                  <a:bodyPr/>
                  <a:lstStyle/>
                  <a:p>
                    <a:fld id="{86397C34-C3B3-4478-9B31-A0A348C2CA3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6017-4372-AF61-98BEDCDBB999}"/>
                </c:ext>
              </c:extLst>
            </c:dLbl>
            <c:dLbl>
              <c:idx val="22"/>
              <c:tx>
                <c:rich>
                  <a:bodyPr/>
                  <a:lstStyle/>
                  <a:p>
                    <a:fld id="{6B89F2CB-A8DA-4B61-8E36-6EECDE068D1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6017-4372-AF61-98BEDCDBB999}"/>
                </c:ext>
              </c:extLst>
            </c:dLbl>
            <c:dLbl>
              <c:idx val="23"/>
              <c:tx>
                <c:rich>
                  <a:bodyPr/>
                  <a:lstStyle/>
                  <a:p>
                    <a:fld id="{5342E351-A1AA-49E0-B5AB-89587098B17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6017-4372-AF61-98BEDCDBB999}"/>
                </c:ext>
              </c:extLst>
            </c:dLbl>
            <c:dLbl>
              <c:idx val="24"/>
              <c:tx>
                <c:rich>
                  <a:bodyPr/>
                  <a:lstStyle/>
                  <a:p>
                    <a:fld id="{7F50D8FA-047E-445B-8BF4-46D736CBD51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6017-4372-AF61-98BEDCDBB999}"/>
                </c:ext>
              </c:extLst>
            </c:dLbl>
            <c:dLbl>
              <c:idx val="25"/>
              <c:tx>
                <c:rich>
                  <a:bodyPr/>
                  <a:lstStyle/>
                  <a:p>
                    <a:fld id="{51CE2A1F-ABEA-46F5-A19E-3A54917D22B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6017-4372-AF61-98BEDCDBB999}"/>
                </c:ext>
              </c:extLst>
            </c:dLbl>
            <c:dLbl>
              <c:idx val="26"/>
              <c:tx>
                <c:rich>
                  <a:bodyPr/>
                  <a:lstStyle/>
                  <a:p>
                    <a:fld id="{C1A12AF0-198A-4A79-A91C-AD49B392720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6017-4372-AF61-98BEDCDBB999}"/>
                </c:ext>
              </c:extLst>
            </c:dLbl>
            <c:dLbl>
              <c:idx val="27"/>
              <c:tx>
                <c:rich>
                  <a:bodyPr/>
                  <a:lstStyle/>
                  <a:p>
                    <a:fld id="{2285B996-3347-4EBF-8B9B-E2055C850E9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6017-4372-AF61-98BEDCDBB999}"/>
                </c:ext>
              </c:extLst>
            </c:dLbl>
            <c:dLbl>
              <c:idx val="28"/>
              <c:tx>
                <c:rich>
                  <a:bodyPr/>
                  <a:lstStyle/>
                  <a:p>
                    <a:fld id="{98EB4A6F-DA03-4FA9-B2A8-83FBA78AA2D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6017-4372-AF61-98BEDCDBB999}"/>
                </c:ext>
              </c:extLst>
            </c:dLbl>
            <c:dLbl>
              <c:idx val="29"/>
              <c:tx>
                <c:rich>
                  <a:bodyPr/>
                  <a:lstStyle/>
                  <a:p>
                    <a:fld id="{3F440A92-C581-4395-A2D6-2F73886432C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6017-4372-AF61-98BEDCDBB999}"/>
                </c:ext>
              </c:extLst>
            </c:dLbl>
            <c:dLbl>
              <c:idx val="30"/>
              <c:tx>
                <c:rich>
                  <a:bodyPr/>
                  <a:lstStyle/>
                  <a:p>
                    <a:fld id="{FC5D9734-0DA1-4AF5-84F8-40D6CCFC2A0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6017-4372-AF61-98BEDCDBB999}"/>
                </c:ext>
              </c:extLst>
            </c:dLbl>
            <c:dLbl>
              <c:idx val="31"/>
              <c:tx>
                <c:rich>
                  <a:bodyPr/>
                  <a:lstStyle/>
                  <a:p>
                    <a:fld id="{0A13FFEC-021F-4EAC-85B1-150F53F7A70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6017-4372-AF61-98BEDCDBB999}"/>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usluga'!$W$138:$W$169</c:f>
              <c:numCache>
                <c:formatCode>General</c:formatCode>
                <c:ptCount val="32"/>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20</c:v>
                </c:pt>
                <c:pt idx="19">
                  <c:v>20</c:v>
                </c:pt>
                <c:pt idx="20">
                  <c:v>20</c:v>
                </c:pt>
                <c:pt idx="21">
                  <c:v>20</c:v>
                </c:pt>
                <c:pt idx="22">
                  <c:v>20</c:v>
                </c:pt>
                <c:pt idx="23">
                  <c:v>20</c:v>
                </c:pt>
                <c:pt idx="24">
                  <c:v>20</c:v>
                </c:pt>
                <c:pt idx="25">
                  <c:v>20</c:v>
                </c:pt>
                <c:pt idx="26">
                  <c:v>20</c:v>
                </c:pt>
                <c:pt idx="27">
                  <c:v>20</c:v>
                </c:pt>
                <c:pt idx="28">
                  <c:v>20</c:v>
                </c:pt>
                <c:pt idx="29">
                  <c:v>20</c:v>
                </c:pt>
                <c:pt idx="30">
                  <c:v>20</c:v>
                </c:pt>
                <c:pt idx="31">
                  <c:v>20</c:v>
                </c:pt>
              </c:numCache>
            </c:numRef>
          </c:val>
          <c:smooth val="0"/>
          <c:extLst>
            <c:ext xmlns:c15="http://schemas.microsoft.com/office/drawing/2012/chart" uri="{02D57815-91ED-43cb-92C2-25804820EDAC}">
              <c15:datalabelsRange>
                <c15:f>'BoP_izvoz usluga'!$J$114:$J$168</c15:f>
                <c15:dlblRangeCache>
                  <c:ptCount val="5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7-6017-4372-AF61-98BEDCDBB999}"/>
            </c:ext>
          </c:extLst>
        </c:ser>
        <c:dLbls>
          <c:showLegendKey val="0"/>
          <c:showVal val="0"/>
          <c:showCatName val="0"/>
          <c:showSerName val="0"/>
          <c:showPercent val="0"/>
          <c:showBubbleSize val="0"/>
        </c:dLbls>
        <c:smooth val="0"/>
        <c:axId val="1828932656"/>
        <c:axId val="1828929936"/>
      </c:lineChart>
      <c:dateAx>
        <c:axId val="1828932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9936"/>
        <c:crosses val="autoZero"/>
        <c:auto val="1"/>
        <c:lblOffset val="0"/>
        <c:baseTimeUnit val="months"/>
      </c:dateAx>
      <c:valAx>
        <c:axId val="1828929936"/>
        <c:scaling>
          <c:orientation val="minMax"/>
          <c:min val="2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2656"/>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259167550669125"/>
          <c:h val="0.84243318318318317"/>
        </c:manualLayout>
      </c:layout>
      <c:lineChart>
        <c:grouping val="standard"/>
        <c:varyColors val="0"/>
        <c:ser>
          <c:idx val="0"/>
          <c:order val="0"/>
          <c:tx>
            <c:strRef>
              <c:f>'BoP_izvoz usluga'!$L$5</c:f>
              <c:strCache>
                <c:ptCount val="1"/>
                <c:pt idx="0">
                  <c:v>y</c:v>
                </c:pt>
              </c:strCache>
            </c:strRef>
          </c:tx>
          <c:spPr>
            <a:ln w="12700" cap="rnd">
              <a:solidFill>
                <a:srgbClr val="7F3F98"/>
              </a:solidFill>
              <a:prstDash val="sysDash"/>
              <a:round/>
            </a:ln>
            <a:effectLst/>
          </c:spPr>
          <c:marker>
            <c:symbol val="none"/>
          </c:marker>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usluga'!$L$138:$L$169</c:f>
              <c:numCache>
                <c:formatCode>0.0</c:formatCode>
                <c:ptCount val="32"/>
                <c:pt idx="0">
                  <c:v>77.839182222000005</c:v>
                </c:pt>
                <c:pt idx="1">
                  <c:v>71.184834480999996</c:v>
                </c:pt>
                <c:pt idx="2">
                  <c:v>68.396537456000004</c:v>
                </c:pt>
                <c:pt idx="3">
                  <c:v>60.565711022999999</c:v>
                </c:pt>
                <c:pt idx="4">
                  <c:v>100.928152752</c:v>
                </c:pt>
                <c:pt idx="5">
                  <c:v>78.640349130999994</c:v>
                </c:pt>
                <c:pt idx="6">
                  <c:v>114.64757419999999</c:v>
                </c:pt>
                <c:pt idx="7">
                  <c:v>128.779761724</c:v>
                </c:pt>
                <c:pt idx="8">
                  <c:v>95.721941302000005</c:v>
                </c:pt>
                <c:pt idx="9">
                  <c:v>88.737043193999995</c:v>
                </c:pt>
                <c:pt idx="10">
                  <c:v>97.48949331</c:v>
                </c:pt>
                <c:pt idx="11">
                  <c:v>100.04676896399999</c:v>
                </c:pt>
                <c:pt idx="12">
                  <c:v>91.554534390000001</c:v>
                </c:pt>
                <c:pt idx="13">
                  <c:v>73.058834438000005</c:v>
                </c:pt>
                <c:pt idx="14">
                  <c:v>78.576014064999995</c:v>
                </c:pt>
                <c:pt idx="15">
                  <c:v>96.523884914999996</c:v>
                </c:pt>
                <c:pt idx="16">
                  <c:v>101.64313304</c:v>
                </c:pt>
                <c:pt idx="17">
                  <c:v>96.383950214999999</c:v>
                </c:pt>
                <c:pt idx="18">
                  <c:v>128.478137675</c:v>
                </c:pt>
                <c:pt idx="19">
                  <c:v>121.54294534</c:v>
                </c:pt>
                <c:pt idx="20">
                  <c:v>91.250853422999995</c:v>
                </c:pt>
                <c:pt idx="21">
                  <c:v>98.454931196000004</c:v>
                </c:pt>
                <c:pt idx="22">
                  <c:v>92.171660068999998</c:v>
                </c:pt>
                <c:pt idx="23">
                  <c:v>130.361121234</c:v>
                </c:pt>
                <c:pt idx="24">
                  <c:v>102.33491243</c:v>
                </c:pt>
                <c:pt idx="25">
                  <c:v>98.427021181000001</c:v>
                </c:pt>
                <c:pt idx="26">
                  <c:v>68.328012959000006</c:v>
                </c:pt>
                <c:pt idx="27">
                  <c:v>78.404615754999995</c:v>
                </c:pt>
                <c:pt idx="28">
                  <c:v>94.558439876999998</c:v>
                </c:pt>
                <c:pt idx="29">
                  <c:v>94.706580955999996</c:v>
                </c:pt>
                <c:pt idx="30">
                  <c:v>135.47010365599999</c:v>
                </c:pt>
                <c:pt idx="31">
                  <c:v>120.340283984</c:v>
                </c:pt>
              </c:numCache>
            </c:numRef>
          </c:val>
          <c:smooth val="0"/>
          <c:extLst>
            <c:ext xmlns:c16="http://schemas.microsoft.com/office/drawing/2014/chart" uri="{C3380CC4-5D6E-409C-BE32-E72D297353CC}">
              <c16:uniqueId val="{00000000-F407-46F7-9F5F-6BC0F32D6112}"/>
            </c:ext>
          </c:extLst>
        </c:ser>
        <c:ser>
          <c:idx val="1"/>
          <c:order val="1"/>
          <c:tx>
            <c:strRef>
              <c:f>'BoP_izvoz usluga'!$M$5</c:f>
              <c:strCache>
                <c:ptCount val="1"/>
                <c:pt idx="0">
                  <c:v>sa</c:v>
                </c:pt>
              </c:strCache>
            </c:strRef>
          </c:tx>
          <c:spPr>
            <a:ln w="22225" cap="rnd">
              <a:solidFill>
                <a:srgbClr val="25AAE1"/>
              </a:solidFill>
              <a:round/>
            </a:ln>
            <a:effectLst/>
          </c:spPr>
          <c:marker>
            <c:symbol val="none"/>
          </c:marker>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usluga'!$M$138:$M$169</c:f>
              <c:numCache>
                <c:formatCode>0.0</c:formatCode>
                <c:ptCount val="32"/>
                <c:pt idx="0">
                  <c:v>86.046230335999994</c:v>
                </c:pt>
                <c:pt idx="1">
                  <c:v>103.303138616</c:v>
                </c:pt>
                <c:pt idx="2">
                  <c:v>86.963156827000006</c:v>
                </c:pt>
                <c:pt idx="3">
                  <c:v>83.370269002000001</c:v>
                </c:pt>
                <c:pt idx="4">
                  <c:v>96.985492911999998</c:v>
                </c:pt>
                <c:pt idx="5">
                  <c:v>81.263201074999998</c:v>
                </c:pt>
                <c:pt idx="6">
                  <c:v>88.034497873999996</c:v>
                </c:pt>
                <c:pt idx="7">
                  <c:v>91.201569366000001</c:v>
                </c:pt>
                <c:pt idx="8">
                  <c:v>98.035789471000001</c:v>
                </c:pt>
                <c:pt idx="9">
                  <c:v>90.654234161999995</c:v>
                </c:pt>
                <c:pt idx="10">
                  <c:v>96.832725468000007</c:v>
                </c:pt>
                <c:pt idx="11">
                  <c:v>86.144666982000004</c:v>
                </c:pt>
                <c:pt idx="12">
                  <c:v>97.160170961000006</c:v>
                </c:pt>
                <c:pt idx="13">
                  <c:v>99.636600152</c:v>
                </c:pt>
                <c:pt idx="14">
                  <c:v>108.689089963</c:v>
                </c:pt>
                <c:pt idx="15">
                  <c:v>118.143403443</c:v>
                </c:pt>
                <c:pt idx="16">
                  <c:v>100.310155393</c:v>
                </c:pt>
                <c:pt idx="17">
                  <c:v>106.59395391</c:v>
                </c:pt>
                <c:pt idx="18">
                  <c:v>90.428008640000002</c:v>
                </c:pt>
                <c:pt idx="19">
                  <c:v>93.030473045999997</c:v>
                </c:pt>
                <c:pt idx="20">
                  <c:v>91.615950929999997</c:v>
                </c:pt>
                <c:pt idx="21">
                  <c:v>97.231728454999995</c:v>
                </c:pt>
                <c:pt idx="22">
                  <c:v>97.312570919999999</c:v>
                </c:pt>
                <c:pt idx="23">
                  <c:v>103.605600274</c:v>
                </c:pt>
                <c:pt idx="24">
                  <c:v>111.697235651</c:v>
                </c:pt>
                <c:pt idx="25">
                  <c:v>140.136376278</c:v>
                </c:pt>
                <c:pt idx="26">
                  <c:v>91.764958101000005</c:v>
                </c:pt>
                <c:pt idx="27">
                  <c:v>96.002996745999994</c:v>
                </c:pt>
                <c:pt idx="28">
                  <c:v>97.321258709999995</c:v>
                </c:pt>
                <c:pt idx="29">
                  <c:v>98.634381629000003</c:v>
                </c:pt>
                <c:pt idx="30">
                  <c:v>96.870519729999998</c:v>
                </c:pt>
                <c:pt idx="31">
                  <c:v>97.577738855999996</c:v>
                </c:pt>
              </c:numCache>
            </c:numRef>
          </c:val>
          <c:smooth val="0"/>
          <c:extLst>
            <c:ext xmlns:c16="http://schemas.microsoft.com/office/drawing/2014/chart" uri="{C3380CC4-5D6E-409C-BE32-E72D297353CC}">
              <c16:uniqueId val="{00000001-F407-46F7-9F5F-6BC0F32D6112}"/>
            </c:ext>
          </c:extLst>
        </c:ser>
        <c:ser>
          <c:idx val="2"/>
          <c:order val="2"/>
          <c:tx>
            <c:strRef>
              <c:f>'BoP_izvoz usluga'!$N$5</c:f>
              <c:strCache>
                <c:ptCount val="1"/>
                <c:pt idx="0">
                  <c:v>t</c:v>
                </c:pt>
              </c:strCache>
            </c:strRef>
          </c:tx>
          <c:spPr>
            <a:ln w="25400" cap="rnd">
              <a:solidFill>
                <a:srgbClr val="FF0000"/>
              </a:solidFill>
              <a:round/>
            </a:ln>
            <a:effectLst/>
          </c:spPr>
          <c:marker>
            <c:symbol val="none"/>
          </c:marker>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usluga'!$N$138:$N$169</c:f>
              <c:numCache>
                <c:formatCode>0.0</c:formatCode>
                <c:ptCount val="32"/>
                <c:pt idx="0">
                  <c:v>88.086792719000002</c:v>
                </c:pt>
                <c:pt idx="1">
                  <c:v>86.948757764000007</c:v>
                </c:pt>
                <c:pt idx="2">
                  <c:v>85.547666823</c:v>
                </c:pt>
                <c:pt idx="3">
                  <c:v>84.650402009000004</c:v>
                </c:pt>
                <c:pt idx="4">
                  <c:v>84.654320784999996</c:v>
                </c:pt>
                <c:pt idx="5">
                  <c:v>85.782355112000005</c:v>
                </c:pt>
                <c:pt idx="6">
                  <c:v>87.838724438</c:v>
                </c:pt>
                <c:pt idx="7">
                  <c:v>90.242687832000001</c:v>
                </c:pt>
                <c:pt idx="8">
                  <c:v>92.334879807999997</c:v>
                </c:pt>
                <c:pt idx="9">
                  <c:v>93.911591510999997</c:v>
                </c:pt>
                <c:pt idx="10">
                  <c:v>95.315937966999996</c:v>
                </c:pt>
                <c:pt idx="11">
                  <c:v>96.799846431000006</c:v>
                </c:pt>
                <c:pt idx="12">
                  <c:v>98.758637765000003</c:v>
                </c:pt>
                <c:pt idx="13">
                  <c:v>101.100237443</c:v>
                </c:pt>
                <c:pt idx="14">
                  <c:v>103.01584822</c:v>
                </c:pt>
                <c:pt idx="15">
                  <c:v>103.554154993</c:v>
                </c:pt>
                <c:pt idx="16">
                  <c:v>102.34905398799999</c:v>
                </c:pt>
                <c:pt idx="17">
                  <c:v>99.874881095000006</c:v>
                </c:pt>
                <c:pt idx="18">
                  <c:v>97.129430459999995</c:v>
                </c:pt>
                <c:pt idx="19">
                  <c:v>95.292045833000003</c:v>
                </c:pt>
                <c:pt idx="20">
                  <c:v>95.080312367999994</c:v>
                </c:pt>
                <c:pt idx="21">
                  <c:v>96.182610014999995</c:v>
                </c:pt>
                <c:pt idx="22">
                  <c:v>97.639868294999999</c:v>
                </c:pt>
                <c:pt idx="23">
                  <c:v>98.699073260000006</c:v>
                </c:pt>
                <c:pt idx="24">
                  <c:v>98.862373907000006</c:v>
                </c:pt>
                <c:pt idx="25">
                  <c:v>98.086595091999996</c:v>
                </c:pt>
                <c:pt idx="26">
                  <c:v>97.143210288000006</c:v>
                </c:pt>
                <c:pt idx="27">
                  <c:v>96.497005013000006</c:v>
                </c:pt>
                <c:pt idx="28">
                  <c:v>96.418329884000002</c:v>
                </c:pt>
                <c:pt idx="29">
                  <c:v>96.787089065000004</c:v>
                </c:pt>
                <c:pt idx="30">
                  <c:v>97.207255184999994</c:v>
                </c:pt>
                <c:pt idx="31">
                  <c:v>97.372458377000001</c:v>
                </c:pt>
              </c:numCache>
            </c:numRef>
          </c:val>
          <c:smooth val="0"/>
          <c:extLst>
            <c:ext xmlns:c16="http://schemas.microsoft.com/office/drawing/2014/chart" uri="{C3380CC4-5D6E-409C-BE32-E72D297353CC}">
              <c16:uniqueId val="{00000002-F407-46F7-9F5F-6BC0F32D6112}"/>
            </c:ext>
          </c:extLst>
        </c:ser>
        <c:ser>
          <c:idx val="3"/>
          <c:order val="3"/>
          <c:tx>
            <c:strRef>
              <c:f>'BoP_izvoz usluga'!$O$5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7.3544181581597687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407-46F7-9F5F-6BC0F32D6112}"/>
                </c:ext>
              </c:extLst>
            </c:dLbl>
            <c:dLbl>
              <c:idx val="12"/>
              <c:layout>
                <c:manualLayout>
                  <c:x val="0.106941364414888"/>
                  <c:y val="5.30704470724145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407-46F7-9F5F-6BC0F32D6112}"/>
                </c:ext>
              </c:extLst>
            </c:dLbl>
            <c:dLbl>
              <c:idx val="24"/>
              <c:layout>
                <c:manualLayout>
                  <c:x val="3.5527232049639548E-2"/>
                  <c:y val="5.30704470724145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407-46F7-9F5F-6BC0F32D6112}"/>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usluga'!$O$138:$O$169</c:f>
              <c:numCache>
                <c:formatCode>General</c:formatCode>
                <c:ptCount val="32"/>
                <c:pt idx="0">
                  <c:v>20</c:v>
                </c:pt>
                <c:pt idx="12">
                  <c:v>20</c:v>
                </c:pt>
                <c:pt idx="24">
                  <c:v>20</c:v>
                </c:pt>
              </c:numCache>
            </c:numRef>
          </c:val>
          <c:smooth val="0"/>
          <c:extLst>
            <c:ext xmlns:c16="http://schemas.microsoft.com/office/drawing/2014/chart" uri="{C3380CC4-5D6E-409C-BE32-E72D297353CC}">
              <c16:uniqueId val="{00000006-F407-46F7-9F5F-6BC0F32D6112}"/>
            </c:ext>
          </c:extLst>
        </c:ser>
        <c:ser>
          <c:idx val="4"/>
          <c:order val="4"/>
          <c:tx>
            <c:strRef>
              <c:f>'BoP_izvoz usluga'!$P$5</c:f>
              <c:strCache>
                <c:ptCount val="1"/>
                <c:pt idx="0">
                  <c:v>Series5</c:v>
                </c:pt>
              </c:strCache>
            </c:strRef>
          </c:tx>
          <c:spPr>
            <a:ln w="28575" cap="rnd">
              <a:noFill/>
              <a:round/>
            </a:ln>
            <a:effectLst/>
          </c:spPr>
          <c:marker>
            <c:symbol val="none"/>
          </c:marker>
          <c:dLbls>
            <c:dLbl>
              <c:idx val="0"/>
              <c:tx>
                <c:rich>
                  <a:bodyPr/>
                  <a:lstStyle/>
                  <a:p>
                    <a:fld id="{F88D67BD-4AE8-46DF-869E-774B5959A39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F407-46F7-9F5F-6BC0F32D6112}"/>
                </c:ext>
              </c:extLst>
            </c:dLbl>
            <c:dLbl>
              <c:idx val="1"/>
              <c:tx>
                <c:rich>
                  <a:bodyPr/>
                  <a:lstStyle/>
                  <a:p>
                    <a:fld id="{500EC547-ACAB-4C1E-8FB5-BA4D09EB638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F407-46F7-9F5F-6BC0F32D6112}"/>
                </c:ext>
              </c:extLst>
            </c:dLbl>
            <c:dLbl>
              <c:idx val="2"/>
              <c:tx>
                <c:rich>
                  <a:bodyPr/>
                  <a:lstStyle/>
                  <a:p>
                    <a:fld id="{0A85CA29-CB30-4EEA-8014-098A1A975CC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F407-46F7-9F5F-6BC0F32D6112}"/>
                </c:ext>
              </c:extLst>
            </c:dLbl>
            <c:dLbl>
              <c:idx val="3"/>
              <c:tx>
                <c:rich>
                  <a:bodyPr/>
                  <a:lstStyle/>
                  <a:p>
                    <a:fld id="{28DE1D87-2E39-498F-B630-12F4DB05BF3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F407-46F7-9F5F-6BC0F32D6112}"/>
                </c:ext>
              </c:extLst>
            </c:dLbl>
            <c:dLbl>
              <c:idx val="4"/>
              <c:tx>
                <c:rich>
                  <a:bodyPr/>
                  <a:lstStyle/>
                  <a:p>
                    <a:fld id="{1F56EE9D-9EB4-48EF-9F56-AA2E06DA173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F407-46F7-9F5F-6BC0F32D6112}"/>
                </c:ext>
              </c:extLst>
            </c:dLbl>
            <c:dLbl>
              <c:idx val="5"/>
              <c:tx>
                <c:rich>
                  <a:bodyPr/>
                  <a:lstStyle/>
                  <a:p>
                    <a:fld id="{F5E26515-6436-4636-859E-99604980474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F407-46F7-9F5F-6BC0F32D6112}"/>
                </c:ext>
              </c:extLst>
            </c:dLbl>
            <c:dLbl>
              <c:idx val="6"/>
              <c:tx>
                <c:rich>
                  <a:bodyPr/>
                  <a:lstStyle/>
                  <a:p>
                    <a:fld id="{16486F60-EC96-40A5-94EB-B18E0FF05F7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F407-46F7-9F5F-6BC0F32D6112}"/>
                </c:ext>
              </c:extLst>
            </c:dLbl>
            <c:dLbl>
              <c:idx val="7"/>
              <c:tx>
                <c:rich>
                  <a:bodyPr/>
                  <a:lstStyle/>
                  <a:p>
                    <a:fld id="{1433CBE6-8BD0-4767-9585-AF277A35F84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F407-46F7-9F5F-6BC0F32D6112}"/>
                </c:ext>
              </c:extLst>
            </c:dLbl>
            <c:dLbl>
              <c:idx val="8"/>
              <c:tx>
                <c:rich>
                  <a:bodyPr/>
                  <a:lstStyle/>
                  <a:p>
                    <a:fld id="{33DC55AF-BEF2-41E9-B384-0E81A3BD57F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F407-46F7-9F5F-6BC0F32D6112}"/>
                </c:ext>
              </c:extLst>
            </c:dLbl>
            <c:dLbl>
              <c:idx val="9"/>
              <c:tx>
                <c:rich>
                  <a:bodyPr/>
                  <a:lstStyle/>
                  <a:p>
                    <a:fld id="{A212AF28-E931-4DC4-81A4-7F36C60CAD7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F407-46F7-9F5F-6BC0F32D6112}"/>
                </c:ext>
              </c:extLst>
            </c:dLbl>
            <c:dLbl>
              <c:idx val="10"/>
              <c:tx>
                <c:rich>
                  <a:bodyPr/>
                  <a:lstStyle/>
                  <a:p>
                    <a:fld id="{C7FFA96B-1D80-4CE4-BE1F-34FD0171590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F407-46F7-9F5F-6BC0F32D6112}"/>
                </c:ext>
              </c:extLst>
            </c:dLbl>
            <c:dLbl>
              <c:idx val="11"/>
              <c:tx>
                <c:rich>
                  <a:bodyPr/>
                  <a:lstStyle/>
                  <a:p>
                    <a:fld id="{A77D09C8-1498-4E28-9982-E96D2E88A86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F407-46F7-9F5F-6BC0F32D6112}"/>
                </c:ext>
              </c:extLst>
            </c:dLbl>
            <c:dLbl>
              <c:idx val="12"/>
              <c:tx>
                <c:rich>
                  <a:bodyPr/>
                  <a:lstStyle/>
                  <a:p>
                    <a:fld id="{43A94DDD-1D68-4CA1-9FFE-4A158D422D6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F407-46F7-9F5F-6BC0F32D6112}"/>
                </c:ext>
              </c:extLst>
            </c:dLbl>
            <c:dLbl>
              <c:idx val="13"/>
              <c:tx>
                <c:rich>
                  <a:bodyPr/>
                  <a:lstStyle/>
                  <a:p>
                    <a:fld id="{DE39DD75-F7AA-4CA0-A91E-571335A3105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F407-46F7-9F5F-6BC0F32D6112}"/>
                </c:ext>
              </c:extLst>
            </c:dLbl>
            <c:dLbl>
              <c:idx val="14"/>
              <c:tx>
                <c:rich>
                  <a:bodyPr/>
                  <a:lstStyle/>
                  <a:p>
                    <a:fld id="{125D79C2-CF1C-415A-BF66-FB93458B598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F407-46F7-9F5F-6BC0F32D6112}"/>
                </c:ext>
              </c:extLst>
            </c:dLbl>
            <c:dLbl>
              <c:idx val="15"/>
              <c:tx>
                <c:rich>
                  <a:bodyPr/>
                  <a:lstStyle/>
                  <a:p>
                    <a:fld id="{4F346202-D725-42B3-A029-4532C7A968A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F407-46F7-9F5F-6BC0F32D6112}"/>
                </c:ext>
              </c:extLst>
            </c:dLbl>
            <c:dLbl>
              <c:idx val="16"/>
              <c:tx>
                <c:rich>
                  <a:bodyPr/>
                  <a:lstStyle/>
                  <a:p>
                    <a:fld id="{4B7CD89D-959C-42E8-9B9E-350769DD4BC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F407-46F7-9F5F-6BC0F32D6112}"/>
                </c:ext>
              </c:extLst>
            </c:dLbl>
            <c:dLbl>
              <c:idx val="17"/>
              <c:tx>
                <c:rich>
                  <a:bodyPr/>
                  <a:lstStyle/>
                  <a:p>
                    <a:fld id="{3476254C-E189-4418-A6AA-F724E9C2048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F407-46F7-9F5F-6BC0F32D6112}"/>
                </c:ext>
              </c:extLst>
            </c:dLbl>
            <c:dLbl>
              <c:idx val="18"/>
              <c:tx>
                <c:rich>
                  <a:bodyPr/>
                  <a:lstStyle/>
                  <a:p>
                    <a:fld id="{6886FBF7-A1DB-4205-93E2-CDF40EB9AC0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F407-46F7-9F5F-6BC0F32D6112}"/>
                </c:ext>
              </c:extLst>
            </c:dLbl>
            <c:dLbl>
              <c:idx val="19"/>
              <c:tx>
                <c:rich>
                  <a:bodyPr/>
                  <a:lstStyle/>
                  <a:p>
                    <a:fld id="{82C8749C-E4CE-40AA-A06B-3C9AD3E7F09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F407-46F7-9F5F-6BC0F32D6112}"/>
                </c:ext>
              </c:extLst>
            </c:dLbl>
            <c:dLbl>
              <c:idx val="20"/>
              <c:tx>
                <c:rich>
                  <a:bodyPr/>
                  <a:lstStyle/>
                  <a:p>
                    <a:fld id="{E9334E06-89F2-4F54-9FFF-09F373C10A7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F407-46F7-9F5F-6BC0F32D6112}"/>
                </c:ext>
              </c:extLst>
            </c:dLbl>
            <c:dLbl>
              <c:idx val="21"/>
              <c:tx>
                <c:rich>
                  <a:bodyPr/>
                  <a:lstStyle/>
                  <a:p>
                    <a:fld id="{C29EA8A0-EC5A-43AB-A1B1-6AA26204870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F407-46F7-9F5F-6BC0F32D6112}"/>
                </c:ext>
              </c:extLst>
            </c:dLbl>
            <c:dLbl>
              <c:idx val="22"/>
              <c:tx>
                <c:rich>
                  <a:bodyPr/>
                  <a:lstStyle/>
                  <a:p>
                    <a:fld id="{0854D0C8-B79E-4BAB-924B-3E80B16FF96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F407-46F7-9F5F-6BC0F32D6112}"/>
                </c:ext>
              </c:extLst>
            </c:dLbl>
            <c:dLbl>
              <c:idx val="23"/>
              <c:tx>
                <c:rich>
                  <a:bodyPr/>
                  <a:lstStyle/>
                  <a:p>
                    <a:fld id="{57A2B496-544E-4417-AF94-802D500D021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F407-46F7-9F5F-6BC0F32D6112}"/>
                </c:ext>
              </c:extLst>
            </c:dLbl>
            <c:dLbl>
              <c:idx val="24"/>
              <c:tx>
                <c:rich>
                  <a:bodyPr/>
                  <a:lstStyle/>
                  <a:p>
                    <a:fld id="{38507BD3-68B2-4DDB-9E87-0E4113E7C8C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F407-46F7-9F5F-6BC0F32D6112}"/>
                </c:ext>
              </c:extLst>
            </c:dLbl>
            <c:dLbl>
              <c:idx val="25"/>
              <c:tx>
                <c:rich>
                  <a:bodyPr/>
                  <a:lstStyle/>
                  <a:p>
                    <a:fld id="{8EF1C0A4-D4C4-4E65-A844-70493EC1F5D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F407-46F7-9F5F-6BC0F32D6112}"/>
                </c:ext>
              </c:extLst>
            </c:dLbl>
            <c:dLbl>
              <c:idx val="26"/>
              <c:tx>
                <c:rich>
                  <a:bodyPr/>
                  <a:lstStyle/>
                  <a:p>
                    <a:fld id="{70AE042E-5DAE-4C01-94B9-EAAAE728950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F407-46F7-9F5F-6BC0F32D6112}"/>
                </c:ext>
              </c:extLst>
            </c:dLbl>
            <c:dLbl>
              <c:idx val="27"/>
              <c:tx>
                <c:rich>
                  <a:bodyPr/>
                  <a:lstStyle/>
                  <a:p>
                    <a:fld id="{ED9889C5-BCC8-430A-ABC6-50A81284E15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F407-46F7-9F5F-6BC0F32D6112}"/>
                </c:ext>
              </c:extLst>
            </c:dLbl>
            <c:dLbl>
              <c:idx val="28"/>
              <c:tx>
                <c:rich>
                  <a:bodyPr/>
                  <a:lstStyle/>
                  <a:p>
                    <a:fld id="{048EAA66-5BB9-47D7-BF79-53DEB88F9B5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F407-46F7-9F5F-6BC0F32D6112}"/>
                </c:ext>
              </c:extLst>
            </c:dLbl>
            <c:dLbl>
              <c:idx val="29"/>
              <c:tx>
                <c:rich>
                  <a:bodyPr/>
                  <a:lstStyle/>
                  <a:p>
                    <a:fld id="{502EEEC1-424D-4D64-91E3-0DF77F7AA6A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F407-46F7-9F5F-6BC0F32D6112}"/>
                </c:ext>
              </c:extLst>
            </c:dLbl>
            <c:dLbl>
              <c:idx val="30"/>
              <c:tx>
                <c:rich>
                  <a:bodyPr/>
                  <a:lstStyle/>
                  <a:p>
                    <a:fld id="{F6FCCEA8-FECB-4B63-837C-ED27981A0E1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F407-46F7-9F5F-6BC0F32D6112}"/>
                </c:ext>
              </c:extLst>
            </c:dLbl>
            <c:dLbl>
              <c:idx val="31"/>
              <c:tx>
                <c:rich>
                  <a:bodyPr/>
                  <a:lstStyle/>
                  <a:p>
                    <a:fld id="{868CE710-ABF9-4996-9E8B-7D3B4252C96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F407-46F7-9F5F-6BC0F32D6112}"/>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usluga'!$A$138:$A$169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45840</c:v>
                </c:pt>
              </c:numCache>
            </c:numRef>
          </c:cat>
          <c:val>
            <c:numRef>
              <c:f>'BoP_izvoz usluga'!$P$138:$P$169</c:f>
              <c:numCache>
                <c:formatCode>General</c:formatCode>
                <c:ptCount val="32"/>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20</c:v>
                </c:pt>
                <c:pt idx="19">
                  <c:v>20</c:v>
                </c:pt>
                <c:pt idx="20">
                  <c:v>20</c:v>
                </c:pt>
                <c:pt idx="21">
                  <c:v>20</c:v>
                </c:pt>
                <c:pt idx="22">
                  <c:v>20</c:v>
                </c:pt>
                <c:pt idx="23">
                  <c:v>20</c:v>
                </c:pt>
                <c:pt idx="24">
                  <c:v>20</c:v>
                </c:pt>
                <c:pt idx="25">
                  <c:v>20</c:v>
                </c:pt>
                <c:pt idx="26">
                  <c:v>20</c:v>
                </c:pt>
                <c:pt idx="27">
                  <c:v>20</c:v>
                </c:pt>
                <c:pt idx="28">
                  <c:v>20</c:v>
                </c:pt>
                <c:pt idx="29">
                  <c:v>20</c:v>
                </c:pt>
                <c:pt idx="30">
                  <c:v>20</c:v>
                </c:pt>
                <c:pt idx="31">
                  <c:v>20</c:v>
                </c:pt>
              </c:numCache>
            </c:numRef>
          </c:val>
          <c:smooth val="0"/>
          <c:extLst>
            <c:ext xmlns:c15="http://schemas.microsoft.com/office/drawing/2012/chart" uri="{02D57815-91ED-43cb-92C2-25804820EDAC}">
              <c15:datalabelsRange>
                <c15:f>'BoP_izvoz usluga'!$J$114:$J$157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7-F407-46F7-9F5F-6BC0F32D6112}"/>
            </c:ext>
          </c:extLst>
        </c:ser>
        <c:dLbls>
          <c:showLegendKey val="0"/>
          <c:showVal val="0"/>
          <c:showCatName val="0"/>
          <c:showSerName val="0"/>
          <c:showPercent val="0"/>
          <c:showBubbleSize val="0"/>
        </c:dLbls>
        <c:smooth val="0"/>
        <c:axId val="1828937008"/>
        <c:axId val="1828920688"/>
      </c:lineChart>
      <c:dateAx>
        <c:axId val="182893700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0688"/>
        <c:crosses val="autoZero"/>
        <c:auto val="1"/>
        <c:lblOffset val="0"/>
        <c:baseTimeUnit val="months"/>
      </c:dateAx>
      <c:valAx>
        <c:axId val="1828920688"/>
        <c:scaling>
          <c:orientation val="minMax"/>
          <c:min val="2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7008"/>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r>
              <a:rPr lang="sr-Cyrl-RS" sz="900" b="1">
                <a:solidFill>
                  <a:srgbClr val="002060"/>
                </a:solidFill>
                <a:latin typeface="+mn-lt"/>
              </a:rPr>
              <a:t>Стопа раста БДП САД, %</a:t>
            </a:r>
          </a:p>
        </c:rich>
      </c:tx>
      <c:layout>
        <c:manualLayout>
          <c:xMode val="edge"/>
          <c:yMode val="edge"/>
          <c:x val="0.34036781190010201"/>
          <c:y val="5.7538083633503889E-3"/>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857688888888889"/>
          <c:w val="0.88876071125802292"/>
          <c:h val="0.69037833333333332"/>
        </c:manualLayout>
      </c:layout>
      <c:lineChart>
        <c:grouping val="standard"/>
        <c:varyColors val="0"/>
        <c:ser>
          <c:idx val="0"/>
          <c:order val="0"/>
          <c:tx>
            <c:strRef>
              <c:f>'SAD,Kina,Rusija, realni rast'!$A$13</c:f>
              <c:strCache>
                <c:ptCount val="1"/>
                <c:pt idx="0">
                  <c:v>окт. 2024.</c:v>
                </c:pt>
              </c:strCache>
            </c:strRef>
          </c:tx>
          <c:spPr>
            <a:ln w="25400" cap="rnd">
              <a:solidFill>
                <a:schemeClr val="accent4"/>
              </a:solidFill>
              <a:prstDash val="sysDot"/>
              <a:round/>
            </a:ln>
            <a:effectLst/>
          </c:spPr>
          <c:marker>
            <c:symbol val="none"/>
          </c:marker>
          <c:dLbls>
            <c:dLbl>
              <c:idx val="0"/>
              <c:layout>
                <c:manualLayout>
                  <c:x val="-0.13719047997757353"/>
                  <c:y val="1.60409984929865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BB-45A8-8F96-8F86B710F3EF}"/>
                </c:ext>
              </c:extLst>
            </c:dLbl>
            <c:dLbl>
              <c:idx val="1"/>
              <c:layout>
                <c:manualLayout>
                  <c:x val="-7.3451729648751518E-2"/>
                  <c:y val="-5.70129255380811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0BB-45A8-8F96-8F86B710F3EF}"/>
                </c:ext>
              </c:extLst>
            </c:dLbl>
            <c:dLbl>
              <c:idx val="2"/>
              <c:layout>
                <c:manualLayout>
                  <c:x val="3.0839995840002476E-4"/>
                  <c:y val="1.32461406932261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0BB-45A8-8F96-8F86B710F3E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rast'!$E$12:$I$12</c:f>
              <c:numCache>
                <c:formatCode>General</c:formatCode>
                <c:ptCount val="3"/>
                <c:pt idx="0">
                  <c:v>2024</c:v>
                </c:pt>
                <c:pt idx="1">
                  <c:v>2025</c:v>
                </c:pt>
                <c:pt idx="2">
                  <c:v>2026</c:v>
                </c:pt>
              </c:numCache>
            </c:numRef>
          </c:cat>
          <c:val>
            <c:numRef>
              <c:f>'SAD,Kina,Rusija, realni rast'!$E$13:$I$13</c:f>
              <c:numCache>
                <c:formatCode>0.0</c:formatCode>
                <c:ptCount val="3"/>
                <c:pt idx="0">
                  <c:v>2.8</c:v>
                </c:pt>
                <c:pt idx="1">
                  <c:v>2.2000000000000002</c:v>
                </c:pt>
                <c:pt idx="2">
                  <c:v>2</c:v>
                </c:pt>
              </c:numCache>
            </c:numRef>
          </c:val>
          <c:smooth val="0"/>
          <c:extLst>
            <c:ext xmlns:c16="http://schemas.microsoft.com/office/drawing/2014/chart" uri="{C3380CC4-5D6E-409C-BE32-E72D297353CC}">
              <c16:uniqueId val="{00000003-00BB-45A8-8F96-8F86B710F3EF}"/>
            </c:ext>
          </c:extLst>
        </c:ser>
        <c:ser>
          <c:idx val="1"/>
          <c:order val="1"/>
          <c:tx>
            <c:strRef>
              <c:f>'SAD,Kina,Rusija, realni rast'!$A$14</c:f>
              <c:strCache>
                <c:ptCount val="1"/>
                <c:pt idx="0">
                  <c:v>апр. 2025.</c:v>
                </c:pt>
              </c:strCache>
            </c:strRef>
          </c:tx>
          <c:spPr>
            <a:ln w="22225" cap="rnd">
              <a:solidFill>
                <a:srgbClr val="002060"/>
              </a:solidFill>
              <a:prstDash val="sysDash"/>
              <a:round/>
            </a:ln>
            <a:effectLst/>
          </c:spPr>
          <c:marker>
            <c:symbol val="none"/>
          </c:marker>
          <c:dLbls>
            <c:dLbl>
              <c:idx val="0"/>
              <c:layout>
                <c:manualLayout>
                  <c:x val="-0.12772832302754478"/>
                  <c:y val="-3.39065941496966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0BB-45A8-8F96-8F86B710F3EF}"/>
                </c:ext>
              </c:extLst>
            </c:dLbl>
            <c:dLbl>
              <c:idx val="1"/>
              <c:layout>
                <c:manualLayout>
                  <c:x val="-3.2043007579729665E-2"/>
                  <c:y val="5.35979945129255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0BB-45A8-8F96-8F86B710F3EF}"/>
                </c:ext>
              </c:extLst>
            </c:dLbl>
            <c:dLbl>
              <c:idx val="2"/>
              <c:layout>
                <c:manualLayout>
                  <c:x val="-3.6253368738752297E-2"/>
                  <c:y val="9.757549557556319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0BB-45A8-8F96-8F86B710F3E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rast'!$E$12:$I$12</c:f>
              <c:numCache>
                <c:formatCode>General</c:formatCode>
                <c:ptCount val="3"/>
                <c:pt idx="0">
                  <c:v>2024</c:v>
                </c:pt>
                <c:pt idx="1">
                  <c:v>2025</c:v>
                </c:pt>
                <c:pt idx="2">
                  <c:v>2026</c:v>
                </c:pt>
              </c:numCache>
            </c:numRef>
          </c:cat>
          <c:val>
            <c:numRef>
              <c:f>'SAD,Kina,Rusija, realni rast'!$E$14:$I$14</c:f>
              <c:numCache>
                <c:formatCode>0.0</c:formatCode>
                <c:ptCount val="3"/>
                <c:pt idx="0">
                  <c:v>2.8</c:v>
                </c:pt>
                <c:pt idx="1">
                  <c:v>1.8</c:v>
                </c:pt>
                <c:pt idx="2">
                  <c:v>1.7</c:v>
                </c:pt>
              </c:numCache>
            </c:numRef>
          </c:val>
          <c:smooth val="0"/>
          <c:extLst>
            <c:ext xmlns:c16="http://schemas.microsoft.com/office/drawing/2014/chart" uri="{C3380CC4-5D6E-409C-BE32-E72D297353CC}">
              <c16:uniqueId val="{00000007-00BB-45A8-8F96-8F86B710F3EF}"/>
            </c:ext>
          </c:extLst>
        </c:ser>
        <c:ser>
          <c:idx val="2"/>
          <c:order val="2"/>
          <c:tx>
            <c:strRef>
              <c:f>'SAD,Kina,Rusija, realni rast'!$A$15</c:f>
              <c:strCache>
                <c:ptCount val="1"/>
                <c:pt idx="0">
                  <c:v>окт. 2025.</c:v>
                </c:pt>
              </c:strCache>
            </c:strRef>
          </c:tx>
          <c:spPr>
            <a:ln w="28575" cap="rnd">
              <a:solidFill>
                <a:srgbClr val="FF0000"/>
              </a:solidFill>
              <a:round/>
            </a:ln>
            <a:effectLst/>
          </c:spPr>
          <c:marker>
            <c:symbol val="circle"/>
            <c:size val="13"/>
            <c:spPr>
              <a:solidFill>
                <a:srgbClr val="FF0000"/>
              </a:solidFill>
              <a:ln w="9525">
                <a:noFill/>
              </a:ln>
              <a:effectLst/>
            </c:spPr>
          </c:marker>
          <c:dLbls>
            <c:dLbl>
              <c:idx val="2"/>
              <c:layout>
                <c:manualLayout>
                  <c:x val="-0.10877845907259058"/>
                  <c:y val="7.667896750260759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0BB-45A8-8F96-8F86B710F3EF}"/>
                </c:ext>
              </c:extLst>
            </c:dLbl>
            <c:spPr>
              <a:solidFill>
                <a:srgbClr val="FF0000"/>
              </a:solidFill>
              <a:ln>
                <a:solidFill>
                  <a:srgbClr val="FF0000"/>
                </a:solidFill>
              </a:ln>
              <a:effectLst/>
            </c:spPr>
            <c:txPr>
              <a:bodyPr rot="0" spcFirstLastPara="1" vertOverflow="clip" horzOverflow="clip" vert="horz" wrap="square" lIns="36576" tIns="18288" rIns="36576" bIns="18288" anchor="ctr" anchorCtr="1">
                <a:spAutoFit/>
              </a:bodyPr>
              <a:lstStyle/>
              <a:p>
                <a:pPr>
                  <a:defRPr sz="7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'SAD,Kina,Rusija, realni rast'!$E$12:$I$12</c:f>
              <c:numCache>
                <c:formatCode>General</c:formatCode>
                <c:ptCount val="3"/>
                <c:pt idx="0">
                  <c:v>2024</c:v>
                </c:pt>
                <c:pt idx="1">
                  <c:v>2025</c:v>
                </c:pt>
                <c:pt idx="2">
                  <c:v>2026</c:v>
                </c:pt>
              </c:numCache>
            </c:numRef>
          </c:cat>
          <c:val>
            <c:numRef>
              <c:f>'SAD,Kina,Rusija, realni rast'!$E$15:$I$15</c:f>
              <c:numCache>
                <c:formatCode>0.0</c:formatCode>
                <c:ptCount val="3"/>
                <c:pt idx="0">
                  <c:v>2.7930000000000001</c:v>
                </c:pt>
                <c:pt idx="1">
                  <c:v>2.0169999999999999</c:v>
                </c:pt>
                <c:pt idx="2">
                  <c:v>2.1019999999999999</c:v>
                </c:pt>
              </c:numCache>
            </c:numRef>
          </c:val>
          <c:smooth val="0"/>
          <c:extLst>
            <c:ext xmlns:c16="http://schemas.microsoft.com/office/drawing/2014/chart" uri="{C3380CC4-5D6E-409C-BE32-E72D297353CC}">
              <c16:uniqueId val="{00000009-00BB-45A8-8F96-8F86B710F3EF}"/>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649424030329543"/>
          <c:y val="8.7437669376693755E-2"/>
          <c:w val="0.82463728492271804"/>
          <c:h val="0.59909823848238486"/>
        </c:manualLayout>
      </c:layout>
      <c:barChart>
        <c:barDir val="col"/>
        <c:grouping val="clustered"/>
        <c:varyColors val="0"/>
        <c:ser>
          <c:idx val="1"/>
          <c:order val="1"/>
          <c:tx>
            <c:strRef>
              <c:f>'BDV usluga_dsz'!$G$11</c:f>
              <c:strCache>
                <c:ptCount val="1"/>
                <c:pt idx="0">
                  <c:v>Укупно</c:v>
                </c:pt>
              </c:strCache>
            </c:strRef>
          </c:tx>
          <c:spPr>
            <a:solidFill>
              <a:srgbClr val="002010"/>
            </a:solidFill>
            <a:ln w="19050">
              <a:noFill/>
            </a:ln>
            <a:effectLst/>
          </c:spPr>
          <c:invertIfNegative val="0"/>
          <c:cat>
            <c:strRef>
              <c:f>'BDV usluga_dsz'!$D$22:$D$36</c:f>
              <c:strCache>
                <c:ptCount val="14"/>
                <c:pt idx="0">
                  <c:v>2023 Q1</c:v>
                </c:pt>
                <c:pt idx="1">
                  <c:v>Q2</c:v>
                </c:pt>
                <c:pt idx="2">
                  <c:v>Q3</c:v>
                </c:pt>
                <c:pt idx="3">
                  <c:v>Q4</c:v>
                </c:pt>
                <c:pt idx="4">
                  <c:v>2024 Q1</c:v>
                </c:pt>
                <c:pt idx="5">
                  <c:v>Q2</c:v>
                </c:pt>
                <c:pt idx="6">
                  <c:v>Q3</c:v>
                </c:pt>
                <c:pt idx="7">
                  <c:v>Q4</c:v>
                </c:pt>
                <c:pt idx="8">
                  <c:v>2025 Q1</c:v>
                </c:pt>
                <c:pt idx="9">
                  <c:v>Q2</c:v>
                </c:pt>
                <c:pt idx="11">
                  <c:v>Укупно</c:v>
                </c:pt>
                <c:pt idx="12">
                  <c:v>Зграде</c:v>
                </c:pt>
                <c:pt idx="13">
                  <c:v>Ост. грађ.</c:v>
                </c:pt>
              </c:strCache>
            </c:strRef>
          </c:cat>
          <c:val>
            <c:numRef>
              <c:f>'BDV usluga_dsz'!$G$22:$G$36</c:f>
              <c:numCache>
                <c:formatCode>0.0</c:formatCode>
                <c:ptCount val="15"/>
                <c:pt idx="0">
                  <c:v>63.7</c:v>
                </c:pt>
                <c:pt idx="1">
                  <c:v>93.8</c:v>
                </c:pt>
                <c:pt idx="2">
                  <c:v>104.3</c:v>
                </c:pt>
                <c:pt idx="3">
                  <c:v>117.5</c:v>
                </c:pt>
                <c:pt idx="4">
                  <c:v>73.599999999999994</c:v>
                </c:pt>
                <c:pt idx="5">
                  <c:v>104.1</c:v>
                </c:pt>
                <c:pt idx="6">
                  <c:v>107.4</c:v>
                </c:pt>
                <c:pt idx="7">
                  <c:v>113.9</c:v>
                </c:pt>
                <c:pt idx="8">
                  <c:v>69.599999999999994</c:v>
                </c:pt>
                <c:pt idx="9">
                  <c:v>87.3</c:v>
                </c:pt>
              </c:numCache>
            </c:numRef>
          </c:val>
          <c:extLst>
            <c:ext xmlns:c16="http://schemas.microsoft.com/office/drawing/2014/chart" uri="{C3380CC4-5D6E-409C-BE32-E72D297353CC}">
              <c16:uniqueId val="{00000000-E5BE-4948-A873-E00633E72584}"/>
            </c:ext>
          </c:extLst>
        </c:ser>
        <c:ser>
          <c:idx val="2"/>
          <c:order val="2"/>
          <c:tx>
            <c:strRef>
              <c:f>'BDV usluga_dsz'!$H$11</c:f>
              <c:strCache>
                <c:ptCount val="1"/>
                <c:pt idx="0">
                  <c:v>Зграде</c:v>
                </c:pt>
              </c:strCache>
            </c:strRef>
          </c:tx>
          <c:spPr>
            <a:solidFill>
              <a:srgbClr val="EC008C"/>
            </a:solidFill>
            <a:ln w="19050">
              <a:noFill/>
            </a:ln>
            <a:effectLst/>
          </c:spPr>
          <c:invertIfNegative val="0"/>
          <c:cat>
            <c:strRef>
              <c:f>'BDV usluga_dsz'!$D$22:$D$36</c:f>
              <c:strCache>
                <c:ptCount val="14"/>
                <c:pt idx="0">
                  <c:v>2023 Q1</c:v>
                </c:pt>
                <c:pt idx="1">
                  <c:v>Q2</c:v>
                </c:pt>
                <c:pt idx="2">
                  <c:v>Q3</c:v>
                </c:pt>
                <c:pt idx="3">
                  <c:v>Q4</c:v>
                </c:pt>
                <c:pt idx="4">
                  <c:v>2024 Q1</c:v>
                </c:pt>
                <c:pt idx="5">
                  <c:v>Q2</c:v>
                </c:pt>
                <c:pt idx="6">
                  <c:v>Q3</c:v>
                </c:pt>
                <c:pt idx="7">
                  <c:v>Q4</c:v>
                </c:pt>
                <c:pt idx="8">
                  <c:v>2025 Q1</c:v>
                </c:pt>
                <c:pt idx="9">
                  <c:v>Q2</c:v>
                </c:pt>
                <c:pt idx="11">
                  <c:v>Укупно</c:v>
                </c:pt>
                <c:pt idx="12">
                  <c:v>Зграде</c:v>
                </c:pt>
                <c:pt idx="13">
                  <c:v>Ост. грађ.</c:v>
                </c:pt>
              </c:strCache>
            </c:strRef>
          </c:cat>
          <c:val>
            <c:numRef>
              <c:f>'BDV usluga_dsz'!$H$22:$H$36</c:f>
              <c:numCache>
                <c:formatCode>0.0</c:formatCode>
                <c:ptCount val="15"/>
                <c:pt idx="0">
                  <c:v>60.8</c:v>
                </c:pt>
                <c:pt idx="1">
                  <c:v>95</c:v>
                </c:pt>
                <c:pt idx="2">
                  <c:v>92.5</c:v>
                </c:pt>
                <c:pt idx="3">
                  <c:v>111.6</c:v>
                </c:pt>
                <c:pt idx="4">
                  <c:v>67.2</c:v>
                </c:pt>
                <c:pt idx="5">
                  <c:v>96.2</c:v>
                </c:pt>
                <c:pt idx="6">
                  <c:v>108.5</c:v>
                </c:pt>
                <c:pt idx="7">
                  <c:v>126.4</c:v>
                </c:pt>
                <c:pt idx="8">
                  <c:v>70.5</c:v>
                </c:pt>
                <c:pt idx="9">
                  <c:v>101.5</c:v>
                </c:pt>
              </c:numCache>
            </c:numRef>
          </c:val>
          <c:extLst>
            <c:ext xmlns:c16="http://schemas.microsoft.com/office/drawing/2014/chart" uri="{C3380CC4-5D6E-409C-BE32-E72D297353CC}">
              <c16:uniqueId val="{00000001-E5BE-4948-A873-E00633E72584}"/>
            </c:ext>
          </c:extLst>
        </c:ser>
        <c:ser>
          <c:idx val="5"/>
          <c:order val="3"/>
          <c:tx>
            <c:strRef>
              <c:f>'BDV usluga_dsz'!$I$11</c:f>
              <c:strCache>
                <c:ptCount val="1"/>
                <c:pt idx="0">
                  <c:v>Остале грађевине</c:v>
                </c:pt>
              </c:strCache>
            </c:strRef>
          </c:tx>
          <c:spPr>
            <a:solidFill>
              <a:srgbClr val="00A651"/>
            </a:solidFill>
            <a:ln w="22225">
              <a:noFill/>
            </a:ln>
            <a:effectLst/>
          </c:spPr>
          <c:invertIfNegative val="0"/>
          <c:cat>
            <c:strRef>
              <c:f>'BDV usluga_dsz'!$D$22:$D$36</c:f>
              <c:strCache>
                <c:ptCount val="14"/>
                <c:pt idx="0">
                  <c:v>2023 Q1</c:v>
                </c:pt>
                <c:pt idx="1">
                  <c:v>Q2</c:v>
                </c:pt>
                <c:pt idx="2">
                  <c:v>Q3</c:v>
                </c:pt>
                <c:pt idx="3">
                  <c:v>Q4</c:v>
                </c:pt>
                <c:pt idx="4">
                  <c:v>2024 Q1</c:v>
                </c:pt>
                <c:pt idx="5">
                  <c:v>Q2</c:v>
                </c:pt>
                <c:pt idx="6">
                  <c:v>Q3</c:v>
                </c:pt>
                <c:pt idx="7">
                  <c:v>Q4</c:v>
                </c:pt>
                <c:pt idx="8">
                  <c:v>2025 Q1</c:v>
                </c:pt>
                <c:pt idx="9">
                  <c:v>Q2</c:v>
                </c:pt>
                <c:pt idx="11">
                  <c:v>Укупно</c:v>
                </c:pt>
                <c:pt idx="12">
                  <c:v>Зграде</c:v>
                </c:pt>
                <c:pt idx="13">
                  <c:v>Ост. грађ.</c:v>
                </c:pt>
              </c:strCache>
            </c:strRef>
          </c:cat>
          <c:val>
            <c:numRef>
              <c:f>'BDV usluga_dsz'!$I$22:$I$36</c:f>
              <c:numCache>
                <c:formatCode>0.0</c:formatCode>
                <c:ptCount val="15"/>
                <c:pt idx="0">
                  <c:v>65.3</c:v>
                </c:pt>
                <c:pt idx="1">
                  <c:v>93.1</c:v>
                </c:pt>
                <c:pt idx="2">
                  <c:v>110.6</c:v>
                </c:pt>
                <c:pt idx="3">
                  <c:v>120.6</c:v>
                </c:pt>
                <c:pt idx="4">
                  <c:v>77</c:v>
                </c:pt>
                <c:pt idx="5">
                  <c:v>108.3</c:v>
                </c:pt>
                <c:pt idx="6">
                  <c:v>106.8</c:v>
                </c:pt>
                <c:pt idx="7">
                  <c:v>107.3</c:v>
                </c:pt>
                <c:pt idx="8">
                  <c:v>69.099999999999994</c:v>
                </c:pt>
                <c:pt idx="9">
                  <c:v>79.8</c:v>
                </c:pt>
              </c:numCache>
            </c:numRef>
          </c:val>
          <c:extLst>
            <c:ext xmlns:c16="http://schemas.microsoft.com/office/drawing/2014/chart" uri="{C3380CC4-5D6E-409C-BE32-E72D297353CC}">
              <c16:uniqueId val="{00000002-E5BE-4948-A873-E00633E72584}"/>
            </c:ext>
          </c:extLst>
        </c:ser>
        <c:dLbls>
          <c:showLegendKey val="0"/>
          <c:showVal val="0"/>
          <c:showCatName val="0"/>
          <c:showSerName val="0"/>
          <c:showPercent val="0"/>
          <c:showBubbleSize val="0"/>
        </c:dLbls>
        <c:gapWidth val="80"/>
        <c:axId val="429350464"/>
        <c:axId val="429347552"/>
      </c:barChart>
      <c:barChart>
        <c:barDir val="col"/>
        <c:grouping val="clustered"/>
        <c:varyColors val="0"/>
        <c:ser>
          <c:idx val="3"/>
          <c:order val="4"/>
          <c:tx>
            <c:strRef>
              <c:f>'BDV usluga_dsz'!$J$11</c:f>
              <c:strCache>
                <c:ptCount val="1"/>
                <c:pt idx="0">
                  <c:v>Q1 2025/Q1 2024 (десна скала)</c:v>
                </c:pt>
              </c:strCache>
            </c:strRef>
          </c:tx>
          <c:spPr>
            <a:solidFill>
              <a:schemeClr val="accent4"/>
            </a:solidFill>
            <a:ln>
              <a:noFill/>
            </a:ln>
            <a:effectLst/>
          </c:spPr>
          <c:invertIfNegative val="0"/>
          <c:dPt>
            <c:idx val="11"/>
            <c:invertIfNegative val="0"/>
            <c:bubble3D val="0"/>
            <c:spPr>
              <a:solidFill>
                <a:srgbClr val="002010"/>
              </a:solidFill>
              <a:ln>
                <a:noFill/>
              </a:ln>
              <a:effectLst/>
            </c:spPr>
            <c:extLst>
              <c:ext xmlns:c16="http://schemas.microsoft.com/office/drawing/2014/chart" uri="{C3380CC4-5D6E-409C-BE32-E72D297353CC}">
                <c16:uniqueId val="{00000004-E5BE-4948-A873-E00633E72584}"/>
              </c:ext>
            </c:extLst>
          </c:dPt>
          <c:dPt>
            <c:idx val="12"/>
            <c:invertIfNegative val="0"/>
            <c:bubble3D val="0"/>
            <c:spPr>
              <a:solidFill>
                <a:srgbClr val="EC008C"/>
              </a:solidFill>
              <a:ln>
                <a:noFill/>
              </a:ln>
              <a:effectLst/>
            </c:spPr>
            <c:extLst>
              <c:ext xmlns:c16="http://schemas.microsoft.com/office/drawing/2014/chart" uri="{C3380CC4-5D6E-409C-BE32-E72D297353CC}">
                <c16:uniqueId val="{00000006-E5BE-4948-A873-E00633E72584}"/>
              </c:ext>
            </c:extLst>
          </c:dPt>
          <c:dPt>
            <c:idx val="13"/>
            <c:invertIfNegative val="0"/>
            <c:bubble3D val="0"/>
            <c:spPr>
              <a:solidFill>
                <a:srgbClr val="00A651"/>
              </a:solidFill>
              <a:ln>
                <a:noFill/>
              </a:ln>
              <a:effectLst/>
            </c:spPr>
            <c:extLst>
              <c:ext xmlns:c16="http://schemas.microsoft.com/office/drawing/2014/chart" uri="{C3380CC4-5D6E-409C-BE32-E72D297353CC}">
                <c16:uniqueId val="{00000008-E5BE-4948-A873-E00633E72584}"/>
              </c:ext>
            </c:extLst>
          </c:dPt>
          <c:dLbls>
            <c:dLbl>
              <c:idx val="11"/>
              <c:spPr>
                <a:noFill/>
                <a:ln>
                  <a:noFill/>
                </a:ln>
                <a:effectLst/>
              </c:spPr>
              <c:txPr>
                <a:bodyPr rot="0" spcFirstLastPara="1" vertOverflow="ellipsis" vert="horz" wrap="square" anchor="ctr" anchorCtr="1"/>
                <a:lstStyle/>
                <a:p>
                  <a:pPr>
                    <a:defRPr sz="700" b="0" i="0" u="none" strike="noStrike" kern="1200" baseline="0">
                      <a:solidFill>
                        <a:srgbClr val="002010"/>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4-E5BE-4948-A873-E00633E72584}"/>
                </c:ext>
              </c:extLst>
            </c:dLbl>
            <c:dLbl>
              <c:idx val="12"/>
              <c:layout>
                <c:manualLayout>
                  <c:x val="-4.6273220412100437E-3"/>
                  <c:y val="-4.0617089808104212E-17"/>
                </c:manualLayout>
              </c:layout>
              <c:spPr>
                <a:noFill/>
                <a:ln>
                  <a:noFill/>
                </a:ln>
                <a:effectLst/>
              </c:spPr>
              <c:txPr>
                <a:bodyPr rot="0" spcFirstLastPara="1" vertOverflow="ellipsis" vert="horz" wrap="square" anchor="ctr" anchorCtr="1"/>
                <a:lstStyle/>
                <a:p>
                  <a:pPr>
                    <a:defRPr sz="700" b="0" i="0" u="none" strike="noStrike" kern="1200" baseline="0">
                      <a:solidFill>
                        <a:srgbClr val="EC008C"/>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5BE-4948-A873-E00633E72584}"/>
                </c:ext>
              </c:extLst>
            </c:dLbl>
            <c:dLbl>
              <c:idx val="13"/>
              <c:layout>
                <c:manualLayout>
                  <c:x val="0"/>
                  <c:y val="1.7208672086720868E-2"/>
                </c:manualLayout>
              </c:layout>
              <c:spPr>
                <a:noFill/>
                <a:ln>
                  <a:noFill/>
                </a:ln>
                <a:effectLst/>
              </c:spPr>
              <c:txPr>
                <a:bodyPr rot="0" spcFirstLastPara="1" vertOverflow="ellipsis" vert="horz" wrap="square" anchor="ctr" anchorCtr="1"/>
                <a:lstStyle/>
                <a:p>
                  <a:pPr>
                    <a:defRPr sz="700" b="0" i="0" u="none" strike="noStrike" kern="1200" baseline="0">
                      <a:solidFill>
                        <a:srgbClr val="00A651"/>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5BE-4948-A873-E00633E72584}"/>
                </c:ext>
              </c:extLst>
            </c:dLbl>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'BDV usluga_dsz'!$D$22:$D$36</c:f>
              <c:strCache>
                <c:ptCount val="14"/>
                <c:pt idx="0">
                  <c:v>2023 Q1</c:v>
                </c:pt>
                <c:pt idx="1">
                  <c:v>Q2</c:v>
                </c:pt>
                <c:pt idx="2">
                  <c:v>Q3</c:v>
                </c:pt>
                <c:pt idx="3">
                  <c:v>Q4</c:v>
                </c:pt>
                <c:pt idx="4">
                  <c:v>2024 Q1</c:v>
                </c:pt>
                <c:pt idx="5">
                  <c:v>Q2</c:v>
                </c:pt>
                <c:pt idx="6">
                  <c:v>Q3</c:v>
                </c:pt>
                <c:pt idx="7">
                  <c:v>Q4</c:v>
                </c:pt>
                <c:pt idx="8">
                  <c:v>2025 Q1</c:v>
                </c:pt>
                <c:pt idx="9">
                  <c:v>Q2</c:v>
                </c:pt>
                <c:pt idx="11">
                  <c:v>Укупно</c:v>
                </c:pt>
                <c:pt idx="12">
                  <c:v>Зграде</c:v>
                </c:pt>
                <c:pt idx="13">
                  <c:v>Ост. грађ.</c:v>
                </c:pt>
              </c:strCache>
            </c:strRef>
          </c:cat>
          <c:val>
            <c:numRef>
              <c:f>'BDV usluga_dsz'!$J$22:$J$36</c:f>
              <c:numCache>
                <c:formatCode>General</c:formatCode>
                <c:ptCount val="15"/>
                <c:pt idx="11" formatCode="0.0">
                  <c:v>88.4</c:v>
                </c:pt>
                <c:pt idx="12" formatCode="0.0">
                  <c:v>105.5</c:v>
                </c:pt>
                <c:pt idx="13" formatCode="0.0">
                  <c:v>80.3</c:v>
                </c:pt>
              </c:numCache>
            </c:numRef>
          </c:val>
          <c:extLst>
            <c:ext xmlns:c16="http://schemas.microsoft.com/office/drawing/2014/chart" uri="{C3380CC4-5D6E-409C-BE32-E72D297353CC}">
              <c16:uniqueId val="{00000009-E5BE-4948-A873-E00633E72584}"/>
            </c:ext>
          </c:extLst>
        </c:ser>
        <c:dLbls>
          <c:showLegendKey val="0"/>
          <c:showVal val="0"/>
          <c:showCatName val="0"/>
          <c:showSerName val="0"/>
          <c:showPercent val="0"/>
          <c:showBubbleSize val="0"/>
        </c:dLbls>
        <c:gapWidth val="30"/>
        <c:axId val="1942004127"/>
        <c:axId val="1941994975"/>
      </c:barChart>
      <c:lineChart>
        <c:grouping val="standard"/>
        <c:varyColors val="0"/>
        <c:ser>
          <c:idx val="0"/>
          <c:order val="0"/>
          <c:tx>
            <c:strRef>
              <c:f>'BDV usluga_dsz'!$F$11</c:f>
              <c:strCache>
                <c:ptCount val="1"/>
                <c:pt idx="0">
                  <c:v>100</c:v>
                </c:pt>
              </c:strCache>
            </c:strRef>
          </c:tx>
          <c:spPr>
            <a:ln w="6350" cap="rnd">
              <a:solidFill>
                <a:sysClr val="windowText" lastClr="000000"/>
              </a:solidFill>
              <a:round/>
            </a:ln>
            <a:effectLst/>
          </c:spPr>
          <c:marker>
            <c:symbol val="none"/>
          </c:marker>
          <c:cat>
            <c:strRef>
              <c:f>'BDV usluga_dsz'!$D$22:$D$36</c:f>
              <c:strCache>
                <c:ptCount val="14"/>
                <c:pt idx="0">
                  <c:v>2023 Q1</c:v>
                </c:pt>
                <c:pt idx="1">
                  <c:v>Q2</c:v>
                </c:pt>
                <c:pt idx="2">
                  <c:v>Q3</c:v>
                </c:pt>
                <c:pt idx="3">
                  <c:v>Q4</c:v>
                </c:pt>
                <c:pt idx="4">
                  <c:v>2024 Q1</c:v>
                </c:pt>
                <c:pt idx="5">
                  <c:v>Q2</c:v>
                </c:pt>
                <c:pt idx="6">
                  <c:v>Q3</c:v>
                </c:pt>
                <c:pt idx="7">
                  <c:v>Q4</c:v>
                </c:pt>
                <c:pt idx="8">
                  <c:v>2025 Q1</c:v>
                </c:pt>
                <c:pt idx="9">
                  <c:v>Q2</c:v>
                </c:pt>
                <c:pt idx="11">
                  <c:v>Укупно</c:v>
                </c:pt>
                <c:pt idx="12">
                  <c:v>Зграде</c:v>
                </c:pt>
                <c:pt idx="13">
                  <c:v>Ост. грађ.</c:v>
                </c:pt>
              </c:strCache>
            </c:strRef>
          </c:cat>
          <c:val>
            <c:numRef>
              <c:f>'BDV usluga_dsz'!$F$22:$F$36</c:f>
              <c:numCache>
                <c:formatCode>0</c:formatCode>
                <c:ptCount val="15"/>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numCache>
            </c:numRef>
          </c:val>
          <c:smooth val="0"/>
          <c:extLst>
            <c:ext xmlns:c16="http://schemas.microsoft.com/office/drawing/2014/chart" uri="{C3380CC4-5D6E-409C-BE32-E72D297353CC}">
              <c16:uniqueId val="{0000000A-E5BE-4948-A873-E00633E72584}"/>
            </c:ext>
          </c:extLst>
        </c:ser>
        <c:dLbls>
          <c:showLegendKey val="0"/>
          <c:showVal val="0"/>
          <c:showCatName val="0"/>
          <c:showSerName val="0"/>
          <c:showPercent val="0"/>
          <c:showBubbleSize val="0"/>
        </c:dLbls>
        <c:marker val="1"/>
        <c:smooth val="0"/>
        <c:axId val="429350464"/>
        <c:axId val="429347552"/>
      </c:lineChart>
      <c:catAx>
        <c:axId val="4293504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5400000" spcFirstLastPara="1" vertOverflow="ellipsis" wrap="square" anchor="ctr" anchorCtr="1"/>
          <a:lstStyle/>
          <a:p>
            <a:pPr>
              <a:defRPr sz="700" b="0" i="0" u="none" strike="noStrike" kern="1200" baseline="0">
                <a:solidFill>
                  <a:schemeClr val="tx2"/>
                </a:solidFill>
                <a:latin typeface="+mn-lt"/>
                <a:ea typeface="+mn-ea"/>
                <a:cs typeface="+mn-cs"/>
              </a:defRPr>
            </a:pPr>
            <a:endParaRPr lang="en-US"/>
          </a:p>
        </c:txPr>
        <c:crossAx val="429347552"/>
        <c:crosses val="autoZero"/>
        <c:auto val="1"/>
        <c:lblAlgn val="ctr"/>
        <c:lblOffset val="0"/>
        <c:tickLblSkip val="1"/>
        <c:noMultiLvlLbl val="1"/>
      </c:catAx>
      <c:valAx>
        <c:axId val="429347552"/>
        <c:scaling>
          <c:orientation val="minMax"/>
          <c:min val="40"/>
        </c:scaling>
        <c:delete val="0"/>
        <c:axPos val="l"/>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a:t>Индекси, </a:t>
                </a:r>
                <a:r>
                  <a:rPr lang="en-GB"/>
                  <a:t>Ø202</a:t>
                </a:r>
                <a:r>
                  <a:rPr lang="sr-Latn-RS"/>
                  <a:t>4</a:t>
                </a:r>
                <a:r>
                  <a:rPr lang="en-GB"/>
                  <a:t>=100</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429350464"/>
        <c:crosses val="autoZero"/>
        <c:crossBetween val="between"/>
        <c:majorUnit val="20"/>
      </c:valAx>
      <c:valAx>
        <c:axId val="1941994975"/>
        <c:scaling>
          <c:orientation val="minMax"/>
          <c:max val="160"/>
          <c:min val="40"/>
        </c:scaling>
        <c:delete val="0"/>
        <c:axPos val="r"/>
        <c:numFmt formatCode="0" sourceLinked="0"/>
        <c:majorTickMark val="out"/>
        <c:minorTickMark val="none"/>
        <c:tickLblPos val="none"/>
        <c:spPr>
          <a:noFill/>
          <a:ln>
            <a:noFill/>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1942004127"/>
        <c:crosses val="max"/>
        <c:crossBetween val="between"/>
        <c:majorUnit val="20"/>
      </c:valAx>
      <c:catAx>
        <c:axId val="1942004127"/>
        <c:scaling>
          <c:orientation val="minMax"/>
        </c:scaling>
        <c:delete val="1"/>
        <c:axPos val="b"/>
        <c:numFmt formatCode="General" sourceLinked="1"/>
        <c:majorTickMark val="out"/>
        <c:minorTickMark val="none"/>
        <c:tickLblPos val="nextTo"/>
        <c:crossAx val="1941994975"/>
        <c:crosses val="autoZero"/>
        <c:auto val="1"/>
        <c:lblAlgn val="ctr"/>
        <c:lblOffset val="100"/>
        <c:noMultiLvlLbl val="0"/>
      </c:catAx>
      <c:spPr>
        <a:noFill/>
        <a:ln>
          <a:noFill/>
        </a:ln>
        <a:effectLst/>
      </c:spPr>
    </c:plotArea>
    <c:legend>
      <c:legendPos val="b"/>
      <c:legendEntry>
        <c:idx val="3"/>
        <c:delete val="1"/>
      </c:legendEntry>
      <c:legendEntry>
        <c:idx val="4"/>
        <c:delete val="1"/>
      </c:legendEntry>
      <c:layout>
        <c:manualLayout>
          <c:xMode val="edge"/>
          <c:yMode val="edge"/>
          <c:x val="7.5787037037037042E-2"/>
          <c:y val="0.92302439024390248"/>
          <c:w val="0.82630577427821528"/>
          <c:h val="7.0806233062330637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00">
          <a:solidFill>
            <a:schemeClr val="tx2"/>
          </a:solidFill>
        </a:defRPr>
      </a:pPr>
      <a:endParaRPr lang="en-US"/>
    </a:p>
  </c:txPr>
  <c:externalData r:id="rId4">
    <c:autoUpdate val="0"/>
  </c:externalData>
  <c:userShapes r:id="rId5"/>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graf'!$G$7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0978083216170643"/>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9C-41BE-8549-0615078A2AB4}"/>
                </c:ext>
              </c:extLst>
            </c:dLbl>
            <c:dLbl>
              <c:idx val="12"/>
              <c:layout>
                <c:manualLayout>
                  <c:x val="9.2263543331821421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9C-41BE-8549-0615078A2AB4}"/>
                </c:ext>
              </c:extLst>
            </c:dLbl>
            <c:dLbl>
              <c:idx val="24"/>
              <c:layout>
                <c:manualLayout>
                  <c:x val="3.1165995570833827E-2"/>
                  <c:y val="3.525964647445765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9C-41BE-8549-0615078A2AB4}"/>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graf'!$G$68:$G$99</c:f>
              <c:numCache>
                <c:formatCode>General</c:formatCode>
                <c:ptCount val="32"/>
                <c:pt idx="0">
                  <c:v>75</c:v>
                </c:pt>
                <c:pt idx="12">
                  <c:v>75</c:v>
                </c:pt>
                <c:pt idx="24" formatCode="0">
                  <c:v>75</c:v>
                </c:pt>
              </c:numCache>
            </c:numRef>
          </c:val>
          <c:smooth val="0"/>
          <c:extLst>
            <c:ext xmlns:c16="http://schemas.microsoft.com/office/drawing/2014/chart" uri="{C3380CC4-5D6E-409C-BE32-E72D297353CC}">
              <c16:uniqueId val="{00000003-5E9C-41BE-8549-0615078A2AB4}"/>
            </c:ext>
          </c:extLst>
        </c:ser>
        <c:ser>
          <c:idx val="4"/>
          <c:order val="1"/>
          <c:tx>
            <c:strRef>
              <c:f>'Prerađivačka_FS graf'!$H$7</c:f>
              <c:strCache>
                <c:ptCount val="1"/>
                <c:pt idx="0">
                  <c:v>Series5</c:v>
                </c:pt>
              </c:strCache>
            </c:strRef>
          </c:tx>
          <c:spPr>
            <a:ln w="25400" cap="rnd">
              <a:noFill/>
              <a:round/>
            </a:ln>
            <a:effectLst/>
          </c:spPr>
          <c:marker>
            <c:symbol val="none"/>
          </c:marker>
          <c:dLbls>
            <c:dLbl>
              <c:idx val="0"/>
              <c:tx>
                <c:rich>
                  <a:bodyPr/>
                  <a:lstStyle/>
                  <a:p>
                    <a:fld id="{D5172BBD-238A-4427-8708-FA2BC4A2545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5E9C-41BE-8549-0615078A2AB4}"/>
                </c:ext>
              </c:extLst>
            </c:dLbl>
            <c:dLbl>
              <c:idx val="1"/>
              <c:tx>
                <c:rich>
                  <a:bodyPr/>
                  <a:lstStyle/>
                  <a:p>
                    <a:fld id="{0D49F030-4D68-4937-B907-B98C901FE8C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5E9C-41BE-8549-0615078A2AB4}"/>
                </c:ext>
              </c:extLst>
            </c:dLbl>
            <c:dLbl>
              <c:idx val="2"/>
              <c:tx>
                <c:rich>
                  <a:bodyPr/>
                  <a:lstStyle/>
                  <a:p>
                    <a:fld id="{1CC8B191-A978-4D19-8970-4E484D47DD2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5E9C-41BE-8549-0615078A2AB4}"/>
                </c:ext>
              </c:extLst>
            </c:dLbl>
            <c:dLbl>
              <c:idx val="3"/>
              <c:tx>
                <c:rich>
                  <a:bodyPr/>
                  <a:lstStyle/>
                  <a:p>
                    <a:fld id="{3947E52F-6801-4206-9334-A7E7A60F8A2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5E9C-41BE-8549-0615078A2AB4}"/>
                </c:ext>
              </c:extLst>
            </c:dLbl>
            <c:dLbl>
              <c:idx val="4"/>
              <c:tx>
                <c:rich>
                  <a:bodyPr/>
                  <a:lstStyle/>
                  <a:p>
                    <a:fld id="{470C6ABF-EAE2-4FE6-8A00-7AC78F2DEFB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5E9C-41BE-8549-0615078A2AB4}"/>
                </c:ext>
              </c:extLst>
            </c:dLbl>
            <c:dLbl>
              <c:idx val="5"/>
              <c:tx>
                <c:rich>
                  <a:bodyPr/>
                  <a:lstStyle/>
                  <a:p>
                    <a:fld id="{818AA3CC-166D-4B91-AC23-934FEAF2642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5E9C-41BE-8549-0615078A2AB4}"/>
                </c:ext>
              </c:extLst>
            </c:dLbl>
            <c:dLbl>
              <c:idx val="6"/>
              <c:tx>
                <c:rich>
                  <a:bodyPr/>
                  <a:lstStyle/>
                  <a:p>
                    <a:fld id="{B2BAC8FD-5AF9-441F-BC7E-E9422C64A54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E9C-41BE-8549-0615078A2AB4}"/>
                </c:ext>
              </c:extLst>
            </c:dLbl>
            <c:dLbl>
              <c:idx val="7"/>
              <c:tx>
                <c:rich>
                  <a:bodyPr/>
                  <a:lstStyle/>
                  <a:p>
                    <a:fld id="{CBF0A289-D6A0-45DA-A4C1-461B4A3D595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5E9C-41BE-8549-0615078A2AB4}"/>
                </c:ext>
              </c:extLst>
            </c:dLbl>
            <c:dLbl>
              <c:idx val="8"/>
              <c:tx>
                <c:rich>
                  <a:bodyPr/>
                  <a:lstStyle/>
                  <a:p>
                    <a:fld id="{2BB0E1A2-876C-4C4B-9C1C-B93B390F2CC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5E9C-41BE-8549-0615078A2AB4}"/>
                </c:ext>
              </c:extLst>
            </c:dLbl>
            <c:dLbl>
              <c:idx val="9"/>
              <c:tx>
                <c:rich>
                  <a:bodyPr/>
                  <a:lstStyle/>
                  <a:p>
                    <a:fld id="{826DDBA2-3A37-4621-96DF-CDB7D82E9C7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E9C-41BE-8549-0615078A2AB4}"/>
                </c:ext>
              </c:extLst>
            </c:dLbl>
            <c:dLbl>
              <c:idx val="10"/>
              <c:tx>
                <c:rich>
                  <a:bodyPr/>
                  <a:lstStyle/>
                  <a:p>
                    <a:fld id="{43B40644-D225-4AB1-B061-325DB79A497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5E9C-41BE-8549-0615078A2AB4}"/>
                </c:ext>
              </c:extLst>
            </c:dLbl>
            <c:dLbl>
              <c:idx val="11"/>
              <c:tx>
                <c:rich>
                  <a:bodyPr/>
                  <a:lstStyle/>
                  <a:p>
                    <a:fld id="{5FB87484-61DB-4E20-8F0B-BB94FC2A756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5E9C-41BE-8549-0615078A2AB4}"/>
                </c:ext>
              </c:extLst>
            </c:dLbl>
            <c:dLbl>
              <c:idx val="12"/>
              <c:tx>
                <c:rich>
                  <a:bodyPr/>
                  <a:lstStyle/>
                  <a:p>
                    <a:fld id="{0BBF9897-A339-4342-8020-B2FF8CEF766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E9C-41BE-8549-0615078A2AB4}"/>
                </c:ext>
              </c:extLst>
            </c:dLbl>
            <c:dLbl>
              <c:idx val="13"/>
              <c:tx>
                <c:rich>
                  <a:bodyPr/>
                  <a:lstStyle/>
                  <a:p>
                    <a:fld id="{CAC75A99-D8DA-43FA-8E56-743659311AB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5E9C-41BE-8549-0615078A2AB4}"/>
                </c:ext>
              </c:extLst>
            </c:dLbl>
            <c:dLbl>
              <c:idx val="14"/>
              <c:tx>
                <c:rich>
                  <a:bodyPr/>
                  <a:lstStyle/>
                  <a:p>
                    <a:fld id="{2F32F7C4-B16B-4717-9896-B3CD5F06D1E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5E9C-41BE-8549-0615078A2AB4}"/>
                </c:ext>
              </c:extLst>
            </c:dLbl>
            <c:dLbl>
              <c:idx val="15"/>
              <c:tx>
                <c:rich>
                  <a:bodyPr/>
                  <a:lstStyle/>
                  <a:p>
                    <a:fld id="{A3FC5A08-2BC3-4ADA-AF30-5D963E03F67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E9C-41BE-8549-0615078A2AB4}"/>
                </c:ext>
              </c:extLst>
            </c:dLbl>
            <c:dLbl>
              <c:idx val="16"/>
              <c:tx>
                <c:rich>
                  <a:bodyPr/>
                  <a:lstStyle/>
                  <a:p>
                    <a:fld id="{94F448ED-13B4-42CF-834E-B7F8D1B117A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5E9C-41BE-8549-0615078A2AB4}"/>
                </c:ext>
              </c:extLst>
            </c:dLbl>
            <c:dLbl>
              <c:idx val="17"/>
              <c:tx>
                <c:rich>
                  <a:bodyPr/>
                  <a:lstStyle/>
                  <a:p>
                    <a:fld id="{CC030837-429C-454C-AFB2-AE18BB9E32D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5E9C-41BE-8549-0615078A2AB4}"/>
                </c:ext>
              </c:extLst>
            </c:dLbl>
            <c:dLbl>
              <c:idx val="18"/>
              <c:tx>
                <c:rich>
                  <a:bodyPr/>
                  <a:lstStyle/>
                  <a:p>
                    <a:fld id="{B26887F1-AD25-412B-B777-98AC2DC460D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E9C-41BE-8549-0615078A2AB4}"/>
                </c:ext>
              </c:extLst>
            </c:dLbl>
            <c:dLbl>
              <c:idx val="19"/>
              <c:tx>
                <c:rich>
                  <a:bodyPr/>
                  <a:lstStyle/>
                  <a:p>
                    <a:fld id="{B682204C-E929-4F8F-AAE0-324B6B09677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5E9C-41BE-8549-0615078A2AB4}"/>
                </c:ext>
              </c:extLst>
            </c:dLbl>
            <c:dLbl>
              <c:idx val="20"/>
              <c:tx>
                <c:rich>
                  <a:bodyPr/>
                  <a:lstStyle/>
                  <a:p>
                    <a:fld id="{44E75A9E-CC7F-4E6E-9962-EC8FDCAC7F4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5E9C-41BE-8549-0615078A2AB4}"/>
                </c:ext>
              </c:extLst>
            </c:dLbl>
            <c:dLbl>
              <c:idx val="21"/>
              <c:tx>
                <c:rich>
                  <a:bodyPr/>
                  <a:lstStyle/>
                  <a:p>
                    <a:fld id="{F449FAA2-8E3D-46FB-93CB-137472ACDE8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5E9C-41BE-8549-0615078A2AB4}"/>
                </c:ext>
              </c:extLst>
            </c:dLbl>
            <c:dLbl>
              <c:idx val="22"/>
              <c:tx>
                <c:rich>
                  <a:bodyPr/>
                  <a:lstStyle/>
                  <a:p>
                    <a:fld id="{AB1B5722-9B9D-49F1-8341-AF6429421E3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5E9C-41BE-8549-0615078A2AB4}"/>
                </c:ext>
              </c:extLst>
            </c:dLbl>
            <c:dLbl>
              <c:idx val="23"/>
              <c:tx>
                <c:rich>
                  <a:bodyPr/>
                  <a:lstStyle/>
                  <a:p>
                    <a:fld id="{1030BCF9-80BE-4B39-AE39-37B87D8F288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5E9C-41BE-8549-0615078A2AB4}"/>
                </c:ext>
              </c:extLst>
            </c:dLbl>
            <c:dLbl>
              <c:idx val="24"/>
              <c:tx>
                <c:rich>
                  <a:bodyPr/>
                  <a:lstStyle/>
                  <a:p>
                    <a:fld id="{8A9ED65E-7E68-4E5C-882C-DF4378ECD67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E9C-41BE-8549-0615078A2AB4}"/>
                </c:ext>
              </c:extLst>
            </c:dLbl>
            <c:dLbl>
              <c:idx val="25"/>
              <c:tx>
                <c:rich>
                  <a:bodyPr/>
                  <a:lstStyle/>
                  <a:p>
                    <a:fld id="{4339E8D3-6AB0-47C7-AEAB-3D7081E9BFA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5E9C-41BE-8549-0615078A2AB4}"/>
                </c:ext>
              </c:extLst>
            </c:dLbl>
            <c:dLbl>
              <c:idx val="26"/>
              <c:tx>
                <c:rich>
                  <a:bodyPr/>
                  <a:lstStyle/>
                  <a:p>
                    <a:fld id="{0E847155-BCF2-4CA9-A658-F39CF4BD28C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5E9C-41BE-8549-0615078A2AB4}"/>
                </c:ext>
              </c:extLst>
            </c:dLbl>
            <c:dLbl>
              <c:idx val="27"/>
              <c:tx>
                <c:rich>
                  <a:bodyPr/>
                  <a:lstStyle/>
                  <a:p>
                    <a:fld id="{37E1FDFA-7A12-4317-879F-8557CFB3952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5E9C-41BE-8549-0615078A2AB4}"/>
                </c:ext>
              </c:extLst>
            </c:dLbl>
            <c:dLbl>
              <c:idx val="28"/>
              <c:tx>
                <c:rich>
                  <a:bodyPr/>
                  <a:lstStyle/>
                  <a:p>
                    <a:fld id="{0F99B016-2C10-4D2F-963C-5D7CEC2CC72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5E9C-41BE-8549-0615078A2AB4}"/>
                </c:ext>
              </c:extLst>
            </c:dLbl>
            <c:dLbl>
              <c:idx val="29"/>
              <c:tx>
                <c:rich>
                  <a:bodyPr/>
                  <a:lstStyle/>
                  <a:p>
                    <a:fld id="{8BA92599-BAE3-442F-BF4F-29A60E90282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5E9C-41BE-8549-0615078A2AB4}"/>
                </c:ext>
              </c:extLst>
            </c:dLbl>
            <c:dLbl>
              <c:idx val="30"/>
              <c:tx>
                <c:rich>
                  <a:bodyPr/>
                  <a:lstStyle/>
                  <a:p>
                    <a:fld id="{C8DF0B24-4D96-4AC6-8005-F0D82BED4FE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5E9C-41BE-8549-0615078A2AB4}"/>
                </c:ext>
              </c:extLst>
            </c:dLbl>
            <c:dLbl>
              <c:idx val="31"/>
              <c:tx>
                <c:rich>
                  <a:bodyPr/>
                  <a:lstStyle/>
                  <a:p>
                    <a:fld id="{E3239F42-7B2A-43EE-BCC0-2DC7CD0AB40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5E9C-41BE-8549-0615078A2AB4}"/>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graf'!$H$68:$H$99</c:f>
              <c:numCache>
                <c:formatCode>General</c:formatCode>
                <c:ptCount val="32"/>
                <c:pt idx="0">
                  <c:v>75</c:v>
                </c:pt>
                <c:pt idx="1">
                  <c:v>75</c:v>
                </c:pt>
                <c:pt idx="2">
                  <c:v>75</c:v>
                </c:pt>
                <c:pt idx="3">
                  <c:v>75</c:v>
                </c:pt>
                <c:pt idx="4">
                  <c:v>75</c:v>
                </c:pt>
                <c:pt idx="5">
                  <c:v>75</c:v>
                </c:pt>
                <c:pt idx="6">
                  <c:v>75</c:v>
                </c:pt>
                <c:pt idx="7">
                  <c:v>75</c:v>
                </c:pt>
                <c:pt idx="8">
                  <c:v>75</c:v>
                </c:pt>
                <c:pt idx="9">
                  <c:v>75</c:v>
                </c:pt>
                <c:pt idx="10">
                  <c:v>75</c:v>
                </c:pt>
                <c:pt idx="11">
                  <c:v>75</c:v>
                </c:pt>
                <c:pt idx="12">
                  <c:v>75</c:v>
                </c:pt>
                <c:pt idx="13">
                  <c:v>75</c:v>
                </c:pt>
                <c:pt idx="14">
                  <c:v>75</c:v>
                </c:pt>
                <c:pt idx="15">
                  <c:v>75</c:v>
                </c:pt>
                <c:pt idx="16">
                  <c:v>75</c:v>
                </c:pt>
                <c:pt idx="17">
                  <c:v>75</c:v>
                </c:pt>
                <c:pt idx="18">
                  <c:v>75</c:v>
                </c:pt>
                <c:pt idx="19">
                  <c:v>75</c:v>
                </c:pt>
                <c:pt idx="20">
                  <c:v>75</c:v>
                </c:pt>
                <c:pt idx="21">
                  <c:v>75</c:v>
                </c:pt>
                <c:pt idx="22">
                  <c:v>75</c:v>
                </c:pt>
                <c:pt idx="23">
                  <c:v>75</c:v>
                </c:pt>
                <c:pt idx="24">
                  <c:v>75</c:v>
                </c:pt>
                <c:pt idx="25">
                  <c:v>75</c:v>
                </c:pt>
                <c:pt idx="26">
                  <c:v>75</c:v>
                </c:pt>
                <c:pt idx="27">
                  <c:v>75</c:v>
                </c:pt>
                <c:pt idx="28">
                  <c:v>75</c:v>
                </c:pt>
                <c:pt idx="29">
                  <c:v>75</c:v>
                </c:pt>
                <c:pt idx="30">
                  <c:v>75</c:v>
                </c:pt>
                <c:pt idx="31">
                  <c:v>75</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5E9C-41BE-8549-0615078A2AB4}"/>
            </c:ext>
          </c:extLst>
        </c:ser>
        <c:ser>
          <c:idx val="0"/>
          <c:order val="2"/>
          <c:tx>
            <c:strRef>
              <c:f>'Prerađivačka_FS graf'!$I$7</c:f>
              <c:strCache>
                <c:ptCount val="1"/>
                <c:pt idx="0">
                  <c:v>y</c:v>
                </c:pt>
              </c:strCache>
            </c:strRef>
          </c:tx>
          <c:spPr>
            <a:ln w="12700" cap="rnd">
              <a:solidFill>
                <a:srgbClr val="7F3F98"/>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graf'!$I$68:$I$99</c:f>
              <c:numCache>
                <c:formatCode>0.0</c:formatCode>
                <c:ptCount val="32"/>
                <c:pt idx="0">
                  <c:v>79.944029850999996</c:v>
                </c:pt>
                <c:pt idx="1">
                  <c:v>86.007462687</c:v>
                </c:pt>
                <c:pt idx="2">
                  <c:v>101.399253731</c:v>
                </c:pt>
                <c:pt idx="3">
                  <c:v>91.604477611999997</c:v>
                </c:pt>
                <c:pt idx="4">
                  <c:v>99.253731342999998</c:v>
                </c:pt>
                <c:pt idx="5">
                  <c:v>100.37313432800001</c:v>
                </c:pt>
                <c:pt idx="6">
                  <c:v>91.417910448000001</c:v>
                </c:pt>
                <c:pt idx="7">
                  <c:v>93.190298506999994</c:v>
                </c:pt>
                <c:pt idx="8">
                  <c:v>100.55970149300001</c:v>
                </c:pt>
                <c:pt idx="9">
                  <c:v>102.985074627</c:v>
                </c:pt>
                <c:pt idx="10">
                  <c:v>100.932835821</c:v>
                </c:pt>
                <c:pt idx="11">
                  <c:v>98.694029850999996</c:v>
                </c:pt>
                <c:pt idx="12">
                  <c:v>85.914179103999999</c:v>
                </c:pt>
                <c:pt idx="13">
                  <c:v>95.708955223999993</c:v>
                </c:pt>
                <c:pt idx="14">
                  <c:v>94.962686567000006</c:v>
                </c:pt>
                <c:pt idx="15">
                  <c:v>98.227611940000003</c:v>
                </c:pt>
                <c:pt idx="16">
                  <c:v>97.761194029999999</c:v>
                </c:pt>
                <c:pt idx="17">
                  <c:v>103.824626866</c:v>
                </c:pt>
                <c:pt idx="18">
                  <c:v>100</c:v>
                </c:pt>
                <c:pt idx="19">
                  <c:v>98.134328358000005</c:v>
                </c:pt>
                <c:pt idx="20">
                  <c:v>106.063432836</c:v>
                </c:pt>
                <c:pt idx="21">
                  <c:v>112.5</c:v>
                </c:pt>
                <c:pt idx="22">
                  <c:v>103.171641791</c:v>
                </c:pt>
                <c:pt idx="23">
                  <c:v>103.824626866</c:v>
                </c:pt>
                <c:pt idx="24">
                  <c:v>88.5</c:v>
                </c:pt>
                <c:pt idx="25">
                  <c:v>94.1</c:v>
                </c:pt>
                <c:pt idx="26">
                  <c:v>104.2</c:v>
                </c:pt>
                <c:pt idx="27">
                  <c:v>100.5</c:v>
                </c:pt>
                <c:pt idx="28">
                  <c:v>104.7</c:v>
                </c:pt>
                <c:pt idx="29">
                  <c:v>105.9</c:v>
                </c:pt>
                <c:pt idx="30">
                  <c:v>104</c:v>
                </c:pt>
                <c:pt idx="31">
                  <c:v>96.5</c:v>
                </c:pt>
              </c:numCache>
            </c:numRef>
          </c:val>
          <c:smooth val="0"/>
          <c:extLst>
            <c:ext xmlns:c16="http://schemas.microsoft.com/office/drawing/2014/chart" uri="{C3380CC4-5D6E-409C-BE32-E72D297353CC}">
              <c16:uniqueId val="{00000025-5E9C-41BE-8549-0615078A2AB4}"/>
            </c:ext>
          </c:extLst>
        </c:ser>
        <c:ser>
          <c:idx val="1"/>
          <c:order val="3"/>
          <c:tx>
            <c:strRef>
              <c:f>'Prerađivačka_FS graf'!$J$7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graf'!$J$68:$J$99</c:f>
              <c:numCache>
                <c:formatCode>0.0</c:formatCode>
                <c:ptCount val="32"/>
                <c:pt idx="0">
                  <c:v>94.682418306000002</c:v>
                </c:pt>
                <c:pt idx="1">
                  <c:v>94.575073973000002</c:v>
                </c:pt>
                <c:pt idx="2">
                  <c:v>98.351880752</c:v>
                </c:pt>
                <c:pt idx="3">
                  <c:v>95.930081654000006</c:v>
                </c:pt>
                <c:pt idx="4">
                  <c:v>94.401174741000005</c:v>
                </c:pt>
                <c:pt idx="5">
                  <c:v>95.115650586000001</c:v>
                </c:pt>
                <c:pt idx="6">
                  <c:v>93.724862173999995</c:v>
                </c:pt>
                <c:pt idx="7">
                  <c:v>95.648054110999993</c:v>
                </c:pt>
                <c:pt idx="8">
                  <c:v>96.249591598999999</c:v>
                </c:pt>
                <c:pt idx="9">
                  <c:v>96.167134689999997</c:v>
                </c:pt>
                <c:pt idx="10">
                  <c:v>96.008015499999999</c:v>
                </c:pt>
                <c:pt idx="11">
                  <c:v>97.535835129999995</c:v>
                </c:pt>
                <c:pt idx="12">
                  <c:v>97.690478068999994</c:v>
                </c:pt>
                <c:pt idx="13">
                  <c:v>98.890539294000007</c:v>
                </c:pt>
                <c:pt idx="14">
                  <c:v>94.642842533999996</c:v>
                </c:pt>
                <c:pt idx="15">
                  <c:v>96.407533838000006</c:v>
                </c:pt>
                <c:pt idx="16">
                  <c:v>98.914670408999996</c:v>
                </c:pt>
                <c:pt idx="17">
                  <c:v>100.572553175</c:v>
                </c:pt>
                <c:pt idx="18">
                  <c:v>99.790415186000004</c:v>
                </c:pt>
                <c:pt idx="19">
                  <c:v>101.747823673</c:v>
                </c:pt>
                <c:pt idx="20">
                  <c:v>102.786030526</c:v>
                </c:pt>
                <c:pt idx="21">
                  <c:v>102.715574319</c:v>
                </c:pt>
                <c:pt idx="22">
                  <c:v>100.34941191999999</c:v>
                </c:pt>
                <c:pt idx="23">
                  <c:v>102.699961864</c:v>
                </c:pt>
                <c:pt idx="24">
                  <c:v>102.494125399</c:v>
                </c:pt>
                <c:pt idx="25">
                  <c:v>100.042695962</c:v>
                </c:pt>
                <c:pt idx="26">
                  <c:v>103.600961918</c:v>
                </c:pt>
                <c:pt idx="27">
                  <c:v>102.54580913700001</c:v>
                </c:pt>
                <c:pt idx="28">
                  <c:v>101.976712116</c:v>
                </c:pt>
                <c:pt idx="29">
                  <c:v>102.077725564</c:v>
                </c:pt>
                <c:pt idx="30">
                  <c:v>103.867626375</c:v>
                </c:pt>
                <c:pt idx="31">
                  <c:v>101.66595492099999</c:v>
                </c:pt>
              </c:numCache>
            </c:numRef>
          </c:val>
          <c:smooth val="0"/>
          <c:extLst>
            <c:ext xmlns:c16="http://schemas.microsoft.com/office/drawing/2014/chart" uri="{C3380CC4-5D6E-409C-BE32-E72D297353CC}">
              <c16:uniqueId val="{00000026-5E9C-41BE-8549-0615078A2AB4}"/>
            </c:ext>
          </c:extLst>
        </c:ser>
        <c:ser>
          <c:idx val="2"/>
          <c:order val="4"/>
          <c:tx>
            <c:strRef>
              <c:f>'Prerađivačka_FS graf'!$K$7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graf'!$K$68:$K$99</c:f>
              <c:numCache>
                <c:formatCode>0.0</c:formatCode>
                <c:ptCount val="32"/>
                <c:pt idx="0">
                  <c:v>94.078788477000003</c:v>
                </c:pt>
                <c:pt idx="1">
                  <c:v>94.330831597</c:v>
                </c:pt>
                <c:pt idx="2">
                  <c:v>94.55956449</c:v>
                </c:pt>
                <c:pt idx="3">
                  <c:v>94.752469398000002</c:v>
                </c:pt>
                <c:pt idx="4">
                  <c:v>94.921543760999995</c:v>
                </c:pt>
                <c:pt idx="5">
                  <c:v>95.091696753999997</c:v>
                </c:pt>
                <c:pt idx="6">
                  <c:v>95.288407871000004</c:v>
                </c:pt>
                <c:pt idx="7">
                  <c:v>95.532181924</c:v>
                </c:pt>
                <c:pt idx="8">
                  <c:v>95.824000373000004</c:v>
                </c:pt>
                <c:pt idx="9">
                  <c:v>96.155024429999997</c:v>
                </c:pt>
                <c:pt idx="10">
                  <c:v>96.515485181000003</c:v>
                </c:pt>
                <c:pt idx="11">
                  <c:v>96.910321132000007</c:v>
                </c:pt>
                <c:pt idx="12">
                  <c:v>97.343025870999995</c:v>
                </c:pt>
                <c:pt idx="13">
                  <c:v>97.810870398000006</c:v>
                </c:pt>
                <c:pt idx="14">
                  <c:v>98.315864122999997</c:v>
                </c:pt>
                <c:pt idx="15">
                  <c:v>98.843522128999993</c:v>
                </c:pt>
                <c:pt idx="16">
                  <c:v>99.381857224000001</c:v>
                </c:pt>
                <c:pt idx="17">
                  <c:v>99.926949102999998</c:v>
                </c:pt>
                <c:pt idx="18">
                  <c:v>100.463257453</c:v>
                </c:pt>
                <c:pt idx="19">
                  <c:v>100.963484407</c:v>
                </c:pt>
                <c:pt idx="20">
                  <c:v>101.403316335</c:v>
                </c:pt>
                <c:pt idx="21">
                  <c:v>101.77103194</c:v>
                </c:pt>
                <c:pt idx="22">
                  <c:v>102.05922601899999</c:v>
                </c:pt>
                <c:pt idx="23">
                  <c:v>102.259742875</c:v>
                </c:pt>
                <c:pt idx="24">
                  <c:v>102.37751962599999</c:v>
                </c:pt>
                <c:pt idx="25">
                  <c:v>102.432289149</c:v>
                </c:pt>
                <c:pt idx="26">
                  <c:v>102.450590335</c:v>
                </c:pt>
                <c:pt idx="27">
                  <c:v>102.45785087</c:v>
                </c:pt>
                <c:pt idx="28">
                  <c:v>102.460506912</c:v>
                </c:pt>
                <c:pt idx="29">
                  <c:v>102.449800803</c:v>
                </c:pt>
                <c:pt idx="30">
                  <c:v>102.425355619</c:v>
                </c:pt>
                <c:pt idx="31">
                  <c:v>102.38943278000001</c:v>
                </c:pt>
              </c:numCache>
            </c:numRef>
          </c:val>
          <c:smooth val="0"/>
          <c:extLst>
            <c:ext xmlns:c16="http://schemas.microsoft.com/office/drawing/2014/chart" uri="{C3380CC4-5D6E-409C-BE32-E72D297353CC}">
              <c16:uniqueId val="{00000027-5E9C-41BE-8549-0615078A2AB4}"/>
            </c:ext>
          </c:extLst>
        </c:ser>
        <c:dLbls>
          <c:showLegendKey val="0"/>
          <c:showVal val="0"/>
          <c:showCatName val="0"/>
          <c:showSerName val="0"/>
          <c:showPercent val="0"/>
          <c:showBubbleSize val="0"/>
        </c:dLbls>
        <c:marker val="1"/>
        <c:smooth val="0"/>
        <c:axId val="2092180112"/>
        <c:axId val="2092170320"/>
      </c:lineChart>
      <c:dateAx>
        <c:axId val="20921801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0320"/>
        <c:crosses val="autoZero"/>
        <c:auto val="1"/>
        <c:lblOffset val="0"/>
        <c:baseTimeUnit val="months"/>
        <c:majorUnit val="12"/>
        <c:majorTimeUnit val="months"/>
      </c:dateAx>
      <c:valAx>
        <c:axId val="2092170320"/>
        <c:scaling>
          <c:orientation val="minMax"/>
          <c:min val="7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112"/>
        <c:crosses val="autoZero"/>
        <c:crossBetween val="midCat"/>
        <c:majorUnit val="5"/>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graf'!$BV$7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20263984814391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1A1-46BF-B4B6-75859DA89068}"/>
                </c:ext>
              </c:extLst>
            </c:dLbl>
            <c:dLbl>
              <c:idx val="12"/>
              <c:layout>
                <c:manualLayout>
                  <c:x val="9.9559461530531454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1A1-46BF-B4B6-75859DA89068}"/>
                </c:ext>
              </c:extLst>
            </c:dLbl>
            <c:dLbl>
              <c:idx val="24"/>
              <c:layout>
                <c:manualLayout>
                  <c:x val="3.9194725357851325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1A1-46BF-B4B6-75859DA89068}"/>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graf'!$BV$68:$BV$99</c:f>
              <c:numCache>
                <c:formatCode>General</c:formatCode>
                <c:ptCount val="32"/>
                <c:pt idx="0">
                  <c:v>40</c:v>
                </c:pt>
                <c:pt idx="12">
                  <c:v>40</c:v>
                </c:pt>
                <c:pt idx="24">
                  <c:v>40</c:v>
                </c:pt>
              </c:numCache>
            </c:numRef>
          </c:val>
          <c:smooth val="0"/>
          <c:extLst>
            <c:ext xmlns:c16="http://schemas.microsoft.com/office/drawing/2014/chart" uri="{C3380CC4-5D6E-409C-BE32-E72D297353CC}">
              <c16:uniqueId val="{00000003-61A1-46BF-B4B6-75859DA89068}"/>
            </c:ext>
          </c:extLst>
        </c:ser>
        <c:ser>
          <c:idx val="4"/>
          <c:order val="1"/>
          <c:tx>
            <c:strRef>
              <c:f>'Prerađivačka_FS graf'!$BW$7</c:f>
              <c:strCache>
                <c:ptCount val="1"/>
                <c:pt idx="0">
                  <c:v>Series5</c:v>
                </c:pt>
              </c:strCache>
            </c:strRef>
          </c:tx>
          <c:spPr>
            <a:ln w="25400" cap="rnd">
              <a:noFill/>
              <a:round/>
            </a:ln>
            <a:effectLst/>
          </c:spPr>
          <c:marker>
            <c:symbol val="none"/>
          </c:marker>
          <c:dLbls>
            <c:dLbl>
              <c:idx val="0"/>
              <c:tx>
                <c:rich>
                  <a:bodyPr/>
                  <a:lstStyle/>
                  <a:p>
                    <a:fld id="{608CC4B4-ED58-4387-A068-46068FFABAE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61A1-46BF-B4B6-75859DA89068}"/>
                </c:ext>
              </c:extLst>
            </c:dLbl>
            <c:dLbl>
              <c:idx val="1"/>
              <c:tx>
                <c:rich>
                  <a:bodyPr/>
                  <a:lstStyle/>
                  <a:p>
                    <a:fld id="{A4180BAC-D6FA-4342-AB90-14610006F97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61A1-46BF-B4B6-75859DA89068}"/>
                </c:ext>
              </c:extLst>
            </c:dLbl>
            <c:dLbl>
              <c:idx val="2"/>
              <c:tx>
                <c:rich>
                  <a:bodyPr/>
                  <a:lstStyle/>
                  <a:p>
                    <a:fld id="{7BB1687F-CAB5-4A83-873C-D33CB494DC4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61A1-46BF-B4B6-75859DA89068}"/>
                </c:ext>
              </c:extLst>
            </c:dLbl>
            <c:dLbl>
              <c:idx val="3"/>
              <c:tx>
                <c:rich>
                  <a:bodyPr/>
                  <a:lstStyle/>
                  <a:p>
                    <a:fld id="{FC7DBEE0-CD65-424D-BD6B-1C32141FD21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61A1-46BF-B4B6-75859DA89068}"/>
                </c:ext>
              </c:extLst>
            </c:dLbl>
            <c:dLbl>
              <c:idx val="4"/>
              <c:tx>
                <c:rich>
                  <a:bodyPr/>
                  <a:lstStyle/>
                  <a:p>
                    <a:fld id="{A15871A8-BD72-498E-8F21-778E6B10A4A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61A1-46BF-B4B6-75859DA89068}"/>
                </c:ext>
              </c:extLst>
            </c:dLbl>
            <c:dLbl>
              <c:idx val="5"/>
              <c:tx>
                <c:rich>
                  <a:bodyPr/>
                  <a:lstStyle/>
                  <a:p>
                    <a:fld id="{071B6613-0B7A-4968-B5B5-4A58488EDAA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1A1-46BF-B4B6-75859DA89068}"/>
                </c:ext>
              </c:extLst>
            </c:dLbl>
            <c:dLbl>
              <c:idx val="6"/>
              <c:tx>
                <c:rich>
                  <a:bodyPr/>
                  <a:lstStyle/>
                  <a:p>
                    <a:fld id="{28604AA1-EE3A-4736-8EC0-021DB314976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61A1-46BF-B4B6-75859DA89068}"/>
                </c:ext>
              </c:extLst>
            </c:dLbl>
            <c:dLbl>
              <c:idx val="7"/>
              <c:tx>
                <c:rich>
                  <a:bodyPr/>
                  <a:lstStyle/>
                  <a:p>
                    <a:fld id="{36D8A292-18BB-44B7-A5EF-D313AC0376C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61A1-46BF-B4B6-75859DA89068}"/>
                </c:ext>
              </c:extLst>
            </c:dLbl>
            <c:dLbl>
              <c:idx val="8"/>
              <c:tx>
                <c:rich>
                  <a:bodyPr/>
                  <a:lstStyle/>
                  <a:p>
                    <a:fld id="{D1E379CB-AD2D-4B32-859D-38E79910A9D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1A1-46BF-B4B6-75859DA89068}"/>
                </c:ext>
              </c:extLst>
            </c:dLbl>
            <c:dLbl>
              <c:idx val="9"/>
              <c:tx>
                <c:rich>
                  <a:bodyPr/>
                  <a:lstStyle/>
                  <a:p>
                    <a:fld id="{3A9ED2D2-264A-4CFD-8F14-32000F077EF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61A1-46BF-B4B6-75859DA89068}"/>
                </c:ext>
              </c:extLst>
            </c:dLbl>
            <c:dLbl>
              <c:idx val="10"/>
              <c:tx>
                <c:rich>
                  <a:bodyPr/>
                  <a:lstStyle/>
                  <a:p>
                    <a:fld id="{6AA042FF-FE21-4B8C-997E-EF3D3CC0707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61A1-46BF-B4B6-75859DA89068}"/>
                </c:ext>
              </c:extLst>
            </c:dLbl>
            <c:dLbl>
              <c:idx val="11"/>
              <c:tx>
                <c:rich>
                  <a:bodyPr/>
                  <a:lstStyle/>
                  <a:p>
                    <a:fld id="{0ADC2AF6-8E03-4055-A501-F9DD7A648B6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1A1-46BF-B4B6-75859DA89068}"/>
                </c:ext>
              </c:extLst>
            </c:dLbl>
            <c:dLbl>
              <c:idx val="12"/>
              <c:tx>
                <c:rich>
                  <a:bodyPr/>
                  <a:lstStyle/>
                  <a:p>
                    <a:fld id="{97B1929D-16E1-42A0-B93F-75DD15742E9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61A1-46BF-B4B6-75859DA89068}"/>
                </c:ext>
              </c:extLst>
            </c:dLbl>
            <c:dLbl>
              <c:idx val="13"/>
              <c:tx>
                <c:rich>
                  <a:bodyPr/>
                  <a:lstStyle/>
                  <a:p>
                    <a:fld id="{FDADF00A-8356-4C19-AE1F-ED8234ABD38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61A1-46BF-B4B6-75859DA89068}"/>
                </c:ext>
              </c:extLst>
            </c:dLbl>
            <c:dLbl>
              <c:idx val="14"/>
              <c:tx>
                <c:rich>
                  <a:bodyPr/>
                  <a:lstStyle/>
                  <a:p>
                    <a:fld id="{AB1135A9-D1D9-4200-BAFD-9FB87D53CCA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1A1-46BF-B4B6-75859DA89068}"/>
                </c:ext>
              </c:extLst>
            </c:dLbl>
            <c:dLbl>
              <c:idx val="15"/>
              <c:tx>
                <c:rich>
                  <a:bodyPr/>
                  <a:lstStyle/>
                  <a:p>
                    <a:fld id="{BF69207E-4B5E-4590-B0A7-68AA7B012E1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61A1-46BF-B4B6-75859DA89068}"/>
                </c:ext>
              </c:extLst>
            </c:dLbl>
            <c:dLbl>
              <c:idx val="16"/>
              <c:tx>
                <c:rich>
                  <a:bodyPr/>
                  <a:lstStyle/>
                  <a:p>
                    <a:fld id="{89899E2B-6D37-4C70-B784-2D659651ABE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61A1-46BF-B4B6-75859DA89068}"/>
                </c:ext>
              </c:extLst>
            </c:dLbl>
            <c:dLbl>
              <c:idx val="17"/>
              <c:tx>
                <c:rich>
                  <a:bodyPr/>
                  <a:lstStyle/>
                  <a:p>
                    <a:fld id="{8C025887-8C71-48E5-9256-E68C80C4EB8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1A1-46BF-B4B6-75859DA89068}"/>
                </c:ext>
              </c:extLst>
            </c:dLbl>
            <c:dLbl>
              <c:idx val="18"/>
              <c:tx>
                <c:rich>
                  <a:bodyPr/>
                  <a:lstStyle/>
                  <a:p>
                    <a:fld id="{CA258EB5-BFB2-4CDC-9C79-C9DB48914AB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61A1-46BF-B4B6-75859DA89068}"/>
                </c:ext>
              </c:extLst>
            </c:dLbl>
            <c:dLbl>
              <c:idx val="19"/>
              <c:tx>
                <c:rich>
                  <a:bodyPr/>
                  <a:lstStyle/>
                  <a:p>
                    <a:fld id="{7959283F-83F8-4B0B-8583-D8295DA5239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61A1-46BF-B4B6-75859DA89068}"/>
                </c:ext>
              </c:extLst>
            </c:dLbl>
            <c:dLbl>
              <c:idx val="20"/>
              <c:tx>
                <c:rich>
                  <a:bodyPr/>
                  <a:lstStyle/>
                  <a:p>
                    <a:fld id="{DF286977-39CD-49BF-8847-6548F14AE13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61A1-46BF-B4B6-75859DA89068}"/>
                </c:ext>
              </c:extLst>
            </c:dLbl>
            <c:dLbl>
              <c:idx val="21"/>
              <c:tx>
                <c:rich>
                  <a:bodyPr/>
                  <a:lstStyle/>
                  <a:p>
                    <a:fld id="{FC882F2A-4033-4C75-82D5-D4E9A63C504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61A1-46BF-B4B6-75859DA89068}"/>
                </c:ext>
              </c:extLst>
            </c:dLbl>
            <c:dLbl>
              <c:idx val="22"/>
              <c:tx>
                <c:rich>
                  <a:bodyPr/>
                  <a:lstStyle/>
                  <a:p>
                    <a:fld id="{1DE19D0A-8C96-4B72-A982-BE77A76D0AB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61A1-46BF-B4B6-75859DA89068}"/>
                </c:ext>
              </c:extLst>
            </c:dLbl>
            <c:dLbl>
              <c:idx val="23"/>
              <c:tx>
                <c:rich>
                  <a:bodyPr/>
                  <a:lstStyle/>
                  <a:p>
                    <a:fld id="{D7A35794-EDEF-4819-80DD-4F0CD151C0C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61A1-46BF-B4B6-75859DA89068}"/>
                </c:ext>
              </c:extLst>
            </c:dLbl>
            <c:dLbl>
              <c:idx val="24"/>
              <c:tx>
                <c:rich>
                  <a:bodyPr/>
                  <a:lstStyle/>
                  <a:p>
                    <a:fld id="{F1A09EA4-64B0-4C1E-B196-63C846E8649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61A1-46BF-B4B6-75859DA89068}"/>
                </c:ext>
              </c:extLst>
            </c:dLbl>
            <c:dLbl>
              <c:idx val="25"/>
              <c:tx>
                <c:rich>
                  <a:bodyPr/>
                  <a:lstStyle/>
                  <a:p>
                    <a:fld id="{90433E89-4250-4D53-8753-E32EC040C8E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61A1-46BF-B4B6-75859DA89068}"/>
                </c:ext>
              </c:extLst>
            </c:dLbl>
            <c:dLbl>
              <c:idx val="26"/>
              <c:tx>
                <c:rich>
                  <a:bodyPr/>
                  <a:lstStyle/>
                  <a:p>
                    <a:fld id="{1E9C18FD-CDC3-42DA-893C-3124E956677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61A1-46BF-B4B6-75859DA89068}"/>
                </c:ext>
              </c:extLst>
            </c:dLbl>
            <c:dLbl>
              <c:idx val="27"/>
              <c:tx>
                <c:rich>
                  <a:bodyPr/>
                  <a:lstStyle/>
                  <a:p>
                    <a:fld id="{A7B4A6D2-0C54-442C-94CD-C5939DBFB6F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61A1-46BF-B4B6-75859DA89068}"/>
                </c:ext>
              </c:extLst>
            </c:dLbl>
            <c:dLbl>
              <c:idx val="28"/>
              <c:tx>
                <c:rich>
                  <a:bodyPr/>
                  <a:lstStyle/>
                  <a:p>
                    <a:fld id="{461E4CFC-B54E-40B8-941D-68330BD396D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61A1-46BF-B4B6-75859DA89068}"/>
                </c:ext>
              </c:extLst>
            </c:dLbl>
            <c:dLbl>
              <c:idx val="29"/>
              <c:tx>
                <c:rich>
                  <a:bodyPr/>
                  <a:lstStyle/>
                  <a:p>
                    <a:fld id="{F0C7E5BF-90BD-4409-8DCD-A39BDA035A5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61A1-46BF-B4B6-75859DA89068}"/>
                </c:ext>
              </c:extLst>
            </c:dLbl>
            <c:dLbl>
              <c:idx val="30"/>
              <c:tx>
                <c:rich>
                  <a:bodyPr/>
                  <a:lstStyle/>
                  <a:p>
                    <a:fld id="{713A94CE-B295-4019-B4D7-EAF1FBFB373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61A1-46BF-B4B6-75859DA89068}"/>
                </c:ext>
              </c:extLst>
            </c:dLbl>
            <c:dLbl>
              <c:idx val="31"/>
              <c:tx>
                <c:rich>
                  <a:bodyPr/>
                  <a:lstStyle/>
                  <a:p>
                    <a:fld id="{B8CC5574-2454-434F-ABD2-AA300F29668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61A1-46BF-B4B6-75859DA89068}"/>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graf'!$BW$68:$BW$99</c:f>
              <c:numCache>
                <c:formatCode>General</c:formatCode>
                <c:ptCount val="32"/>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numCache>
            </c:numRef>
          </c:val>
          <c:smooth val="0"/>
          <c:extLst>
            <c:ext xmlns:c15="http://schemas.microsoft.com/office/drawing/2012/chart" uri="{02D57815-91ED-43cb-92C2-25804820EDAC}">
              <c15:datalabelsRange>
                <c15:f>'Prerađivačka_FS graf'!$B$32:$B$87</c15:f>
                <c15:dlblRangeCache>
                  <c:ptCount val="56"/>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pt idx="45">
                    <c:v>X</c:v>
                  </c:pt>
                  <c:pt idx="48">
                    <c:v>I</c:v>
                  </c:pt>
                  <c:pt idx="51">
                    <c:v>IV</c:v>
                  </c:pt>
                  <c:pt idx="54">
                    <c:v>VII</c:v>
                  </c:pt>
                </c15:dlblRangeCache>
              </c15:datalabelsRange>
            </c:ext>
            <c:ext xmlns:c16="http://schemas.microsoft.com/office/drawing/2014/chart" uri="{C3380CC4-5D6E-409C-BE32-E72D297353CC}">
              <c16:uniqueId val="{00000024-61A1-46BF-B4B6-75859DA89068}"/>
            </c:ext>
          </c:extLst>
        </c:ser>
        <c:ser>
          <c:idx val="0"/>
          <c:order val="2"/>
          <c:tx>
            <c:strRef>
              <c:f>'Prerađivačka_FS graf'!$BX$7</c:f>
              <c:strCache>
                <c:ptCount val="1"/>
                <c:pt idx="0">
                  <c:v>y</c:v>
                </c:pt>
              </c:strCache>
            </c:strRef>
          </c:tx>
          <c:spPr>
            <a:ln w="12700" cap="rnd">
              <a:solidFill>
                <a:srgbClr val="92278F"/>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graf'!$BX$68:$BX$99</c:f>
              <c:numCache>
                <c:formatCode>0.0</c:formatCode>
                <c:ptCount val="32"/>
                <c:pt idx="0">
                  <c:v>98.004434589800425</c:v>
                </c:pt>
                <c:pt idx="1">
                  <c:v>88.174427198817426</c:v>
                </c:pt>
                <c:pt idx="2">
                  <c:v>98.521803399852175</c:v>
                </c:pt>
                <c:pt idx="3">
                  <c:v>95.195861049519579</c:v>
                </c:pt>
                <c:pt idx="4">
                  <c:v>72.949002217294904</c:v>
                </c:pt>
                <c:pt idx="5">
                  <c:v>79.083518107908347</c:v>
                </c:pt>
                <c:pt idx="6">
                  <c:v>92.461197339246098</c:v>
                </c:pt>
                <c:pt idx="7">
                  <c:v>105.32150776053216</c:v>
                </c:pt>
                <c:pt idx="8">
                  <c:v>91.352549889135247</c:v>
                </c:pt>
                <c:pt idx="9">
                  <c:v>106.28233555062823</c:v>
                </c:pt>
                <c:pt idx="10">
                  <c:v>97.043606799704364</c:v>
                </c:pt>
                <c:pt idx="11">
                  <c:v>93.348115299334793</c:v>
                </c:pt>
                <c:pt idx="12">
                  <c:v>96.969696969696955</c:v>
                </c:pt>
                <c:pt idx="13">
                  <c:v>101.47819660014783</c:v>
                </c:pt>
                <c:pt idx="14">
                  <c:v>104.36067997043605</c:v>
                </c:pt>
                <c:pt idx="15">
                  <c:v>100.29563932002954</c:v>
                </c:pt>
                <c:pt idx="16">
                  <c:v>94.087213599408713</c:v>
                </c:pt>
                <c:pt idx="17">
                  <c:v>91.204730229120472</c:v>
                </c:pt>
                <c:pt idx="18">
                  <c:v>97.339246119733914</c:v>
                </c:pt>
                <c:pt idx="19">
                  <c:v>100</c:v>
                </c:pt>
                <c:pt idx="20">
                  <c:v>103.39985218033998</c:v>
                </c:pt>
                <c:pt idx="21">
                  <c:v>106.72579453067257</c:v>
                </c:pt>
                <c:pt idx="22">
                  <c:v>101.69992609016998</c:v>
                </c:pt>
                <c:pt idx="23">
                  <c:v>102.51293422025127</c:v>
                </c:pt>
                <c:pt idx="24">
                  <c:v>103.5</c:v>
                </c:pt>
                <c:pt idx="25">
                  <c:v>104.8</c:v>
                </c:pt>
                <c:pt idx="26">
                  <c:v>109.4</c:v>
                </c:pt>
                <c:pt idx="27">
                  <c:v>99.8</c:v>
                </c:pt>
                <c:pt idx="28">
                  <c:v>102.75</c:v>
                </c:pt>
                <c:pt idx="29">
                  <c:v>102.1</c:v>
                </c:pt>
                <c:pt idx="30">
                  <c:v>101.45</c:v>
                </c:pt>
                <c:pt idx="31">
                  <c:v>100.8</c:v>
                </c:pt>
              </c:numCache>
            </c:numRef>
          </c:val>
          <c:smooth val="0"/>
          <c:extLst>
            <c:ext xmlns:c16="http://schemas.microsoft.com/office/drawing/2014/chart" uri="{C3380CC4-5D6E-409C-BE32-E72D297353CC}">
              <c16:uniqueId val="{00000025-61A1-46BF-B4B6-75859DA89068}"/>
            </c:ext>
          </c:extLst>
        </c:ser>
        <c:ser>
          <c:idx val="1"/>
          <c:order val="3"/>
          <c:tx>
            <c:strRef>
              <c:f>'Prerađivačka_FS graf'!$BY$7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graf'!$BY$68:$BY$99</c:f>
              <c:numCache>
                <c:formatCode>0.0</c:formatCode>
                <c:ptCount val="32"/>
                <c:pt idx="0">
                  <c:v>97.320627462185911</c:v>
                </c:pt>
                <c:pt idx="1">
                  <c:v>88.036152905252607</c:v>
                </c:pt>
                <c:pt idx="2">
                  <c:v>92.232334296710718</c:v>
                </c:pt>
                <c:pt idx="3">
                  <c:v>93.941726490058699</c:v>
                </c:pt>
                <c:pt idx="4">
                  <c:v>86.694209462288967</c:v>
                </c:pt>
                <c:pt idx="5">
                  <c:v>86.85030361231604</c:v>
                </c:pt>
                <c:pt idx="6">
                  <c:v>92.803351274793158</c:v>
                </c:pt>
                <c:pt idx="7">
                  <c:v>105.07715695142325</c:v>
                </c:pt>
                <c:pt idx="8">
                  <c:v>90.259761743027155</c:v>
                </c:pt>
                <c:pt idx="9">
                  <c:v>97.409573272258214</c:v>
                </c:pt>
                <c:pt idx="10">
                  <c:v>93.778145880438373</c:v>
                </c:pt>
                <c:pt idx="11">
                  <c:v>91.668907131244012</c:v>
                </c:pt>
                <c:pt idx="12">
                  <c:v>95.842752265922911</c:v>
                </c:pt>
                <c:pt idx="13">
                  <c:v>101.26199083873826</c:v>
                </c:pt>
                <c:pt idx="14">
                  <c:v>97.810533462976849</c:v>
                </c:pt>
                <c:pt idx="15">
                  <c:v>99.557287610455901</c:v>
                </c:pt>
                <c:pt idx="16">
                  <c:v>111.46598894980563</c:v>
                </c:pt>
                <c:pt idx="17">
                  <c:v>99.936377272786075</c:v>
                </c:pt>
                <c:pt idx="18">
                  <c:v>97.379872719014671</c:v>
                </c:pt>
                <c:pt idx="19">
                  <c:v>100.0526720562586</c:v>
                </c:pt>
                <c:pt idx="20">
                  <c:v>102.39362913583169</c:v>
                </c:pt>
                <c:pt idx="21">
                  <c:v>97.367919270443025</c:v>
                </c:pt>
                <c:pt idx="22">
                  <c:v>98.65058462515475</c:v>
                </c:pt>
                <c:pt idx="23">
                  <c:v>100.58243584689542</c:v>
                </c:pt>
                <c:pt idx="24">
                  <c:v>102.1492252404055</c:v>
                </c:pt>
                <c:pt idx="25">
                  <c:v>104.4263923813168</c:v>
                </c:pt>
                <c:pt idx="26">
                  <c:v>102.82842494828607</c:v>
                </c:pt>
                <c:pt idx="27">
                  <c:v>99.568259029156252</c:v>
                </c:pt>
                <c:pt idx="28">
                  <c:v>105.79585156290898</c:v>
                </c:pt>
                <c:pt idx="29">
                  <c:v>114.70885024361236</c:v>
                </c:pt>
                <c:pt idx="30">
                  <c:v>110.025962768791</c:v>
                </c:pt>
                <c:pt idx="31">
                  <c:v>106.42119611157555</c:v>
                </c:pt>
              </c:numCache>
            </c:numRef>
          </c:val>
          <c:smooth val="0"/>
          <c:extLst>
            <c:ext xmlns:c16="http://schemas.microsoft.com/office/drawing/2014/chart" uri="{C3380CC4-5D6E-409C-BE32-E72D297353CC}">
              <c16:uniqueId val="{00000026-61A1-46BF-B4B6-75859DA89068}"/>
            </c:ext>
          </c:extLst>
        </c:ser>
        <c:ser>
          <c:idx val="2"/>
          <c:order val="4"/>
          <c:tx>
            <c:strRef>
              <c:f>'Prerađivačka_FS graf'!$BZ$7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graf'!$BZ$68:$BZ$99</c:f>
              <c:numCache>
                <c:formatCode>0.0</c:formatCode>
                <c:ptCount val="32"/>
                <c:pt idx="0">
                  <c:v>92.749531624529737</c:v>
                </c:pt>
                <c:pt idx="1">
                  <c:v>92.337029707637043</c:v>
                </c:pt>
                <c:pt idx="2">
                  <c:v>91.877691818933329</c:v>
                </c:pt>
                <c:pt idx="3">
                  <c:v>91.440716526017383</c:v>
                </c:pt>
                <c:pt idx="4">
                  <c:v>91.108843477491945</c:v>
                </c:pt>
                <c:pt idx="5">
                  <c:v>90.972317512612406</c:v>
                </c:pt>
                <c:pt idx="6">
                  <c:v>91.097841636091161</c:v>
                </c:pt>
                <c:pt idx="7">
                  <c:v>91.543524597231084</c:v>
                </c:pt>
                <c:pt idx="8">
                  <c:v>92.304213448160084</c:v>
                </c:pt>
                <c:pt idx="9">
                  <c:v>93.281527588414463</c:v>
                </c:pt>
                <c:pt idx="10">
                  <c:v>94.377150090853945</c:v>
                </c:pt>
                <c:pt idx="11">
                  <c:v>95.508734336884942</c:v>
                </c:pt>
                <c:pt idx="12">
                  <c:v>96.571347082730838</c:v>
                </c:pt>
                <c:pt idx="13">
                  <c:v>97.495283705526802</c:v>
                </c:pt>
                <c:pt idx="14">
                  <c:v>98.24101131341925</c:v>
                </c:pt>
                <c:pt idx="15">
                  <c:v>98.783406931647733</c:v>
                </c:pt>
                <c:pt idx="16">
                  <c:v>99.173539151376204</c:v>
                </c:pt>
                <c:pt idx="17">
                  <c:v>99.458862504365754</c:v>
                </c:pt>
                <c:pt idx="18">
                  <c:v>99.629462881230467</c:v>
                </c:pt>
                <c:pt idx="19">
                  <c:v>99.703751606901491</c:v>
                </c:pt>
                <c:pt idx="20">
                  <c:v>99.775592953346205</c:v>
                </c:pt>
                <c:pt idx="21">
                  <c:v>99.932025458099517</c:v>
                </c:pt>
                <c:pt idx="22">
                  <c:v>100.24733396466796</c:v>
                </c:pt>
                <c:pt idx="23">
                  <c:v>100.78326445973076</c:v>
                </c:pt>
                <c:pt idx="24">
                  <c:v>101.52864524897346</c:v>
                </c:pt>
                <c:pt idx="25">
                  <c:v>102.44716648413801</c:v>
                </c:pt>
                <c:pt idx="26">
                  <c:v>103.51008157137888</c:v>
                </c:pt>
                <c:pt idx="27">
                  <c:v>104.66655101036815</c:v>
                </c:pt>
                <c:pt idx="28">
                  <c:v>105.8216092423169</c:v>
                </c:pt>
                <c:pt idx="29">
                  <c:v>106.86722633916061</c:v>
                </c:pt>
                <c:pt idx="30">
                  <c:v>107.74062152303217</c:v>
                </c:pt>
                <c:pt idx="31">
                  <c:v>108.40367800674203</c:v>
                </c:pt>
              </c:numCache>
            </c:numRef>
          </c:val>
          <c:smooth val="0"/>
          <c:extLst>
            <c:ext xmlns:c16="http://schemas.microsoft.com/office/drawing/2014/chart" uri="{C3380CC4-5D6E-409C-BE32-E72D297353CC}">
              <c16:uniqueId val="{00000027-61A1-46BF-B4B6-75859DA89068}"/>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2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graf'!$CA$7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2206211927304915"/>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18E-4D7E-8C4F-FCDC53AAC6A5}"/>
                </c:ext>
              </c:extLst>
            </c:dLbl>
            <c:dLbl>
              <c:idx val="12"/>
              <c:layout>
                <c:manualLayout>
                  <c:x val="8.7050506629089378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8E-4D7E-8C4F-FCDC53AAC6A5}"/>
                </c:ext>
              </c:extLst>
            </c:dLbl>
            <c:dLbl>
              <c:idx val="24"/>
              <c:layout>
                <c:manualLayout>
                  <c:x val="3.0855422090223381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18E-4D7E-8C4F-FCDC53AAC6A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graf'!$CA$68:$CA$99</c:f>
              <c:numCache>
                <c:formatCode>General</c:formatCode>
                <c:ptCount val="32"/>
                <c:pt idx="0">
                  <c:v>60</c:v>
                </c:pt>
                <c:pt idx="12">
                  <c:v>60</c:v>
                </c:pt>
                <c:pt idx="24">
                  <c:v>60</c:v>
                </c:pt>
              </c:numCache>
            </c:numRef>
          </c:val>
          <c:smooth val="0"/>
          <c:extLst>
            <c:ext xmlns:c16="http://schemas.microsoft.com/office/drawing/2014/chart" uri="{C3380CC4-5D6E-409C-BE32-E72D297353CC}">
              <c16:uniqueId val="{00000003-218E-4D7E-8C4F-FCDC53AAC6A5}"/>
            </c:ext>
          </c:extLst>
        </c:ser>
        <c:ser>
          <c:idx val="4"/>
          <c:order val="1"/>
          <c:tx>
            <c:strRef>
              <c:f>'Prerađivačka_FS graf'!$CB$7</c:f>
              <c:strCache>
                <c:ptCount val="1"/>
                <c:pt idx="0">
                  <c:v>Series5</c:v>
                </c:pt>
              </c:strCache>
            </c:strRef>
          </c:tx>
          <c:spPr>
            <a:ln w="25400" cap="rnd">
              <a:noFill/>
              <a:round/>
            </a:ln>
            <a:effectLst/>
          </c:spPr>
          <c:marker>
            <c:symbol val="none"/>
          </c:marker>
          <c:dLbls>
            <c:dLbl>
              <c:idx val="0"/>
              <c:tx>
                <c:rich>
                  <a:bodyPr/>
                  <a:lstStyle/>
                  <a:p>
                    <a:fld id="{71CA8AF6-7755-4793-91E7-13BEF4C2C72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218E-4D7E-8C4F-FCDC53AAC6A5}"/>
                </c:ext>
              </c:extLst>
            </c:dLbl>
            <c:dLbl>
              <c:idx val="1"/>
              <c:tx>
                <c:rich>
                  <a:bodyPr/>
                  <a:lstStyle/>
                  <a:p>
                    <a:fld id="{E4626663-E70C-476B-8355-D54A2A73060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218E-4D7E-8C4F-FCDC53AAC6A5}"/>
                </c:ext>
              </c:extLst>
            </c:dLbl>
            <c:dLbl>
              <c:idx val="2"/>
              <c:tx>
                <c:rich>
                  <a:bodyPr/>
                  <a:lstStyle/>
                  <a:p>
                    <a:fld id="{958CC655-A831-4130-ACA8-E4CAC13587D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218E-4D7E-8C4F-FCDC53AAC6A5}"/>
                </c:ext>
              </c:extLst>
            </c:dLbl>
            <c:dLbl>
              <c:idx val="3"/>
              <c:tx>
                <c:rich>
                  <a:bodyPr/>
                  <a:lstStyle/>
                  <a:p>
                    <a:fld id="{478F188D-A2C5-4B41-9072-D3D2A74D262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218E-4D7E-8C4F-FCDC53AAC6A5}"/>
                </c:ext>
              </c:extLst>
            </c:dLbl>
            <c:dLbl>
              <c:idx val="4"/>
              <c:tx>
                <c:rich>
                  <a:bodyPr/>
                  <a:lstStyle/>
                  <a:p>
                    <a:fld id="{D361FEA9-9F83-4DA0-9F09-1B2C826BF73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218E-4D7E-8C4F-FCDC53AAC6A5}"/>
                </c:ext>
              </c:extLst>
            </c:dLbl>
            <c:dLbl>
              <c:idx val="5"/>
              <c:tx>
                <c:rich>
                  <a:bodyPr/>
                  <a:lstStyle/>
                  <a:p>
                    <a:fld id="{B482BF2E-E979-4082-99BD-92805615957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218E-4D7E-8C4F-FCDC53AAC6A5}"/>
                </c:ext>
              </c:extLst>
            </c:dLbl>
            <c:dLbl>
              <c:idx val="6"/>
              <c:tx>
                <c:rich>
                  <a:bodyPr/>
                  <a:lstStyle/>
                  <a:p>
                    <a:fld id="{5BDD8F1E-B7EB-4CBB-8CA9-776A841CF24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218E-4D7E-8C4F-FCDC53AAC6A5}"/>
                </c:ext>
              </c:extLst>
            </c:dLbl>
            <c:dLbl>
              <c:idx val="7"/>
              <c:tx>
                <c:rich>
                  <a:bodyPr/>
                  <a:lstStyle/>
                  <a:p>
                    <a:fld id="{38949465-329A-4B32-A93E-67A1B566C93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218E-4D7E-8C4F-FCDC53AAC6A5}"/>
                </c:ext>
              </c:extLst>
            </c:dLbl>
            <c:dLbl>
              <c:idx val="8"/>
              <c:tx>
                <c:rich>
                  <a:bodyPr/>
                  <a:lstStyle/>
                  <a:p>
                    <a:fld id="{23836100-D22D-41E8-BD6E-86A13D6862E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218E-4D7E-8C4F-FCDC53AAC6A5}"/>
                </c:ext>
              </c:extLst>
            </c:dLbl>
            <c:dLbl>
              <c:idx val="9"/>
              <c:tx>
                <c:rich>
                  <a:bodyPr/>
                  <a:lstStyle/>
                  <a:p>
                    <a:fld id="{AC9E084E-F2CB-409E-B5DF-8877ADF773D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218E-4D7E-8C4F-FCDC53AAC6A5}"/>
                </c:ext>
              </c:extLst>
            </c:dLbl>
            <c:dLbl>
              <c:idx val="10"/>
              <c:tx>
                <c:rich>
                  <a:bodyPr/>
                  <a:lstStyle/>
                  <a:p>
                    <a:fld id="{31B9A4E6-0475-4319-BF95-462B5862A1C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218E-4D7E-8C4F-FCDC53AAC6A5}"/>
                </c:ext>
              </c:extLst>
            </c:dLbl>
            <c:dLbl>
              <c:idx val="11"/>
              <c:tx>
                <c:rich>
                  <a:bodyPr/>
                  <a:lstStyle/>
                  <a:p>
                    <a:fld id="{4A25AF03-4D79-4FB1-8266-CD78EBA798E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218E-4D7E-8C4F-FCDC53AAC6A5}"/>
                </c:ext>
              </c:extLst>
            </c:dLbl>
            <c:dLbl>
              <c:idx val="12"/>
              <c:tx>
                <c:rich>
                  <a:bodyPr/>
                  <a:lstStyle/>
                  <a:p>
                    <a:fld id="{41E576F2-D337-48D6-AB0D-EF8B3F68CEA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218E-4D7E-8C4F-FCDC53AAC6A5}"/>
                </c:ext>
              </c:extLst>
            </c:dLbl>
            <c:dLbl>
              <c:idx val="13"/>
              <c:tx>
                <c:rich>
                  <a:bodyPr/>
                  <a:lstStyle/>
                  <a:p>
                    <a:fld id="{76678078-6D84-462B-9101-F5A64960708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218E-4D7E-8C4F-FCDC53AAC6A5}"/>
                </c:ext>
              </c:extLst>
            </c:dLbl>
            <c:dLbl>
              <c:idx val="14"/>
              <c:tx>
                <c:rich>
                  <a:bodyPr/>
                  <a:lstStyle/>
                  <a:p>
                    <a:fld id="{F6355668-5524-40FA-9214-153C78C901C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218E-4D7E-8C4F-FCDC53AAC6A5}"/>
                </c:ext>
              </c:extLst>
            </c:dLbl>
            <c:dLbl>
              <c:idx val="15"/>
              <c:tx>
                <c:rich>
                  <a:bodyPr/>
                  <a:lstStyle/>
                  <a:p>
                    <a:fld id="{343FC72F-71EC-4A48-B30D-79D9FC609E3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218E-4D7E-8C4F-FCDC53AAC6A5}"/>
                </c:ext>
              </c:extLst>
            </c:dLbl>
            <c:dLbl>
              <c:idx val="16"/>
              <c:tx>
                <c:rich>
                  <a:bodyPr/>
                  <a:lstStyle/>
                  <a:p>
                    <a:fld id="{A42CBCFC-133E-4226-9922-47D0591DE3A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218E-4D7E-8C4F-FCDC53AAC6A5}"/>
                </c:ext>
              </c:extLst>
            </c:dLbl>
            <c:dLbl>
              <c:idx val="17"/>
              <c:tx>
                <c:rich>
                  <a:bodyPr/>
                  <a:lstStyle/>
                  <a:p>
                    <a:fld id="{0C603B95-59D4-4F1F-B8AE-69359115870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218E-4D7E-8C4F-FCDC53AAC6A5}"/>
                </c:ext>
              </c:extLst>
            </c:dLbl>
            <c:dLbl>
              <c:idx val="18"/>
              <c:tx>
                <c:rich>
                  <a:bodyPr/>
                  <a:lstStyle/>
                  <a:p>
                    <a:fld id="{C0328783-8C0D-49D9-9FD4-66070FA234C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218E-4D7E-8C4F-FCDC53AAC6A5}"/>
                </c:ext>
              </c:extLst>
            </c:dLbl>
            <c:dLbl>
              <c:idx val="19"/>
              <c:tx>
                <c:rich>
                  <a:bodyPr/>
                  <a:lstStyle/>
                  <a:p>
                    <a:fld id="{0701063F-03A2-45F4-9C2E-C82C33AF648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218E-4D7E-8C4F-FCDC53AAC6A5}"/>
                </c:ext>
              </c:extLst>
            </c:dLbl>
            <c:dLbl>
              <c:idx val="20"/>
              <c:tx>
                <c:rich>
                  <a:bodyPr/>
                  <a:lstStyle/>
                  <a:p>
                    <a:fld id="{B658C098-C8CF-4948-BFBA-4453D79DE4C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218E-4D7E-8C4F-FCDC53AAC6A5}"/>
                </c:ext>
              </c:extLst>
            </c:dLbl>
            <c:dLbl>
              <c:idx val="21"/>
              <c:tx>
                <c:rich>
                  <a:bodyPr/>
                  <a:lstStyle/>
                  <a:p>
                    <a:fld id="{C5DFCAB6-FD82-4A52-9C61-0CF2B8E5FF8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218E-4D7E-8C4F-FCDC53AAC6A5}"/>
                </c:ext>
              </c:extLst>
            </c:dLbl>
            <c:dLbl>
              <c:idx val="22"/>
              <c:tx>
                <c:rich>
                  <a:bodyPr/>
                  <a:lstStyle/>
                  <a:p>
                    <a:fld id="{86416BDF-71BB-4B8C-B5F0-B96C0493D76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218E-4D7E-8C4F-FCDC53AAC6A5}"/>
                </c:ext>
              </c:extLst>
            </c:dLbl>
            <c:dLbl>
              <c:idx val="23"/>
              <c:tx>
                <c:rich>
                  <a:bodyPr/>
                  <a:lstStyle/>
                  <a:p>
                    <a:fld id="{0265CF4D-2840-4BD0-9624-2C63D15D6C3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218E-4D7E-8C4F-FCDC53AAC6A5}"/>
                </c:ext>
              </c:extLst>
            </c:dLbl>
            <c:dLbl>
              <c:idx val="24"/>
              <c:tx>
                <c:rich>
                  <a:bodyPr/>
                  <a:lstStyle/>
                  <a:p>
                    <a:fld id="{20E29892-DAB2-4111-84FE-6AF3DD4A95E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218E-4D7E-8C4F-FCDC53AAC6A5}"/>
                </c:ext>
              </c:extLst>
            </c:dLbl>
            <c:dLbl>
              <c:idx val="25"/>
              <c:tx>
                <c:rich>
                  <a:bodyPr/>
                  <a:lstStyle/>
                  <a:p>
                    <a:fld id="{E3599212-A5C9-48FF-A76F-FA400316709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218E-4D7E-8C4F-FCDC53AAC6A5}"/>
                </c:ext>
              </c:extLst>
            </c:dLbl>
            <c:dLbl>
              <c:idx val="26"/>
              <c:tx>
                <c:rich>
                  <a:bodyPr/>
                  <a:lstStyle/>
                  <a:p>
                    <a:fld id="{FBB3F320-BCFC-4992-9A5F-001D2DA1171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218E-4D7E-8C4F-FCDC53AAC6A5}"/>
                </c:ext>
              </c:extLst>
            </c:dLbl>
            <c:dLbl>
              <c:idx val="27"/>
              <c:tx>
                <c:rich>
                  <a:bodyPr/>
                  <a:lstStyle/>
                  <a:p>
                    <a:fld id="{BF0FF21E-09F5-4766-B6F5-92E8ABAE7C6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218E-4D7E-8C4F-FCDC53AAC6A5}"/>
                </c:ext>
              </c:extLst>
            </c:dLbl>
            <c:dLbl>
              <c:idx val="28"/>
              <c:tx>
                <c:rich>
                  <a:bodyPr/>
                  <a:lstStyle/>
                  <a:p>
                    <a:fld id="{DD320431-A672-4B14-8B94-93D3AFA8633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218E-4D7E-8C4F-FCDC53AAC6A5}"/>
                </c:ext>
              </c:extLst>
            </c:dLbl>
            <c:dLbl>
              <c:idx val="29"/>
              <c:tx>
                <c:rich>
                  <a:bodyPr/>
                  <a:lstStyle/>
                  <a:p>
                    <a:fld id="{290EBA0C-8871-49F1-94DF-473FA4FFD3F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218E-4D7E-8C4F-FCDC53AAC6A5}"/>
                </c:ext>
              </c:extLst>
            </c:dLbl>
            <c:dLbl>
              <c:idx val="30"/>
              <c:tx>
                <c:rich>
                  <a:bodyPr/>
                  <a:lstStyle/>
                  <a:p>
                    <a:fld id="{955482B6-3B5D-4134-B399-4BA55C4AE57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218E-4D7E-8C4F-FCDC53AAC6A5}"/>
                </c:ext>
              </c:extLst>
            </c:dLbl>
            <c:dLbl>
              <c:idx val="31"/>
              <c:tx>
                <c:rich>
                  <a:bodyPr/>
                  <a:lstStyle/>
                  <a:p>
                    <a:fld id="{9AC29162-EC16-4716-9688-7B6F61BB757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218E-4D7E-8C4F-FCDC53AAC6A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graf'!$CB$68:$CB$99</c:f>
              <c:numCache>
                <c:formatCode>General</c:formatCode>
                <c:ptCount val="32"/>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218E-4D7E-8C4F-FCDC53AAC6A5}"/>
            </c:ext>
          </c:extLst>
        </c:ser>
        <c:ser>
          <c:idx val="0"/>
          <c:order val="2"/>
          <c:tx>
            <c:strRef>
              <c:f>'Prerađivačka_FS graf'!$CC$7</c:f>
              <c:strCache>
                <c:ptCount val="1"/>
                <c:pt idx="0">
                  <c:v>y</c:v>
                </c:pt>
              </c:strCache>
            </c:strRef>
          </c:tx>
          <c:spPr>
            <a:ln w="12700" cap="rnd">
              <a:solidFill>
                <a:srgbClr val="92278F"/>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graf'!$CC$68:$CC$99</c:f>
              <c:numCache>
                <c:formatCode>0.0</c:formatCode>
                <c:ptCount val="32"/>
                <c:pt idx="0">
                  <c:v>118.09815950920246</c:v>
                </c:pt>
                <c:pt idx="1">
                  <c:v>118.40490797546013</c:v>
                </c:pt>
                <c:pt idx="2">
                  <c:v>124.84662576687116</c:v>
                </c:pt>
                <c:pt idx="3">
                  <c:v>110.22494887525562</c:v>
                </c:pt>
                <c:pt idx="4">
                  <c:v>92.944785276073631</c:v>
                </c:pt>
                <c:pt idx="5">
                  <c:v>91.002044989775058</c:v>
                </c:pt>
                <c:pt idx="6">
                  <c:v>98.3640081799591</c:v>
                </c:pt>
                <c:pt idx="7">
                  <c:v>99.795501022494875</c:v>
                </c:pt>
                <c:pt idx="8">
                  <c:v>88.752556237218812</c:v>
                </c:pt>
                <c:pt idx="9">
                  <c:v>97.648261758691206</c:v>
                </c:pt>
                <c:pt idx="10">
                  <c:v>115.6441717791411</c:v>
                </c:pt>
                <c:pt idx="11">
                  <c:v>127.70961145194275</c:v>
                </c:pt>
                <c:pt idx="12">
                  <c:v>132.51533742331287</c:v>
                </c:pt>
                <c:pt idx="13">
                  <c:v>114.82617586912065</c:v>
                </c:pt>
                <c:pt idx="14">
                  <c:v>114.82617586912065</c:v>
                </c:pt>
                <c:pt idx="15">
                  <c:v>93.660531697341511</c:v>
                </c:pt>
                <c:pt idx="16">
                  <c:v>84.355828220858896</c:v>
                </c:pt>
                <c:pt idx="17">
                  <c:v>83.946830265848675</c:v>
                </c:pt>
                <c:pt idx="18">
                  <c:v>83.640081799591002</c:v>
                </c:pt>
                <c:pt idx="19">
                  <c:v>83.435582822085891</c:v>
                </c:pt>
                <c:pt idx="20">
                  <c:v>81.595092024539866</c:v>
                </c:pt>
                <c:pt idx="21">
                  <c:v>105.21472392638039</c:v>
                </c:pt>
                <c:pt idx="22">
                  <c:v>108.99795501022496</c:v>
                </c:pt>
                <c:pt idx="23">
                  <c:v>112.47443762781187</c:v>
                </c:pt>
                <c:pt idx="24">
                  <c:v>120.5</c:v>
                </c:pt>
                <c:pt idx="25">
                  <c:v>113.6</c:v>
                </c:pt>
                <c:pt idx="26">
                  <c:v>107.6</c:v>
                </c:pt>
                <c:pt idx="27">
                  <c:v>93.8</c:v>
                </c:pt>
                <c:pt idx="28">
                  <c:v>79.599999999999994</c:v>
                </c:pt>
                <c:pt idx="29">
                  <c:v>84.4</c:v>
                </c:pt>
                <c:pt idx="30">
                  <c:v>95.7</c:v>
                </c:pt>
                <c:pt idx="31">
                  <c:v>90.5</c:v>
                </c:pt>
              </c:numCache>
            </c:numRef>
          </c:val>
          <c:smooth val="0"/>
          <c:extLst>
            <c:ext xmlns:c16="http://schemas.microsoft.com/office/drawing/2014/chart" uri="{C3380CC4-5D6E-409C-BE32-E72D297353CC}">
              <c16:uniqueId val="{00000025-218E-4D7E-8C4F-FCDC53AAC6A5}"/>
            </c:ext>
          </c:extLst>
        </c:ser>
        <c:ser>
          <c:idx val="1"/>
          <c:order val="3"/>
          <c:tx>
            <c:strRef>
              <c:f>'Prerađivačka_FS graf'!$CD$7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graf'!$CD$68:$CD$99</c:f>
              <c:numCache>
                <c:formatCode>0.0</c:formatCode>
                <c:ptCount val="32"/>
                <c:pt idx="0">
                  <c:v>99.942559902628361</c:v>
                </c:pt>
                <c:pt idx="1">
                  <c:v>105.58411308017752</c:v>
                </c:pt>
                <c:pt idx="2">
                  <c:v>109.18820054081259</c:v>
                </c:pt>
                <c:pt idx="3">
                  <c:v>112.97294420508001</c:v>
                </c:pt>
                <c:pt idx="4">
                  <c:v>108.13209095324788</c:v>
                </c:pt>
                <c:pt idx="5">
                  <c:v>106.80435438003346</c:v>
                </c:pt>
                <c:pt idx="6">
                  <c:v>108.52396502243411</c:v>
                </c:pt>
                <c:pt idx="7">
                  <c:v>110.5723984687708</c:v>
                </c:pt>
                <c:pt idx="8">
                  <c:v>103.39800999065289</c:v>
                </c:pt>
                <c:pt idx="9">
                  <c:v>98.345617295315463</c:v>
                </c:pt>
                <c:pt idx="10">
                  <c:v>108.93420471259618</c:v>
                </c:pt>
                <c:pt idx="11">
                  <c:v>110.39879658167322</c:v>
                </c:pt>
                <c:pt idx="12">
                  <c:v>113.44171024031192</c:v>
                </c:pt>
                <c:pt idx="13">
                  <c:v>101.9552010193425</c:v>
                </c:pt>
                <c:pt idx="14">
                  <c:v>100.43497368169628</c:v>
                </c:pt>
                <c:pt idx="15">
                  <c:v>96.760952463751096</c:v>
                </c:pt>
                <c:pt idx="16">
                  <c:v>99.861663948616837</c:v>
                </c:pt>
                <c:pt idx="17">
                  <c:v>99.887409047387308</c:v>
                </c:pt>
                <c:pt idx="18">
                  <c:v>93.714796837788484</c:v>
                </c:pt>
                <c:pt idx="19">
                  <c:v>94.690231248002846</c:v>
                </c:pt>
                <c:pt idx="20">
                  <c:v>96.330924690415486</c:v>
                </c:pt>
                <c:pt idx="21">
                  <c:v>105.81360163170335</c:v>
                </c:pt>
                <c:pt idx="22">
                  <c:v>101.21732148023538</c:v>
                </c:pt>
                <c:pt idx="23">
                  <c:v>94.870427075947106</c:v>
                </c:pt>
                <c:pt idx="24">
                  <c:v>100.64224444176347</c:v>
                </c:pt>
                <c:pt idx="25">
                  <c:v>100.85837797985651</c:v>
                </c:pt>
                <c:pt idx="26">
                  <c:v>93.980244474316919</c:v>
                </c:pt>
                <c:pt idx="27">
                  <c:v>97.531404559911095</c:v>
                </c:pt>
                <c:pt idx="28">
                  <c:v>95.10687389207871</c:v>
                </c:pt>
                <c:pt idx="29">
                  <c:v>100.12443981655125</c:v>
                </c:pt>
                <c:pt idx="30">
                  <c:v>105.97560380047561</c:v>
                </c:pt>
                <c:pt idx="31">
                  <c:v>102.03412549724165</c:v>
                </c:pt>
              </c:numCache>
            </c:numRef>
          </c:val>
          <c:smooth val="0"/>
          <c:extLst>
            <c:ext xmlns:c16="http://schemas.microsoft.com/office/drawing/2014/chart" uri="{C3380CC4-5D6E-409C-BE32-E72D297353CC}">
              <c16:uniqueId val="{00000026-218E-4D7E-8C4F-FCDC53AAC6A5}"/>
            </c:ext>
          </c:extLst>
        </c:ser>
        <c:ser>
          <c:idx val="2"/>
          <c:order val="4"/>
          <c:tx>
            <c:strRef>
              <c:f>'Prerađivačka_FS graf'!$CE$7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graf'!$CE$68:$CE$99</c:f>
              <c:numCache>
                <c:formatCode>0.0</c:formatCode>
                <c:ptCount val="32"/>
                <c:pt idx="0">
                  <c:v>103.65230473612198</c:v>
                </c:pt>
                <c:pt idx="1">
                  <c:v>105.88554664691918</c:v>
                </c:pt>
                <c:pt idx="2">
                  <c:v>107.79171747462135</c:v>
                </c:pt>
                <c:pt idx="3">
                  <c:v>109.02679617657631</c:v>
                </c:pt>
                <c:pt idx="4">
                  <c:v>109.35372396054065</c:v>
                </c:pt>
                <c:pt idx="5">
                  <c:v>108.97626402915739</c:v>
                </c:pt>
                <c:pt idx="6">
                  <c:v>108.32761833990376</c:v>
                </c:pt>
                <c:pt idx="7">
                  <c:v>107.9406956204141</c:v>
                </c:pt>
                <c:pt idx="8">
                  <c:v>108.03711440813844</c:v>
                </c:pt>
                <c:pt idx="9">
                  <c:v>108.31873513761326</c:v>
                </c:pt>
                <c:pt idx="10">
                  <c:v>108.15619580987135</c:v>
                </c:pt>
                <c:pt idx="11">
                  <c:v>107.13925879640534</c:v>
                </c:pt>
                <c:pt idx="12">
                  <c:v>105.50402361345968</c:v>
                </c:pt>
                <c:pt idx="13">
                  <c:v>103.49652570402097</c:v>
                </c:pt>
                <c:pt idx="14">
                  <c:v>101.32485674535882</c:v>
                </c:pt>
                <c:pt idx="15">
                  <c:v>99.308854864754451</c:v>
                </c:pt>
                <c:pt idx="16">
                  <c:v>97.757184278069744</c:v>
                </c:pt>
                <c:pt idx="17">
                  <c:v>96.814351417221459</c:v>
                </c:pt>
                <c:pt idx="18">
                  <c:v>96.330386030527009</c:v>
                </c:pt>
                <c:pt idx="19">
                  <c:v>96.155678123315653</c:v>
                </c:pt>
                <c:pt idx="20">
                  <c:v>96.47528732864393</c:v>
                </c:pt>
                <c:pt idx="21">
                  <c:v>97.187697970601448</c:v>
                </c:pt>
                <c:pt idx="22">
                  <c:v>98.019028189775369</c:v>
                </c:pt>
                <c:pt idx="23">
                  <c:v>98.542578028885046</c:v>
                </c:pt>
                <c:pt idx="24">
                  <c:v>98.344284889974503</c:v>
                </c:pt>
                <c:pt idx="25">
                  <c:v>97.750955038109126</c:v>
                </c:pt>
                <c:pt idx="26">
                  <c:v>97.360548903768702</c:v>
                </c:pt>
                <c:pt idx="27">
                  <c:v>97.602787972800499</c:v>
                </c:pt>
                <c:pt idx="28">
                  <c:v>98.672281451281165</c:v>
                </c:pt>
                <c:pt idx="29">
                  <c:v>100.32176447361738</c:v>
                </c:pt>
                <c:pt idx="30">
                  <c:v>101.98738372379633</c:v>
                </c:pt>
                <c:pt idx="31">
                  <c:v>103.24895826236271</c:v>
                </c:pt>
              </c:numCache>
            </c:numRef>
          </c:val>
          <c:smooth val="0"/>
          <c:extLst>
            <c:ext xmlns:c16="http://schemas.microsoft.com/office/drawing/2014/chart" uri="{C3380CC4-5D6E-409C-BE32-E72D297353CC}">
              <c16:uniqueId val="{00000027-218E-4D7E-8C4F-FCDC53AAC6A5}"/>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graf'!$AF$7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4842329388214802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E58-4D0E-B3FB-C4B0C330F188}"/>
                </c:ext>
              </c:extLst>
            </c:dLbl>
            <c:dLbl>
              <c:idx val="12"/>
              <c:layout>
                <c:manualLayout>
                  <c:x val="0.12319596314882013"/>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58-4D0E-B3FB-C4B0C330F188}"/>
                </c:ext>
              </c:extLst>
            </c:dLbl>
            <c:dLbl>
              <c:idx val="24"/>
              <c:layout>
                <c:manualLayout>
                  <c:x val="3.0874212024689648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58-4D0E-B3FB-C4B0C330F188}"/>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graf'!$AF$68:$AF$99</c:f>
              <c:numCache>
                <c:formatCode>General</c:formatCode>
                <c:ptCount val="32"/>
                <c:pt idx="0">
                  <c:v>70</c:v>
                </c:pt>
                <c:pt idx="12">
                  <c:v>70</c:v>
                </c:pt>
                <c:pt idx="24">
                  <c:v>70</c:v>
                </c:pt>
              </c:numCache>
            </c:numRef>
          </c:val>
          <c:smooth val="0"/>
          <c:extLst>
            <c:ext xmlns:c16="http://schemas.microsoft.com/office/drawing/2014/chart" uri="{C3380CC4-5D6E-409C-BE32-E72D297353CC}">
              <c16:uniqueId val="{00000003-4E58-4D0E-B3FB-C4B0C330F188}"/>
            </c:ext>
          </c:extLst>
        </c:ser>
        <c:ser>
          <c:idx val="4"/>
          <c:order val="1"/>
          <c:tx>
            <c:strRef>
              <c:f>'Prerađivačka_FS graf'!$AG$7</c:f>
              <c:strCache>
                <c:ptCount val="1"/>
                <c:pt idx="0">
                  <c:v>Series5</c:v>
                </c:pt>
              </c:strCache>
            </c:strRef>
          </c:tx>
          <c:spPr>
            <a:ln w="28575" cap="rnd">
              <a:noFill/>
              <a:round/>
            </a:ln>
            <a:effectLst/>
          </c:spPr>
          <c:marker>
            <c:symbol val="none"/>
          </c:marker>
          <c:dLbls>
            <c:dLbl>
              <c:idx val="0"/>
              <c:tx>
                <c:rich>
                  <a:bodyPr/>
                  <a:lstStyle/>
                  <a:p>
                    <a:fld id="{38595DBF-2064-4B2F-882D-C4F1372C6C3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4E58-4D0E-B3FB-C4B0C330F188}"/>
                </c:ext>
              </c:extLst>
            </c:dLbl>
            <c:dLbl>
              <c:idx val="1"/>
              <c:tx>
                <c:rich>
                  <a:bodyPr/>
                  <a:lstStyle/>
                  <a:p>
                    <a:fld id="{FD71D5DC-5C74-414C-9BB4-67EF21EE5B4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4E58-4D0E-B3FB-C4B0C330F188}"/>
                </c:ext>
              </c:extLst>
            </c:dLbl>
            <c:dLbl>
              <c:idx val="2"/>
              <c:tx>
                <c:rich>
                  <a:bodyPr/>
                  <a:lstStyle/>
                  <a:p>
                    <a:fld id="{666AEF61-179F-485D-BBA4-52252801C0B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4E58-4D0E-B3FB-C4B0C330F188}"/>
                </c:ext>
              </c:extLst>
            </c:dLbl>
            <c:dLbl>
              <c:idx val="3"/>
              <c:tx>
                <c:rich>
                  <a:bodyPr/>
                  <a:lstStyle/>
                  <a:p>
                    <a:fld id="{EC7A91AA-E639-4A67-BBF8-CF9CC0D978E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4E58-4D0E-B3FB-C4B0C330F188}"/>
                </c:ext>
              </c:extLst>
            </c:dLbl>
            <c:dLbl>
              <c:idx val="4"/>
              <c:tx>
                <c:rich>
                  <a:bodyPr/>
                  <a:lstStyle/>
                  <a:p>
                    <a:fld id="{986BF741-F7C5-4F28-B310-003ACAB017D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4E58-4D0E-B3FB-C4B0C330F188}"/>
                </c:ext>
              </c:extLst>
            </c:dLbl>
            <c:dLbl>
              <c:idx val="5"/>
              <c:tx>
                <c:rich>
                  <a:bodyPr/>
                  <a:lstStyle/>
                  <a:p>
                    <a:fld id="{879703A6-406C-4F74-B39D-6C0C55B7A18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4E58-4D0E-B3FB-C4B0C330F188}"/>
                </c:ext>
              </c:extLst>
            </c:dLbl>
            <c:dLbl>
              <c:idx val="6"/>
              <c:tx>
                <c:rich>
                  <a:bodyPr/>
                  <a:lstStyle/>
                  <a:p>
                    <a:fld id="{36FDE7C5-F5F8-4204-8EE5-E4A00BB3AE5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E58-4D0E-B3FB-C4B0C330F188}"/>
                </c:ext>
              </c:extLst>
            </c:dLbl>
            <c:dLbl>
              <c:idx val="7"/>
              <c:tx>
                <c:rich>
                  <a:bodyPr/>
                  <a:lstStyle/>
                  <a:p>
                    <a:fld id="{FC61CBC0-D109-4CE0-BBDC-92D71376458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4E58-4D0E-B3FB-C4B0C330F188}"/>
                </c:ext>
              </c:extLst>
            </c:dLbl>
            <c:dLbl>
              <c:idx val="8"/>
              <c:tx>
                <c:rich>
                  <a:bodyPr/>
                  <a:lstStyle/>
                  <a:p>
                    <a:fld id="{E1BA2C1C-6C85-4EDE-BE4D-5A4D489E546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4E58-4D0E-B3FB-C4B0C330F188}"/>
                </c:ext>
              </c:extLst>
            </c:dLbl>
            <c:dLbl>
              <c:idx val="9"/>
              <c:tx>
                <c:rich>
                  <a:bodyPr/>
                  <a:lstStyle/>
                  <a:p>
                    <a:fld id="{B34C60F2-6366-4638-9D34-2AFC9E0A817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4E58-4D0E-B3FB-C4B0C330F188}"/>
                </c:ext>
              </c:extLst>
            </c:dLbl>
            <c:dLbl>
              <c:idx val="10"/>
              <c:tx>
                <c:rich>
                  <a:bodyPr/>
                  <a:lstStyle/>
                  <a:p>
                    <a:fld id="{6D85E02F-FBC4-4A7A-9006-0B49871586D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4E58-4D0E-B3FB-C4B0C330F188}"/>
                </c:ext>
              </c:extLst>
            </c:dLbl>
            <c:dLbl>
              <c:idx val="11"/>
              <c:tx>
                <c:rich>
                  <a:bodyPr/>
                  <a:lstStyle/>
                  <a:p>
                    <a:fld id="{2736A828-F1D7-41C6-902A-84EA9861E81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4E58-4D0E-B3FB-C4B0C330F188}"/>
                </c:ext>
              </c:extLst>
            </c:dLbl>
            <c:dLbl>
              <c:idx val="12"/>
              <c:tx>
                <c:rich>
                  <a:bodyPr/>
                  <a:lstStyle/>
                  <a:p>
                    <a:fld id="{76EE347E-4A72-4932-BD81-58FBC014878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4E58-4D0E-B3FB-C4B0C330F188}"/>
                </c:ext>
              </c:extLst>
            </c:dLbl>
            <c:dLbl>
              <c:idx val="13"/>
              <c:tx>
                <c:rich>
                  <a:bodyPr/>
                  <a:lstStyle/>
                  <a:p>
                    <a:fld id="{BCC54FAD-0D54-40C3-AEDB-A6EA815BEEF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4E58-4D0E-B3FB-C4B0C330F188}"/>
                </c:ext>
              </c:extLst>
            </c:dLbl>
            <c:dLbl>
              <c:idx val="14"/>
              <c:tx>
                <c:rich>
                  <a:bodyPr/>
                  <a:lstStyle/>
                  <a:p>
                    <a:fld id="{26F4D3B5-6374-401A-96D4-8C80364A978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4E58-4D0E-B3FB-C4B0C330F188}"/>
                </c:ext>
              </c:extLst>
            </c:dLbl>
            <c:dLbl>
              <c:idx val="15"/>
              <c:tx>
                <c:rich>
                  <a:bodyPr/>
                  <a:lstStyle/>
                  <a:p>
                    <a:fld id="{67BFF942-D8A3-486E-A186-C80AA2FAFE1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4E58-4D0E-B3FB-C4B0C330F188}"/>
                </c:ext>
              </c:extLst>
            </c:dLbl>
            <c:dLbl>
              <c:idx val="16"/>
              <c:tx>
                <c:rich>
                  <a:bodyPr/>
                  <a:lstStyle/>
                  <a:p>
                    <a:fld id="{3B42F4B5-5C62-4F3D-87C2-8BC37947E08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4E58-4D0E-B3FB-C4B0C330F188}"/>
                </c:ext>
              </c:extLst>
            </c:dLbl>
            <c:dLbl>
              <c:idx val="17"/>
              <c:tx>
                <c:rich>
                  <a:bodyPr/>
                  <a:lstStyle/>
                  <a:p>
                    <a:fld id="{E931AF29-91B1-41ED-8830-F461780BC61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4E58-4D0E-B3FB-C4B0C330F188}"/>
                </c:ext>
              </c:extLst>
            </c:dLbl>
            <c:dLbl>
              <c:idx val="18"/>
              <c:tx>
                <c:rich>
                  <a:bodyPr/>
                  <a:lstStyle/>
                  <a:p>
                    <a:fld id="{5ABE0835-9EE5-4A9A-8DF9-0946F9C85D8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4E58-4D0E-B3FB-C4B0C330F188}"/>
                </c:ext>
              </c:extLst>
            </c:dLbl>
            <c:dLbl>
              <c:idx val="19"/>
              <c:tx>
                <c:rich>
                  <a:bodyPr/>
                  <a:lstStyle/>
                  <a:p>
                    <a:fld id="{7AD2E65F-9300-47AF-A439-00091279CEB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4E58-4D0E-B3FB-C4B0C330F188}"/>
                </c:ext>
              </c:extLst>
            </c:dLbl>
            <c:dLbl>
              <c:idx val="20"/>
              <c:tx>
                <c:rich>
                  <a:bodyPr/>
                  <a:lstStyle/>
                  <a:p>
                    <a:fld id="{B56B6266-0BF5-4DB0-AEC7-720D872ED00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4E58-4D0E-B3FB-C4B0C330F188}"/>
                </c:ext>
              </c:extLst>
            </c:dLbl>
            <c:dLbl>
              <c:idx val="21"/>
              <c:tx>
                <c:rich>
                  <a:bodyPr/>
                  <a:lstStyle/>
                  <a:p>
                    <a:fld id="{BA5D759C-A99A-47DA-BF6F-3284A013901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4E58-4D0E-B3FB-C4B0C330F188}"/>
                </c:ext>
              </c:extLst>
            </c:dLbl>
            <c:dLbl>
              <c:idx val="22"/>
              <c:tx>
                <c:rich>
                  <a:bodyPr/>
                  <a:lstStyle/>
                  <a:p>
                    <a:fld id="{E37DBE66-FA5F-4BC2-8A38-9EDFA900D32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4E58-4D0E-B3FB-C4B0C330F188}"/>
                </c:ext>
              </c:extLst>
            </c:dLbl>
            <c:dLbl>
              <c:idx val="23"/>
              <c:tx>
                <c:rich>
                  <a:bodyPr/>
                  <a:lstStyle/>
                  <a:p>
                    <a:fld id="{4B38F830-C52E-4058-967D-B5CE0C9348A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4E58-4D0E-B3FB-C4B0C330F188}"/>
                </c:ext>
              </c:extLst>
            </c:dLbl>
            <c:dLbl>
              <c:idx val="24"/>
              <c:tx>
                <c:rich>
                  <a:bodyPr/>
                  <a:lstStyle/>
                  <a:p>
                    <a:fld id="{2860903B-48F1-4153-A170-A8F7E5E5136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4E58-4D0E-B3FB-C4B0C330F188}"/>
                </c:ext>
              </c:extLst>
            </c:dLbl>
            <c:dLbl>
              <c:idx val="25"/>
              <c:tx>
                <c:rich>
                  <a:bodyPr/>
                  <a:lstStyle/>
                  <a:p>
                    <a:fld id="{366EC3B7-C9CF-45A2-ACB5-0570719F0BA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4E58-4D0E-B3FB-C4B0C330F188}"/>
                </c:ext>
              </c:extLst>
            </c:dLbl>
            <c:dLbl>
              <c:idx val="26"/>
              <c:tx>
                <c:rich>
                  <a:bodyPr/>
                  <a:lstStyle/>
                  <a:p>
                    <a:fld id="{622939B2-F520-4C6D-AE0D-1169A5EFCEB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4E58-4D0E-B3FB-C4B0C330F188}"/>
                </c:ext>
              </c:extLst>
            </c:dLbl>
            <c:dLbl>
              <c:idx val="27"/>
              <c:tx>
                <c:rich>
                  <a:bodyPr/>
                  <a:lstStyle/>
                  <a:p>
                    <a:fld id="{560CD9CD-13FF-4E0A-963D-6F0E2780CE6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4E58-4D0E-B3FB-C4B0C330F188}"/>
                </c:ext>
              </c:extLst>
            </c:dLbl>
            <c:dLbl>
              <c:idx val="28"/>
              <c:tx>
                <c:rich>
                  <a:bodyPr/>
                  <a:lstStyle/>
                  <a:p>
                    <a:fld id="{FB50B615-791D-4DEB-A9D1-4A9A35A6415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4E58-4D0E-B3FB-C4B0C330F188}"/>
                </c:ext>
              </c:extLst>
            </c:dLbl>
            <c:dLbl>
              <c:idx val="29"/>
              <c:tx>
                <c:rich>
                  <a:bodyPr/>
                  <a:lstStyle/>
                  <a:p>
                    <a:fld id="{8FF1CD18-7EDD-4F76-997E-6A36DA58704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4E58-4D0E-B3FB-C4B0C330F188}"/>
                </c:ext>
              </c:extLst>
            </c:dLbl>
            <c:dLbl>
              <c:idx val="30"/>
              <c:tx>
                <c:rich>
                  <a:bodyPr/>
                  <a:lstStyle/>
                  <a:p>
                    <a:fld id="{E5851F57-C008-4636-B72C-108AA3A950B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4E58-4D0E-B3FB-C4B0C330F188}"/>
                </c:ext>
              </c:extLst>
            </c:dLbl>
            <c:dLbl>
              <c:idx val="31"/>
              <c:tx>
                <c:rich>
                  <a:bodyPr/>
                  <a:lstStyle/>
                  <a:p>
                    <a:fld id="{3725FA7A-4F9C-451A-BE37-AB31E9DF131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4E58-4D0E-B3FB-C4B0C330F188}"/>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graf'!$AG$68:$AG$99</c:f>
              <c:numCache>
                <c:formatCode>General</c:formatCode>
                <c:ptCount val="32"/>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4E58-4D0E-B3FB-C4B0C330F188}"/>
            </c:ext>
          </c:extLst>
        </c:ser>
        <c:ser>
          <c:idx val="0"/>
          <c:order val="2"/>
          <c:tx>
            <c:strRef>
              <c:f>'Prerađivačka_FS graf'!$AH$7</c:f>
              <c:strCache>
                <c:ptCount val="1"/>
                <c:pt idx="0">
                  <c:v>y</c:v>
                </c:pt>
              </c:strCache>
            </c:strRef>
          </c:tx>
          <c:spPr>
            <a:ln w="12700" cap="rnd">
              <a:solidFill>
                <a:srgbClr val="7F3F98"/>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graf'!$AH$68:$AH$99</c:f>
              <c:numCache>
                <c:formatCode>0.0</c:formatCode>
                <c:ptCount val="32"/>
                <c:pt idx="0">
                  <c:v>75.738007379999999</c:v>
                </c:pt>
                <c:pt idx="1">
                  <c:v>87.546125461000003</c:v>
                </c:pt>
                <c:pt idx="2">
                  <c:v>98.154981550000002</c:v>
                </c:pt>
                <c:pt idx="3">
                  <c:v>85.608856089</c:v>
                </c:pt>
                <c:pt idx="4">
                  <c:v>91.881918819000006</c:v>
                </c:pt>
                <c:pt idx="5">
                  <c:v>92.343173432</c:v>
                </c:pt>
                <c:pt idx="6">
                  <c:v>84.963099631000006</c:v>
                </c:pt>
                <c:pt idx="7">
                  <c:v>74.354243542000006</c:v>
                </c:pt>
                <c:pt idx="8">
                  <c:v>87.546125461000003</c:v>
                </c:pt>
                <c:pt idx="9">
                  <c:v>92.343173432</c:v>
                </c:pt>
                <c:pt idx="10">
                  <c:v>83.487084870999993</c:v>
                </c:pt>
                <c:pt idx="11">
                  <c:v>76.845018449999998</c:v>
                </c:pt>
                <c:pt idx="12">
                  <c:v>76.568265683000007</c:v>
                </c:pt>
                <c:pt idx="13">
                  <c:v>92.988929889000005</c:v>
                </c:pt>
                <c:pt idx="14">
                  <c:v>104.61254612499999</c:v>
                </c:pt>
                <c:pt idx="15">
                  <c:v>100.184501845</c:v>
                </c:pt>
                <c:pt idx="16">
                  <c:v>92.435424354000006</c:v>
                </c:pt>
                <c:pt idx="17">
                  <c:v>101.47601476</c:v>
                </c:pt>
                <c:pt idx="18">
                  <c:v>95.387453875000006</c:v>
                </c:pt>
                <c:pt idx="19">
                  <c:v>93.911439114000004</c:v>
                </c:pt>
                <c:pt idx="20">
                  <c:v>109.686346863</c:v>
                </c:pt>
                <c:pt idx="21">
                  <c:v>116.32841328400001</c:v>
                </c:pt>
                <c:pt idx="22">
                  <c:v>108.948339483</c:v>
                </c:pt>
                <c:pt idx="23">
                  <c:v>107.38007380099999</c:v>
                </c:pt>
                <c:pt idx="24">
                  <c:v>97.9</c:v>
                </c:pt>
                <c:pt idx="25">
                  <c:v>106.7</c:v>
                </c:pt>
                <c:pt idx="26">
                  <c:v>123.8</c:v>
                </c:pt>
                <c:pt idx="27">
                  <c:v>111.3</c:v>
                </c:pt>
                <c:pt idx="28">
                  <c:v>122.4</c:v>
                </c:pt>
                <c:pt idx="29">
                  <c:v>118.2</c:v>
                </c:pt>
                <c:pt idx="30">
                  <c:v>118.2</c:v>
                </c:pt>
                <c:pt idx="31">
                  <c:v>112.4</c:v>
                </c:pt>
              </c:numCache>
            </c:numRef>
          </c:val>
          <c:smooth val="0"/>
          <c:extLst>
            <c:ext xmlns:c16="http://schemas.microsoft.com/office/drawing/2014/chart" uri="{C3380CC4-5D6E-409C-BE32-E72D297353CC}">
              <c16:uniqueId val="{00000025-4E58-4D0E-B3FB-C4B0C330F188}"/>
            </c:ext>
          </c:extLst>
        </c:ser>
        <c:ser>
          <c:idx val="1"/>
          <c:order val="3"/>
          <c:tx>
            <c:strRef>
              <c:f>'Prerađivačka_FS graf'!$AI$7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graf'!$AI$68:$AI$99</c:f>
              <c:numCache>
                <c:formatCode>0.0</c:formatCode>
                <c:ptCount val="32"/>
                <c:pt idx="0">
                  <c:v>87.691284107000001</c:v>
                </c:pt>
                <c:pt idx="1">
                  <c:v>87.890274101000003</c:v>
                </c:pt>
                <c:pt idx="2">
                  <c:v>87.980140266000006</c:v>
                </c:pt>
                <c:pt idx="3">
                  <c:v>89.222742230999998</c:v>
                </c:pt>
                <c:pt idx="4">
                  <c:v>89.689180813999997</c:v>
                </c:pt>
                <c:pt idx="5">
                  <c:v>87.055899870000005</c:v>
                </c:pt>
                <c:pt idx="6">
                  <c:v>86.438977609000005</c:v>
                </c:pt>
                <c:pt idx="7">
                  <c:v>79.375352117000006</c:v>
                </c:pt>
                <c:pt idx="8">
                  <c:v>84.175046758999997</c:v>
                </c:pt>
                <c:pt idx="9">
                  <c:v>84.069762877000002</c:v>
                </c:pt>
                <c:pt idx="10">
                  <c:v>82.722091032999998</c:v>
                </c:pt>
                <c:pt idx="11">
                  <c:v>84.606779158999998</c:v>
                </c:pt>
                <c:pt idx="12">
                  <c:v>88.670131096000006</c:v>
                </c:pt>
                <c:pt idx="13">
                  <c:v>90.463025552999994</c:v>
                </c:pt>
                <c:pt idx="14">
                  <c:v>95.692983548000001</c:v>
                </c:pt>
                <c:pt idx="15">
                  <c:v>99.227327203000002</c:v>
                </c:pt>
                <c:pt idx="16">
                  <c:v>92.020706298999997</c:v>
                </c:pt>
                <c:pt idx="17">
                  <c:v>98.796869682999997</c:v>
                </c:pt>
                <c:pt idx="18">
                  <c:v>94.923440069999998</c:v>
                </c:pt>
                <c:pt idx="19">
                  <c:v>100.497430665</c:v>
                </c:pt>
                <c:pt idx="20">
                  <c:v>106.125459642</c:v>
                </c:pt>
                <c:pt idx="21">
                  <c:v>107.015760004</c:v>
                </c:pt>
                <c:pt idx="22">
                  <c:v>110.786299125</c:v>
                </c:pt>
                <c:pt idx="23">
                  <c:v>113.993471658</c:v>
                </c:pt>
                <c:pt idx="24">
                  <c:v>110.892200821</c:v>
                </c:pt>
                <c:pt idx="25">
                  <c:v>104.792084391</c:v>
                </c:pt>
                <c:pt idx="26">
                  <c:v>114.154115851</c:v>
                </c:pt>
                <c:pt idx="27">
                  <c:v>112.580381276</c:v>
                </c:pt>
                <c:pt idx="28">
                  <c:v>120.744822429</c:v>
                </c:pt>
                <c:pt idx="29">
                  <c:v>114.71327726200001</c:v>
                </c:pt>
                <c:pt idx="30">
                  <c:v>117.94937218</c:v>
                </c:pt>
                <c:pt idx="31">
                  <c:v>120.226326757</c:v>
                </c:pt>
              </c:numCache>
            </c:numRef>
          </c:val>
          <c:smooth val="0"/>
          <c:extLst>
            <c:ext xmlns:c16="http://schemas.microsoft.com/office/drawing/2014/chart" uri="{C3380CC4-5D6E-409C-BE32-E72D297353CC}">
              <c16:uniqueId val="{00000026-4E58-4D0E-B3FB-C4B0C330F188}"/>
            </c:ext>
          </c:extLst>
        </c:ser>
        <c:ser>
          <c:idx val="2"/>
          <c:order val="4"/>
          <c:tx>
            <c:strRef>
              <c:f>'Prerađivačka_FS graf'!$AJ$7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graf'!$AJ$68:$AJ$99</c:f>
              <c:numCache>
                <c:formatCode>0.0</c:formatCode>
                <c:ptCount val="32"/>
                <c:pt idx="0">
                  <c:v>87.536440189000004</c:v>
                </c:pt>
                <c:pt idx="1">
                  <c:v>87.703451353000005</c:v>
                </c:pt>
                <c:pt idx="2">
                  <c:v>87.712818049000006</c:v>
                </c:pt>
                <c:pt idx="3">
                  <c:v>87.513306689000004</c:v>
                </c:pt>
                <c:pt idx="4">
                  <c:v>87.106898330999996</c:v>
                </c:pt>
                <c:pt idx="5">
                  <c:v>86.568652826000005</c:v>
                </c:pt>
                <c:pt idx="6">
                  <c:v>86.001061081000003</c:v>
                </c:pt>
                <c:pt idx="7">
                  <c:v>85.522695690000006</c:v>
                </c:pt>
                <c:pt idx="8">
                  <c:v>85.246578091999993</c:v>
                </c:pt>
                <c:pt idx="9">
                  <c:v>85.268260205999994</c:v>
                </c:pt>
                <c:pt idx="10">
                  <c:v>85.663704116999995</c:v>
                </c:pt>
                <c:pt idx="11">
                  <c:v>86.476025532999998</c:v>
                </c:pt>
                <c:pt idx="12">
                  <c:v>87.687207348000001</c:v>
                </c:pt>
                <c:pt idx="13">
                  <c:v>89.269272814999994</c:v>
                </c:pt>
                <c:pt idx="14">
                  <c:v>91.167382009999997</c:v>
                </c:pt>
                <c:pt idx="15">
                  <c:v>93.299319968999995</c:v>
                </c:pt>
                <c:pt idx="16">
                  <c:v>95.584165713999994</c:v>
                </c:pt>
                <c:pt idx="17">
                  <c:v>97.931835879999994</c:v>
                </c:pt>
                <c:pt idx="18">
                  <c:v>100.281296317</c:v>
                </c:pt>
                <c:pt idx="19">
                  <c:v>102.566995439</c:v>
                </c:pt>
                <c:pt idx="20">
                  <c:v>104.73166746</c:v>
                </c:pt>
                <c:pt idx="21">
                  <c:v>106.734618071</c:v>
                </c:pt>
                <c:pt idx="22">
                  <c:v>108.55527006</c:v>
                </c:pt>
                <c:pt idx="23">
                  <c:v>110.18062832699999</c:v>
                </c:pt>
                <c:pt idx="24">
                  <c:v>111.601825096</c:v>
                </c:pt>
                <c:pt idx="25">
                  <c:v>112.837022359</c:v>
                </c:pt>
                <c:pt idx="26">
                  <c:v>113.943530341</c:v>
                </c:pt>
                <c:pt idx="27">
                  <c:v>114.981981511</c:v>
                </c:pt>
                <c:pt idx="28">
                  <c:v>116.003267882</c:v>
                </c:pt>
                <c:pt idx="29">
                  <c:v>117.02999051099999</c:v>
                </c:pt>
                <c:pt idx="30">
                  <c:v>118.053471961</c:v>
                </c:pt>
                <c:pt idx="31">
                  <c:v>119.070065943</c:v>
                </c:pt>
              </c:numCache>
            </c:numRef>
          </c:val>
          <c:smooth val="0"/>
          <c:extLst>
            <c:ext xmlns:c16="http://schemas.microsoft.com/office/drawing/2014/chart" uri="{C3380CC4-5D6E-409C-BE32-E72D297353CC}">
              <c16:uniqueId val="{00000027-4E58-4D0E-B3FB-C4B0C330F188}"/>
            </c:ext>
          </c:extLst>
        </c:ser>
        <c:dLbls>
          <c:showLegendKey val="0"/>
          <c:showVal val="0"/>
          <c:showCatName val="0"/>
          <c:showSerName val="0"/>
          <c:showPercent val="0"/>
          <c:showBubbleSize val="0"/>
        </c:dLbls>
        <c:marker val="1"/>
        <c:smooth val="0"/>
        <c:axId val="2092125712"/>
        <c:axId val="2092128432"/>
      </c:lineChart>
      <c:dateAx>
        <c:axId val="20921257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28432"/>
        <c:crosses val="autoZero"/>
        <c:auto val="1"/>
        <c:lblOffset val="0"/>
        <c:baseTimeUnit val="months"/>
        <c:majorUnit val="12"/>
        <c:majorTimeUnit val="months"/>
      </c:dateAx>
      <c:valAx>
        <c:axId val="2092128432"/>
        <c:scaling>
          <c:orientation val="minMax"/>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257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graf'!$AP$7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2633094782372478"/>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8D-4BC4-B892-B180C29BDD23}"/>
                </c:ext>
              </c:extLst>
            </c:dLbl>
            <c:dLbl>
              <c:idx val="12"/>
              <c:layout>
                <c:manualLayout>
                  <c:x val="9.9607042941472296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8D-4BC4-B892-B180C29BDD23}"/>
                </c:ext>
              </c:extLst>
            </c:dLbl>
            <c:dLbl>
              <c:idx val="24"/>
              <c:layout>
                <c:manualLayout>
                  <c:x val="4.3385244746584908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8D-4BC4-B892-B180C29BDD2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graf'!$AP$68:$AP$99</c:f>
              <c:numCache>
                <c:formatCode>General</c:formatCode>
                <c:ptCount val="32"/>
                <c:pt idx="0">
                  <c:v>40</c:v>
                </c:pt>
                <c:pt idx="12">
                  <c:v>40</c:v>
                </c:pt>
                <c:pt idx="24">
                  <c:v>40</c:v>
                </c:pt>
              </c:numCache>
            </c:numRef>
          </c:val>
          <c:smooth val="0"/>
          <c:extLst>
            <c:ext xmlns:c16="http://schemas.microsoft.com/office/drawing/2014/chart" uri="{C3380CC4-5D6E-409C-BE32-E72D297353CC}">
              <c16:uniqueId val="{00000003-6E8D-4BC4-B892-B180C29BDD23}"/>
            </c:ext>
          </c:extLst>
        </c:ser>
        <c:ser>
          <c:idx val="4"/>
          <c:order val="1"/>
          <c:tx>
            <c:strRef>
              <c:f>'Prerađivačka_FS graf'!$AQ$7</c:f>
              <c:strCache>
                <c:ptCount val="1"/>
                <c:pt idx="0">
                  <c:v>Series5</c:v>
                </c:pt>
              </c:strCache>
            </c:strRef>
          </c:tx>
          <c:spPr>
            <a:ln w="25400" cap="rnd">
              <a:noFill/>
              <a:round/>
            </a:ln>
            <a:effectLst/>
          </c:spPr>
          <c:marker>
            <c:symbol val="none"/>
          </c:marker>
          <c:dLbls>
            <c:dLbl>
              <c:idx val="0"/>
              <c:tx>
                <c:rich>
                  <a:bodyPr/>
                  <a:lstStyle/>
                  <a:p>
                    <a:fld id="{9E20E434-E43F-4CE4-9F1B-A6D6D3DDC60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6E8D-4BC4-B892-B180C29BDD23}"/>
                </c:ext>
              </c:extLst>
            </c:dLbl>
            <c:dLbl>
              <c:idx val="1"/>
              <c:tx>
                <c:rich>
                  <a:bodyPr/>
                  <a:lstStyle/>
                  <a:p>
                    <a:fld id="{2CE8348E-C194-4AF0-9373-C3D14886DE8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6E8D-4BC4-B892-B180C29BDD23}"/>
                </c:ext>
              </c:extLst>
            </c:dLbl>
            <c:dLbl>
              <c:idx val="2"/>
              <c:tx>
                <c:rich>
                  <a:bodyPr/>
                  <a:lstStyle/>
                  <a:p>
                    <a:fld id="{DF246BFD-0E54-477A-97CA-22B2AA659CE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6E8D-4BC4-B892-B180C29BDD23}"/>
                </c:ext>
              </c:extLst>
            </c:dLbl>
            <c:dLbl>
              <c:idx val="3"/>
              <c:tx>
                <c:rich>
                  <a:bodyPr/>
                  <a:lstStyle/>
                  <a:p>
                    <a:fld id="{EDDB19AC-5E5C-43E4-9CD0-1EC7AE5C41B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6E8D-4BC4-B892-B180C29BDD23}"/>
                </c:ext>
              </c:extLst>
            </c:dLbl>
            <c:dLbl>
              <c:idx val="4"/>
              <c:tx>
                <c:rich>
                  <a:bodyPr/>
                  <a:lstStyle/>
                  <a:p>
                    <a:fld id="{581372FC-865C-43AD-9DEE-30EDC26B5F5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6E8D-4BC4-B892-B180C29BDD23}"/>
                </c:ext>
              </c:extLst>
            </c:dLbl>
            <c:dLbl>
              <c:idx val="5"/>
              <c:tx>
                <c:rich>
                  <a:bodyPr/>
                  <a:lstStyle/>
                  <a:p>
                    <a:fld id="{A8D260E9-D29E-4129-A0B3-CA4D842F38D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E8D-4BC4-B892-B180C29BDD23}"/>
                </c:ext>
              </c:extLst>
            </c:dLbl>
            <c:dLbl>
              <c:idx val="6"/>
              <c:tx>
                <c:rich>
                  <a:bodyPr/>
                  <a:lstStyle/>
                  <a:p>
                    <a:fld id="{A31225A5-FF55-4243-A080-57DA5DBE2CA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6E8D-4BC4-B892-B180C29BDD23}"/>
                </c:ext>
              </c:extLst>
            </c:dLbl>
            <c:dLbl>
              <c:idx val="7"/>
              <c:tx>
                <c:rich>
                  <a:bodyPr/>
                  <a:lstStyle/>
                  <a:p>
                    <a:fld id="{3F668C42-E719-48AD-B08D-94857EB7BFE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6E8D-4BC4-B892-B180C29BDD23}"/>
                </c:ext>
              </c:extLst>
            </c:dLbl>
            <c:dLbl>
              <c:idx val="8"/>
              <c:tx>
                <c:rich>
                  <a:bodyPr/>
                  <a:lstStyle/>
                  <a:p>
                    <a:fld id="{56D3AD21-571F-4581-A0B7-A23142C11C0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E8D-4BC4-B892-B180C29BDD23}"/>
                </c:ext>
              </c:extLst>
            </c:dLbl>
            <c:dLbl>
              <c:idx val="9"/>
              <c:tx>
                <c:rich>
                  <a:bodyPr/>
                  <a:lstStyle/>
                  <a:p>
                    <a:fld id="{DBAB6700-9074-4DCC-B752-3F83C647355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6E8D-4BC4-B892-B180C29BDD23}"/>
                </c:ext>
              </c:extLst>
            </c:dLbl>
            <c:dLbl>
              <c:idx val="10"/>
              <c:tx>
                <c:rich>
                  <a:bodyPr/>
                  <a:lstStyle/>
                  <a:p>
                    <a:fld id="{25D67B8C-A55B-43EB-9E81-E180E99F88D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6E8D-4BC4-B892-B180C29BDD23}"/>
                </c:ext>
              </c:extLst>
            </c:dLbl>
            <c:dLbl>
              <c:idx val="11"/>
              <c:tx>
                <c:rich>
                  <a:bodyPr/>
                  <a:lstStyle/>
                  <a:p>
                    <a:fld id="{6E6BD67E-88EC-4D5B-97E8-B07085EFBD3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E8D-4BC4-B892-B180C29BDD23}"/>
                </c:ext>
              </c:extLst>
            </c:dLbl>
            <c:dLbl>
              <c:idx val="12"/>
              <c:tx>
                <c:rich>
                  <a:bodyPr/>
                  <a:lstStyle/>
                  <a:p>
                    <a:fld id="{74D456C4-6DF9-4C78-83B5-92F10B76829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6E8D-4BC4-B892-B180C29BDD23}"/>
                </c:ext>
              </c:extLst>
            </c:dLbl>
            <c:dLbl>
              <c:idx val="13"/>
              <c:tx>
                <c:rich>
                  <a:bodyPr/>
                  <a:lstStyle/>
                  <a:p>
                    <a:fld id="{876EC89E-526D-408F-B91A-197D2F4AEB8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6E8D-4BC4-B892-B180C29BDD23}"/>
                </c:ext>
              </c:extLst>
            </c:dLbl>
            <c:dLbl>
              <c:idx val="14"/>
              <c:tx>
                <c:rich>
                  <a:bodyPr/>
                  <a:lstStyle/>
                  <a:p>
                    <a:fld id="{9A1345BE-BA61-42BA-8EE1-C7AF3E8966A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E8D-4BC4-B892-B180C29BDD23}"/>
                </c:ext>
              </c:extLst>
            </c:dLbl>
            <c:dLbl>
              <c:idx val="15"/>
              <c:tx>
                <c:rich>
                  <a:bodyPr/>
                  <a:lstStyle/>
                  <a:p>
                    <a:fld id="{58CD2F24-C8D1-4748-B786-7F2356E946A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6E8D-4BC4-B892-B180C29BDD23}"/>
                </c:ext>
              </c:extLst>
            </c:dLbl>
            <c:dLbl>
              <c:idx val="16"/>
              <c:tx>
                <c:rich>
                  <a:bodyPr/>
                  <a:lstStyle/>
                  <a:p>
                    <a:fld id="{608E5E5E-E224-4507-BB3E-F82CB88F3E3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6E8D-4BC4-B892-B180C29BDD23}"/>
                </c:ext>
              </c:extLst>
            </c:dLbl>
            <c:dLbl>
              <c:idx val="17"/>
              <c:tx>
                <c:rich>
                  <a:bodyPr/>
                  <a:lstStyle/>
                  <a:p>
                    <a:fld id="{06F0CB6D-33C1-429D-915F-CA7E6F9925D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E8D-4BC4-B892-B180C29BDD23}"/>
                </c:ext>
              </c:extLst>
            </c:dLbl>
            <c:dLbl>
              <c:idx val="18"/>
              <c:tx>
                <c:rich>
                  <a:bodyPr/>
                  <a:lstStyle/>
                  <a:p>
                    <a:fld id="{C8912C82-8E4B-45B4-AE09-E7C7D3E40E5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6E8D-4BC4-B892-B180C29BDD23}"/>
                </c:ext>
              </c:extLst>
            </c:dLbl>
            <c:dLbl>
              <c:idx val="19"/>
              <c:tx>
                <c:rich>
                  <a:bodyPr/>
                  <a:lstStyle/>
                  <a:p>
                    <a:fld id="{191B3FA1-7B2F-4F56-805C-08702E8B540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6E8D-4BC4-B892-B180C29BDD23}"/>
                </c:ext>
              </c:extLst>
            </c:dLbl>
            <c:dLbl>
              <c:idx val="20"/>
              <c:tx>
                <c:rich>
                  <a:bodyPr/>
                  <a:lstStyle/>
                  <a:p>
                    <a:fld id="{49BE9BDF-C197-4B1F-82E6-3F41E7AB77B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6E8D-4BC4-B892-B180C29BDD23}"/>
                </c:ext>
              </c:extLst>
            </c:dLbl>
            <c:dLbl>
              <c:idx val="21"/>
              <c:tx>
                <c:rich>
                  <a:bodyPr/>
                  <a:lstStyle/>
                  <a:p>
                    <a:fld id="{B1D43D86-D06B-41ED-BD66-BC5222CE6D2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6E8D-4BC4-B892-B180C29BDD23}"/>
                </c:ext>
              </c:extLst>
            </c:dLbl>
            <c:dLbl>
              <c:idx val="22"/>
              <c:tx>
                <c:rich>
                  <a:bodyPr/>
                  <a:lstStyle/>
                  <a:p>
                    <a:fld id="{C1CA422A-7E86-4CFA-A48D-7C47DCA4EB4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6E8D-4BC4-B892-B180C29BDD23}"/>
                </c:ext>
              </c:extLst>
            </c:dLbl>
            <c:dLbl>
              <c:idx val="23"/>
              <c:tx>
                <c:rich>
                  <a:bodyPr/>
                  <a:lstStyle/>
                  <a:p>
                    <a:fld id="{BF52A737-CD29-4A19-9DCC-84AA08EBA12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6E8D-4BC4-B892-B180C29BDD23}"/>
                </c:ext>
              </c:extLst>
            </c:dLbl>
            <c:dLbl>
              <c:idx val="24"/>
              <c:tx>
                <c:rich>
                  <a:bodyPr/>
                  <a:lstStyle/>
                  <a:p>
                    <a:fld id="{F4F6F32E-16CE-415C-88D9-A2C8E71034A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6E8D-4BC4-B892-B180C29BDD23}"/>
                </c:ext>
              </c:extLst>
            </c:dLbl>
            <c:dLbl>
              <c:idx val="25"/>
              <c:tx>
                <c:rich>
                  <a:bodyPr/>
                  <a:lstStyle/>
                  <a:p>
                    <a:fld id="{EC503A8D-96F3-46AB-B71E-7A9F73F9254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6E8D-4BC4-B892-B180C29BDD23}"/>
                </c:ext>
              </c:extLst>
            </c:dLbl>
            <c:dLbl>
              <c:idx val="26"/>
              <c:tx>
                <c:rich>
                  <a:bodyPr/>
                  <a:lstStyle/>
                  <a:p>
                    <a:fld id="{A6B9F650-6A74-44FA-B93B-6AC09C07485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6E8D-4BC4-B892-B180C29BDD23}"/>
                </c:ext>
              </c:extLst>
            </c:dLbl>
            <c:dLbl>
              <c:idx val="27"/>
              <c:tx>
                <c:rich>
                  <a:bodyPr/>
                  <a:lstStyle/>
                  <a:p>
                    <a:fld id="{3FD26EFC-097A-40FA-89CE-9E3529E2144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6E8D-4BC4-B892-B180C29BDD23}"/>
                </c:ext>
              </c:extLst>
            </c:dLbl>
            <c:dLbl>
              <c:idx val="28"/>
              <c:tx>
                <c:rich>
                  <a:bodyPr/>
                  <a:lstStyle/>
                  <a:p>
                    <a:fld id="{D3138081-5592-4C72-8B36-B25B1FD5363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6E8D-4BC4-B892-B180C29BDD23}"/>
                </c:ext>
              </c:extLst>
            </c:dLbl>
            <c:dLbl>
              <c:idx val="29"/>
              <c:tx>
                <c:rich>
                  <a:bodyPr/>
                  <a:lstStyle/>
                  <a:p>
                    <a:fld id="{BBD0BA62-EF1E-4BE9-BBDD-45EF3DB10B8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6E8D-4BC4-B892-B180C29BDD23}"/>
                </c:ext>
              </c:extLst>
            </c:dLbl>
            <c:dLbl>
              <c:idx val="30"/>
              <c:tx>
                <c:rich>
                  <a:bodyPr/>
                  <a:lstStyle/>
                  <a:p>
                    <a:fld id="{069656A7-0EA7-46EF-B989-F9742B61B45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6E8D-4BC4-B892-B180C29BDD23}"/>
                </c:ext>
              </c:extLst>
            </c:dLbl>
            <c:dLbl>
              <c:idx val="31"/>
              <c:tx>
                <c:rich>
                  <a:bodyPr/>
                  <a:lstStyle/>
                  <a:p>
                    <a:fld id="{A514F52A-5F8D-4881-BE29-C52AD887CEB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6E8D-4BC4-B892-B180C29BDD23}"/>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graf'!$AQ$68:$AQ$99</c:f>
              <c:numCache>
                <c:formatCode>General</c:formatCode>
                <c:ptCount val="32"/>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6E8D-4BC4-B892-B180C29BDD23}"/>
            </c:ext>
          </c:extLst>
        </c:ser>
        <c:ser>
          <c:idx val="0"/>
          <c:order val="2"/>
          <c:tx>
            <c:strRef>
              <c:f>'Prerađivačka_FS graf'!$AR$7</c:f>
              <c:strCache>
                <c:ptCount val="1"/>
                <c:pt idx="0">
                  <c:v>y</c:v>
                </c:pt>
              </c:strCache>
            </c:strRef>
          </c:tx>
          <c:spPr>
            <a:ln w="12700" cap="rnd">
              <a:solidFill>
                <a:srgbClr val="7F3F98"/>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graf'!$AR$68:$AR$99</c:f>
              <c:numCache>
                <c:formatCode>0.0</c:formatCode>
                <c:ptCount val="32"/>
                <c:pt idx="0">
                  <c:v>87.102321582000002</c:v>
                </c:pt>
                <c:pt idx="1">
                  <c:v>99.656061909000002</c:v>
                </c:pt>
                <c:pt idx="2">
                  <c:v>112.12381771299999</c:v>
                </c:pt>
                <c:pt idx="3">
                  <c:v>90.025795357000007</c:v>
                </c:pt>
                <c:pt idx="4">
                  <c:v>100.257953568</c:v>
                </c:pt>
                <c:pt idx="5">
                  <c:v>105.24505589</c:v>
                </c:pt>
                <c:pt idx="6">
                  <c:v>81.427343078000007</c:v>
                </c:pt>
                <c:pt idx="7">
                  <c:v>79.363714530999999</c:v>
                </c:pt>
                <c:pt idx="8">
                  <c:v>101.805674979</c:v>
                </c:pt>
                <c:pt idx="9">
                  <c:v>107.824591574</c:v>
                </c:pt>
                <c:pt idx="10">
                  <c:v>108.598452279</c:v>
                </c:pt>
                <c:pt idx="11">
                  <c:v>81.771281169000005</c:v>
                </c:pt>
                <c:pt idx="12">
                  <c:v>97.420464315999993</c:v>
                </c:pt>
                <c:pt idx="13">
                  <c:v>106.104901118</c:v>
                </c:pt>
                <c:pt idx="14">
                  <c:v>111.779879622</c:v>
                </c:pt>
                <c:pt idx="15">
                  <c:v>111.865864144</c:v>
                </c:pt>
                <c:pt idx="16">
                  <c:v>90.197764402000004</c:v>
                </c:pt>
                <c:pt idx="17">
                  <c:v>107.050730868</c:v>
                </c:pt>
                <c:pt idx="18">
                  <c:v>95.356835770000004</c:v>
                </c:pt>
                <c:pt idx="19">
                  <c:v>83.576956147999994</c:v>
                </c:pt>
                <c:pt idx="20">
                  <c:v>107.39466896</c:v>
                </c:pt>
                <c:pt idx="21">
                  <c:v>109.716251075</c:v>
                </c:pt>
                <c:pt idx="22">
                  <c:v>104.04127257099999</c:v>
                </c:pt>
                <c:pt idx="23">
                  <c:v>75.752364573999998</c:v>
                </c:pt>
                <c:pt idx="24">
                  <c:v>88.7</c:v>
                </c:pt>
                <c:pt idx="25">
                  <c:v>121.8</c:v>
                </c:pt>
                <c:pt idx="26">
                  <c:v>134.69999999999999</c:v>
                </c:pt>
                <c:pt idx="27">
                  <c:v>124.7</c:v>
                </c:pt>
                <c:pt idx="28">
                  <c:v>138.80000000000001</c:v>
                </c:pt>
                <c:pt idx="29">
                  <c:v>136</c:v>
                </c:pt>
                <c:pt idx="30">
                  <c:v>138.1</c:v>
                </c:pt>
                <c:pt idx="31">
                  <c:v>106.2</c:v>
                </c:pt>
              </c:numCache>
            </c:numRef>
          </c:val>
          <c:smooth val="0"/>
          <c:extLst>
            <c:ext xmlns:c16="http://schemas.microsoft.com/office/drawing/2014/chart" uri="{C3380CC4-5D6E-409C-BE32-E72D297353CC}">
              <c16:uniqueId val="{00000025-6E8D-4BC4-B892-B180C29BDD23}"/>
            </c:ext>
          </c:extLst>
        </c:ser>
        <c:ser>
          <c:idx val="1"/>
          <c:order val="3"/>
          <c:tx>
            <c:strRef>
              <c:f>'Prerađivačka_FS graf'!$AS$7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graf'!$AS$68:$AS$99</c:f>
              <c:numCache>
                <c:formatCode>0.0</c:formatCode>
                <c:ptCount val="32"/>
                <c:pt idx="0">
                  <c:v>90.447160240000002</c:v>
                </c:pt>
                <c:pt idx="1">
                  <c:v>95.492116859000006</c:v>
                </c:pt>
                <c:pt idx="2">
                  <c:v>94.480593076000005</c:v>
                </c:pt>
                <c:pt idx="3">
                  <c:v>96.084981294000002</c:v>
                </c:pt>
                <c:pt idx="4">
                  <c:v>97.354353477999993</c:v>
                </c:pt>
                <c:pt idx="5">
                  <c:v>96.637870875000004</c:v>
                </c:pt>
                <c:pt idx="6">
                  <c:v>92.037587651999999</c:v>
                </c:pt>
                <c:pt idx="7">
                  <c:v>96.967902995000003</c:v>
                </c:pt>
                <c:pt idx="8">
                  <c:v>95.391630523000003</c:v>
                </c:pt>
                <c:pt idx="9">
                  <c:v>97.955123313000001</c:v>
                </c:pt>
                <c:pt idx="10">
                  <c:v>95.967256108000001</c:v>
                </c:pt>
                <c:pt idx="11">
                  <c:v>102.93437919500001</c:v>
                </c:pt>
                <c:pt idx="12">
                  <c:v>104.357919395</c:v>
                </c:pt>
                <c:pt idx="13">
                  <c:v>102.418300094</c:v>
                </c:pt>
                <c:pt idx="14">
                  <c:v>100.312736151</c:v>
                </c:pt>
                <c:pt idx="15">
                  <c:v>101.077560531</c:v>
                </c:pt>
                <c:pt idx="16">
                  <c:v>94.434509039999995</c:v>
                </c:pt>
                <c:pt idx="17">
                  <c:v>104.667388749</c:v>
                </c:pt>
                <c:pt idx="18">
                  <c:v>96.581055828000004</c:v>
                </c:pt>
                <c:pt idx="19">
                  <c:v>104.077712629</c:v>
                </c:pt>
                <c:pt idx="20">
                  <c:v>101.41132306</c:v>
                </c:pt>
                <c:pt idx="21">
                  <c:v>97.392245826999996</c:v>
                </c:pt>
                <c:pt idx="22">
                  <c:v>100.660849962</c:v>
                </c:pt>
                <c:pt idx="23">
                  <c:v>94.712815664999994</c:v>
                </c:pt>
                <c:pt idx="24">
                  <c:v>100.342956042</c:v>
                </c:pt>
                <c:pt idx="25">
                  <c:v>109.20716417200001</c:v>
                </c:pt>
                <c:pt idx="26">
                  <c:v>122.532756768</c:v>
                </c:pt>
                <c:pt idx="27">
                  <c:v>121.209820267</c:v>
                </c:pt>
                <c:pt idx="28">
                  <c:v>138.56885134699999</c:v>
                </c:pt>
                <c:pt idx="29">
                  <c:v>128.56143750999999</c:v>
                </c:pt>
                <c:pt idx="30">
                  <c:v>138.77481398</c:v>
                </c:pt>
                <c:pt idx="31">
                  <c:v>129.946050259</c:v>
                </c:pt>
              </c:numCache>
            </c:numRef>
          </c:val>
          <c:smooth val="0"/>
          <c:extLst>
            <c:ext xmlns:c16="http://schemas.microsoft.com/office/drawing/2014/chart" uri="{C3380CC4-5D6E-409C-BE32-E72D297353CC}">
              <c16:uniqueId val="{00000026-6E8D-4BC4-B892-B180C29BDD23}"/>
            </c:ext>
          </c:extLst>
        </c:ser>
        <c:ser>
          <c:idx val="2"/>
          <c:order val="4"/>
          <c:tx>
            <c:strRef>
              <c:f>'Prerađivačka_FS graf'!$AT$7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graf'!$AT$68:$AT$99</c:f>
              <c:numCache>
                <c:formatCode>0.0</c:formatCode>
                <c:ptCount val="32"/>
                <c:pt idx="0">
                  <c:v>92.346208253</c:v>
                </c:pt>
                <c:pt idx="1">
                  <c:v>93.558068156000004</c:v>
                </c:pt>
                <c:pt idx="2">
                  <c:v>94.596969369000007</c:v>
                </c:pt>
                <c:pt idx="3">
                  <c:v>95.323953595000006</c:v>
                </c:pt>
                <c:pt idx="4">
                  <c:v>95.595140845000003</c:v>
                </c:pt>
                <c:pt idx="5">
                  <c:v>95.596099487999993</c:v>
                </c:pt>
                <c:pt idx="6">
                  <c:v>95.691238564000002</c:v>
                </c:pt>
                <c:pt idx="7">
                  <c:v>96.083170792999994</c:v>
                </c:pt>
                <c:pt idx="8">
                  <c:v>96.886182719000004</c:v>
                </c:pt>
                <c:pt idx="9">
                  <c:v>97.974001321000003</c:v>
                </c:pt>
                <c:pt idx="10">
                  <c:v>99.200908463999994</c:v>
                </c:pt>
                <c:pt idx="11">
                  <c:v>100.25081455500001</c:v>
                </c:pt>
                <c:pt idx="12">
                  <c:v>100.94024581399999</c:v>
                </c:pt>
                <c:pt idx="13">
                  <c:v>101.225765057</c:v>
                </c:pt>
                <c:pt idx="14">
                  <c:v>101.145554581</c:v>
                </c:pt>
                <c:pt idx="15">
                  <c:v>100.855959422</c:v>
                </c:pt>
                <c:pt idx="16">
                  <c:v>100.52117692900001</c:v>
                </c:pt>
                <c:pt idx="17">
                  <c:v>100.143352368</c:v>
                </c:pt>
                <c:pt idx="18">
                  <c:v>99.688449758000004</c:v>
                </c:pt>
                <c:pt idx="19">
                  <c:v>99.272855493999998</c:v>
                </c:pt>
                <c:pt idx="20">
                  <c:v>99.112950593999997</c:v>
                </c:pt>
                <c:pt idx="21">
                  <c:v>99.455932353999998</c:v>
                </c:pt>
                <c:pt idx="22">
                  <c:v>100.558431744</c:v>
                </c:pt>
                <c:pt idx="23">
                  <c:v>102.78370402500001</c:v>
                </c:pt>
                <c:pt idx="24">
                  <c:v>106.23961418899999</c:v>
                </c:pt>
                <c:pt idx="25">
                  <c:v>110.755902933</c:v>
                </c:pt>
                <c:pt idx="26">
                  <c:v>115.931381258</c:v>
                </c:pt>
                <c:pt idx="27">
                  <c:v>121.14949434499999</c:v>
                </c:pt>
                <c:pt idx="28">
                  <c:v>125.88401989899999</c:v>
                </c:pt>
                <c:pt idx="29">
                  <c:v>129.67834582</c:v>
                </c:pt>
                <c:pt idx="30">
                  <c:v>132.46712391</c:v>
                </c:pt>
                <c:pt idx="31">
                  <c:v>134.39623563999999</c:v>
                </c:pt>
              </c:numCache>
            </c:numRef>
          </c:val>
          <c:smooth val="0"/>
          <c:extLst>
            <c:ext xmlns:c16="http://schemas.microsoft.com/office/drawing/2014/chart" uri="{C3380CC4-5D6E-409C-BE32-E72D297353CC}">
              <c16:uniqueId val="{00000027-6E8D-4BC4-B892-B180C29BDD23}"/>
            </c:ext>
          </c:extLst>
        </c:ser>
        <c:dLbls>
          <c:showLegendKey val="0"/>
          <c:showVal val="0"/>
          <c:showCatName val="0"/>
          <c:showSerName val="0"/>
          <c:showPercent val="0"/>
          <c:showBubbleSize val="0"/>
        </c:dLbls>
        <c:marker val="1"/>
        <c:smooth val="0"/>
        <c:axId val="2092167600"/>
        <c:axId val="2092172496"/>
      </c:lineChart>
      <c:dateAx>
        <c:axId val="20921676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2496"/>
        <c:crosses val="autoZero"/>
        <c:auto val="1"/>
        <c:lblOffset val="0"/>
        <c:baseTimeUnit val="months"/>
        <c:majorUnit val="12"/>
        <c:majorTimeUnit val="months"/>
      </c:dateAx>
      <c:valAx>
        <c:axId val="2092172496"/>
        <c:scaling>
          <c:orientation val="minMax"/>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6760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graf'!$Q$7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9.3125577373532373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2E-4010-9A8D-23ECBBB197AD}"/>
                </c:ext>
              </c:extLst>
            </c:dLbl>
            <c:dLbl>
              <c:idx val="12"/>
              <c:layout>
                <c:manualLayout>
                  <c:x val="9.5282654852328438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2E-4010-9A8D-23ECBBB197AD}"/>
                </c:ext>
              </c:extLst>
            </c:dLbl>
            <c:dLbl>
              <c:idx val="24"/>
              <c:layout>
                <c:manualLayout>
                  <c:x val="3.542441894057477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F2E-4010-9A8D-23ECBBB197AD}"/>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graf'!$Q$68:$Q$99</c:f>
              <c:numCache>
                <c:formatCode>General</c:formatCode>
                <c:ptCount val="32"/>
                <c:pt idx="0">
                  <c:v>0</c:v>
                </c:pt>
                <c:pt idx="12">
                  <c:v>0</c:v>
                </c:pt>
                <c:pt idx="24">
                  <c:v>0</c:v>
                </c:pt>
              </c:numCache>
            </c:numRef>
          </c:val>
          <c:smooth val="0"/>
          <c:extLst>
            <c:ext xmlns:c16="http://schemas.microsoft.com/office/drawing/2014/chart" uri="{C3380CC4-5D6E-409C-BE32-E72D297353CC}">
              <c16:uniqueId val="{00000003-CF2E-4010-9A8D-23ECBBB197AD}"/>
            </c:ext>
          </c:extLst>
        </c:ser>
        <c:ser>
          <c:idx val="4"/>
          <c:order val="1"/>
          <c:tx>
            <c:strRef>
              <c:f>'Prerađivačka_FS graf'!$R$7</c:f>
              <c:strCache>
                <c:ptCount val="1"/>
                <c:pt idx="0">
                  <c:v>Series5</c:v>
                </c:pt>
              </c:strCache>
            </c:strRef>
          </c:tx>
          <c:spPr>
            <a:ln w="25400" cap="rnd">
              <a:noFill/>
              <a:round/>
            </a:ln>
            <a:effectLst/>
          </c:spPr>
          <c:marker>
            <c:symbol val="none"/>
          </c:marker>
          <c:dLbls>
            <c:dLbl>
              <c:idx val="0"/>
              <c:tx>
                <c:rich>
                  <a:bodyPr/>
                  <a:lstStyle/>
                  <a:p>
                    <a:fld id="{28C2FECE-6110-402B-9D68-7B7B9D6341F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CF2E-4010-9A8D-23ECBBB197AD}"/>
                </c:ext>
              </c:extLst>
            </c:dLbl>
            <c:dLbl>
              <c:idx val="1"/>
              <c:tx>
                <c:rich>
                  <a:bodyPr/>
                  <a:lstStyle/>
                  <a:p>
                    <a:fld id="{DB4D380F-F813-465B-BC6B-26F26EDAB76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CF2E-4010-9A8D-23ECBBB197AD}"/>
                </c:ext>
              </c:extLst>
            </c:dLbl>
            <c:dLbl>
              <c:idx val="2"/>
              <c:tx>
                <c:rich>
                  <a:bodyPr/>
                  <a:lstStyle/>
                  <a:p>
                    <a:fld id="{5C1566E0-6316-4566-8B95-60FC477172A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CF2E-4010-9A8D-23ECBBB197AD}"/>
                </c:ext>
              </c:extLst>
            </c:dLbl>
            <c:dLbl>
              <c:idx val="3"/>
              <c:tx>
                <c:rich>
                  <a:bodyPr/>
                  <a:lstStyle/>
                  <a:p>
                    <a:fld id="{451B0624-3A57-461A-9148-9AABE6A80E3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CF2E-4010-9A8D-23ECBBB197AD}"/>
                </c:ext>
              </c:extLst>
            </c:dLbl>
            <c:dLbl>
              <c:idx val="4"/>
              <c:tx>
                <c:rich>
                  <a:bodyPr/>
                  <a:lstStyle/>
                  <a:p>
                    <a:fld id="{81BD6429-C9D2-4F94-9A2A-4E747A12E7D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CF2E-4010-9A8D-23ECBBB197AD}"/>
                </c:ext>
              </c:extLst>
            </c:dLbl>
            <c:dLbl>
              <c:idx val="5"/>
              <c:tx>
                <c:rich>
                  <a:bodyPr/>
                  <a:lstStyle/>
                  <a:p>
                    <a:fld id="{BA8E07B7-4B6A-4BE3-8B27-759088349AC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CF2E-4010-9A8D-23ECBBB197AD}"/>
                </c:ext>
              </c:extLst>
            </c:dLbl>
            <c:dLbl>
              <c:idx val="6"/>
              <c:tx>
                <c:rich>
                  <a:bodyPr/>
                  <a:lstStyle/>
                  <a:p>
                    <a:fld id="{C457118B-B909-4CBD-A38C-89081B36AE4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CF2E-4010-9A8D-23ECBBB197AD}"/>
                </c:ext>
              </c:extLst>
            </c:dLbl>
            <c:dLbl>
              <c:idx val="7"/>
              <c:tx>
                <c:rich>
                  <a:bodyPr/>
                  <a:lstStyle/>
                  <a:p>
                    <a:fld id="{CB03FFB0-39CD-44C0-94B3-263446957F2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CF2E-4010-9A8D-23ECBBB197AD}"/>
                </c:ext>
              </c:extLst>
            </c:dLbl>
            <c:dLbl>
              <c:idx val="8"/>
              <c:tx>
                <c:rich>
                  <a:bodyPr/>
                  <a:lstStyle/>
                  <a:p>
                    <a:fld id="{ABC73FA5-B73F-4978-AEF9-2F23AFD0B0C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CF2E-4010-9A8D-23ECBBB197AD}"/>
                </c:ext>
              </c:extLst>
            </c:dLbl>
            <c:dLbl>
              <c:idx val="9"/>
              <c:tx>
                <c:rich>
                  <a:bodyPr/>
                  <a:lstStyle/>
                  <a:p>
                    <a:fld id="{91AF0171-10E8-4A4E-BCFD-93497B9AE86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CF2E-4010-9A8D-23ECBBB197AD}"/>
                </c:ext>
              </c:extLst>
            </c:dLbl>
            <c:dLbl>
              <c:idx val="10"/>
              <c:tx>
                <c:rich>
                  <a:bodyPr/>
                  <a:lstStyle/>
                  <a:p>
                    <a:fld id="{99387743-64D5-4D1B-B705-06BBA2D6260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CF2E-4010-9A8D-23ECBBB197AD}"/>
                </c:ext>
              </c:extLst>
            </c:dLbl>
            <c:dLbl>
              <c:idx val="11"/>
              <c:tx>
                <c:rich>
                  <a:bodyPr/>
                  <a:lstStyle/>
                  <a:p>
                    <a:fld id="{D001217A-7481-43F3-A5C1-546A0383DFD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CF2E-4010-9A8D-23ECBBB197AD}"/>
                </c:ext>
              </c:extLst>
            </c:dLbl>
            <c:dLbl>
              <c:idx val="12"/>
              <c:tx>
                <c:rich>
                  <a:bodyPr/>
                  <a:lstStyle/>
                  <a:p>
                    <a:fld id="{C6098B6E-0637-40CF-B5C7-B6422A86E34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CF2E-4010-9A8D-23ECBBB197AD}"/>
                </c:ext>
              </c:extLst>
            </c:dLbl>
            <c:dLbl>
              <c:idx val="13"/>
              <c:tx>
                <c:rich>
                  <a:bodyPr/>
                  <a:lstStyle/>
                  <a:p>
                    <a:fld id="{0DB2F7EA-7115-41DB-BB36-1029D8CACB1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CF2E-4010-9A8D-23ECBBB197AD}"/>
                </c:ext>
              </c:extLst>
            </c:dLbl>
            <c:dLbl>
              <c:idx val="14"/>
              <c:tx>
                <c:rich>
                  <a:bodyPr/>
                  <a:lstStyle/>
                  <a:p>
                    <a:fld id="{01A7EFFE-9527-433A-8413-18888379A0F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CF2E-4010-9A8D-23ECBBB197AD}"/>
                </c:ext>
              </c:extLst>
            </c:dLbl>
            <c:dLbl>
              <c:idx val="15"/>
              <c:tx>
                <c:rich>
                  <a:bodyPr/>
                  <a:lstStyle/>
                  <a:p>
                    <a:fld id="{5673631C-224B-448F-986C-73462B567AC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CF2E-4010-9A8D-23ECBBB197AD}"/>
                </c:ext>
              </c:extLst>
            </c:dLbl>
            <c:dLbl>
              <c:idx val="16"/>
              <c:tx>
                <c:rich>
                  <a:bodyPr/>
                  <a:lstStyle/>
                  <a:p>
                    <a:fld id="{60703A0F-7BA5-4A57-B9C2-CCE55118F81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CF2E-4010-9A8D-23ECBBB197AD}"/>
                </c:ext>
              </c:extLst>
            </c:dLbl>
            <c:dLbl>
              <c:idx val="17"/>
              <c:tx>
                <c:rich>
                  <a:bodyPr/>
                  <a:lstStyle/>
                  <a:p>
                    <a:fld id="{4F511494-4E90-4A9B-8322-2D2B1CE7BE0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CF2E-4010-9A8D-23ECBBB197AD}"/>
                </c:ext>
              </c:extLst>
            </c:dLbl>
            <c:dLbl>
              <c:idx val="18"/>
              <c:tx>
                <c:rich>
                  <a:bodyPr/>
                  <a:lstStyle/>
                  <a:p>
                    <a:fld id="{9A53E982-A9D7-42C2-AD2E-1E61BA4329E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CF2E-4010-9A8D-23ECBBB197AD}"/>
                </c:ext>
              </c:extLst>
            </c:dLbl>
            <c:dLbl>
              <c:idx val="19"/>
              <c:tx>
                <c:rich>
                  <a:bodyPr/>
                  <a:lstStyle/>
                  <a:p>
                    <a:fld id="{B176CB2D-2DAA-4FFF-8B60-835E782C4D0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CF2E-4010-9A8D-23ECBBB197AD}"/>
                </c:ext>
              </c:extLst>
            </c:dLbl>
            <c:dLbl>
              <c:idx val="20"/>
              <c:tx>
                <c:rich>
                  <a:bodyPr/>
                  <a:lstStyle/>
                  <a:p>
                    <a:fld id="{911ED750-B470-47FD-BD07-B81412F22D8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CF2E-4010-9A8D-23ECBBB197AD}"/>
                </c:ext>
              </c:extLst>
            </c:dLbl>
            <c:dLbl>
              <c:idx val="21"/>
              <c:tx>
                <c:rich>
                  <a:bodyPr/>
                  <a:lstStyle/>
                  <a:p>
                    <a:fld id="{DA8FF728-4D8E-48A3-930F-13722ACF42D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CF2E-4010-9A8D-23ECBBB197AD}"/>
                </c:ext>
              </c:extLst>
            </c:dLbl>
            <c:dLbl>
              <c:idx val="22"/>
              <c:tx>
                <c:rich>
                  <a:bodyPr/>
                  <a:lstStyle/>
                  <a:p>
                    <a:fld id="{9B5137CF-A4D4-4CDD-B048-8D40261F3B8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CF2E-4010-9A8D-23ECBBB197AD}"/>
                </c:ext>
              </c:extLst>
            </c:dLbl>
            <c:dLbl>
              <c:idx val="23"/>
              <c:tx>
                <c:rich>
                  <a:bodyPr/>
                  <a:lstStyle/>
                  <a:p>
                    <a:fld id="{62F5FC35-ED53-42BB-A4B9-8E29AD9F1EB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CF2E-4010-9A8D-23ECBBB197AD}"/>
                </c:ext>
              </c:extLst>
            </c:dLbl>
            <c:dLbl>
              <c:idx val="24"/>
              <c:tx>
                <c:rich>
                  <a:bodyPr/>
                  <a:lstStyle/>
                  <a:p>
                    <a:fld id="{893DFA87-8B4C-4429-91E5-227D2424A31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CF2E-4010-9A8D-23ECBBB197AD}"/>
                </c:ext>
              </c:extLst>
            </c:dLbl>
            <c:dLbl>
              <c:idx val="25"/>
              <c:tx>
                <c:rich>
                  <a:bodyPr/>
                  <a:lstStyle/>
                  <a:p>
                    <a:fld id="{29512BD7-D808-4813-B766-C7264A59AF2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CF2E-4010-9A8D-23ECBBB197AD}"/>
                </c:ext>
              </c:extLst>
            </c:dLbl>
            <c:dLbl>
              <c:idx val="26"/>
              <c:tx>
                <c:rich>
                  <a:bodyPr/>
                  <a:lstStyle/>
                  <a:p>
                    <a:fld id="{5F6D1A1E-3354-4A25-928F-33277DD9CDE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CF2E-4010-9A8D-23ECBBB197AD}"/>
                </c:ext>
              </c:extLst>
            </c:dLbl>
            <c:dLbl>
              <c:idx val="27"/>
              <c:tx>
                <c:rich>
                  <a:bodyPr/>
                  <a:lstStyle/>
                  <a:p>
                    <a:fld id="{32798121-3A04-40A6-9303-15D66921D13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CF2E-4010-9A8D-23ECBBB197AD}"/>
                </c:ext>
              </c:extLst>
            </c:dLbl>
            <c:dLbl>
              <c:idx val="28"/>
              <c:tx>
                <c:rich>
                  <a:bodyPr/>
                  <a:lstStyle/>
                  <a:p>
                    <a:fld id="{4148E4C2-249E-4F2B-A714-4B4131000BC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CF2E-4010-9A8D-23ECBBB197AD}"/>
                </c:ext>
              </c:extLst>
            </c:dLbl>
            <c:dLbl>
              <c:idx val="29"/>
              <c:tx>
                <c:rich>
                  <a:bodyPr/>
                  <a:lstStyle/>
                  <a:p>
                    <a:fld id="{42290DB0-DE02-4DBB-986F-133A24B7C86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CF2E-4010-9A8D-23ECBBB197AD}"/>
                </c:ext>
              </c:extLst>
            </c:dLbl>
            <c:dLbl>
              <c:idx val="30"/>
              <c:tx>
                <c:rich>
                  <a:bodyPr/>
                  <a:lstStyle/>
                  <a:p>
                    <a:fld id="{6B0C71F9-2A2F-4702-B9D3-39E5E56B6A0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CF2E-4010-9A8D-23ECBBB197AD}"/>
                </c:ext>
              </c:extLst>
            </c:dLbl>
            <c:dLbl>
              <c:idx val="31"/>
              <c:tx>
                <c:rich>
                  <a:bodyPr/>
                  <a:lstStyle/>
                  <a:p>
                    <a:fld id="{6017644F-6919-4C77-9A6C-A40C18B3309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CF2E-4010-9A8D-23ECBBB197AD}"/>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graf'!$R$68:$R$99</c:f>
              <c:numCache>
                <c:formatCode>General</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CF2E-4010-9A8D-23ECBBB197AD}"/>
            </c:ext>
          </c:extLst>
        </c:ser>
        <c:ser>
          <c:idx val="0"/>
          <c:order val="2"/>
          <c:tx>
            <c:strRef>
              <c:f>'Prerađivačka_FS graf'!$S$7</c:f>
              <c:strCache>
                <c:ptCount val="1"/>
                <c:pt idx="0">
                  <c:v>y</c:v>
                </c:pt>
              </c:strCache>
            </c:strRef>
          </c:tx>
          <c:spPr>
            <a:ln w="12700" cap="rnd">
              <a:solidFill>
                <a:srgbClr val="92278F"/>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graf'!$S$68:$S$99</c:f>
              <c:numCache>
                <c:formatCode>0.0</c:formatCode>
                <c:ptCount val="32"/>
                <c:pt idx="0">
                  <c:v>110.63607924900001</c:v>
                </c:pt>
                <c:pt idx="1">
                  <c:v>97.810218977999995</c:v>
                </c:pt>
                <c:pt idx="2">
                  <c:v>107.71637122</c:v>
                </c:pt>
                <c:pt idx="3">
                  <c:v>109.071949948</c:v>
                </c:pt>
                <c:pt idx="4">
                  <c:v>111.366006257</c:v>
                </c:pt>
                <c:pt idx="5">
                  <c:v>115.015641293</c:v>
                </c:pt>
                <c:pt idx="6">
                  <c:v>114.807090719</c:v>
                </c:pt>
                <c:pt idx="7">
                  <c:v>121.480709072</c:v>
                </c:pt>
                <c:pt idx="8">
                  <c:v>116.058394161</c:v>
                </c:pt>
                <c:pt idx="9">
                  <c:v>111.88738269</c:v>
                </c:pt>
                <c:pt idx="10">
                  <c:v>111.57455683000001</c:v>
                </c:pt>
                <c:pt idx="11">
                  <c:v>113.660062565</c:v>
                </c:pt>
                <c:pt idx="12">
                  <c:v>103.12825860300001</c:v>
                </c:pt>
                <c:pt idx="13">
                  <c:v>115.7455683</c:v>
                </c:pt>
                <c:pt idx="14">
                  <c:v>7.612095933</c:v>
                </c:pt>
                <c:pt idx="15">
                  <c:v>23.983315953999998</c:v>
                </c:pt>
                <c:pt idx="16">
                  <c:v>107.40354536</c:v>
                </c:pt>
                <c:pt idx="17">
                  <c:v>118.66527633</c:v>
                </c:pt>
                <c:pt idx="18">
                  <c:v>127.111574557</c:v>
                </c:pt>
                <c:pt idx="19">
                  <c:v>122.732012513</c:v>
                </c:pt>
                <c:pt idx="20">
                  <c:v>122.002085506</c:v>
                </c:pt>
                <c:pt idx="21">
                  <c:v>122.62773722599999</c:v>
                </c:pt>
                <c:pt idx="22">
                  <c:v>116.162669447</c:v>
                </c:pt>
                <c:pt idx="23">
                  <c:v>113.347236705</c:v>
                </c:pt>
                <c:pt idx="24">
                  <c:v>112.9</c:v>
                </c:pt>
                <c:pt idx="25">
                  <c:v>97.8</c:v>
                </c:pt>
                <c:pt idx="26">
                  <c:v>78.2</c:v>
                </c:pt>
                <c:pt idx="27">
                  <c:v>89.8</c:v>
                </c:pt>
                <c:pt idx="28">
                  <c:v>96.8</c:v>
                </c:pt>
                <c:pt idx="29">
                  <c:v>98.3</c:v>
                </c:pt>
                <c:pt idx="30">
                  <c:v>112.6</c:v>
                </c:pt>
                <c:pt idx="31">
                  <c:v>113.5</c:v>
                </c:pt>
              </c:numCache>
            </c:numRef>
          </c:val>
          <c:smooth val="0"/>
          <c:extLst>
            <c:ext xmlns:c16="http://schemas.microsoft.com/office/drawing/2014/chart" uri="{C3380CC4-5D6E-409C-BE32-E72D297353CC}">
              <c16:uniqueId val="{00000025-CF2E-4010-9A8D-23ECBBB197AD}"/>
            </c:ext>
          </c:extLst>
        </c:ser>
        <c:ser>
          <c:idx val="1"/>
          <c:order val="3"/>
          <c:tx>
            <c:strRef>
              <c:f>'Prerađivačka_FS graf'!$T$7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graf'!$T$68:$T$99</c:f>
              <c:numCache>
                <c:formatCode>0.0</c:formatCode>
                <c:ptCount val="32"/>
                <c:pt idx="0">
                  <c:v>115.96547336899999</c:v>
                </c:pt>
                <c:pt idx="1">
                  <c:v>112.49446126300001</c:v>
                </c:pt>
                <c:pt idx="2">
                  <c:v>111.98247327</c:v>
                </c:pt>
                <c:pt idx="3">
                  <c:v>114.69721764499999</c:v>
                </c:pt>
                <c:pt idx="4">
                  <c:v>119.25498455</c:v>
                </c:pt>
                <c:pt idx="5">
                  <c:v>112.590106586</c:v>
                </c:pt>
                <c:pt idx="6">
                  <c:v>107.34065491200001</c:v>
                </c:pt>
                <c:pt idx="7">
                  <c:v>113.095912434</c:v>
                </c:pt>
                <c:pt idx="8">
                  <c:v>110.05838337900001</c:v>
                </c:pt>
                <c:pt idx="9">
                  <c:v>105.44159758399999</c:v>
                </c:pt>
                <c:pt idx="10">
                  <c:v>107.315844028</c:v>
                </c:pt>
                <c:pt idx="11">
                  <c:v>110.70431392499999</c:v>
                </c:pt>
                <c:pt idx="12">
                  <c:v>108.998800614</c:v>
                </c:pt>
                <c:pt idx="13">
                  <c:v>129.43346427</c:v>
                </c:pt>
                <c:pt idx="14">
                  <c:v>12.876422721999999</c:v>
                </c:pt>
                <c:pt idx="15">
                  <c:v>30.620448385</c:v>
                </c:pt>
                <c:pt idx="16">
                  <c:v>113.43590577400001</c:v>
                </c:pt>
                <c:pt idx="17">
                  <c:v>117.16295934999999</c:v>
                </c:pt>
                <c:pt idx="18">
                  <c:v>119.275051699</c:v>
                </c:pt>
                <c:pt idx="19">
                  <c:v>113.80110795500001</c:v>
                </c:pt>
                <c:pt idx="20">
                  <c:v>115.823035975</c:v>
                </c:pt>
                <c:pt idx="21">
                  <c:v>116.513582629</c:v>
                </c:pt>
                <c:pt idx="22">
                  <c:v>112.29119256</c:v>
                </c:pt>
                <c:pt idx="23">
                  <c:v>110.095423955</c:v>
                </c:pt>
                <c:pt idx="24">
                  <c:v>119.342751714</c:v>
                </c:pt>
                <c:pt idx="25">
                  <c:v>110.40962431200001</c:v>
                </c:pt>
                <c:pt idx="26">
                  <c:v>84.010498964000007</c:v>
                </c:pt>
                <c:pt idx="27">
                  <c:v>97.320101539000007</c:v>
                </c:pt>
                <c:pt idx="28">
                  <c:v>102.05223713399999</c:v>
                </c:pt>
                <c:pt idx="29">
                  <c:v>97.231052066999993</c:v>
                </c:pt>
                <c:pt idx="30">
                  <c:v>104.25772756800001</c:v>
                </c:pt>
                <c:pt idx="31">
                  <c:v>104.822451579</c:v>
                </c:pt>
              </c:numCache>
            </c:numRef>
          </c:val>
          <c:smooth val="0"/>
          <c:extLst>
            <c:ext xmlns:c16="http://schemas.microsoft.com/office/drawing/2014/chart" uri="{C3380CC4-5D6E-409C-BE32-E72D297353CC}">
              <c16:uniqueId val="{00000026-CF2E-4010-9A8D-23ECBBB197AD}"/>
            </c:ext>
          </c:extLst>
        </c:ser>
        <c:ser>
          <c:idx val="2"/>
          <c:order val="4"/>
          <c:tx>
            <c:strRef>
              <c:f>'Prerađivačka_FS graf'!$U$7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graf'!$U$68:$U$99</c:f>
              <c:numCache>
                <c:formatCode>0.0</c:formatCode>
                <c:ptCount val="32"/>
                <c:pt idx="0">
                  <c:v>116.180200852</c:v>
                </c:pt>
                <c:pt idx="1">
                  <c:v>115.624778388</c:v>
                </c:pt>
                <c:pt idx="2">
                  <c:v>115.02673780000001</c:v>
                </c:pt>
                <c:pt idx="3">
                  <c:v>114.278735021</c:v>
                </c:pt>
                <c:pt idx="4">
                  <c:v>113.407990716</c:v>
                </c:pt>
                <c:pt idx="5">
                  <c:v>112.38900299300001</c:v>
                </c:pt>
                <c:pt idx="6">
                  <c:v>111.275463156</c:v>
                </c:pt>
                <c:pt idx="7">
                  <c:v>110.17214914</c:v>
                </c:pt>
                <c:pt idx="8">
                  <c:v>109.27947712700001</c:v>
                </c:pt>
                <c:pt idx="9">
                  <c:v>108.779704622</c:v>
                </c:pt>
                <c:pt idx="10">
                  <c:v>108.854201989</c:v>
                </c:pt>
                <c:pt idx="11">
                  <c:v>109.588234908</c:v>
                </c:pt>
                <c:pt idx="12">
                  <c:v>110.82862689300001</c:v>
                </c:pt>
                <c:pt idx="13">
                  <c:v>112.27226020400001</c:v>
                </c:pt>
                <c:pt idx="14">
                  <c:v>113.690635371</c:v>
                </c:pt>
                <c:pt idx="15">
                  <c:v>114.97992022699999</c:v>
                </c:pt>
                <c:pt idx="16">
                  <c:v>115.989861562</c:v>
                </c:pt>
                <c:pt idx="17">
                  <c:v>116.507208664</c:v>
                </c:pt>
                <c:pt idx="18">
                  <c:v>116.570048003</c:v>
                </c:pt>
                <c:pt idx="19">
                  <c:v>116.28639618299999</c:v>
                </c:pt>
                <c:pt idx="20">
                  <c:v>115.59013664299999</c:v>
                </c:pt>
                <c:pt idx="21">
                  <c:v>114.45963501599999</c:v>
                </c:pt>
                <c:pt idx="22">
                  <c:v>112.83853006699999</c:v>
                </c:pt>
                <c:pt idx="23">
                  <c:v>110.720032179</c:v>
                </c:pt>
                <c:pt idx="24">
                  <c:v>108.29932227</c:v>
                </c:pt>
                <c:pt idx="25">
                  <c:v>105.886194816</c:v>
                </c:pt>
                <c:pt idx="26">
                  <c:v>103.799414371</c:v>
                </c:pt>
                <c:pt idx="27">
                  <c:v>102.281120071</c:v>
                </c:pt>
                <c:pt idx="28">
                  <c:v>101.47470047100001</c:v>
                </c:pt>
                <c:pt idx="29">
                  <c:v>101.423863791</c:v>
                </c:pt>
                <c:pt idx="30">
                  <c:v>101.98435046</c:v>
                </c:pt>
                <c:pt idx="31">
                  <c:v>102.92189988</c:v>
                </c:pt>
              </c:numCache>
            </c:numRef>
          </c:val>
          <c:smooth val="0"/>
          <c:extLst>
            <c:ext xmlns:c16="http://schemas.microsoft.com/office/drawing/2014/chart" uri="{C3380CC4-5D6E-409C-BE32-E72D297353CC}">
              <c16:uniqueId val="{00000027-CF2E-4010-9A8D-23ECBBB197AD}"/>
            </c:ext>
          </c:extLst>
        </c:ser>
        <c:dLbls>
          <c:showLegendKey val="0"/>
          <c:showVal val="0"/>
          <c:showCatName val="0"/>
          <c:showSerName val="0"/>
          <c:showPercent val="0"/>
          <c:showBubbleSize val="0"/>
        </c:dLbls>
        <c:marker val="1"/>
        <c:smooth val="0"/>
        <c:axId val="2092134960"/>
        <c:axId val="2092135504"/>
      </c:lineChart>
      <c:dateAx>
        <c:axId val="209213496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35504"/>
        <c:crosses val="autoZero"/>
        <c:auto val="1"/>
        <c:lblOffset val="0"/>
        <c:baseTimeUnit val="months"/>
        <c:majorUnit val="12"/>
        <c:majorTimeUnit val="months"/>
      </c:dateAx>
      <c:valAx>
        <c:axId val="2092135504"/>
        <c:scaling>
          <c:orientation val="minMax"/>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3496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graf'!$AK$7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0596344258408319"/>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F2D-49F8-8CFE-21915C96F5A9}"/>
                </c:ext>
              </c:extLst>
            </c:dLbl>
            <c:dLbl>
              <c:idx val="12"/>
              <c:layout>
                <c:manualLayout>
                  <c:x val="0.12179518257123909"/>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F2D-49F8-8CFE-21915C96F5A9}"/>
                </c:ext>
              </c:extLst>
            </c:dLbl>
            <c:dLbl>
              <c:idx val="24"/>
              <c:layout>
                <c:manualLayout>
                  <c:x val="3.9628329174804966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F2D-49F8-8CFE-21915C96F5A9}"/>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graf'!$AK$68:$AK$99</c:f>
              <c:numCache>
                <c:formatCode>General</c:formatCode>
                <c:ptCount val="32"/>
                <c:pt idx="0">
                  <c:v>40</c:v>
                </c:pt>
                <c:pt idx="12">
                  <c:v>40</c:v>
                </c:pt>
                <c:pt idx="24">
                  <c:v>40</c:v>
                </c:pt>
              </c:numCache>
            </c:numRef>
          </c:val>
          <c:smooth val="0"/>
          <c:extLst>
            <c:ext xmlns:c16="http://schemas.microsoft.com/office/drawing/2014/chart" uri="{C3380CC4-5D6E-409C-BE32-E72D297353CC}">
              <c16:uniqueId val="{00000003-3F2D-49F8-8CFE-21915C96F5A9}"/>
            </c:ext>
          </c:extLst>
        </c:ser>
        <c:ser>
          <c:idx val="4"/>
          <c:order val="1"/>
          <c:tx>
            <c:strRef>
              <c:f>'Prerađivačka_FS graf'!$AL$7</c:f>
              <c:strCache>
                <c:ptCount val="1"/>
                <c:pt idx="0">
                  <c:v>Series5</c:v>
                </c:pt>
              </c:strCache>
            </c:strRef>
          </c:tx>
          <c:spPr>
            <a:ln w="25400" cap="rnd">
              <a:noFill/>
              <a:round/>
            </a:ln>
            <a:effectLst/>
          </c:spPr>
          <c:marker>
            <c:symbol val="none"/>
          </c:marker>
          <c:dLbls>
            <c:dLbl>
              <c:idx val="0"/>
              <c:tx>
                <c:rich>
                  <a:bodyPr/>
                  <a:lstStyle/>
                  <a:p>
                    <a:fld id="{BCBD7803-C6DA-40BA-BA77-32DADB362C6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3F2D-49F8-8CFE-21915C96F5A9}"/>
                </c:ext>
              </c:extLst>
            </c:dLbl>
            <c:dLbl>
              <c:idx val="1"/>
              <c:tx>
                <c:rich>
                  <a:bodyPr/>
                  <a:lstStyle/>
                  <a:p>
                    <a:fld id="{2FF64DC6-23D9-4F06-9234-6C9671083FC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3F2D-49F8-8CFE-21915C96F5A9}"/>
                </c:ext>
              </c:extLst>
            </c:dLbl>
            <c:dLbl>
              <c:idx val="2"/>
              <c:tx>
                <c:rich>
                  <a:bodyPr/>
                  <a:lstStyle/>
                  <a:p>
                    <a:fld id="{1C7E3A8A-E2DD-4904-845A-14F2D7CBF2D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3F2D-49F8-8CFE-21915C96F5A9}"/>
                </c:ext>
              </c:extLst>
            </c:dLbl>
            <c:dLbl>
              <c:idx val="3"/>
              <c:tx>
                <c:rich>
                  <a:bodyPr/>
                  <a:lstStyle/>
                  <a:p>
                    <a:fld id="{FB445FC9-DB66-4557-8D6C-75806E8050E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3F2D-49F8-8CFE-21915C96F5A9}"/>
                </c:ext>
              </c:extLst>
            </c:dLbl>
            <c:dLbl>
              <c:idx val="4"/>
              <c:tx>
                <c:rich>
                  <a:bodyPr/>
                  <a:lstStyle/>
                  <a:p>
                    <a:fld id="{DD14C210-41BE-4DE5-B77B-F9C6B948F6A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3F2D-49F8-8CFE-21915C96F5A9}"/>
                </c:ext>
              </c:extLst>
            </c:dLbl>
            <c:dLbl>
              <c:idx val="5"/>
              <c:tx>
                <c:rich>
                  <a:bodyPr/>
                  <a:lstStyle/>
                  <a:p>
                    <a:fld id="{8CAC7948-81C6-40BD-A150-6671844B4AB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3F2D-49F8-8CFE-21915C96F5A9}"/>
                </c:ext>
              </c:extLst>
            </c:dLbl>
            <c:dLbl>
              <c:idx val="6"/>
              <c:tx>
                <c:rich>
                  <a:bodyPr/>
                  <a:lstStyle/>
                  <a:p>
                    <a:fld id="{0E21DA62-2679-4518-A4F3-1784705623B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3F2D-49F8-8CFE-21915C96F5A9}"/>
                </c:ext>
              </c:extLst>
            </c:dLbl>
            <c:dLbl>
              <c:idx val="7"/>
              <c:tx>
                <c:rich>
                  <a:bodyPr/>
                  <a:lstStyle/>
                  <a:p>
                    <a:fld id="{44F2C28F-5FA6-40E7-9F44-EF9CD79C0C7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3F2D-49F8-8CFE-21915C96F5A9}"/>
                </c:ext>
              </c:extLst>
            </c:dLbl>
            <c:dLbl>
              <c:idx val="8"/>
              <c:tx>
                <c:rich>
                  <a:bodyPr/>
                  <a:lstStyle/>
                  <a:p>
                    <a:fld id="{3C48D155-5469-4D7B-A7D9-54BE30927AB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3F2D-49F8-8CFE-21915C96F5A9}"/>
                </c:ext>
              </c:extLst>
            </c:dLbl>
            <c:dLbl>
              <c:idx val="9"/>
              <c:tx>
                <c:rich>
                  <a:bodyPr/>
                  <a:lstStyle/>
                  <a:p>
                    <a:fld id="{26B042B3-A318-44F0-801D-989594D4448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3F2D-49F8-8CFE-21915C96F5A9}"/>
                </c:ext>
              </c:extLst>
            </c:dLbl>
            <c:dLbl>
              <c:idx val="10"/>
              <c:tx>
                <c:rich>
                  <a:bodyPr/>
                  <a:lstStyle/>
                  <a:p>
                    <a:fld id="{A5340B74-ED13-4A55-97D8-B6AAA0C6C44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3F2D-49F8-8CFE-21915C96F5A9}"/>
                </c:ext>
              </c:extLst>
            </c:dLbl>
            <c:dLbl>
              <c:idx val="11"/>
              <c:tx>
                <c:rich>
                  <a:bodyPr/>
                  <a:lstStyle/>
                  <a:p>
                    <a:fld id="{FB15E46B-0BFC-480C-AFD7-57B201124E6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3F2D-49F8-8CFE-21915C96F5A9}"/>
                </c:ext>
              </c:extLst>
            </c:dLbl>
            <c:dLbl>
              <c:idx val="12"/>
              <c:tx>
                <c:rich>
                  <a:bodyPr/>
                  <a:lstStyle/>
                  <a:p>
                    <a:fld id="{3C66436D-AEA8-4860-9827-C585A522FFC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3F2D-49F8-8CFE-21915C96F5A9}"/>
                </c:ext>
              </c:extLst>
            </c:dLbl>
            <c:dLbl>
              <c:idx val="13"/>
              <c:tx>
                <c:rich>
                  <a:bodyPr/>
                  <a:lstStyle/>
                  <a:p>
                    <a:fld id="{EB5995E2-37B4-43FA-BEF5-1EC09023F30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3F2D-49F8-8CFE-21915C96F5A9}"/>
                </c:ext>
              </c:extLst>
            </c:dLbl>
            <c:dLbl>
              <c:idx val="14"/>
              <c:tx>
                <c:rich>
                  <a:bodyPr/>
                  <a:lstStyle/>
                  <a:p>
                    <a:fld id="{9C87EBE4-197D-4C3F-8D34-D1692557FCA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3F2D-49F8-8CFE-21915C96F5A9}"/>
                </c:ext>
              </c:extLst>
            </c:dLbl>
            <c:dLbl>
              <c:idx val="15"/>
              <c:tx>
                <c:rich>
                  <a:bodyPr/>
                  <a:lstStyle/>
                  <a:p>
                    <a:fld id="{47060E68-A714-4375-8B10-6B690AB0DF1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3F2D-49F8-8CFE-21915C96F5A9}"/>
                </c:ext>
              </c:extLst>
            </c:dLbl>
            <c:dLbl>
              <c:idx val="16"/>
              <c:tx>
                <c:rich>
                  <a:bodyPr/>
                  <a:lstStyle/>
                  <a:p>
                    <a:fld id="{405108AF-25CD-4AAB-A040-4E84B9E8641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3F2D-49F8-8CFE-21915C96F5A9}"/>
                </c:ext>
              </c:extLst>
            </c:dLbl>
            <c:dLbl>
              <c:idx val="17"/>
              <c:tx>
                <c:rich>
                  <a:bodyPr/>
                  <a:lstStyle/>
                  <a:p>
                    <a:fld id="{B2305654-FB37-423C-A7FC-08176090A89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3F2D-49F8-8CFE-21915C96F5A9}"/>
                </c:ext>
              </c:extLst>
            </c:dLbl>
            <c:dLbl>
              <c:idx val="18"/>
              <c:tx>
                <c:rich>
                  <a:bodyPr/>
                  <a:lstStyle/>
                  <a:p>
                    <a:fld id="{8378470A-0AB9-4962-AAF9-77FB66E07DD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3F2D-49F8-8CFE-21915C96F5A9}"/>
                </c:ext>
              </c:extLst>
            </c:dLbl>
            <c:dLbl>
              <c:idx val="19"/>
              <c:tx>
                <c:rich>
                  <a:bodyPr/>
                  <a:lstStyle/>
                  <a:p>
                    <a:fld id="{147948F6-D7F9-406F-A2D1-D3013FC7E78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3F2D-49F8-8CFE-21915C96F5A9}"/>
                </c:ext>
              </c:extLst>
            </c:dLbl>
            <c:dLbl>
              <c:idx val="20"/>
              <c:tx>
                <c:rich>
                  <a:bodyPr/>
                  <a:lstStyle/>
                  <a:p>
                    <a:fld id="{ED7A60C1-EEDC-4D24-B794-0B26065D637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3F2D-49F8-8CFE-21915C96F5A9}"/>
                </c:ext>
              </c:extLst>
            </c:dLbl>
            <c:dLbl>
              <c:idx val="21"/>
              <c:tx>
                <c:rich>
                  <a:bodyPr/>
                  <a:lstStyle/>
                  <a:p>
                    <a:fld id="{27681AEB-DB45-424A-9C7B-CBD11263EBA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3F2D-49F8-8CFE-21915C96F5A9}"/>
                </c:ext>
              </c:extLst>
            </c:dLbl>
            <c:dLbl>
              <c:idx val="22"/>
              <c:tx>
                <c:rich>
                  <a:bodyPr/>
                  <a:lstStyle/>
                  <a:p>
                    <a:fld id="{DE5C6367-2CA5-49CC-9056-F38A9F3622F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3F2D-49F8-8CFE-21915C96F5A9}"/>
                </c:ext>
              </c:extLst>
            </c:dLbl>
            <c:dLbl>
              <c:idx val="23"/>
              <c:tx>
                <c:rich>
                  <a:bodyPr/>
                  <a:lstStyle/>
                  <a:p>
                    <a:fld id="{EBCF619C-1910-475F-8762-3CE916CE92B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3F2D-49F8-8CFE-21915C96F5A9}"/>
                </c:ext>
              </c:extLst>
            </c:dLbl>
            <c:dLbl>
              <c:idx val="24"/>
              <c:tx>
                <c:rich>
                  <a:bodyPr/>
                  <a:lstStyle/>
                  <a:p>
                    <a:fld id="{9DDD0771-0276-4A2C-BE73-2DF3361CFAA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3F2D-49F8-8CFE-21915C96F5A9}"/>
                </c:ext>
              </c:extLst>
            </c:dLbl>
            <c:dLbl>
              <c:idx val="25"/>
              <c:tx>
                <c:rich>
                  <a:bodyPr/>
                  <a:lstStyle/>
                  <a:p>
                    <a:fld id="{75788857-9490-4CBB-99C8-0E9B05932D0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3F2D-49F8-8CFE-21915C96F5A9}"/>
                </c:ext>
              </c:extLst>
            </c:dLbl>
            <c:dLbl>
              <c:idx val="26"/>
              <c:tx>
                <c:rich>
                  <a:bodyPr/>
                  <a:lstStyle/>
                  <a:p>
                    <a:fld id="{AB468897-806E-4D83-8C83-73EF744291D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3F2D-49F8-8CFE-21915C96F5A9}"/>
                </c:ext>
              </c:extLst>
            </c:dLbl>
            <c:dLbl>
              <c:idx val="27"/>
              <c:tx>
                <c:rich>
                  <a:bodyPr/>
                  <a:lstStyle/>
                  <a:p>
                    <a:fld id="{FA2E5C76-5351-4AA8-A14B-D7462292493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3F2D-49F8-8CFE-21915C96F5A9}"/>
                </c:ext>
              </c:extLst>
            </c:dLbl>
            <c:dLbl>
              <c:idx val="28"/>
              <c:tx>
                <c:rich>
                  <a:bodyPr/>
                  <a:lstStyle/>
                  <a:p>
                    <a:fld id="{EA896396-CA09-4F91-82A4-211CF9C2A12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3F2D-49F8-8CFE-21915C96F5A9}"/>
                </c:ext>
              </c:extLst>
            </c:dLbl>
            <c:dLbl>
              <c:idx val="29"/>
              <c:tx>
                <c:rich>
                  <a:bodyPr/>
                  <a:lstStyle/>
                  <a:p>
                    <a:fld id="{016B3596-69A4-4D5A-8D6D-A5AF06EEB14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3F2D-49F8-8CFE-21915C96F5A9}"/>
                </c:ext>
              </c:extLst>
            </c:dLbl>
            <c:dLbl>
              <c:idx val="30"/>
              <c:tx>
                <c:rich>
                  <a:bodyPr/>
                  <a:lstStyle/>
                  <a:p>
                    <a:fld id="{8DC8CAFF-FA59-499A-A4CD-11E59ABA8C5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3F2D-49F8-8CFE-21915C96F5A9}"/>
                </c:ext>
              </c:extLst>
            </c:dLbl>
            <c:dLbl>
              <c:idx val="31"/>
              <c:tx>
                <c:rich>
                  <a:bodyPr/>
                  <a:lstStyle/>
                  <a:p>
                    <a:fld id="{430537DF-5A99-4C62-9418-E3C01FCC4E9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3F2D-49F8-8CFE-21915C96F5A9}"/>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graf'!$AL$68:$AL$99</c:f>
              <c:numCache>
                <c:formatCode>General</c:formatCode>
                <c:ptCount val="32"/>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3F2D-49F8-8CFE-21915C96F5A9}"/>
            </c:ext>
          </c:extLst>
        </c:ser>
        <c:ser>
          <c:idx val="0"/>
          <c:order val="2"/>
          <c:tx>
            <c:strRef>
              <c:f>'Prerađivačka_FS graf'!$AM$7</c:f>
              <c:strCache>
                <c:ptCount val="1"/>
                <c:pt idx="0">
                  <c:v>y</c:v>
                </c:pt>
              </c:strCache>
            </c:strRef>
          </c:tx>
          <c:spPr>
            <a:ln w="12700" cap="rnd">
              <a:solidFill>
                <a:srgbClr val="92278F"/>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graf'!$AM$68:$AM$99</c:f>
              <c:numCache>
                <c:formatCode>0.0</c:formatCode>
                <c:ptCount val="32"/>
                <c:pt idx="0">
                  <c:v>45.345104333999998</c:v>
                </c:pt>
                <c:pt idx="1">
                  <c:v>50</c:v>
                </c:pt>
                <c:pt idx="2">
                  <c:v>55.216693419000002</c:v>
                </c:pt>
                <c:pt idx="3">
                  <c:v>70.304975923000001</c:v>
                </c:pt>
                <c:pt idx="4">
                  <c:v>93.178170144000006</c:v>
                </c:pt>
                <c:pt idx="5">
                  <c:v>83.707865169000002</c:v>
                </c:pt>
                <c:pt idx="6">
                  <c:v>84.991974318000004</c:v>
                </c:pt>
                <c:pt idx="7">
                  <c:v>72.873194221999995</c:v>
                </c:pt>
                <c:pt idx="8">
                  <c:v>75.682182986000001</c:v>
                </c:pt>
                <c:pt idx="9">
                  <c:v>96.468699838999996</c:v>
                </c:pt>
                <c:pt idx="10">
                  <c:v>88.6035313</c:v>
                </c:pt>
                <c:pt idx="11">
                  <c:v>83.467094703000001</c:v>
                </c:pt>
                <c:pt idx="12">
                  <c:v>78.170144461999996</c:v>
                </c:pt>
                <c:pt idx="13">
                  <c:v>91.011235955000004</c:v>
                </c:pt>
                <c:pt idx="14">
                  <c:v>101.20385232700001</c:v>
                </c:pt>
                <c:pt idx="15">
                  <c:v>105.056179775</c:v>
                </c:pt>
                <c:pt idx="16">
                  <c:v>95.987158909000001</c:v>
                </c:pt>
                <c:pt idx="17">
                  <c:v>96.067415729999993</c:v>
                </c:pt>
                <c:pt idx="18">
                  <c:v>99.678972712999993</c:v>
                </c:pt>
                <c:pt idx="19">
                  <c:v>101.685393258</c:v>
                </c:pt>
                <c:pt idx="20">
                  <c:v>104.414125201</c:v>
                </c:pt>
                <c:pt idx="21">
                  <c:v>108.34670946999999</c:v>
                </c:pt>
                <c:pt idx="22">
                  <c:v>104.895666132</c:v>
                </c:pt>
                <c:pt idx="23">
                  <c:v>113.081861958</c:v>
                </c:pt>
                <c:pt idx="24">
                  <c:v>88.5</c:v>
                </c:pt>
                <c:pt idx="25">
                  <c:v>108.6</c:v>
                </c:pt>
                <c:pt idx="26">
                  <c:v>109.5</c:v>
                </c:pt>
                <c:pt idx="27">
                  <c:v>105.8</c:v>
                </c:pt>
                <c:pt idx="28">
                  <c:v>108.4</c:v>
                </c:pt>
                <c:pt idx="29">
                  <c:v>111.3</c:v>
                </c:pt>
                <c:pt idx="30">
                  <c:v>109</c:v>
                </c:pt>
                <c:pt idx="31">
                  <c:v>102.5</c:v>
                </c:pt>
              </c:numCache>
            </c:numRef>
          </c:val>
          <c:smooth val="0"/>
          <c:extLst>
            <c:ext xmlns:c16="http://schemas.microsoft.com/office/drawing/2014/chart" uri="{C3380CC4-5D6E-409C-BE32-E72D297353CC}">
              <c16:uniqueId val="{00000025-3F2D-49F8-8CFE-21915C96F5A9}"/>
            </c:ext>
          </c:extLst>
        </c:ser>
        <c:ser>
          <c:idx val="1"/>
          <c:order val="3"/>
          <c:tx>
            <c:strRef>
              <c:f>'Prerađivačka_FS graf'!$AN$7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graf'!$AN$68:$AN$99</c:f>
              <c:numCache>
                <c:formatCode>0.0</c:formatCode>
                <c:ptCount val="32"/>
                <c:pt idx="0">
                  <c:v>51.283152496</c:v>
                </c:pt>
                <c:pt idx="1">
                  <c:v>53.811799442999998</c:v>
                </c:pt>
                <c:pt idx="2">
                  <c:v>48.340908243999998</c:v>
                </c:pt>
                <c:pt idx="3">
                  <c:v>68.788353044000004</c:v>
                </c:pt>
                <c:pt idx="4">
                  <c:v>90.802462797000004</c:v>
                </c:pt>
                <c:pt idx="5">
                  <c:v>82.205236237999998</c:v>
                </c:pt>
                <c:pt idx="6">
                  <c:v>84.686704469999995</c:v>
                </c:pt>
                <c:pt idx="7">
                  <c:v>71.525330526000005</c:v>
                </c:pt>
                <c:pt idx="8">
                  <c:v>76.211980702000005</c:v>
                </c:pt>
                <c:pt idx="9">
                  <c:v>95.790931611999994</c:v>
                </c:pt>
                <c:pt idx="10">
                  <c:v>89.430802956999997</c:v>
                </c:pt>
                <c:pt idx="11">
                  <c:v>85.225312333999995</c:v>
                </c:pt>
                <c:pt idx="12">
                  <c:v>86.271533640000001</c:v>
                </c:pt>
                <c:pt idx="13">
                  <c:v>93.800406491999993</c:v>
                </c:pt>
                <c:pt idx="14">
                  <c:v>96.40632205</c:v>
                </c:pt>
                <c:pt idx="15">
                  <c:v>98.957986472000002</c:v>
                </c:pt>
                <c:pt idx="16">
                  <c:v>95.540064483999998</c:v>
                </c:pt>
                <c:pt idx="17">
                  <c:v>95.874974893000001</c:v>
                </c:pt>
                <c:pt idx="18">
                  <c:v>97.120789870999999</c:v>
                </c:pt>
                <c:pt idx="19">
                  <c:v>102.07934428599999</c:v>
                </c:pt>
                <c:pt idx="20">
                  <c:v>105.011571402</c:v>
                </c:pt>
                <c:pt idx="21">
                  <c:v>106.095505097</c:v>
                </c:pt>
                <c:pt idx="22">
                  <c:v>107.10480418500001</c:v>
                </c:pt>
                <c:pt idx="23">
                  <c:v>114.158802548</c:v>
                </c:pt>
                <c:pt idx="24">
                  <c:v>98.960707667999998</c:v>
                </c:pt>
                <c:pt idx="25">
                  <c:v>109.439073591</c:v>
                </c:pt>
                <c:pt idx="26">
                  <c:v>104.928759054</c:v>
                </c:pt>
                <c:pt idx="27">
                  <c:v>101.910424844</c:v>
                </c:pt>
                <c:pt idx="28">
                  <c:v>106.565527358</c:v>
                </c:pt>
                <c:pt idx="29">
                  <c:v>109.399733834</c:v>
                </c:pt>
                <c:pt idx="30">
                  <c:v>106.445925573</c:v>
                </c:pt>
                <c:pt idx="31">
                  <c:v>104.249245516</c:v>
                </c:pt>
              </c:numCache>
            </c:numRef>
          </c:val>
          <c:smooth val="0"/>
          <c:extLst>
            <c:ext xmlns:c16="http://schemas.microsoft.com/office/drawing/2014/chart" uri="{C3380CC4-5D6E-409C-BE32-E72D297353CC}">
              <c16:uniqueId val="{00000026-3F2D-49F8-8CFE-21915C96F5A9}"/>
            </c:ext>
          </c:extLst>
        </c:ser>
        <c:ser>
          <c:idx val="2"/>
          <c:order val="4"/>
          <c:tx>
            <c:strRef>
              <c:f>'Prerađivačka_FS graf'!$AO$7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graf'!$AO$68:$AO$99</c:f>
              <c:numCache>
                <c:formatCode>0.0</c:formatCode>
                <c:ptCount val="32"/>
                <c:pt idx="0">
                  <c:v>54.524959621000001</c:v>
                </c:pt>
                <c:pt idx="1">
                  <c:v>57.808792013999998</c:v>
                </c:pt>
                <c:pt idx="2">
                  <c:v>62.145396282</c:v>
                </c:pt>
                <c:pt idx="3">
                  <c:v>67.243283501999997</c:v>
                </c:pt>
                <c:pt idx="4">
                  <c:v>72.558426854000004</c:v>
                </c:pt>
                <c:pt idx="5">
                  <c:v>77.412141817000006</c:v>
                </c:pt>
                <c:pt idx="6">
                  <c:v>81.243729473000002</c:v>
                </c:pt>
                <c:pt idx="7">
                  <c:v>83.818881128000001</c:v>
                </c:pt>
                <c:pt idx="8">
                  <c:v>85.401333594999997</c:v>
                </c:pt>
                <c:pt idx="9">
                  <c:v>86.54405027</c:v>
                </c:pt>
                <c:pt idx="10">
                  <c:v>87.647363495999997</c:v>
                </c:pt>
                <c:pt idx="11">
                  <c:v>88.930751651999998</c:v>
                </c:pt>
                <c:pt idx="12">
                  <c:v>90.406999624999997</c:v>
                </c:pt>
                <c:pt idx="13">
                  <c:v>92.017665922000006</c:v>
                </c:pt>
                <c:pt idx="14">
                  <c:v>93.669186867999997</c:v>
                </c:pt>
                <c:pt idx="15">
                  <c:v>95.197683337000001</c:v>
                </c:pt>
                <c:pt idx="16">
                  <c:v>96.711018779</c:v>
                </c:pt>
                <c:pt idx="17">
                  <c:v>98.322408354999993</c:v>
                </c:pt>
                <c:pt idx="18">
                  <c:v>100.11215870300001</c:v>
                </c:pt>
                <c:pt idx="19">
                  <c:v>102.070683684</c:v>
                </c:pt>
                <c:pt idx="20">
                  <c:v>104.077083278</c:v>
                </c:pt>
                <c:pt idx="21">
                  <c:v>105.904183042</c:v>
                </c:pt>
                <c:pt idx="22">
                  <c:v>107.275943387</c:v>
                </c:pt>
                <c:pt idx="23">
                  <c:v>107.99998678999999</c:v>
                </c:pt>
                <c:pt idx="24">
                  <c:v>108.06229785799999</c:v>
                </c:pt>
                <c:pt idx="25">
                  <c:v>107.658089539</c:v>
                </c:pt>
                <c:pt idx="26">
                  <c:v>107.098185019</c:v>
                </c:pt>
                <c:pt idx="27">
                  <c:v>106.57294836</c:v>
                </c:pt>
                <c:pt idx="28">
                  <c:v>106.131745657</c:v>
                </c:pt>
                <c:pt idx="29">
                  <c:v>105.801844098</c:v>
                </c:pt>
                <c:pt idx="30">
                  <c:v>105.594449152</c:v>
                </c:pt>
                <c:pt idx="31">
                  <c:v>105.470036529</c:v>
                </c:pt>
              </c:numCache>
            </c:numRef>
          </c:val>
          <c:smooth val="0"/>
          <c:extLst>
            <c:ext xmlns:c16="http://schemas.microsoft.com/office/drawing/2014/chart" uri="{C3380CC4-5D6E-409C-BE32-E72D297353CC}">
              <c16:uniqueId val="{00000027-3F2D-49F8-8CFE-21915C96F5A9}"/>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4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graf'!$AV$7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9.7328159358083491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2C-497D-8A89-16EAC3D28378}"/>
                </c:ext>
              </c:extLst>
            </c:dLbl>
            <c:dLbl>
              <c:idx val="12"/>
              <c:layout>
                <c:manualLayout>
                  <c:x val="0.1090253901567400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02C-497D-8A89-16EAC3D28378}"/>
                </c:ext>
              </c:extLst>
            </c:dLbl>
            <c:dLbl>
              <c:idx val="24"/>
              <c:layout>
                <c:manualLayout>
                  <c:x val="4.3858804402616386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2C-497D-8A89-16EAC3D28378}"/>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graf'!$AV$68:$AV$99</c:f>
              <c:numCache>
                <c:formatCode>General</c:formatCode>
                <c:ptCount val="32"/>
                <c:pt idx="0">
                  <c:v>70</c:v>
                </c:pt>
                <c:pt idx="12">
                  <c:v>70</c:v>
                </c:pt>
                <c:pt idx="24">
                  <c:v>70</c:v>
                </c:pt>
              </c:numCache>
            </c:numRef>
          </c:val>
          <c:smooth val="0"/>
          <c:extLst>
            <c:ext xmlns:c16="http://schemas.microsoft.com/office/drawing/2014/chart" uri="{C3380CC4-5D6E-409C-BE32-E72D297353CC}">
              <c16:uniqueId val="{00000003-302C-497D-8A89-16EAC3D28378}"/>
            </c:ext>
          </c:extLst>
        </c:ser>
        <c:ser>
          <c:idx val="4"/>
          <c:order val="1"/>
          <c:tx>
            <c:strRef>
              <c:f>'Prerađivačka_FS graf'!$AW$7</c:f>
              <c:strCache>
                <c:ptCount val="1"/>
                <c:pt idx="0">
                  <c:v>Series5</c:v>
                </c:pt>
              </c:strCache>
            </c:strRef>
          </c:tx>
          <c:spPr>
            <a:ln w="25400" cap="rnd">
              <a:noFill/>
              <a:round/>
            </a:ln>
            <a:effectLst/>
          </c:spPr>
          <c:marker>
            <c:symbol val="none"/>
          </c:marker>
          <c:dLbls>
            <c:dLbl>
              <c:idx val="0"/>
              <c:tx>
                <c:rich>
                  <a:bodyPr/>
                  <a:lstStyle/>
                  <a:p>
                    <a:fld id="{1BF40E6C-BF78-4A33-934D-C77F07CFC18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302C-497D-8A89-16EAC3D28378}"/>
                </c:ext>
              </c:extLst>
            </c:dLbl>
            <c:dLbl>
              <c:idx val="1"/>
              <c:tx>
                <c:rich>
                  <a:bodyPr/>
                  <a:lstStyle/>
                  <a:p>
                    <a:fld id="{80C61873-A8D0-436E-A04B-4CD9566A4FB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302C-497D-8A89-16EAC3D28378}"/>
                </c:ext>
              </c:extLst>
            </c:dLbl>
            <c:dLbl>
              <c:idx val="2"/>
              <c:tx>
                <c:rich>
                  <a:bodyPr/>
                  <a:lstStyle/>
                  <a:p>
                    <a:fld id="{1CEDECDB-A372-472B-A9D1-75A42B7696E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302C-497D-8A89-16EAC3D28378}"/>
                </c:ext>
              </c:extLst>
            </c:dLbl>
            <c:dLbl>
              <c:idx val="3"/>
              <c:tx>
                <c:rich>
                  <a:bodyPr/>
                  <a:lstStyle/>
                  <a:p>
                    <a:fld id="{959FC501-5CC8-456A-A9C6-169FEF874A0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302C-497D-8A89-16EAC3D28378}"/>
                </c:ext>
              </c:extLst>
            </c:dLbl>
            <c:dLbl>
              <c:idx val="4"/>
              <c:tx>
                <c:rich>
                  <a:bodyPr/>
                  <a:lstStyle/>
                  <a:p>
                    <a:fld id="{8EF39825-D478-4F94-82A9-064D2D6BAA0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302C-497D-8A89-16EAC3D28378}"/>
                </c:ext>
              </c:extLst>
            </c:dLbl>
            <c:dLbl>
              <c:idx val="5"/>
              <c:tx>
                <c:rich>
                  <a:bodyPr/>
                  <a:lstStyle/>
                  <a:p>
                    <a:fld id="{CA33BFEB-F469-4707-93AD-B2DEC405FE4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302C-497D-8A89-16EAC3D28378}"/>
                </c:ext>
              </c:extLst>
            </c:dLbl>
            <c:dLbl>
              <c:idx val="6"/>
              <c:tx>
                <c:rich>
                  <a:bodyPr/>
                  <a:lstStyle/>
                  <a:p>
                    <a:fld id="{5672B8F4-9452-4B1D-9D8A-B7F2D6E698F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302C-497D-8A89-16EAC3D28378}"/>
                </c:ext>
              </c:extLst>
            </c:dLbl>
            <c:dLbl>
              <c:idx val="7"/>
              <c:tx>
                <c:rich>
                  <a:bodyPr/>
                  <a:lstStyle/>
                  <a:p>
                    <a:fld id="{41C80AF2-C2D0-44CC-8BDB-0045BE1D8ED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302C-497D-8A89-16EAC3D28378}"/>
                </c:ext>
              </c:extLst>
            </c:dLbl>
            <c:dLbl>
              <c:idx val="8"/>
              <c:tx>
                <c:rich>
                  <a:bodyPr/>
                  <a:lstStyle/>
                  <a:p>
                    <a:fld id="{036DE700-8F2D-480B-A601-80AA5D86E33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302C-497D-8A89-16EAC3D28378}"/>
                </c:ext>
              </c:extLst>
            </c:dLbl>
            <c:dLbl>
              <c:idx val="9"/>
              <c:tx>
                <c:rich>
                  <a:bodyPr/>
                  <a:lstStyle/>
                  <a:p>
                    <a:fld id="{D78976B3-678F-4073-BDC6-AD8553C8636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302C-497D-8A89-16EAC3D28378}"/>
                </c:ext>
              </c:extLst>
            </c:dLbl>
            <c:dLbl>
              <c:idx val="10"/>
              <c:tx>
                <c:rich>
                  <a:bodyPr/>
                  <a:lstStyle/>
                  <a:p>
                    <a:fld id="{ABC35137-C11E-48BD-AED0-DC675ABE435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302C-497D-8A89-16EAC3D28378}"/>
                </c:ext>
              </c:extLst>
            </c:dLbl>
            <c:dLbl>
              <c:idx val="11"/>
              <c:tx>
                <c:rich>
                  <a:bodyPr/>
                  <a:lstStyle/>
                  <a:p>
                    <a:fld id="{9EA98CD3-C103-421E-8DAF-4AB5935F6EF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302C-497D-8A89-16EAC3D28378}"/>
                </c:ext>
              </c:extLst>
            </c:dLbl>
            <c:dLbl>
              <c:idx val="12"/>
              <c:tx>
                <c:rich>
                  <a:bodyPr/>
                  <a:lstStyle/>
                  <a:p>
                    <a:fld id="{94AAABF5-F328-4253-BFB9-68417C02024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302C-497D-8A89-16EAC3D28378}"/>
                </c:ext>
              </c:extLst>
            </c:dLbl>
            <c:dLbl>
              <c:idx val="13"/>
              <c:tx>
                <c:rich>
                  <a:bodyPr/>
                  <a:lstStyle/>
                  <a:p>
                    <a:fld id="{DA373AE8-0ED7-4FE7-A9C3-7AED3555EE9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302C-497D-8A89-16EAC3D28378}"/>
                </c:ext>
              </c:extLst>
            </c:dLbl>
            <c:dLbl>
              <c:idx val="14"/>
              <c:tx>
                <c:rich>
                  <a:bodyPr/>
                  <a:lstStyle/>
                  <a:p>
                    <a:fld id="{8C60224A-BFDB-42C8-8222-130E6D08327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302C-497D-8A89-16EAC3D28378}"/>
                </c:ext>
              </c:extLst>
            </c:dLbl>
            <c:dLbl>
              <c:idx val="15"/>
              <c:tx>
                <c:rich>
                  <a:bodyPr/>
                  <a:lstStyle/>
                  <a:p>
                    <a:fld id="{5B2B27E4-AA25-4161-80FB-05A39C48D92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302C-497D-8A89-16EAC3D28378}"/>
                </c:ext>
              </c:extLst>
            </c:dLbl>
            <c:dLbl>
              <c:idx val="16"/>
              <c:tx>
                <c:rich>
                  <a:bodyPr/>
                  <a:lstStyle/>
                  <a:p>
                    <a:fld id="{9610D7BD-72FE-42DD-BBCB-4BB08A4762D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302C-497D-8A89-16EAC3D28378}"/>
                </c:ext>
              </c:extLst>
            </c:dLbl>
            <c:dLbl>
              <c:idx val="17"/>
              <c:tx>
                <c:rich>
                  <a:bodyPr/>
                  <a:lstStyle/>
                  <a:p>
                    <a:fld id="{2E847FEF-0545-4C8B-BC3B-84A9C691A57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302C-497D-8A89-16EAC3D28378}"/>
                </c:ext>
              </c:extLst>
            </c:dLbl>
            <c:dLbl>
              <c:idx val="18"/>
              <c:tx>
                <c:rich>
                  <a:bodyPr/>
                  <a:lstStyle/>
                  <a:p>
                    <a:fld id="{AA50E00F-DA4D-46C7-AFE2-EAEA5D47856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302C-497D-8A89-16EAC3D28378}"/>
                </c:ext>
              </c:extLst>
            </c:dLbl>
            <c:dLbl>
              <c:idx val="19"/>
              <c:tx>
                <c:rich>
                  <a:bodyPr/>
                  <a:lstStyle/>
                  <a:p>
                    <a:fld id="{CCE5DE56-5DF8-44AC-A593-FF772A3C0ED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302C-497D-8A89-16EAC3D28378}"/>
                </c:ext>
              </c:extLst>
            </c:dLbl>
            <c:dLbl>
              <c:idx val="20"/>
              <c:tx>
                <c:rich>
                  <a:bodyPr/>
                  <a:lstStyle/>
                  <a:p>
                    <a:fld id="{F01E1577-2909-4B1D-BF53-40625820DB7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302C-497D-8A89-16EAC3D28378}"/>
                </c:ext>
              </c:extLst>
            </c:dLbl>
            <c:dLbl>
              <c:idx val="21"/>
              <c:tx>
                <c:rich>
                  <a:bodyPr/>
                  <a:lstStyle/>
                  <a:p>
                    <a:fld id="{7CD4292C-9028-49FF-97C1-131D97720AE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302C-497D-8A89-16EAC3D28378}"/>
                </c:ext>
              </c:extLst>
            </c:dLbl>
            <c:dLbl>
              <c:idx val="22"/>
              <c:tx>
                <c:rich>
                  <a:bodyPr/>
                  <a:lstStyle/>
                  <a:p>
                    <a:fld id="{6C8155C3-2029-4E5D-AB3A-3DFB247A739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302C-497D-8A89-16EAC3D28378}"/>
                </c:ext>
              </c:extLst>
            </c:dLbl>
            <c:dLbl>
              <c:idx val="23"/>
              <c:tx>
                <c:rich>
                  <a:bodyPr/>
                  <a:lstStyle/>
                  <a:p>
                    <a:fld id="{4AE3891A-4CEC-4CD6-82BF-C1872B0EA33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302C-497D-8A89-16EAC3D28378}"/>
                </c:ext>
              </c:extLst>
            </c:dLbl>
            <c:dLbl>
              <c:idx val="24"/>
              <c:tx>
                <c:rich>
                  <a:bodyPr/>
                  <a:lstStyle/>
                  <a:p>
                    <a:fld id="{2B7A01D7-6296-4C0B-8E28-3DC4A6974BE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302C-497D-8A89-16EAC3D28378}"/>
                </c:ext>
              </c:extLst>
            </c:dLbl>
            <c:dLbl>
              <c:idx val="25"/>
              <c:tx>
                <c:rich>
                  <a:bodyPr/>
                  <a:lstStyle/>
                  <a:p>
                    <a:fld id="{C87B4313-D8B0-415D-B408-7491721421D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302C-497D-8A89-16EAC3D28378}"/>
                </c:ext>
              </c:extLst>
            </c:dLbl>
            <c:dLbl>
              <c:idx val="26"/>
              <c:tx>
                <c:rich>
                  <a:bodyPr/>
                  <a:lstStyle/>
                  <a:p>
                    <a:fld id="{14C2FAAA-272F-4B23-B678-67827B82B11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302C-497D-8A89-16EAC3D28378}"/>
                </c:ext>
              </c:extLst>
            </c:dLbl>
            <c:dLbl>
              <c:idx val="27"/>
              <c:tx>
                <c:rich>
                  <a:bodyPr/>
                  <a:lstStyle/>
                  <a:p>
                    <a:fld id="{C31FA8DE-97BE-4317-9169-EFA73337B15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302C-497D-8A89-16EAC3D28378}"/>
                </c:ext>
              </c:extLst>
            </c:dLbl>
            <c:dLbl>
              <c:idx val="28"/>
              <c:tx>
                <c:rich>
                  <a:bodyPr/>
                  <a:lstStyle/>
                  <a:p>
                    <a:fld id="{C557BA0E-96CC-4D95-9F7D-9DE64294D49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302C-497D-8A89-16EAC3D28378}"/>
                </c:ext>
              </c:extLst>
            </c:dLbl>
            <c:dLbl>
              <c:idx val="29"/>
              <c:tx>
                <c:rich>
                  <a:bodyPr/>
                  <a:lstStyle/>
                  <a:p>
                    <a:fld id="{142D77B4-F137-4138-873E-76646E19783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302C-497D-8A89-16EAC3D28378}"/>
                </c:ext>
              </c:extLst>
            </c:dLbl>
            <c:dLbl>
              <c:idx val="30"/>
              <c:tx>
                <c:rich>
                  <a:bodyPr/>
                  <a:lstStyle/>
                  <a:p>
                    <a:fld id="{414042AE-8CE5-4193-A626-BCC69695294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302C-497D-8A89-16EAC3D28378}"/>
                </c:ext>
              </c:extLst>
            </c:dLbl>
            <c:dLbl>
              <c:idx val="31"/>
              <c:tx>
                <c:rich>
                  <a:bodyPr/>
                  <a:lstStyle/>
                  <a:p>
                    <a:fld id="{C32C8A9B-44CB-40E8-A2A5-0356DE89654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302C-497D-8A89-16EAC3D28378}"/>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graf'!$AW$68:$AW$99</c:f>
              <c:numCache>
                <c:formatCode>General</c:formatCode>
                <c:ptCount val="32"/>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302C-497D-8A89-16EAC3D28378}"/>
            </c:ext>
          </c:extLst>
        </c:ser>
        <c:ser>
          <c:idx val="0"/>
          <c:order val="2"/>
          <c:tx>
            <c:strRef>
              <c:f>'Prerađivačka_FS graf'!$AX$7</c:f>
              <c:strCache>
                <c:ptCount val="1"/>
                <c:pt idx="0">
                  <c:v>y</c:v>
                </c:pt>
              </c:strCache>
            </c:strRef>
          </c:tx>
          <c:spPr>
            <a:ln w="12700" cap="rnd">
              <a:solidFill>
                <a:srgbClr val="92278F"/>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graf'!$AX$68:$AX$99</c:f>
              <c:numCache>
                <c:formatCode>0.0</c:formatCode>
                <c:ptCount val="32"/>
                <c:pt idx="0">
                  <c:v>68.543689319999999</c:v>
                </c:pt>
                <c:pt idx="1">
                  <c:v>77.766990290999999</c:v>
                </c:pt>
                <c:pt idx="2">
                  <c:v>99.417475727999999</c:v>
                </c:pt>
                <c:pt idx="3">
                  <c:v>83.398058251999998</c:v>
                </c:pt>
                <c:pt idx="4">
                  <c:v>92.038834950999998</c:v>
                </c:pt>
                <c:pt idx="5">
                  <c:v>98.446601942000001</c:v>
                </c:pt>
                <c:pt idx="6">
                  <c:v>87.475728154999999</c:v>
                </c:pt>
                <c:pt idx="7">
                  <c:v>86.990291262</c:v>
                </c:pt>
                <c:pt idx="8">
                  <c:v>91.553398057999999</c:v>
                </c:pt>
                <c:pt idx="9">
                  <c:v>84.854368932</c:v>
                </c:pt>
                <c:pt idx="10">
                  <c:v>88.349514563</c:v>
                </c:pt>
                <c:pt idx="11">
                  <c:v>94.271844659999999</c:v>
                </c:pt>
                <c:pt idx="12">
                  <c:v>73.592233010000001</c:v>
                </c:pt>
                <c:pt idx="13">
                  <c:v>92.233009709000001</c:v>
                </c:pt>
                <c:pt idx="14">
                  <c:v>93.495145631</c:v>
                </c:pt>
                <c:pt idx="15">
                  <c:v>109.514563107</c:v>
                </c:pt>
                <c:pt idx="16">
                  <c:v>102.621359223</c:v>
                </c:pt>
                <c:pt idx="17">
                  <c:v>101.941747573</c:v>
                </c:pt>
                <c:pt idx="18">
                  <c:v>94.660194175000001</c:v>
                </c:pt>
                <c:pt idx="19">
                  <c:v>98.058252426999999</c:v>
                </c:pt>
                <c:pt idx="20">
                  <c:v>97.087378641000001</c:v>
                </c:pt>
                <c:pt idx="21">
                  <c:v>117.475728155</c:v>
                </c:pt>
                <c:pt idx="22">
                  <c:v>106.893203883</c:v>
                </c:pt>
                <c:pt idx="23">
                  <c:v>112.038834951</c:v>
                </c:pt>
                <c:pt idx="24">
                  <c:v>82.6</c:v>
                </c:pt>
                <c:pt idx="25">
                  <c:v>89.5</c:v>
                </c:pt>
                <c:pt idx="26">
                  <c:v>107.6</c:v>
                </c:pt>
                <c:pt idx="27">
                  <c:v>102.8</c:v>
                </c:pt>
                <c:pt idx="28">
                  <c:v>112.3</c:v>
                </c:pt>
                <c:pt idx="29">
                  <c:v>106.4</c:v>
                </c:pt>
                <c:pt idx="30">
                  <c:v>103.6</c:v>
                </c:pt>
                <c:pt idx="31">
                  <c:v>103.5</c:v>
                </c:pt>
              </c:numCache>
            </c:numRef>
          </c:val>
          <c:smooth val="0"/>
          <c:extLst>
            <c:ext xmlns:c16="http://schemas.microsoft.com/office/drawing/2014/chart" uri="{C3380CC4-5D6E-409C-BE32-E72D297353CC}">
              <c16:uniqueId val="{00000025-302C-497D-8A89-16EAC3D28378}"/>
            </c:ext>
          </c:extLst>
        </c:ser>
        <c:ser>
          <c:idx val="1"/>
          <c:order val="3"/>
          <c:tx>
            <c:strRef>
              <c:f>'Prerađivačka_FS graf'!$AY$7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graf'!$AY$68:$AY$99</c:f>
              <c:numCache>
                <c:formatCode>0.0</c:formatCode>
                <c:ptCount val="32"/>
                <c:pt idx="0">
                  <c:v>88.344995304999998</c:v>
                </c:pt>
                <c:pt idx="1">
                  <c:v>85.338292679000006</c:v>
                </c:pt>
                <c:pt idx="2">
                  <c:v>91.008171653000005</c:v>
                </c:pt>
                <c:pt idx="3">
                  <c:v>89.257038366000003</c:v>
                </c:pt>
                <c:pt idx="4">
                  <c:v>87.279786205999997</c:v>
                </c:pt>
                <c:pt idx="5">
                  <c:v>92.195057011000003</c:v>
                </c:pt>
                <c:pt idx="6">
                  <c:v>93.095302398000001</c:v>
                </c:pt>
                <c:pt idx="7">
                  <c:v>87.797964123</c:v>
                </c:pt>
                <c:pt idx="8">
                  <c:v>89.835220075999999</c:v>
                </c:pt>
                <c:pt idx="9">
                  <c:v>77.777533910000002</c:v>
                </c:pt>
                <c:pt idx="10">
                  <c:v>82.712796550999997</c:v>
                </c:pt>
                <c:pt idx="11">
                  <c:v>88.476167966999995</c:v>
                </c:pt>
                <c:pt idx="12">
                  <c:v>94.611565971999994</c:v>
                </c:pt>
                <c:pt idx="13">
                  <c:v>98.095980670000003</c:v>
                </c:pt>
                <c:pt idx="14">
                  <c:v>89.395451934999997</c:v>
                </c:pt>
                <c:pt idx="15">
                  <c:v>107.801907427</c:v>
                </c:pt>
                <c:pt idx="16">
                  <c:v>100.207544536</c:v>
                </c:pt>
                <c:pt idx="17">
                  <c:v>99.461909571000007</c:v>
                </c:pt>
                <c:pt idx="18">
                  <c:v>96.881008531000006</c:v>
                </c:pt>
                <c:pt idx="19">
                  <c:v>100.795503217</c:v>
                </c:pt>
                <c:pt idx="20">
                  <c:v>95.685558142999994</c:v>
                </c:pt>
                <c:pt idx="21">
                  <c:v>105.622997364</c:v>
                </c:pt>
                <c:pt idx="22">
                  <c:v>104.21567649799999</c:v>
                </c:pt>
                <c:pt idx="23">
                  <c:v>103.583728729</c:v>
                </c:pt>
                <c:pt idx="24">
                  <c:v>107.398786207</c:v>
                </c:pt>
                <c:pt idx="25">
                  <c:v>94.705065062000003</c:v>
                </c:pt>
                <c:pt idx="26">
                  <c:v>103.313528668</c:v>
                </c:pt>
                <c:pt idx="27">
                  <c:v>105.07200936300001</c:v>
                </c:pt>
                <c:pt idx="28">
                  <c:v>107.09552359200001</c:v>
                </c:pt>
                <c:pt idx="29">
                  <c:v>101.747281734</c:v>
                </c:pt>
                <c:pt idx="30">
                  <c:v>106.18677526099999</c:v>
                </c:pt>
                <c:pt idx="31">
                  <c:v>108.34407637</c:v>
                </c:pt>
              </c:numCache>
            </c:numRef>
          </c:val>
          <c:smooth val="0"/>
          <c:extLst>
            <c:ext xmlns:c16="http://schemas.microsoft.com/office/drawing/2014/chart" uri="{C3380CC4-5D6E-409C-BE32-E72D297353CC}">
              <c16:uniqueId val="{00000026-302C-497D-8A89-16EAC3D28378}"/>
            </c:ext>
          </c:extLst>
        </c:ser>
        <c:ser>
          <c:idx val="2"/>
          <c:order val="4"/>
          <c:tx>
            <c:strRef>
              <c:f>'Prerađivačka_FS graf'!$AZ$7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graf'!$AZ$68:$AZ$99</c:f>
              <c:numCache>
                <c:formatCode>0.0</c:formatCode>
                <c:ptCount val="32"/>
                <c:pt idx="0">
                  <c:v>91.234165403000006</c:v>
                </c:pt>
                <c:pt idx="1">
                  <c:v>90.405544958999997</c:v>
                </c:pt>
                <c:pt idx="2">
                  <c:v>89.808415891999999</c:v>
                </c:pt>
                <c:pt idx="3">
                  <c:v>89.531584362000004</c:v>
                </c:pt>
                <c:pt idx="4">
                  <c:v>89.475629237999996</c:v>
                </c:pt>
                <c:pt idx="5">
                  <c:v>89.431073096999995</c:v>
                </c:pt>
                <c:pt idx="6">
                  <c:v>89.343866078000005</c:v>
                </c:pt>
                <c:pt idx="7">
                  <c:v>89.207324959000005</c:v>
                </c:pt>
                <c:pt idx="8">
                  <c:v>89.080787243000003</c:v>
                </c:pt>
                <c:pt idx="9">
                  <c:v>89.172933514999997</c:v>
                </c:pt>
                <c:pt idx="10">
                  <c:v>89.788888486000005</c:v>
                </c:pt>
                <c:pt idx="11">
                  <c:v>90.951185672999998</c:v>
                </c:pt>
                <c:pt idx="12">
                  <c:v>92.518206863000003</c:v>
                </c:pt>
                <c:pt idx="13">
                  <c:v>94.251223138</c:v>
                </c:pt>
                <c:pt idx="14">
                  <c:v>95.894216212000003</c:v>
                </c:pt>
                <c:pt idx="15">
                  <c:v>97.246627113000002</c:v>
                </c:pt>
                <c:pt idx="16">
                  <c:v>98.260850468000001</c:v>
                </c:pt>
                <c:pt idx="17">
                  <c:v>99.087479052999996</c:v>
                </c:pt>
                <c:pt idx="18">
                  <c:v>99.878428057999997</c:v>
                </c:pt>
                <c:pt idx="19">
                  <c:v>100.76604213100001</c:v>
                </c:pt>
                <c:pt idx="20">
                  <c:v>101.750843184</c:v>
                </c:pt>
                <c:pt idx="21">
                  <c:v>102.776279754</c:v>
                </c:pt>
                <c:pt idx="22">
                  <c:v>103.672900695</c:v>
                </c:pt>
                <c:pt idx="23">
                  <c:v>104.31787847299999</c:v>
                </c:pt>
                <c:pt idx="24">
                  <c:v>104.68456514099999</c:v>
                </c:pt>
                <c:pt idx="25">
                  <c:v>104.81848102799999</c:v>
                </c:pt>
                <c:pt idx="26">
                  <c:v>104.82761410099999</c:v>
                </c:pt>
                <c:pt idx="27">
                  <c:v>104.892106007</c:v>
                </c:pt>
                <c:pt idx="28">
                  <c:v>105.13078187399999</c:v>
                </c:pt>
                <c:pt idx="29">
                  <c:v>105.530763319</c:v>
                </c:pt>
                <c:pt idx="30">
                  <c:v>106.032662831</c:v>
                </c:pt>
                <c:pt idx="31">
                  <c:v>106.490230762</c:v>
                </c:pt>
              </c:numCache>
            </c:numRef>
          </c:val>
          <c:smooth val="0"/>
          <c:extLst>
            <c:ext xmlns:c16="http://schemas.microsoft.com/office/drawing/2014/chart" uri="{C3380CC4-5D6E-409C-BE32-E72D297353CC}">
              <c16:uniqueId val="{00000027-302C-497D-8A89-16EAC3D28378}"/>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30"/>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graf'!$L$7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097579198547426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E6-4ED8-B25E-D9141E06ABE4}"/>
                </c:ext>
              </c:extLst>
            </c:dLbl>
            <c:dLbl>
              <c:idx val="12"/>
              <c:layout>
                <c:manualLayout>
                  <c:x val="0.1120567879867785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E6-4ED8-B25E-D9141E06ABE4}"/>
                </c:ext>
              </c:extLst>
            </c:dLbl>
            <c:dLbl>
              <c:idx val="24"/>
              <c:layout>
                <c:manualLayout>
                  <c:x val="4.8057069575710563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E6-4ED8-B25E-D9141E06ABE4}"/>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graf'!$L$68:$L$99</c:f>
              <c:numCache>
                <c:formatCode>General</c:formatCode>
                <c:ptCount val="32"/>
                <c:pt idx="0">
                  <c:v>75</c:v>
                </c:pt>
                <c:pt idx="12">
                  <c:v>75</c:v>
                </c:pt>
                <c:pt idx="24">
                  <c:v>75</c:v>
                </c:pt>
              </c:numCache>
            </c:numRef>
          </c:val>
          <c:smooth val="0"/>
          <c:extLst>
            <c:ext xmlns:c16="http://schemas.microsoft.com/office/drawing/2014/chart" uri="{C3380CC4-5D6E-409C-BE32-E72D297353CC}">
              <c16:uniqueId val="{00000003-09E6-4ED8-B25E-D9141E06ABE4}"/>
            </c:ext>
          </c:extLst>
        </c:ser>
        <c:ser>
          <c:idx val="4"/>
          <c:order val="1"/>
          <c:tx>
            <c:strRef>
              <c:f>'Prerađivačka_FS graf'!$M$7</c:f>
              <c:strCache>
                <c:ptCount val="1"/>
                <c:pt idx="0">
                  <c:v>Series5</c:v>
                </c:pt>
              </c:strCache>
            </c:strRef>
          </c:tx>
          <c:spPr>
            <a:ln w="25400" cap="rnd">
              <a:noFill/>
              <a:round/>
            </a:ln>
            <a:effectLst/>
          </c:spPr>
          <c:marker>
            <c:symbol val="none"/>
          </c:marker>
          <c:dLbls>
            <c:dLbl>
              <c:idx val="0"/>
              <c:tx>
                <c:rich>
                  <a:bodyPr/>
                  <a:lstStyle/>
                  <a:p>
                    <a:fld id="{86943302-98CE-4516-8462-369FB03BE6C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09E6-4ED8-B25E-D9141E06ABE4}"/>
                </c:ext>
              </c:extLst>
            </c:dLbl>
            <c:dLbl>
              <c:idx val="1"/>
              <c:tx>
                <c:rich>
                  <a:bodyPr/>
                  <a:lstStyle/>
                  <a:p>
                    <a:fld id="{CAF32980-3562-4E84-97AE-6ED4C96676D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09E6-4ED8-B25E-D9141E06ABE4}"/>
                </c:ext>
              </c:extLst>
            </c:dLbl>
            <c:dLbl>
              <c:idx val="2"/>
              <c:tx>
                <c:rich>
                  <a:bodyPr/>
                  <a:lstStyle/>
                  <a:p>
                    <a:fld id="{7FC93BA4-8DBF-463E-A067-F988F60A49F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09E6-4ED8-B25E-D9141E06ABE4}"/>
                </c:ext>
              </c:extLst>
            </c:dLbl>
            <c:dLbl>
              <c:idx val="3"/>
              <c:tx>
                <c:rich>
                  <a:bodyPr/>
                  <a:lstStyle/>
                  <a:p>
                    <a:fld id="{D9490B7E-B345-4DB6-A9AC-77CD098C6D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09E6-4ED8-B25E-D9141E06ABE4}"/>
                </c:ext>
              </c:extLst>
            </c:dLbl>
            <c:dLbl>
              <c:idx val="4"/>
              <c:tx>
                <c:rich>
                  <a:bodyPr/>
                  <a:lstStyle/>
                  <a:p>
                    <a:fld id="{7EBE0793-5357-4542-99CD-0014AD34076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09E6-4ED8-B25E-D9141E06ABE4}"/>
                </c:ext>
              </c:extLst>
            </c:dLbl>
            <c:dLbl>
              <c:idx val="5"/>
              <c:tx>
                <c:rich>
                  <a:bodyPr/>
                  <a:lstStyle/>
                  <a:p>
                    <a:fld id="{BB958D5A-4CF8-473B-9217-EDF8E69C832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09E6-4ED8-B25E-D9141E06ABE4}"/>
                </c:ext>
              </c:extLst>
            </c:dLbl>
            <c:dLbl>
              <c:idx val="6"/>
              <c:tx>
                <c:rich>
                  <a:bodyPr/>
                  <a:lstStyle/>
                  <a:p>
                    <a:fld id="{CB228B57-1EF1-4A24-84BD-B4D1E20822F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09E6-4ED8-B25E-D9141E06ABE4}"/>
                </c:ext>
              </c:extLst>
            </c:dLbl>
            <c:dLbl>
              <c:idx val="7"/>
              <c:tx>
                <c:rich>
                  <a:bodyPr/>
                  <a:lstStyle/>
                  <a:p>
                    <a:fld id="{19C83FE0-C6D3-47AC-8FAF-3E31DCBCE17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09E6-4ED8-B25E-D9141E06ABE4}"/>
                </c:ext>
              </c:extLst>
            </c:dLbl>
            <c:dLbl>
              <c:idx val="8"/>
              <c:tx>
                <c:rich>
                  <a:bodyPr/>
                  <a:lstStyle/>
                  <a:p>
                    <a:fld id="{2ACC60FE-1F25-4153-BD98-C4CC6A67027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09E6-4ED8-B25E-D9141E06ABE4}"/>
                </c:ext>
              </c:extLst>
            </c:dLbl>
            <c:dLbl>
              <c:idx val="9"/>
              <c:tx>
                <c:rich>
                  <a:bodyPr/>
                  <a:lstStyle/>
                  <a:p>
                    <a:fld id="{2C345D43-5955-4CD0-9323-E61F0EE6945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09E6-4ED8-B25E-D9141E06ABE4}"/>
                </c:ext>
              </c:extLst>
            </c:dLbl>
            <c:dLbl>
              <c:idx val="10"/>
              <c:tx>
                <c:rich>
                  <a:bodyPr/>
                  <a:lstStyle/>
                  <a:p>
                    <a:fld id="{B4DB16FD-3546-4AD1-A68E-33B621164BE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09E6-4ED8-B25E-D9141E06ABE4}"/>
                </c:ext>
              </c:extLst>
            </c:dLbl>
            <c:dLbl>
              <c:idx val="11"/>
              <c:tx>
                <c:rich>
                  <a:bodyPr/>
                  <a:lstStyle/>
                  <a:p>
                    <a:fld id="{A2C37650-A9FE-4EC5-98A8-B1EB766CB61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09E6-4ED8-B25E-D9141E06ABE4}"/>
                </c:ext>
              </c:extLst>
            </c:dLbl>
            <c:dLbl>
              <c:idx val="12"/>
              <c:tx>
                <c:rich>
                  <a:bodyPr/>
                  <a:lstStyle/>
                  <a:p>
                    <a:fld id="{829E322C-27C2-4C99-A9BD-36B373A0F4A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09E6-4ED8-B25E-D9141E06ABE4}"/>
                </c:ext>
              </c:extLst>
            </c:dLbl>
            <c:dLbl>
              <c:idx val="13"/>
              <c:tx>
                <c:rich>
                  <a:bodyPr/>
                  <a:lstStyle/>
                  <a:p>
                    <a:fld id="{DC672270-5C6E-43EF-87C2-91A687F62F7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09E6-4ED8-B25E-D9141E06ABE4}"/>
                </c:ext>
              </c:extLst>
            </c:dLbl>
            <c:dLbl>
              <c:idx val="14"/>
              <c:tx>
                <c:rich>
                  <a:bodyPr/>
                  <a:lstStyle/>
                  <a:p>
                    <a:fld id="{1DF3EB97-45A3-4D15-88D8-31452F85D35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09E6-4ED8-B25E-D9141E06ABE4}"/>
                </c:ext>
              </c:extLst>
            </c:dLbl>
            <c:dLbl>
              <c:idx val="15"/>
              <c:tx>
                <c:rich>
                  <a:bodyPr/>
                  <a:lstStyle/>
                  <a:p>
                    <a:fld id="{34DD4A31-A8B7-4756-A074-3523E491CDC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09E6-4ED8-B25E-D9141E06ABE4}"/>
                </c:ext>
              </c:extLst>
            </c:dLbl>
            <c:dLbl>
              <c:idx val="16"/>
              <c:tx>
                <c:rich>
                  <a:bodyPr/>
                  <a:lstStyle/>
                  <a:p>
                    <a:fld id="{91B557EB-409C-4E47-9735-45D7F19C87C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09E6-4ED8-B25E-D9141E06ABE4}"/>
                </c:ext>
              </c:extLst>
            </c:dLbl>
            <c:dLbl>
              <c:idx val="17"/>
              <c:tx>
                <c:rich>
                  <a:bodyPr/>
                  <a:lstStyle/>
                  <a:p>
                    <a:fld id="{29CFE787-12EE-4AA9-92A0-E822EF957CC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09E6-4ED8-B25E-D9141E06ABE4}"/>
                </c:ext>
              </c:extLst>
            </c:dLbl>
            <c:dLbl>
              <c:idx val="18"/>
              <c:tx>
                <c:rich>
                  <a:bodyPr/>
                  <a:lstStyle/>
                  <a:p>
                    <a:fld id="{750BFA09-A3E3-4518-A012-F4D42B4E08F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09E6-4ED8-B25E-D9141E06ABE4}"/>
                </c:ext>
              </c:extLst>
            </c:dLbl>
            <c:dLbl>
              <c:idx val="19"/>
              <c:tx>
                <c:rich>
                  <a:bodyPr/>
                  <a:lstStyle/>
                  <a:p>
                    <a:fld id="{D379A5F1-AC11-4D30-9618-DFAE73706EE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09E6-4ED8-B25E-D9141E06ABE4}"/>
                </c:ext>
              </c:extLst>
            </c:dLbl>
            <c:dLbl>
              <c:idx val="20"/>
              <c:tx>
                <c:rich>
                  <a:bodyPr/>
                  <a:lstStyle/>
                  <a:p>
                    <a:fld id="{09FDB89D-C09F-4651-A4CE-D1E998E055F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09E6-4ED8-B25E-D9141E06ABE4}"/>
                </c:ext>
              </c:extLst>
            </c:dLbl>
            <c:dLbl>
              <c:idx val="21"/>
              <c:tx>
                <c:rich>
                  <a:bodyPr/>
                  <a:lstStyle/>
                  <a:p>
                    <a:fld id="{E099B811-E3C8-46FC-AC8A-4737A389D18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09E6-4ED8-B25E-D9141E06ABE4}"/>
                </c:ext>
              </c:extLst>
            </c:dLbl>
            <c:dLbl>
              <c:idx val="22"/>
              <c:tx>
                <c:rich>
                  <a:bodyPr/>
                  <a:lstStyle/>
                  <a:p>
                    <a:fld id="{19907F9A-AC51-4878-A9B1-09F951102C8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09E6-4ED8-B25E-D9141E06ABE4}"/>
                </c:ext>
              </c:extLst>
            </c:dLbl>
            <c:dLbl>
              <c:idx val="23"/>
              <c:tx>
                <c:rich>
                  <a:bodyPr/>
                  <a:lstStyle/>
                  <a:p>
                    <a:fld id="{C741344E-168A-4286-8E6D-AF2C86CCC86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09E6-4ED8-B25E-D9141E06ABE4}"/>
                </c:ext>
              </c:extLst>
            </c:dLbl>
            <c:dLbl>
              <c:idx val="24"/>
              <c:tx>
                <c:rich>
                  <a:bodyPr/>
                  <a:lstStyle/>
                  <a:p>
                    <a:fld id="{95B1C7B3-3041-48FD-B120-F4C31D2A898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09E6-4ED8-B25E-D9141E06ABE4}"/>
                </c:ext>
              </c:extLst>
            </c:dLbl>
            <c:dLbl>
              <c:idx val="25"/>
              <c:tx>
                <c:rich>
                  <a:bodyPr/>
                  <a:lstStyle/>
                  <a:p>
                    <a:fld id="{27F8B9CD-B0A3-48A1-BC2F-2078DD10D1C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09E6-4ED8-B25E-D9141E06ABE4}"/>
                </c:ext>
              </c:extLst>
            </c:dLbl>
            <c:dLbl>
              <c:idx val="26"/>
              <c:tx>
                <c:rich>
                  <a:bodyPr/>
                  <a:lstStyle/>
                  <a:p>
                    <a:fld id="{11BAA024-5FC1-4F2B-8185-D78493CABBC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09E6-4ED8-B25E-D9141E06ABE4}"/>
                </c:ext>
              </c:extLst>
            </c:dLbl>
            <c:dLbl>
              <c:idx val="27"/>
              <c:tx>
                <c:rich>
                  <a:bodyPr/>
                  <a:lstStyle/>
                  <a:p>
                    <a:fld id="{5C809501-21A7-4830-95CA-FE3F3E83ABD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09E6-4ED8-B25E-D9141E06ABE4}"/>
                </c:ext>
              </c:extLst>
            </c:dLbl>
            <c:dLbl>
              <c:idx val="28"/>
              <c:tx>
                <c:rich>
                  <a:bodyPr/>
                  <a:lstStyle/>
                  <a:p>
                    <a:fld id="{9425C88F-B1AA-41EF-911B-831528A2F24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09E6-4ED8-B25E-D9141E06ABE4}"/>
                </c:ext>
              </c:extLst>
            </c:dLbl>
            <c:dLbl>
              <c:idx val="29"/>
              <c:tx>
                <c:rich>
                  <a:bodyPr/>
                  <a:lstStyle/>
                  <a:p>
                    <a:fld id="{10DC4786-0415-4EA0-8E5C-91175ECF101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09E6-4ED8-B25E-D9141E06ABE4}"/>
                </c:ext>
              </c:extLst>
            </c:dLbl>
            <c:dLbl>
              <c:idx val="30"/>
              <c:tx>
                <c:rich>
                  <a:bodyPr/>
                  <a:lstStyle/>
                  <a:p>
                    <a:fld id="{C9BA6795-D057-4557-8BA0-495ED140CD1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09E6-4ED8-B25E-D9141E06ABE4}"/>
                </c:ext>
              </c:extLst>
            </c:dLbl>
            <c:dLbl>
              <c:idx val="31"/>
              <c:tx>
                <c:rich>
                  <a:bodyPr/>
                  <a:lstStyle/>
                  <a:p>
                    <a:fld id="{5DA4C683-70FD-45A2-9F3F-E3DA9166078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09E6-4ED8-B25E-D9141E06ABE4}"/>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graf'!$M$68:$M$99</c:f>
              <c:numCache>
                <c:formatCode>General</c:formatCode>
                <c:ptCount val="32"/>
                <c:pt idx="0">
                  <c:v>75</c:v>
                </c:pt>
                <c:pt idx="1">
                  <c:v>75</c:v>
                </c:pt>
                <c:pt idx="2">
                  <c:v>75</c:v>
                </c:pt>
                <c:pt idx="3">
                  <c:v>75</c:v>
                </c:pt>
                <c:pt idx="4">
                  <c:v>75</c:v>
                </c:pt>
                <c:pt idx="5">
                  <c:v>75</c:v>
                </c:pt>
                <c:pt idx="6">
                  <c:v>75</c:v>
                </c:pt>
                <c:pt idx="7">
                  <c:v>75</c:v>
                </c:pt>
                <c:pt idx="8">
                  <c:v>75</c:v>
                </c:pt>
                <c:pt idx="9">
                  <c:v>75</c:v>
                </c:pt>
                <c:pt idx="10">
                  <c:v>75</c:v>
                </c:pt>
                <c:pt idx="11">
                  <c:v>75</c:v>
                </c:pt>
                <c:pt idx="12">
                  <c:v>75</c:v>
                </c:pt>
                <c:pt idx="13">
                  <c:v>75</c:v>
                </c:pt>
                <c:pt idx="14">
                  <c:v>75</c:v>
                </c:pt>
                <c:pt idx="15">
                  <c:v>75</c:v>
                </c:pt>
                <c:pt idx="16">
                  <c:v>75</c:v>
                </c:pt>
                <c:pt idx="17">
                  <c:v>75</c:v>
                </c:pt>
                <c:pt idx="18">
                  <c:v>75</c:v>
                </c:pt>
                <c:pt idx="19">
                  <c:v>75</c:v>
                </c:pt>
                <c:pt idx="20">
                  <c:v>75</c:v>
                </c:pt>
                <c:pt idx="21">
                  <c:v>75</c:v>
                </c:pt>
                <c:pt idx="22">
                  <c:v>75</c:v>
                </c:pt>
                <c:pt idx="23">
                  <c:v>75</c:v>
                </c:pt>
                <c:pt idx="24">
                  <c:v>75</c:v>
                </c:pt>
                <c:pt idx="25">
                  <c:v>75</c:v>
                </c:pt>
                <c:pt idx="26">
                  <c:v>75</c:v>
                </c:pt>
                <c:pt idx="27">
                  <c:v>75</c:v>
                </c:pt>
                <c:pt idx="28">
                  <c:v>75</c:v>
                </c:pt>
                <c:pt idx="29">
                  <c:v>75</c:v>
                </c:pt>
                <c:pt idx="30">
                  <c:v>75</c:v>
                </c:pt>
                <c:pt idx="31">
                  <c:v>75</c:v>
                </c:pt>
              </c:numCache>
            </c:numRef>
          </c:val>
          <c:smooth val="0"/>
          <c:extLst>
            <c:ext xmlns:c15="http://schemas.microsoft.com/office/drawing/2012/chart" uri="{02D57815-91ED-43cb-92C2-25804820EDAC}">
              <c15:datalabelsRange>
                <c15:f>'Prerađivačka_FS graf'!$B$32:$B$87</c15:f>
                <c15:dlblRangeCache>
                  <c:ptCount val="56"/>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pt idx="45">
                    <c:v>X</c:v>
                  </c:pt>
                  <c:pt idx="48">
                    <c:v>I</c:v>
                  </c:pt>
                  <c:pt idx="51">
                    <c:v>IV</c:v>
                  </c:pt>
                  <c:pt idx="54">
                    <c:v>VII</c:v>
                  </c:pt>
                </c15:dlblRangeCache>
              </c15:datalabelsRange>
            </c:ext>
            <c:ext xmlns:c16="http://schemas.microsoft.com/office/drawing/2014/chart" uri="{C3380CC4-5D6E-409C-BE32-E72D297353CC}">
              <c16:uniqueId val="{00000024-09E6-4ED8-B25E-D9141E06ABE4}"/>
            </c:ext>
          </c:extLst>
        </c:ser>
        <c:ser>
          <c:idx val="0"/>
          <c:order val="2"/>
          <c:tx>
            <c:strRef>
              <c:f>'Prerađivačka_FS graf'!$N$7</c:f>
              <c:strCache>
                <c:ptCount val="1"/>
                <c:pt idx="0">
                  <c:v>y</c:v>
                </c:pt>
              </c:strCache>
            </c:strRef>
          </c:tx>
          <c:spPr>
            <a:ln w="12700" cap="rnd">
              <a:solidFill>
                <a:srgbClr val="92278F"/>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graf'!$N$68:$N$99</c:f>
              <c:numCache>
                <c:formatCode>0.0</c:formatCode>
                <c:ptCount val="32"/>
                <c:pt idx="0">
                  <c:v>82.003710574999999</c:v>
                </c:pt>
                <c:pt idx="1">
                  <c:v>83.580705008999999</c:v>
                </c:pt>
                <c:pt idx="2">
                  <c:v>96.938775509999999</c:v>
                </c:pt>
                <c:pt idx="3">
                  <c:v>90.166975880999999</c:v>
                </c:pt>
                <c:pt idx="4">
                  <c:v>94.341372913000001</c:v>
                </c:pt>
                <c:pt idx="5">
                  <c:v>91.094619666</c:v>
                </c:pt>
                <c:pt idx="6">
                  <c:v>88.033395175999999</c:v>
                </c:pt>
                <c:pt idx="7">
                  <c:v>90.816326531000001</c:v>
                </c:pt>
                <c:pt idx="8">
                  <c:v>106.307977737</c:v>
                </c:pt>
                <c:pt idx="9">
                  <c:v>112.708719852</c:v>
                </c:pt>
                <c:pt idx="10">
                  <c:v>108.441558442</c:v>
                </c:pt>
                <c:pt idx="11">
                  <c:v>106.864564007</c:v>
                </c:pt>
                <c:pt idx="12">
                  <c:v>91.094619666</c:v>
                </c:pt>
                <c:pt idx="13">
                  <c:v>91.187384045000002</c:v>
                </c:pt>
                <c:pt idx="14">
                  <c:v>98.051948052</c:v>
                </c:pt>
                <c:pt idx="15">
                  <c:v>102.504638219</c:v>
                </c:pt>
                <c:pt idx="16">
                  <c:v>95.825602967999998</c:v>
                </c:pt>
                <c:pt idx="17">
                  <c:v>100.463821892</c:v>
                </c:pt>
                <c:pt idx="18">
                  <c:v>91.558441557999998</c:v>
                </c:pt>
                <c:pt idx="19">
                  <c:v>95.454545455000002</c:v>
                </c:pt>
                <c:pt idx="20">
                  <c:v>106.400742115</c:v>
                </c:pt>
                <c:pt idx="21">
                  <c:v>115.213358071</c:v>
                </c:pt>
                <c:pt idx="22">
                  <c:v>105.936920223</c:v>
                </c:pt>
                <c:pt idx="23">
                  <c:v>106.493506494</c:v>
                </c:pt>
                <c:pt idx="24">
                  <c:v>89.1</c:v>
                </c:pt>
                <c:pt idx="25">
                  <c:v>91.5</c:v>
                </c:pt>
                <c:pt idx="26">
                  <c:v>98.8</c:v>
                </c:pt>
                <c:pt idx="27">
                  <c:v>96.6</c:v>
                </c:pt>
                <c:pt idx="28">
                  <c:v>95.5</c:v>
                </c:pt>
                <c:pt idx="29">
                  <c:v>99.9</c:v>
                </c:pt>
                <c:pt idx="30">
                  <c:v>95.6</c:v>
                </c:pt>
                <c:pt idx="31">
                  <c:v>91.3</c:v>
                </c:pt>
              </c:numCache>
            </c:numRef>
          </c:val>
          <c:smooth val="0"/>
          <c:extLst>
            <c:ext xmlns:c16="http://schemas.microsoft.com/office/drawing/2014/chart" uri="{C3380CC4-5D6E-409C-BE32-E72D297353CC}">
              <c16:uniqueId val="{00000025-09E6-4ED8-B25E-D9141E06ABE4}"/>
            </c:ext>
          </c:extLst>
        </c:ser>
        <c:ser>
          <c:idx val="1"/>
          <c:order val="3"/>
          <c:tx>
            <c:strRef>
              <c:f>'Prerađivačka_FS graf'!$O$7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graf'!$O$68:$O$99</c:f>
              <c:numCache>
                <c:formatCode>0.0</c:formatCode>
                <c:ptCount val="32"/>
                <c:pt idx="0">
                  <c:v>93.520371425999997</c:v>
                </c:pt>
                <c:pt idx="1">
                  <c:v>94.981069774000005</c:v>
                </c:pt>
                <c:pt idx="2">
                  <c:v>94.406756193999996</c:v>
                </c:pt>
                <c:pt idx="3">
                  <c:v>95.687901808999996</c:v>
                </c:pt>
                <c:pt idx="4">
                  <c:v>96.313025315000004</c:v>
                </c:pt>
                <c:pt idx="5">
                  <c:v>89.815961655999999</c:v>
                </c:pt>
                <c:pt idx="6">
                  <c:v>96.110386696999996</c:v>
                </c:pt>
                <c:pt idx="7">
                  <c:v>94.874523945000007</c:v>
                </c:pt>
                <c:pt idx="8">
                  <c:v>98.813540044000007</c:v>
                </c:pt>
                <c:pt idx="9">
                  <c:v>96.547042957000002</c:v>
                </c:pt>
                <c:pt idx="10">
                  <c:v>97.489607896999999</c:v>
                </c:pt>
                <c:pt idx="11">
                  <c:v>101.633532415</c:v>
                </c:pt>
                <c:pt idx="12">
                  <c:v>103.007507996</c:v>
                </c:pt>
                <c:pt idx="13">
                  <c:v>99.367897348</c:v>
                </c:pt>
                <c:pt idx="14">
                  <c:v>98.910235248999996</c:v>
                </c:pt>
                <c:pt idx="15">
                  <c:v>101.569645201</c:v>
                </c:pt>
                <c:pt idx="16">
                  <c:v>100.980815161</c:v>
                </c:pt>
                <c:pt idx="17">
                  <c:v>101.96682115199999</c:v>
                </c:pt>
                <c:pt idx="18">
                  <c:v>96.854515759999998</c:v>
                </c:pt>
                <c:pt idx="19">
                  <c:v>101.629367383</c:v>
                </c:pt>
                <c:pt idx="20">
                  <c:v>99.142030120000001</c:v>
                </c:pt>
                <c:pt idx="21">
                  <c:v>97.954042852000001</c:v>
                </c:pt>
                <c:pt idx="22">
                  <c:v>98.758274596999996</c:v>
                </c:pt>
                <c:pt idx="23">
                  <c:v>99.096185953000003</c:v>
                </c:pt>
                <c:pt idx="24">
                  <c:v>101.494271056</c:v>
                </c:pt>
                <c:pt idx="25">
                  <c:v>99.736239948000005</c:v>
                </c:pt>
                <c:pt idx="26">
                  <c:v>99.856822672000007</c:v>
                </c:pt>
                <c:pt idx="27">
                  <c:v>98.846855275999999</c:v>
                </c:pt>
                <c:pt idx="28">
                  <c:v>98.934261614999997</c:v>
                </c:pt>
                <c:pt idx="29">
                  <c:v>99.518211511999993</c:v>
                </c:pt>
                <c:pt idx="30">
                  <c:v>101.23927650100001</c:v>
                </c:pt>
                <c:pt idx="31">
                  <c:v>98.880654051999997</c:v>
                </c:pt>
              </c:numCache>
            </c:numRef>
          </c:val>
          <c:smooth val="0"/>
          <c:extLst>
            <c:ext xmlns:c16="http://schemas.microsoft.com/office/drawing/2014/chart" uri="{C3380CC4-5D6E-409C-BE32-E72D297353CC}">
              <c16:uniqueId val="{00000026-09E6-4ED8-B25E-D9141E06ABE4}"/>
            </c:ext>
          </c:extLst>
        </c:ser>
        <c:ser>
          <c:idx val="2"/>
          <c:order val="4"/>
          <c:tx>
            <c:strRef>
              <c:f>'Prerađivačka_FS graf'!$P$7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graf'!$P$68:$P$99</c:f>
              <c:numCache>
                <c:formatCode>0.0</c:formatCode>
                <c:ptCount val="32"/>
                <c:pt idx="0">
                  <c:v>94.16988714</c:v>
                </c:pt>
                <c:pt idx="1">
                  <c:v>94.521185975999998</c:v>
                </c:pt>
                <c:pt idx="2">
                  <c:v>94.895892054000001</c:v>
                </c:pt>
                <c:pt idx="3">
                  <c:v>95.212978738999993</c:v>
                </c:pt>
                <c:pt idx="4">
                  <c:v>95.464313622000006</c:v>
                </c:pt>
                <c:pt idx="5">
                  <c:v>95.714025849999999</c:v>
                </c:pt>
                <c:pt idx="6">
                  <c:v>96.088907016999997</c:v>
                </c:pt>
                <c:pt idx="7">
                  <c:v>96.621588673999995</c:v>
                </c:pt>
                <c:pt idx="8">
                  <c:v>97.281877480999995</c:v>
                </c:pt>
                <c:pt idx="9">
                  <c:v>98.016219325999998</c:v>
                </c:pt>
                <c:pt idx="10">
                  <c:v>98.800171706</c:v>
                </c:pt>
                <c:pt idx="11">
                  <c:v>99.530089504000003</c:v>
                </c:pt>
                <c:pt idx="12">
                  <c:v>100.14143022</c:v>
                </c:pt>
                <c:pt idx="13">
                  <c:v>100.586057482</c:v>
                </c:pt>
                <c:pt idx="14">
                  <c:v>100.837781517</c:v>
                </c:pt>
                <c:pt idx="15">
                  <c:v>100.89887904699999</c:v>
                </c:pt>
                <c:pt idx="16">
                  <c:v>100.765326343</c:v>
                </c:pt>
                <c:pt idx="17">
                  <c:v>100.497094201</c:v>
                </c:pt>
                <c:pt idx="18">
                  <c:v>100.158507699</c:v>
                </c:pt>
                <c:pt idx="19">
                  <c:v>99.861938140000007</c:v>
                </c:pt>
                <c:pt idx="20">
                  <c:v>99.636908876000007</c:v>
                </c:pt>
                <c:pt idx="21">
                  <c:v>99.470819265000003</c:v>
                </c:pt>
                <c:pt idx="22">
                  <c:v>99.373823266000002</c:v>
                </c:pt>
                <c:pt idx="23">
                  <c:v>99.391662792000005</c:v>
                </c:pt>
                <c:pt idx="24">
                  <c:v>99.491485827000005</c:v>
                </c:pt>
                <c:pt idx="25">
                  <c:v>99.580396110999999</c:v>
                </c:pt>
                <c:pt idx="26">
                  <c:v>99.613674712000005</c:v>
                </c:pt>
                <c:pt idx="27">
                  <c:v>99.604905236999997</c:v>
                </c:pt>
                <c:pt idx="28">
                  <c:v>99.609816889000001</c:v>
                </c:pt>
                <c:pt idx="29">
                  <c:v>99.643806006999995</c:v>
                </c:pt>
                <c:pt idx="30">
                  <c:v>99.757371333999998</c:v>
                </c:pt>
                <c:pt idx="31">
                  <c:v>99.958219618000001</c:v>
                </c:pt>
              </c:numCache>
            </c:numRef>
          </c:val>
          <c:smooth val="0"/>
          <c:extLst>
            <c:ext xmlns:c16="http://schemas.microsoft.com/office/drawing/2014/chart" uri="{C3380CC4-5D6E-409C-BE32-E72D297353CC}">
              <c16:uniqueId val="{00000027-09E6-4ED8-B25E-D9141E06ABE4}"/>
            </c:ext>
          </c:extLst>
        </c:ser>
        <c:dLbls>
          <c:showLegendKey val="0"/>
          <c:showVal val="0"/>
          <c:showCatName val="0"/>
          <c:showSerName val="0"/>
          <c:showPercent val="0"/>
          <c:showBubbleSize val="0"/>
        </c:dLbls>
        <c:marker val="1"/>
        <c:smooth val="0"/>
        <c:axId val="2092140400"/>
        <c:axId val="2092173040"/>
      </c:lineChart>
      <c:dateAx>
        <c:axId val="20921404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3040"/>
        <c:crosses val="autoZero"/>
        <c:auto val="1"/>
        <c:lblOffset val="0"/>
        <c:baseTimeUnit val="months"/>
        <c:majorUnit val="12"/>
        <c:majorTimeUnit val="months"/>
      </c:dateAx>
      <c:valAx>
        <c:axId val="2092173040"/>
        <c:scaling>
          <c:orientation val="minMax"/>
          <c:max val="120"/>
          <c:min val="7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4040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r>
              <a:rPr lang="sr-Cyrl-RS" sz="900" b="1">
                <a:solidFill>
                  <a:srgbClr val="002060"/>
                </a:solidFill>
              </a:rPr>
              <a:t>Стопа раста</a:t>
            </a:r>
            <a:r>
              <a:rPr lang="sr-Cyrl-RS" sz="900" b="1" baseline="0">
                <a:solidFill>
                  <a:srgbClr val="002060"/>
                </a:solidFill>
              </a:rPr>
              <a:t> БДП еврозоне</a:t>
            </a:r>
            <a:r>
              <a:rPr lang="sr-Cyrl-RS" sz="900" b="1">
                <a:solidFill>
                  <a:srgbClr val="002060"/>
                </a:solidFill>
              </a:rPr>
              <a:t>, %</a:t>
            </a:r>
          </a:p>
        </c:rich>
      </c:tx>
      <c:layout>
        <c:manualLayout>
          <c:xMode val="edge"/>
          <c:yMode val="edge"/>
          <c:x val="0.25719342373869936"/>
          <c:y val="3.4028407220801582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857688888888889"/>
          <c:w val="0.88876071125802292"/>
          <c:h val="0.69037833333333332"/>
        </c:manualLayout>
      </c:layout>
      <c:lineChart>
        <c:grouping val="standard"/>
        <c:varyColors val="0"/>
        <c:ser>
          <c:idx val="0"/>
          <c:order val="0"/>
          <c:tx>
            <c:strRef>
              <c:f>'Nemacka, Italija, realni rast'!$A$34</c:f>
              <c:strCache>
                <c:ptCount val="1"/>
                <c:pt idx="0">
                  <c:v>окт. 2024.</c:v>
                </c:pt>
              </c:strCache>
            </c:strRef>
          </c:tx>
          <c:spPr>
            <a:ln w="25400" cap="rnd">
              <a:solidFill>
                <a:schemeClr val="accent4"/>
              </a:solidFill>
              <a:prstDash val="sysDot"/>
              <a:round/>
            </a:ln>
            <a:effectLst/>
          </c:spPr>
          <c:marker>
            <c:symbol val="none"/>
          </c:marker>
          <c:dLbls>
            <c:dLbl>
              <c:idx val="0"/>
              <c:layout>
                <c:manualLayout>
                  <c:x val="-0.10149350639907982"/>
                  <c:y val="6.5497575714296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654-436B-8F96-B100621F3B7B}"/>
                </c:ext>
              </c:extLst>
            </c:dLbl>
            <c:dLbl>
              <c:idx val="1"/>
              <c:layout>
                <c:manualLayout>
                  <c:x val="-1.8028812945612548E-2"/>
                  <c:y val="-8.02772230416721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654-436B-8F96-B100621F3B7B}"/>
                </c:ext>
              </c:extLst>
            </c:dLbl>
            <c:dLbl>
              <c:idx val="2"/>
              <c:layout>
                <c:manualLayout>
                  <c:x val="-2.73904027617617E-2"/>
                  <c:y val="-4.904038177882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654-436B-8F96-B100621F3B7B}"/>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rast'!$E$33:$I$33</c:f>
              <c:numCache>
                <c:formatCode>General</c:formatCode>
                <c:ptCount val="3"/>
                <c:pt idx="0">
                  <c:v>2024</c:v>
                </c:pt>
                <c:pt idx="1">
                  <c:v>2025</c:v>
                </c:pt>
                <c:pt idx="2">
                  <c:v>2026</c:v>
                </c:pt>
              </c:numCache>
            </c:numRef>
          </c:cat>
          <c:val>
            <c:numRef>
              <c:f>'Nemacka, Italija, realni rast'!$E$34:$I$34</c:f>
              <c:numCache>
                <c:formatCode>0.0</c:formatCode>
                <c:ptCount val="3"/>
                <c:pt idx="0">
                  <c:v>0.83099999999999996</c:v>
                </c:pt>
                <c:pt idx="1">
                  <c:v>1.2450000000000001</c:v>
                </c:pt>
                <c:pt idx="2">
                  <c:v>1.454</c:v>
                </c:pt>
              </c:numCache>
            </c:numRef>
          </c:val>
          <c:smooth val="0"/>
          <c:extLst>
            <c:ext xmlns:c16="http://schemas.microsoft.com/office/drawing/2014/chart" uri="{C3380CC4-5D6E-409C-BE32-E72D297353CC}">
              <c16:uniqueId val="{00000003-0654-436B-8F96-B100621F3B7B}"/>
            </c:ext>
          </c:extLst>
        </c:ser>
        <c:ser>
          <c:idx val="1"/>
          <c:order val="1"/>
          <c:tx>
            <c:strRef>
              <c:f>'Nemacka, Italija, realni rast'!$A$35</c:f>
              <c:strCache>
                <c:ptCount val="1"/>
                <c:pt idx="0">
                  <c:v>апр. 2025.</c:v>
                </c:pt>
              </c:strCache>
            </c:strRef>
          </c:tx>
          <c:spPr>
            <a:ln w="22225" cap="rnd">
              <a:solidFill>
                <a:srgbClr val="002060"/>
              </a:solidFill>
              <a:prstDash val="sysDash"/>
              <a:round/>
            </a:ln>
            <a:effectLst/>
          </c:spPr>
          <c:marker>
            <c:symbol val="none"/>
          </c:marker>
          <c:dLbls>
            <c:dLbl>
              <c:idx val="0"/>
              <c:layout>
                <c:manualLayout>
                  <c:x val="-0.11984005572383546"/>
                  <c:y val="-6.83755685190064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654-436B-8F96-B100621F3B7B}"/>
                </c:ext>
              </c:extLst>
            </c:dLbl>
            <c:dLbl>
              <c:idx val="1"/>
              <c:layout>
                <c:manualLayout>
                  <c:x val="-3.2249151854722491E-2"/>
                  <c:y val="3.85490976338282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654-436B-8F96-B100621F3B7B}"/>
                </c:ext>
              </c:extLst>
            </c:dLbl>
            <c:dLbl>
              <c:idx val="2"/>
              <c:layout>
                <c:manualLayout>
                  <c:x val="-3.2007395914070126E-2"/>
                  <c:y val="-6.82339774291490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654-436B-8F96-B100621F3B7B}"/>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rast'!$E$33:$I$33</c:f>
              <c:numCache>
                <c:formatCode>General</c:formatCode>
                <c:ptCount val="3"/>
                <c:pt idx="0">
                  <c:v>2024</c:v>
                </c:pt>
                <c:pt idx="1">
                  <c:v>2025</c:v>
                </c:pt>
                <c:pt idx="2">
                  <c:v>2026</c:v>
                </c:pt>
              </c:numCache>
            </c:numRef>
          </c:cat>
          <c:val>
            <c:numRef>
              <c:f>'Nemacka, Italija, realni rast'!$E$35:$I$35</c:f>
              <c:numCache>
                <c:formatCode>0.0</c:formatCode>
                <c:ptCount val="3"/>
                <c:pt idx="0">
                  <c:v>0.85499999999999998</c:v>
                </c:pt>
                <c:pt idx="1">
                  <c:v>0.80600000000000005</c:v>
                </c:pt>
                <c:pt idx="2">
                  <c:v>1.1850000000000001</c:v>
                </c:pt>
              </c:numCache>
            </c:numRef>
          </c:val>
          <c:smooth val="0"/>
          <c:extLst>
            <c:ext xmlns:c16="http://schemas.microsoft.com/office/drawing/2014/chart" uri="{C3380CC4-5D6E-409C-BE32-E72D297353CC}">
              <c16:uniqueId val="{00000007-0654-436B-8F96-B100621F3B7B}"/>
            </c:ext>
          </c:extLst>
        </c:ser>
        <c:ser>
          <c:idx val="2"/>
          <c:order val="2"/>
          <c:tx>
            <c:strRef>
              <c:f>'Nemacka, Italija, realni rast'!$A$36</c:f>
              <c:strCache>
                <c:ptCount val="1"/>
                <c:pt idx="0">
                  <c:v>окт. 2025.</c:v>
                </c:pt>
              </c:strCache>
            </c:strRef>
          </c:tx>
          <c:spPr>
            <a:ln w="28575" cap="rnd">
              <a:solidFill>
                <a:srgbClr val="FF0000"/>
              </a:solidFill>
              <a:round/>
            </a:ln>
            <a:effectLst/>
          </c:spPr>
          <c:marker>
            <c:symbol val="none"/>
          </c:marker>
          <c:dLbls>
            <c:dLbl>
              <c:idx val="0"/>
              <c:tx>
                <c:rich>
                  <a:bodyPr/>
                  <a:lstStyle/>
                  <a:p>
                    <a:fld id="{7A763104-C9FC-4036-BE7D-A3D8C791F5BE}"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0654-436B-8F96-B100621F3B7B}"/>
                </c:ext>
              </c:extLst>
            </c:dLbl>
            <c:dLbl>
              <c:idx val="1"/>
              <c:tx>
                <c:rich>
                  <a:bodyPr/>
                  <a:lstStyle/>
                  <a:p>
                    <a:fld id="{5B471D56-7C8D-4C39-BA6A-1902CF213971}"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0654-436B-8F96-B100621F3B7B}"/>
                </c:ext>
              </c:extLst>
            </c:dLbl>
            <c:dLbl>
              <c:idx val="2"/>
              <c:tx>
                <c:rich>
                  <a:bodyPr/>
                  <a:lstStyle/>
                  <a:p>
                    <a:fld id="{478181A0-A492-41A8-9E8B-1B7E3A15ACCF}"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0654-436B-8F96-B100621F3B7B}"/>
                </c:ext>
              </c:extLst>
            </c:dLbl>
            <c:spPr>
              <a:solidFill>
                <a:srgbClr val="FF0000"/>
              </a:solidFill>
              <a:ln>
                <a:solidFill>
                  <a:srgbClr val="FF0000"/>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flowChartConnector">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'Nemacka, Italija, realni rast'!$E$33:$I$33</c:f>
              <c:numCache>
                <c:formatCode>General</c:formatCode>
                <c:ptCount val="3"/>
                <c:pt idx="0">
                  <c:v>2024</c:v>
                </c:pt>
                <c:pt idx="1">
                  <c:v>2025</c:v>
                </c:pt>
                <c:pt idx="2">
                  <c:v>2026</c:v>
                </c:pt>
              </c:numCache>
            </c:numRef>
          </c:cat>
          <c:val>
            <c:numRef>
              <c:f>'Nemacka, Italija, realni rast'!$E$36:$I$36</c:f>
              <c:numCache>
                <c:formatCode>0.0</c:formatCode>
                <c:ptCount val="3"/>
                <c:pt idx="0">
                  <c:v>0.85499999999999998</c:v>
                </c:pt>
                <c:pt idx="1">
                  <c:v>1.2</c:v>
                </c:pt>
                <c:pt idx="2">
                  <c:v>1.1000000000000001</c:v>
                </c:pt>
              </c:numCache>
            </c:numRef>
          </c:val>
          <c:smooth val="0"/>
          <c:extLst>
            <c:ext xmlns:c16="http://schemas.microsoft.com/office/drawing/2014/chart" uri="{C3380CC4-5D6E-409C-BE32-E72D297353CC}">
              <c16:uniqueId val="{0000000B-0654-436B-8F96-B100621F3B7B}"/>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graf'!$BF$7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2206211927304915"/>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092-4FD0-9300-98C92D824AE2}"/>
                </c:ext>
              </c:extLst>
            </c:dLbl>
            <c:dLbl>
              <c:idx val="12"/>
              <c:layout>
                <c:manualLayout>
                  <c:x val="9.8237320811683349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092-4FD0-9300-98C92D824AE2}"/>
                </c:ext>
              </c:extLst>
            </c:dLbl>
            <c:dLbl>
              <c:idx val="24"/>
              <c:layout>
                <c:manualLayout>
                  <c:x val="3.9194725357851325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092-4FD0-9300-98C92D824AE2}"/>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graf'!$BF$68:$BF$99</c:f>
              <c:numCache>
                <c:formatCode>General</c:formatCode>
                <c:ptCount val="32"/>
                <c:pt idx="0">
                  <c:v>60</c:v>
                </c:pt>
                <c:pt idx="12">
                  <c:v>60</c:v>
                </c:pt>
                <c:pt idx="24">
                  <c:v>60</c:v>
                </c:pt>
              </c:numCache>
            </c:numRef>
          </c:val>
          <c:smooth val="0"/>
          <c:extLst>
            <c:ext xmlns:c16="http://schemas.microsoft.com/office/drawing/2014/chart" uri="{C3380CC4-5D6E-409C-BE32-E72D297353CC}">
              <c16:uniqueId val="{00000003-E092-4FD0-9300-98C92D824AE2}"/>
            </c:ext>
          </c:extLst>
        </c:ser>
        <c:ser>
          <c:idx val="4"/>
          <c:order val="1"/>
          <c:tx>
            <c:strRef>
              <c:f>'Prerađivačka_FS graf'!$BG$7</c:f>
              <c:strCache>
                <c:ptCount val="1"/>
                <c:pt idx="0">
                  <c:v>Series5</c:v>
                </c:pt>
              </c:strCache>
            </c:strRef>
          </c:tx>
          <c:spPr>
            <a:ln w="25400" cap="rnd">
              <a:noFill/>
              <a:round/>
            </a:ln>
            <a:effectLst/>
          </c:spPr>
          <c:marker>
            <c:symbol val="none"/>
          </c:marker>
          <c:dLbls>
            <c:dLbl>
              <c:idx val="0"/>
              <c:tx>
                <c:rich>
                  <a:bodyPr/>
                  <a:lstStyle/>
                  <a:p>
                    <a:fld id="{6F9F364B-9A39-49C8-8E15-22D9B2412D8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E092-4FD0-9300-98C92D824AE2}"/>
                </c:ext>
              </c:extLst>
            </c:dLbl>
            <c:dLbl>
              <c:idx val="1"/>
              <c:tx>
                <c:rich>
                  <a:bodyPr/>
                  <a:lstStyle/>
                  <a:p>
                    <a:fld id="{C5B7D3AE-C358-4513-B14E-AF3D04A802B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E092-4FD0-9300-98C92D824AE2}"/>
                </c:ext>
              </c:extLst>
            </c:dLbl>
            <c:dLbl>
              <c:idx val="2"/>
              <c:tx>
                <c:rich>
                  <a:bodyPr/>
                  <a:lstStyle/>
                  <a:p>
                    <a:fld id="{6B3E1AC7-B479-4A03-A91A-D16CA9346C9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E092-4FD0-9300-98C92D824AE2}"/>
                </c:ext>
              </c:extLst>
            </c:dLbl>
            <c:dLbl>
              <c:idx val="3"/>
              <c:tx>
                <c:rich>
                  <a:bodyPr/>
                  <a:lstStyle/>
                  <a:p>
                    <a:fld id="{489A15A5-6E1E-4C6A-9EC5-713DF42F677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E092-4FD0-9300-98C92D824AE2}"/>
                </c:ext>
              </c:extLst>
            </c:dLbl>
            <c:dLbl>
              <c:idx val="4"/>
              <c:tx>
                <c:rich>
                  <a:bodyPr/>
                  <a:lstStyle/>
                  <a:p>
                    <a:fld id="{CA041F65-DCF8-4A9C-A0C0-652C8198C06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E092-4FD0-9300-98C92D824AE2}"/>
                </c:ext>
              </c:extLst>
            </c:dLbl>
            <c:dLbl>
              <c:idx val="5"/>
              <c:tx>
                <c:rich>
                  <a:bodyPr/>
                  <a:lstStyle/>
                  <a:p>
                    <a:fld id="{2AC7B267-70F5-40CB-9492-78C5793DB1C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E092-4FD0-9300-98C92D824AE2}"/>
                </c:ext>
              </c:extLst>
            </c:dLbl>
            <c:dLbl>
              <c:idx val="6"/>
              <c:tx>
                <c:rich>
                  <a:bodyPr/>
                  <a:lstStyle/>
                  <a:p>
                    <a:fld id="{2620D279-56A0-4176-AFB9-06574016FE2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E092-4FD0-9300-98C92D824AE2}"/>
                </c:ext>
              </c:extLst>
            </c:dLbl>
            <c:dLbl>
              <c:idx val="7"/>
              <c:tx>
                <c:rich>
                  <a:bodyPr/>
                  <a:lstStyle/>
                  <a:p>
                    <a:fld id="{59ACA6D0-CE3F-4A1D-BB60-8DD6C75836D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E092-4FD0-9300-98C92D824AE2}"/>
                </c:ext>
              </c:extLst>
            </c:dLbl>
            <c:dLbl>
              <c:idx val="8"/>
              <c:tx>
                <c:rich>
                  <a:bodyPr/>
                  <a:lstStyle/>
                  <a:p>
                    <a:fld id="{0C950EFA-D235-4AA8-A5FA-C5BD90ACA98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E092-4FD0-9300-98C92D824AE2}"/>
                </c:ext>
              </c:extLst>
            </c:dLbl>
            <c:dLbl>
              <c:idx val="9"/>
              <c:tx>
                <c:rich>
                  <a:bodyPr/>
                  <a:lstStyle/>
                  <a:p>
                    <a:fld id="{8D780E27-74E5-4B8B-98FE-C3CC97EFDD2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E092-4FD0-9300-98C92D824AE2}"/>
                </c:ext>
              </c:extLst>
            </c:dLbl>
            <c:dLbl>
              <c:idx val="10"/>
              <c:tx>
                <c:rich>
                  <a:bodyPr/>
                  <a:lstStyle/>
                  <a:p>
                    <a:fld id="{1E256949-0196-4035-A2D9-B0FB357A1B5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E092-4FD0-9300-98C92D824AE2}"/>
                </c:ext>
              </c:extLst>
            </c:dLbl>
            <c:dLbl>
              <c:idx val="11"/>
              <c:tx>
                <c:rich>
                  <a:bodyPr/>
                  <a:lstStyle/>
                  <a:p>
                    <a:fld id="{A1DDFFD2-91B4-45BF-A2F4-EB9ED33CF5E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E092-4FD0-9300-98C92D824AE2}"/>
                </c:ext>
              </c:extLst>
            </c:dLbl>
            <c:dLbl>
              <c:idx val="12"/>
              <c:tx>
                <c:rich>
                  <a:bodyPr/>
                  <a:lstStyle/>
                  <a:p>
                    <a:fld id="{3C2A12FB-0478-4B21-A777-7D7A348013A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E092-4FD0-9300-98C92D824AE2}"/>
                </c:ext>
              </c:extLst>
            </c:dLbl>
            <c:dLbl>
              <c:idx val="13"/>
              <c:tx>
                <c:rich>
                  <a:bodyPr/>
                  <a:lstStyle/>
                  <a:p>
                    <a:fld id="{25F9F5E1-E0BA-4117-ABCC-8C18489C85F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E092-4FD0-9300-98C92D824AE2}"/>
                </c:ext>
              </c:extLst>
            </c:dLbl>
            <c:dLbl>
              <c:idx val="14"/>
              <c:tx>
                <c:rich>
                  <a:bodyPr/>
                  <a:lstStyle/>
                  <a:p>
                    <a:fld id="{3DE4DC26-5A1F-4CE8-B223-CBC30F9B573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E092-4FD0-9300-98C92D824AE2}"/>
                </c:ext>
              </c:extLst>
            </c:dLbl>
            <c:dLbl>
              <c:idx val="15"/>
              <c:tx>
                <c:rich>
                  <a:bodyPr/>
                  <a:lstStyle/>
                  <a:p>
                    <a:fld id="{D542E0D7-6F57-4EEF-911D-61FA1083EE1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E092-4FD0-9300-98C92D824AE2}"/>
                </c:ext>
              </c:extLst>
            </c:dLbl>
            <c:dLbl>
              <c:idx val="16"/>
              <c:tx>
                <c:rich>
                  <a:bodyPr/>
                  <a:lstStyle/>
                  <a:p>
                    <a:fld id="{9DCBB678-9B87-43CF-9226-4C80015956D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E092-4FD0-9300-98C92D824AE2}"/>
                </c:ext>
              </c:extLst>
            </c:dLbl>
            <c:dLbl>
              <c:idx val="17"/>
              <c:tx>
                <c:rich>
                  <a:bodyPr/>
                  <a:lstStyle/>
                  <a:p>
                    <a:fld id="{6A00E3A8-FAEA-4086-89D9-1570DE8D01B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E092-4FD0-9300-98C92D824AE2}"/>
                </c:ext>
              </c:extLst>
            </c:dLbl>
            <c:dLbl>
              <c:idx val="18"/>
              <c:tx>
                <c:rich>
                  <a:bodyPr/>
                  <a:lstStyle/>
                  <a:p>
                    <a:fld id="{5439C281-0029-4541-B1AD-2A494FBED24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E092-4FD0-9300-98C92D824AE2}"/>
                </c:ext>
              </c:extLst>
            </c:dLbl>
            <c:dLbl>
              <c:idx val="19"/>
              <c:tx>
                <c:rich>
                  <a:bodyPr/>
                  <a:lstStyle/>
                  <a:p>
                    <a:fld id="{39D7BDC2-ACB9-4F2D-A5A2-4618EC44329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E092-4FD0-9300-98C92D824AE2}"/>
                </c:ext>
              </c:extLst>
            </c:dLbl>
            <c:dLbl>
              <c:idx val="20"/>
              <c:tx>
                <c:rich>
                  <a:bodyPr/>
                  <a:lstStyle/>
                  <a:p>
                    <a:fld id="{2AFC4F59-C3D9-4855-8314-6CCAE79B4ED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E092-4FD0-9300-98C92D824AE2}"/>
                </c:ext>
              </c:extLst>
            </c:dLbl>
            <c:dLbl>
              <c:idx val="21"/>
              <c:tx>
                <c:rich>
                  <a:bodyPr/>
                  <a:lstStyle/>
                  <a:p>
                    <a:fld id="{70367680-831D-46E6-B153-59772EEE123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E092-4FD0-9300-98C92D824AE2}"/>
                </c:ext>
              </c:extLst>
            </c:dLbl>
            <c:dLbl>
              <c:idx val="22"/>
              <c:tx>
                <c:rich>
                  <a:bodyPr/>
                  <a:lstStyle/>
                  <a:p>
                    <a:fld id="{9DAC4E1C-85DA-481B-8B8D-9A0CBDFECAF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E092-4FD0-9300-98C92D824AE2}"/>
                </c:ext>
              </c:extLst>
            </c:dLbl>
            <c:dLbl>
              <c:idx val="23"/>
              <c:tx>
                <c:rich>
                  <a:bodyPr/>
                  <a:lstStyle/>
                  <a:p>
                    <a:fld id="{CCD2C3CB-994D-4CEF-959D-4E749B5B54A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E092-4FD0-9300-98C92D824AE2}"/>
                </c:ext>
              </c:extLst>
            </c:dLbl>
            <c:dLbl>
              <c:idx val="24"/>
              <c:tx>
                <c:rich>
                  <a:bodyPr/>
                  <a:lstStyle/>
                  <a:p>
                    <a:fld id="{EC013694-C071-4C04-B150-157280A8EDC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E092-4FD0-9300-98C92D824AE2}"/>
                </c:ext>
              </c:extLst>
            </c:dLbl>
            <c:dLbl>
              <c:idx val="25"/>
              <c:tx>
                <c:rich>
                  <a:bodyPr/>
                  <a:lstStyle/>
                  <a:p>
                    <a:fld id="{516EA7E9-4148-4733-A8E0-93326261DE6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E092-4FD0-9300-98C92D824AE2}"/>
                </c:ext>
              </c:extLst>
            </c:dLbl>
            <c:dLbl>
              <c:idx val="26"/>
              <c:tx>
                <c:rich>
                  <a:bodyPr/>
                  <a:lstStyle/>
                  <a:p>
                    <a:fld id="{CAB058A4-D9DD-4722-B16A-10EB508BAF0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E092-4FD0-9300-98C92D824AE2}"/>
                </c:ext>
              </c:extLst>
            </c:dLbl>
            <c:dLbl>
              <c:idx val="27"/>
              <c:tx>
                <c:rich>
                  <a:bodyPr/>
                  <a:lstStyle/>
                  <a:p>
                    <a:fld id="{40235B53-5CB5-42D8-8899-C35CC1283FA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E092-4FD0-9300-98C92D824AE2}"/>
                </c:ext>
              </c:extLst>
            </c:dLbl>
            <c:dLbl>
              <c:idx val="28"/>
              <c:tx>
                <c:rich>
                  <a:bodyPr/>
                  <a:lstStyle/>
                  <a:p>
                    <a:fld id="{2CA626BF-308B-4E2A-B652-53394FAC732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E092-4FD0-9300-98C92D824AE2}"/>
                </c:ext>
              </c:extLst>
            </c:dLbl>
            <c:dLbl>
              <c:idx val="29"/>
              <c:tx>
                <c:rich>
                  <a:bodyPr/>
                  <a:lstStyle/>
                  <a:p>
                    <a:fld id="{529C6BD6-E7C7-4853-AD01-0732167468A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E092-4FD0-9300-98C92D824AE2}"/>
                </c:ext>
              </c:extLst>
            </c:dLbl>
            <c:dLbl>
              <c:idx val="30"/>
              <c:tx>
                <c:rich>
                  <a:bodyPr/>
                  <a:lstStyle/>
                  <a:p>
                    <a:fld id="{5FDAC68D-FD8E-4F53-92DE-6E634AE871B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E092-4FD0-9300-98C92D824AE2}"/>
                </c:ext>
              </c:extLst>
            </c:dLbl>
            <c:dLbl>
              <c:idx val="31"/>
              <c:tx>
                <c:rich>
                  <a:bodyPr/>
                  <a:lstStyle/>
                  <a:p>
                    <a:fld id="{E463B64B-C189-4051-B2ED-EC864E64C72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E092-4FD0-9300-98C92D824AE2}"/>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graf'!$BG$68:$BG$99</c:f>
              <c:numCache>
                <c:formatCode>General</c:formatCode>
                <c:ptCount val="32"/>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E092-4FD0-9300-98C92D824AE2}"/>
            </c:ext>
          </c:extLst>
        </c:ser>
        <c:ser>
          <c:idx val="0"/>
          <c:order val="2"/>
          <c:tx>
            <c:strRef>
              <c:f>'Prerađivačka_FS graf'!$BH$7</c:f>
              <c:strCache>
                <c:ptCount val="1"/>
                <c:pt idx="0">
                  <c:v>y</c:v>
                </c:pt>
              </c:strCache>
            </c:strRef>
          </c:tx>
          <c:spPr>
            <a:ln w="12700" cap="rnd">
              <a:solidFill>
                <a:srgbClr val="92278F"/>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graf'!$BH$68:$BH$99</c:f>
              <c:numCache>
                <c:formatCode>0.0</c:formatCode>
                <c:ptCount val="32"/>
                <c:pt idx="0">
                  <c:v>107.1360608943863</c:v>
                </c:pt>
                <c:pt idx="1">
                  <c:v>112.65461465271171</c:v>
                </c:pt>
                <c:pt idx="2">
                  <c:v>132.35014272121791</c:v>
                </c:pt>
                <c:pt idx="3">
                  <c:v>115.50903901046622</c:v>
                </c:pt>
                <c:pt idx="4">
                  <c:v>113.79638439581352</c:v>
                </c:pt>
                <c:pt idx="5">
                  <c:v>110.08563273073264</c:v>
                </c:pt>
                <c:pt idx="6">
                  <c:v>93.339676498572786</c:v>
                </c:pt>
                <c:pt idx="7">
                  <c:v>93.339676498572786</c:v>
                </c:pt>
                <c:pt idx="8">
                  <c:v>104.75737392959086</c:v>
                </c:pt>
                <c:pt idx="9">
                  <c:v>101.04662226451001</c:v>
                </c:pt>
                <c:pt idx="10">
                  <c:v>104.28163653663178</c:v>
                </c:pt>
                <c:pt idx="11">
                  <c:v>109.895337773549</c:v>
                </c:pt>
                <c:pt idx="12">
                  <c:v>81.160799238820175</c:v>
                </c:pt>
                <c:pt idx="13">
                  <c:v>95.813510941960047</c:v>
                </c:pt>
                <c:pt idx="14">
                  <c:v>111.79828734538535</c:v>
                </c:pt>
                <c:pt idx="15">
                  <c:v>108.37297811607993</c:v>
                </c:pt>
                <c:pt idx="16">
                  <c:v>109.22930542340627</c:v>
                </c:pt>
                <c:pt idx="17">
                  <c:v>101.71265461465273</c:v>
                </c:pt>
                <c:pt idx="18">
                  <c:v>92.578496669838245</c:v>
                </c:pt>
                <c:pt idx="19">
                  <c:v>108.1826831588963</c:v>
                </c:pt>
                <c:pt idx="20">
                  <c:v>102.94957183634634</c:v>
                </c:pt>
                <c:pt idx="21">
                  <c:v>98.85823025689821</c:v>
                </c:pt>
                <c:pt idx="22">
                  <c:v>95.432921027592784</c:v>
                </c:pt>
                <c:pt idx="23">
                  <c:v>93.339676498572786</c:v>
                </c:pt>
                <c:pt idx="24">
                  <c:v>77</c:v>
                </c:pt>
                <c:pt idx="25">
                  <c:v>77.900000000000006</c:v>
                </c:pt>
                <c:pt idx="26">
                  <c:v>100.9</c:v>
                </c:pt>
                <c:pt idx="27">
                  <c:v>94.2</c:v>
                </c:pt>
                <c:pt idx="28">
                  <c:v>86.3</c:v>
                </c:pt>
                <c:pt idx="29">
                  <c:v>84.9</c:v>
                </c:pt>
                <c:pt idx="30">
                  <c:v>82.7</c:v>
                </c:pt>
                <c:pt idx="31">
                  <c:v>84</c:v>
                </c:pt>
              </c:numCache>
            </c:numRef>
          </c:val>
          <c:smooth val="0"/>
          <c:extLst>
            <c:ext xmlns:c16="http://schemas.microsoft.com/office/drawing/2014/chart" uri="{C3380CC4-5D6E-409C-BE32-E72D297353CC}">
              <c16:uniqueId val="{00000025-E092-4FD0-9300-98C92D824AE2}"/>
            </c:ext>
          </c:extLst>
        </c:ser>
        <c:ser>
          <c:idx val="1"/>
          <c:order val="3"/>
          <c:tx>
            <c:strRef>
              <c:f>'Prerađivačka_FS graf'!$BI$7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graf'!$BI$68:$BI$99</c:f>
              <c:numCache>
                <c:formatCode>0.0</c:formatCode>
                <c:ptCount val="32"/>
                <c:pt idx="0">
                  <c:v>119.21282407147315</c:v>
                </c:pt>
                <c:pt idx="1">
                  <c:v>118.84512836348411</c:v>
                </c:pt>
                <c:pt idx="2">
                  <c:v>118.63814895018214</c:v>
                </c:pt>
                <c:pt idx="3">
                  <c:v>120.70493716514086</c:v>
                </c:pt>
                <c:pt idx="4">
                  <c:v>112.67608428634404</c:v>
                </c:pt>
                <c:pt idx="5">
                  <c:v>106.88516086045367</c:v>
                </c:pt>
                <c:pt idx="6">
                  <c:v>105.71583891696172</c:v>
                </c:pt>
                <c:pt idx="7">
                  <c:v>90.028449368508007</c:v>
                </c:pt>
                <c:pt idx="8">
                  <c:v>98.902939707443238</c:v>
                </c:pt>
                <c:pt idx="9">
                  <c:v>102.39633077096978</c:v>
                </c:pt>
                <c:pt idx="10">
                  <c:v>105.85203284658536</c:v>
                </c:pt>
                <c:pt idx="11">
                  <c:v>104.8633145441615</c:v>
                </c:pt>
                <c:pt idx="12">
                  <c:v>90.816710328041637</c:v>
                </c:pt>
                <c:pt idx="13">
                  <c:v>100.30243845789194</c:v>
                </c:pt>
                <c:pt idx="14">
                  <c:v>100.96637798962387</c:v>
                </c:pt>
                <c:pt idx="15">
                  <c:v>101.91166007828723</c:v>
                </c:pt>
                <c:pt idx="16">
                  <c:v>112.13043817905765</c:v>
                </c:pt>
                <c:pt idx="17">
                  <c:v>101.8770468253275</c:v>
                </c:pt>
                <c:pt idx="18">
                  <c:v>97.420974747491528</c:v>
                </c:pt>
                <c:pt idx="19">
                  <c:v>109.28864757706042</c:v>
                </c:pt>
                <c:pt idx="20">
                  <c:v>102.04273420688911</c:v>
                </c:pt>
                <c:pt idx="21">
                  <c:v>96.017085174533563</c:v>
                </c:pt>
                <c:pt idx="22">
                  <c:v>93.578378858521759</c:v>
                </c:pt>
                <c:pt idx="23">
                  <c:v>85.417896712963199</c:v>
                </c:pt>
                <c:pt idx="24">
                  <c:v>91.964222196560328</c:v>
                </c:pt>
                <c:pt idx="25">
                  <c:v>81.178251842430896</c:v>
                </c:pt>
                <c:pt idx="26">
                  <c:v>93.43346680913595</c:v>
                </c:pt>
                <c:pt idx="27">
                  <c:v>89.804793566260159</c:v>
                </c:pt>
                <c:pt idx="28">
                  <c:v>86.3</c:v>
                </c:pt>
                <c:pt idx="29">
                  <c:v>84.9</c:v>
                </c:pt>
                <c:pt idx="30">
                  <c:v>82.7</c:v>
                </c:pt>
                <c:pt idx="31">
                  <c:v>84</c:v>
                </c:pt>
              </c:numCache>
            </c:numRef>
          </c:val>
          <c:smooth val="0"/>
          <c:extLst>
            <c:ext xmlns:c16="http://schemas.microsoft.com/office/drawing/2014/chart" uri="{C3380CC4-5D6E-409C-BE32-E72D297353CC}">
              <c16:uniqueId val="{00000026-E092-4FD0-9300-98C92D824AE2}"/>
            </c:ext>
          </c:extLst>
        </c:ser>
        <c:ser>
          <c:idx val="2"/>
          <c:order val="4"/>
          <c:tx>
            <c:strRef>
              <c:f>'Prerađivačka_FS graf'!$BJ$7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graf'!$BJ$68:$BJ$99</c:f>
              <c:numCache>
                <c:formatCode>0.0</c:formatCode>
                <c:ptCount val="32"/>
                <c:pt idx="0">
                  <c:v>118.96729953022361</c:v>
                </c:pt>
                <c:pt idx="1">
                  <c:v>119.75589862400011</c:v>
                </c:pt>
                <c:pt idx="2">
                  <c:v>118.84286905446362</c:v>
                </c:pt>
                <c:pt idx="3">
                  <c:v>116.50768496592883</c:v>
                </c:pt>
                <c:pt idx="4">
                  <c:v>113.05132031737047</c:v>
                </c:pt>
                <c:pt idx="5">
                  <c:v>109.11425771214512</c:v>
                </c:pt>
                <c:pt idx="6">
                  <c:v>105.69820588837855</c:v>
                </c:pt>
                <c:pt idx="7">
                  <c:v>103.41764139449003</c:v>
                </c:pt>
                <c:pt idx="8">
                  <c:v>102.4442797254606</c:v>
                </c:pt>
                <c:pt idx="9">
                  <c:v>102.40996292715394</c:v>
                </c:pt>
                <c:pt idx="10">
                  <c:v>102.63193104499182</c:v>
                </c:pt>
                <c:pt idx="11">
                  <c:v>102.61999227984144</c:v>
                </c:pt>
                <c:pt idx="12">
                  <c:v>102.41025126577091</c:v>
                </c:pt>
                <c:pt idx="13">
                  <c:v>102.01287946183184</c:v>
                </c:pt>
                <c:pt idx="14">
                  <c:v>101.60975877572443</c:v>
                </c:pt>
                <c:pt idx="15">
                  <c:v>101.59235193894465</c:v>
                </c:pt>
                <c:pt idx="16">
                  <c:v>102.04095042951391</c:v>
                </c:pt>
                <c:pt idx="17">
                  <c:v>102.52941537217201</c:v>
                </c:pt>
                <c:pt idx="18">
                  <c:v>102.39061163247963</c:v>
                </c:pt>
                <c:pt idx="19">
                  <c:v>101.35455593478748</c:v>
                </c:pt>
                <c:pt idx="20">
                  <c:v>99.424347806976272</c:v>
                </c:pt>
                <c:pt idx="21">
                  <c:v>96.918129818121415</c:v>
                </c:pt>
                <c:pt idx="22">
                  <c:v>94.37933262094711</c:v>
                </c:pt>
                <c:pt idx="23">
                  <c:v>92.254882886591034</c:v>
                </c:pt>
                <c:pt idx="24">
                  <c:v>90.761373658853088</c:v>
                </c:pt>
                <c:pt idx="25">
                  <c:v>89.897176940382892</c:v>
                </c:pt>
                <c:pt idx="26">
                  <c:v>89.322835044318936</c:v>
                </c:pt>
                <c:pt idx="27">
                  <c:v>88.611563734543012</c:v>
                </c:pt>
                <c:pt idx="28">
                  <c:v>86.3</c:v>
                </c:pt>
                <c:pt idx="29">
                  <c:v>84.9</c:v>
                </c:pt>
                <c:pt idx="30">
                  <c:v>82.7</c:v>
                </c:pt>
                <c:pt idx="31">
                  <c:v>84</c:v>
                </c:pt>
              </c:numCache>
            </c:numRef>
          </c:val>
          <c:smooth val="0"/>
          <c:extLst>
            <c:ext xmlns:c16="http://schemas.microsoft.com/office/drawing/2014/chart" uri="{C3380CC4-5D6E-409C-BE32-E72D297353CC}">
              <c16:uniqueId val="{00000027-E092-4FD0-9300-98C92D824AE2}"/>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30"/>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graf'!$BK$7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1393195522516447"/>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1E-4E83-8626-E18ACDFF145A}"/>
                </c:ext>
              </c:extLst>
            </c:dLbl>
            <c:dLbl>
              <c:idx val="12"/>
              <c:layout>
                <c:manualLayout>
                  <c:x val="0.11908557898075313"/>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1E-4E83-8626-E18ACDFF145A}"/>
                </c:ext>
              </c:extLst>
            </c:dLbl>
            <c:dLbl>
              <c:idx val="24"/>
              <c:layout>
                <c:manualLayout>
                  <c:x val="3.5025073724037355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B1E-4E83-8626-E18ACDFF145A}"/>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graf'!$BK$68:$BK$99</c:f>
              <c:numCache>
                <c:formatCode>General</c:formatCode>
                <c:ptCount val="32"/>
                <c:pt idx="0">
                  <c:v>40</c:v>
                </c:pt>
                <c:pt idx="12">
                  <c:v>40</c:v>
                </c:pt>
                <c:pt idx="24">
                  <c:v>40</c:v>
                </c:pt>
              </c:numCache>
            </c:numRef>
          </c:val>
          <c:smooth val="0"/>
          <c:extLst>
            <c:ext xmlns:c16="http://schemas.microsoft.com/office/drawing/2014/chart" uri="{C3380CC4-5D6E-409C-BE32-E72D297353CC}">
              <c16:uniqueId val="{00000003-3B1E-4E83-8626-E18ACDFF145A}"/>
            </c:ext>
          </c:extLst>
        </c:ser>
        <c:ser>
          <c:idx val="4"/>
          <c:order val="1"/>
          <c:tx>
            <c:strRef>
              <c:f>'Prerađivačka_FS graf'!$BL$7</c:f>
              <c:strCache>
                <c:ptCount val="1"/>
                <c:pt idx="0">
                  <c:v>Series5</c:v>
                </c:pt>
              </c:strCache>
            </c:strRef>
          </c:tx>
          <c:spPr>
            <a:ln w="25400" cap="rnd">
              <a:noFill/>
              <a:round/>
            </a:ln>
            <a:effectLst/>
          </c:spPr>
          <c:marker>
            <c:symbol val="none"/>
          </c:marker>
          <c:dLbls>
            <c:dLbl>
              <c:idx val="0"/>
              <c:tx>
                <c:rich>
                  <a:bodyPr/>
                  <a:lstStyle/>
                  <a:p>
                    <a:fld id="{7E82E5A8-5F2F-48BA-91A9-7D7A77C02DE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3B1E-4E83-8626-E18ACDFF145A}"/>
                </c:ext>
              </c:extLst>
            </c:dLbl>
            <c:dLbl>
              <c:idx val="1"/>
              <c:tx>
                <c:rich>
                  <a:bodyPr/>
                  <a:lstStyle/>
                  <a:p>
                    <a:fld id="{7FBC9D89-6D2F-4652-BFBC-68941FC62F7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3B1E-4E83-8626-E18ACDFF145A}"/>
                </c:ext>
              </c:extLst>
            </c:dLbl>
            <c:dLbl>
              <c:idx val="2"/>
              <c:tx>
                <c:rich>
                  <a:bodyPr/>
                  <a:lstStyle/>
                  <a:p>
                    <a:fld id="{E314C10D-C751-4A5B-BE79-E0C5D315FFB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3B1E-4E83-8626-E18ACDFF145A}"/>
                </c:ext>
              </c:extLst>
            </c:dLbl>
            <c:dLbl>
              <c:idx val="3"/>
              <c:tx>
                <c:rich>
                  <a:bodyPr/>
                  <a:lstStyle/>
                  <a:p>
                    <a:fld id="{C8D5E2F8-E583-4E8C-88E6-BA1490DC953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3B1E-4E83-8626-E18ACDFF145A}"/>
                </c:ext>
              </c:extLst>
            </c:dLbl>
            <c:dLbl>
              <c:idx val="4"/>
              <c:tx>
                <c:rich>
                  <a:bodyPr/>
                  <a:lstStyle/>
                  <a:p>
                    <a:fld id="{33F0CC90-B98E-4077-B87D-D2379268861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3B1E-4E83-8626-E18ACDFF145A}"/>
                </c:ext>
              </c:extLst>
            </c:dLbl>
            <c:dLbl>
              <c:idx val="5"/>
              <c:tx>
                <c:rich>
                  <a:bodyPr/>
                  <a:lstStyle/>
                  <a:p>
                    <a:fld id="{DDE94E25-B5CE-45C6-A92F-3C373BDA521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3B1E-4E83-8626-E18ACDFF145A}"/>
                </c:ext>
              </c:extLst>
            </c:dLbl>
            <c:dLbl>
              <c:idx val="6"/>
              <c:tx>
                <c:rich>
                  <a:bodyPr/>
                  <a:lstStyle/>
                  <a:p>
                    <a:fld id="{DAB3DC35-5859-4BD5-B08B-A17CA08A6A3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3B1E-4E83-8626-E18ACDFF145A}"/>
                </c:ext>
              </c:extLst>
            </c:dLbl>
            <c:dLbl>
              <c:idx val="7"/>
              <c:tx>
                <c:rich>
                  <a:bodyPr/>
                  <a:lstStyle/>
                  <a:p>
                    <a:fld id="{DC398956-3566-4045-B484-A17DF9DD1EB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3B1E-4E83-8626-E18ACDFF145A}"/>
                </c:ext>
              </c:extLst>
            </c:dLbl>
            <c:dLbl>
              <c:idx val="8"/>
              <c:tx>
                <c:rich>
                  <a:bodyPr/>
                  <a:lstStyle/>
                  <a:p>
                    <a:fld id="{32AC2E1F-B9C2-4C9C-885C-25448369A51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3B1E-4E83-8626-E18ACDFF145A}"/>
                </c:ext>
              </c:extLst>
            </c:dLbl>
            <c:dLbl>
              <c:idx val="9"/>
              <c:tx>
                <c:rich>
                  <a:bodyPr/>
                  <a:lstStyle/>
                  <a:p>
                    <a:fld id="{387F3913-4B1C-4AD5-B79B-559EAE99AF9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3B1E-4E83-8626-E18ACDFF145A}"/>
                </c:ext>
              </c:extLst>
            </c:dLbl>
            <c:dLbl>
              <c:idx val="10"/>
              <c:tx>
                <c:rich>
                  <a:bodyPr/>
                  <a:lstStyle/>
                  <a:p>
                    <a:fld id="{6ADE4E72-90D1-4877-80D1-F9604AC27C1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3B1E-4E83-8626-E18ACDFF145A}"/>
                </c:ext>
              </c:extLst>
            </c:dLbl>
            <c:dLbl>
              <c:idx val="11"/>
              <c:tx>
                <c:rich>
                  <a:bodyPr/>
                  <a:lstStyle/>
                  <a:p>
                    <a:fld id="{9F5B1408-8BF5-4D93-B080-9C2B309B9CF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3B1E-4E83-8626-E18ACDFF145A}"/>
                </c:ext>
              </c:extLst>
            </c:dLbl>
            <c:dLbl>
              <c:idx val="12"/>
              <c:tx>
                <c:rich>
                  <a:bodyPr/>
                  <a:lstStyle/>
                  <a:p>
                    <a:fld id="{FCBCF9E9-BD10-4818-B2DA-564FC046988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3B1E-4E83-8626-E18ACDFF145A}"/>
                </c:ext>
              </c:extLst>
            </c:dLbl>
            <c:dLbl>
              <c:idx val="13"/>
              <c:tx>
                <c:rich>
                  <a:bodyPr/>
                  <a:lstStyle/>
                  <a:p>
                    <a:fld id="{85F93549-8103-41B2-9C42-A10882C430C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3B1E-4E83-8626-E18ACDFF145A}"/>
                </c:ext>
              </c:extLst>
            </c:dLbl>
            <c:dLbl>
              <c:idx val="14"/>
              <c:tx>
                <c:rich>
                  <a:bodyPr/>
                  <a:lstStyle/>
                  <a:p>
                    <a:fld id="{584809FE-8C39-49CC-90AF-CBCEA221E37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3B1E-4E83-8626-E18ACDFF145A}"/>
                </c:ext>
              </c:extLst>
            </c:dLbl>
            <c:dLbl>
              <c:idx val="15"/>
              <c:tx>
                <c:rich>
                  <a:bodyPr/>
                  <a:lstStyle/>
                  <a:p>
                    <a:fld id="{C11EED60-1E97-451C-AAB5-6811140FC47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3B1E-4E83-8626-E18ACDFF145A}"/>
                </c:ext>
              </c:extLst>
            </c:dLbl>
            <c:dLbl>
              <c:idx val="16"/>
              <c:tx>
                <c:rich>
                  <a:bodyPr/>
                  <a:lstStyle/>
                  <a:p>
                    <a:fld id="{DA143970-9300-46D5-8DCE-D4E5EEDDA85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3B1E-4E83-8626-E18ACDFF145A}"/>
                </c:ext>
              </c:extLst>
            </c:dLbl>
            <c:dLbl>
              <c:idx val="17"/>
              <c:tx>
                <c:rich>
                  <a:bodyPr/>
                  <a:lstStyle/>
                  <a:p>
                    <a:fld id="{DE7F94FD-A9F6-48E1-900F-84B5BFAD635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3B1E-4E83-8626-E18ACDFF145A}"/>
                </c:ext>
              </c:extLst>
            </c:dLbl>
            <c:dLbl>
              <c:idx val="18"/>
              <c:tx>
                <c:rich>
                  <a:bodyPr/>
                  <a:lstStyle/>
                  <a:p>
                    <a:fld id="{18C6BB98-2104-4506-846D-9878A7D6987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3B1E-4E83-8626-E18ACDFF145A}"/>
                </c:ext>
              </c:extLst>
            </c:dLbl>
            <c:dLbl>
              <c:idx val="19"/>
              <c:tx>
                <c:rich>
                  <a:bodyPr/>
                  <a:lstStyle/>
                  <a:p>
                    <a:fld id="{FD5A6F8B-BC1C-40AB-A82F-55CF4840D2D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3B1E-4E83-8626-E18ACDFF145A}"/>
                </c:ext>
              </c:extLst>
            </c:dLbl>
            <c:dLbl>
              <c:idx val="20"/>
              <c:tx>
                <c:rich>
                  <a:bodyPr/>
                  <a:lstStyle/>
                  <a:p>
                    <a:fld id="{FDDE675E-8890-4E1D-B87E-242613293E6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3B1E-4E83-8626-E18ACDFF145A}"/>
                </c:ext>
              </c:extLst>
            </c:dLbl>
            <c:dLbl>
              <c:idx val="21"/>
              <c:tx>
                <c:rich>
                  <a:bodyPr/>
                  <a:lstStyle/>
                  <a:p>
                    <a:fld id="{04B34A1B-4ED5-45DE-B1EE-DC8184021E0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3B1E-4E83-8626-E18ACDFF145A}"/>
                </c:ext>
              </c:extLst>
            </c:dLbl>
            <c:dLbl>
              <c:idx val="22"/>
              <c:tx>
                <c:rich>
                  <a:bodyPr/>
                  <a:lstStyle/>
                  <a:p>
                    <a:fld id="{4FE51DBD-8E91-4993-AF72-7A0136DCB13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3B1E-4E83-8626-E18ACDFF145A}"/>
                </c:ext>
              </c:extLst>
            </c:dLbl>
            <c:dLbl>
              <c:idx val="23"/>
              <c:tx>
                <c:rich>
                  <a:bodyPr/>
                  <a:lstStyle/>
                  <a:p>
                    <a:fld id="{C99A8C29-63E0-469D-921B-E9A102A8F36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3B1E-4E83-8626-E18ACDFF145A}"/>
                </c:ext>
              </c:extLst>
            </c:dLbl>
            <c:dLbl>
              <c:idx val="24"/>
              <c:tx>
                <c:rich>
                  <a:bodyPr/>
                  <a:lstStyle/>
                  <a:p>
                    <a:fld id="{4CA2DBF2-D190-4B9F-9C88-B61717DA9D7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3B1E-4E83-8626-E18ACDFF145A}"/>
                </c:ext>
              </c:extLst>
            </c:dLbl>
            <c:dLbl>
              <c:idx val="25"/>
              <c:tx>
                <c:rich>
                  <a:bodyPr/>
                  <a:lstStyle/>
                  <a:p>
                    <a:fld id="{5DD95ED1-B293-4EFE-9827-2C79C73B5FF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3B1E-4E83-8626-E18ACDFF145A}"/>
                </c:ext>
              </c:extLst>
            </c:dLbl>
            <c:dLbl>
              <c:idx val="26"/>
              <c:tx>
                <c:rich>
                  <a:bodyPr/>
                  <a:lstStyle/>
                  <a:p>
                    <a:fld id="{195C4A59-843A-457B-961B-C183C6BE5F6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3B1E-4E83-8626-E18ACDFF145A}"/>
                </c:ext>
              </c:extLst>
            </c:dLbl>
            <c:dLbl>
              <c:idx val="27"/>
              <c:tx>
                <c:rich>
                  <a:bodyPr/>
                  <a:lstStyle/>
                  <a:p>
                    <a:fld id="{4B01BA26-15C7-4C21-AAC8-5DE9C4ED0AD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3B1E-4E83-8626-E18ACDFF145A}"/>
                </c:ext>
              </c:extLst>
            </c:dLbl>
            <c:dLbl>
              <c:idx val="28"/>
              <c:tx>
                <c:rich>
                  <a:bodyPr/>
                  <a:lstStyle/>
                  <a:p>
                    <a:fld id="{21CB1C0A-0A57-4509-B68B-F8042F28048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3B1E-4E83-8626-E18ACDFF145A}"/>
                </c:ext>
              </c:extLst>
            </c:dLbl>
            <c:dLbl>
              <c:idx val="29"/>
              <c:tx>
                <c:rich>
                  <a:bodyPr/>
                  <a:lstStyle/>
                  <a:p>
                    <a:fld id="{F82370B8-64A0-465F-A336-5C1AAC23933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3B1E-4E83-8626-E18ACDFF145A}"/>
                </c:ext>
              </c:extLst>
            </c:dLbl>
            <c:dLbl>
              <c:idx val="30"/>
              <c:tx>
                <c:rich>
                  <a:bodyPr/>
                  <a:lstStyle/>
                  <a:p>
                    <a:fld id="{FFFF3F31-9DFD-44B3-B247-AF389F2F31B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3B1E-4E83-8626-E18ACDFF145A}"/>
                </c:ext>
              </c:extLst>
            </c:dLbl>
            <c:dLbl>
              <c:idx val="31"/>
              <c:tx>
                <c:rich>
                  <a:bodyPr/>
                  <a:lstStyle/>
                  <a:p>
                    <a:fld id="{7AC49589-86AF-4780-BD9A-8EEF06B8525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3B1E-4E83-8626-E18ACDFF145A}"/>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graf'!$BL$68:$BL$99</c:f>
              <c:numCache>
                <c:formatCode>General</c:formatCode>
                <c:ptCount val="32"/>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3B1E-4E83-8626-E18ACDFF145A}"/>
            </c:ext>
          </c:extLst>
        </c:ser>
        <c:ser>
          <c:idx val="0"/>
          <c:order val="2"/>
          <c:tx>
            <c:strRef>
              <c:f>'Prerađivačka_FS graf'!$BM$7</c:f>
              <c:strCache>
                <c:ptCount val="1"/>
                <c:pt idx="0">
                  <c:v>y</c:v>
                </c:pt>
              </c:strCache>
            </c:strRef>
          </c:tx>
          <c:spPr>
            <a:ln w="12700" cap="rnd">
              <a:solidFill>
                <a:srgbClr val="92278F"/>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graf'!$BM$68:$BM$99</c:f>
              <c:numCache>
                <c:formatCode>0.0</c:formatCode>
                <c:ptCount val="32"/>
                <c:pt idx="0">
                  <c:v>59.730848860999998</c:v>
                </c:pt>
                <c:pt idx="1">
                  <c:v>69.254658384999999</c:v>
                </c:pt>
                <c:pt idx="2">
                  <c:v>103.519668737</c:v>
                </c:pt>
                <c:pt idx="3">
                  <c:v>100.414078675</c:v>
                </c:pt>
                <c:pt idx="4">
                  <c:v>108.17805383</c:v>
                </c:pt>
                <c:pt idx="5">
                  <c:v>104.45134575599999</c:v>
                </c:pt>
                <c:pt idx="6">
                  <c:v>100.31055900600001</c:v>
                </c:pt>
                <c:pt idx="7">
                  <c:v>125.362318841</c:v>
                </c:pt>
                <c:pt idx="8">
                  <c:v>114.38923395400001</c:v>
                </c:pt>
                <c:pt idx="9">
                  <c:v>117.908902692</c:v>
                </c:pt>
                <c:pt idx="10">
                  <c:v>104.037267081</c:v>
                </c:pt>
                <c:pt idx="11">
                  <c:v>96.997929607000003</c:v>
                </c:pt>
                <c:pt idx="12">
                  <c:v>54.658385093</c:v>
                </c:pt>
                <c:pt idx="13">
                  <c:v>80.848861283999994</c:v>
                </c:pt>
                <c:pt idx="14">
                  <c:v>105.175983437</c:v>
                </c:pt>
                <c:pt idx="15">
                  <c:v>112.836438923</c:v>
                </c:pt>
                <c:pt idx="16">
                  <c:v>106.52173913</c:v>
                </c:pt>
                <c:pt idx="17">
                  <c:v>103.623188406</c:v>
                </c:pt>
                <c:pt idx="18">
                  <c:v>104.347826087</c:v>
                </c:pt>
                <c:pt idx="19">
                  <c:v>107.24637681199999</c:v>
                </c:pt>
                <c:pt idx="20">
                  <c:v>106.418219462</c:v>
                </c:pt>
                <c:pt idx="21">
                  <c:v>122.67080745299999</c:v>
                </c:pt>
                <c:pt idx="22">
                  <c:v>102.48447204999999</c:v>
                </c:pt>
                <c:pt idx="23">
                  <c:v>93.581780538000004</c:v>
                </c:pt>
                <c:pt idx="24">
                  <c:v>57.7</c:v>
                </c:pt>
                <c:pt idx="25">
                  <c:v>80.7</c:v>
                </c:pt>
                <c:pt idx="26">
                  <c:v>105.7</c:v>
                </c:pt>
                <c:pt idx="27">
                  <c:v>97.7</c:v>
                </c:pt>
                <c:pt idx="28">
                  <c:v>116.7</c:v>
                </c:pt>
                <c:pt idx="29">
                  <c:v>111.5</c:v>
                </c:pt>
                <c:pt idx="30">
                  <c:v>109.1</c:v>
                </c:pt>
                <c:pt idx="31">
                  <c:v>107.4</c:v>
                </c:pt>
              </c:numCache>
            </c:numRef>
          </c:val>
          <c:smooth val="0"/>
          <c:extLst>
            <c:ext xmlns:c16="http://schemas.microsoft.com/office/drawing/2014/chart" uri="{C3380CC4-5D6E-409C-BE32-E72D297353CC}">
              <c16:uniqueId val="{00000025-3B1E-4E83-8626-E18ACDFF145A}"/>
            </c:ext>
          </c:extLst>
        </c:ser>
        <c:ser>
          <c:idx val="1"/>
          <c:order val="3"/>
          <c:tx>
            <c:strRef>
              <c:f>'Prerađivačka_FS graf'!$BN$7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graf'!$BN$68:$BN$99</c:f>
              <c:numCache>
                <c:formatCode>0.0</c:formatCode>
                <c:ptCount val="32"/>
                <c:pt idx="0">
                  <c:v>106.28251457899999</c:v>
                </c:pt>
                <c:pt idx="1">
                  <c:v>94.539902527999999</c:v>
                </c:pt>
                <c:pt idx="2">
                  <c:v>98.482957714999998</c:v>
                </c:pt>
                <c:pt idx="3">
                  <c:v>93.994506478999995</c:v>
                </c:pt>
                <c:pt idx="4">
                  <c:v>96.253439068999995</c:v>
                </c:pt>
                <c:pt idx="5">
                  <c:v>96.156335240999994</c:v>
                </c:pt>
                <c:pt idx="6">
                  <c:v>94.405475430999999</c:v>
                </c:pt>
                <c:pt idx="7">
                  <c:v>115.544457514</c:v>
                </c:pt>
                <c:pt idx="8">
                  <c:v>104.48192528</c:v>
                </c:pt>
                <c:pt idx="9">
                  <c:v>99.984416838000001</c:v>
                </c:pt>
                <c:pt idx="10">
                  <c:v>99.092976978999999</c:v>
                </c:pt>
                <c:pt idx="11">
                  <c:v>105.209067285</c:v>
                </c:pt>
                <c:pt idx="12">
                  <c:v>100.599196941</c:v>
                </c:pt>
                <c:pt idx="13">
                  <c:v>104.092993886</c:v>
                </c:pt>
                <c:pt idx="14">
                  <c:v>101.575709249</c:v>
                </c:pt>
                <c:pt idx="15">
                  <c:v>103.321328898</c:v>
                </c:pt>
                <c:pt idx="16">
                  <c:v>96.198625441999994</c:v>
                </c:pt>
                <c:pt idx="17">
                  <c:v>97.231082305000001</c:v>
                </c:pt>
                <c:pt idx="18">
                  <c:v>97.631436323000003</c:v>
                </c:pt>
                <c:pt idx="19">
                  <c:v>98.971087869000002</c:v>
                </c:pt>
                <c:pt idx="20">
                  <c:v>97.056469894000003</c:v>
                </c:pt>
                <c:pt idx="21">
                  <c:v>103.147866294</c:v>
                </c:pt>
                <c:pt idx="22">
                  <c:v>99.758347223000001</c:v>
                </c:pt>
                <c:pt idx="23">
                  <c:v>100.409074034</c:v>
                </c:pt>
                <c:pt idx="24">
                  <c:v>103.808501506</c:v>
                </c:pt>
                <c:pt idx="25">
                  <c:v>102.69316948300001</c:v>
                </c:pt>
                <c:pt idx="26">
                  <c:v>101.911339227</c:v>
                </c:pt>
                <c:pt idx="27">
                  <c:v>90.509967842999998</c:v>
                </c:pt>
                <c:pt idx="28">
                  <c:v>105.47316438199999</c:v>
                </c:pt>
                <c:pt idx="29">
                  <c:v>104.318488841</c:v>
                </c:pt>
                <c:pt idx="30">
                  <c:v>102.962573578</c:v>
                </c:pt>
                <c:pt idx="31">
                  <c:v>100.21314509699999</c:v>
                </c:pt>
              </c:numCache>
            </c:numRef>
          </c:val>
          <c:smooth val="0"/>
          <c:extLst>
            <c:ext xmlns:c16="http://schemas.microsoft.com/office/drawing/2014/chart" uri="{C3380CC4-5D6E-409C-BE32-E72D297353CC}">
              <c16:uniqueId val="{00000026-3B1E-4E83-8626-E18ACDFF145A}"/>
            </c:ext>
          </c:extLst>
        </c:ser>
        <c:ser>
          <c:idx val="2"/>
          <c:order val="4"/>
          <c:tx>
            <c:strRef>
              <c:f>'Prerađivačka_FS graf'!$BO$7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graf'!$BO$68:$BO$99</c:f>
              <c:numCache>
                <c:formatCode>0.0</c:formatCode>
                <c:ptCount val="32"/>
                <c:pt idx="0">
                  <c:v>98.879157823</c:v>
                </c:pt>
                <c:pt idx="1">
                  <c:v>97.635938304999996</c:v>
                </c:pt>
                <c:pt idx="2">
                  <c:v>96.677443017000002</c:v>
                </c:pt>
                <c:pt idx="3">
                  <c:v>96.173093003999995</c:v>
                </c:pt>
                <c:pt idx="4">
                  <c:v>96.255324537000007</c:v>
                </c:pt>
                <c:pt idx="5">
                  <c:v>96.889680898999998</c:v>
                </c:pt>
                <c:pt idx="6">
                  <c:v>97.946348663999999</c:v>
                </c:pt>
                <c:pt idx="7">
                  <c:v>99.127068383999998</c:v>
                </c:pt>
                <c:pt idx="8">
                  <c:v>100.30522596199999</c:v>
                </c:pt>
                <c:pt idx="9">
                  <c:v>101.35186854299999</c:v>
                </c:pt>
                <c:pt idx="10">
                  <c:v>102.125152837</c:v>
                </c:pt>
                <c:pt idx="11">
                  <c:v>102.512573012</c:v>
                </c:pt>
                <c:pt idx="12">
                  <c:v>102.453847217</c:v>
                </c:pt>
                <c:pt idx="13">
                  <c:v>101.972383604</c:v>
                </c:pt>
                <c:pt idx="14">
                  <c:v>101.18120774400001</c:v>
                </c:pt>
                <c:pt idx="15">
                  <c:v>100.275333545</c:v>
                </c:pt>
                <c:pt idx="16">
                  <c:v>99.401767035000006</c:v>
                </c:pt>
                <c:pt idx="17">
                  <c:v>98.700145155000001</c:v>
                </c:pt>
                <c:pt idx="18">
                  <c:v>98.341298803000001</c:v>
                </c:pt>
                <c:pt idx="19">
                  <c:v>98.464809079999995</c:v>
                </c:pt>
                <c:pt idx="20">
                  <c:v>98.986572417000005</c:v>
                </c:pt>
                <c:pt idx="21">
                  <c:v>99.736084598999994</c:v>
                </c:pt>
                <c:pt idx="22">
                  <c:v>100.605365439</c:v>
                </c:pt>
                <c:pt idx="23">
                  <c:v>101.456897943</c:v>
                </c:pt>
                <c:pt idx="24">
                  <c:v>102.20820549699999</c:v>
                </c:pt>
                <c:pt idx="25">
                  <c:v>102.79926963299999</c:v>
                </c:pt>
                <c:pt idx="26">
                  <c:v>103.22335269200001</c:v>
                </c:pt>
                <c:pt idx="27">
                  <c:v>103.423995687</c:v>
                </c:pt>
                <c:pt idx="28">
                  <c:v>103.357452337</c:v>
                </c:pt>
                <c:pt idx="29">
                  <c:v>103.030557109</c:v>
                </c:pt>
                <c:pt idx="30">
                  <c:v>102.49682927000001</c:v>
                </c:pt>
                <c:pt idx="31">
                  <c:v>101.83274013899999</c:v>
                </c:pt>
              </c:numCache>
            </c:numRef>
          </c:val>
          <c:smooth val="0"/>
          <c:extLst>
            <c:ext xmlns:c16="http://schemas.microsoft.com/office/drawing/2014/chart" uri="{C3380CC4-5D6E-409C-BE32-E72D297353CC}">
              <c16:uniqueId val="{00000027-3B1E-4E83-8626-E18ACDFF145A}"/>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graf'!$BA$7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2622356293120596"/>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4A2-411E-9470-FDD3E4FA03F5}"/>
                </c:ext>
              </c:extLst>
            </c:dLbl>
            <c:dLbl>
              <c:idx val="12"/>
              <c:layout>
                <c:manualLayout>
                  <c:x val="9.9559461530531454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A2-411E-9470-FDD3E4FA03F5}"/>
                </c:ext>
              </c:extLst>
            </c:dLbl>
            <c:dLbl>
              <c:idx val="24"/>
              <c:layout>
                <c:manualLayout>
                  <c:x val="4.3364376991665295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4A2-411E-9470-FDD3E4FA03F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graf'!$BA$68:$BA$99</c:f>
              <c:numCache>
                <c:formatCode>General</c:formatCode>
                <c:ptCount val="32"/>
                <c:pt idx="0">
                  <c:v>70</c:v>
                </c:pt>
                <c:pt idx="12">
                  <c:v>70</c:v>
                </c:pt>
                <c:pt idx="24">
                  <c:v>70</c:v>
                </c:pt>
              </c:numCache>
            </c:numRef>
          </c:val>
          <c:smooth val="0"/>
          <c:extLst>
            <c:ext xmlns:c16="http://schemas.microsoft.com/office/drawing/2014/chart" uri="{C3380CC4-5D6E-409C-BE32-E72D297353CC}">
              <c16:uniqueId val="{00000003-14A2-411E-9470-FDD3E4FA03F5}"/>
            </c:ext>
          </c:extLst>
        </c:ser>
        <c:ser>
          <c:idx val="4"/>
          <c:order val="1"/>
          <c:tx>
            <c:strRef>
              <c:f>'Prerađivačka_FS graf'!$BB$7</c:f>
              <c:strCache>
                <c:ptCount val="1"/>
                <c:pt idx="0">
                  <c:v>Series5</c:v>
                </c:pt>
              </c:strCache>
            </c:strRef>
          </c:tx>
          <c:spPr>
            <a:ln w="25400" cap="rnd">
              <a:noFill/>
              <a:round/>
            </a:ln>
            <a:effectLst/>
          </c:spPr>
          <c:marker>
            <c:symbol val="none"/>
          </c:marker>
          <c:dLbls>
            <c:dLbl>
              <c:idx val="0"/>
              <c:tx>
                <c:rich>
                  <a:bodyPr/>
                  <a:lstStyle/>
                  <a:p>
                    <a:fld id="{016BF164-2D5E-4218-9450-0B2E50F5A54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14A2-411E-9470-FDD3E4FA03F5}"/>
                </c:ext>
              </c:extLst>
            </c:dLbl>
            <c:dLbl>
              <c:idx val="1"/>
              <c:tx>
                <c:rich>
                  <a:bodyPr/>
                  <a:lstStyle/>
                  <a:p>
                    <a:fld id="{ACE5525A-5403-4DF4-8FC2-E4F305C25A5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14A2-411E-9470-FDD3E4FA03F5}"/>
                </c:ext>
              </c:extLst>
            </c:dLbl>
            <c:dLbl>
              <c:idx val="2"/>
              <c:tx>
                <c:rich>
                  <a:bodyPr/>
                  <a:lstStyle/>
                  <a:p>
                    <a:fld id="{2B30B8FD-EB43-4521-B981-5A22E8D763B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14A2-411E-9470-FDD3E4FA03F5}"/>
                </c:ext>
              </c:extLst>
            </c:dLbl>
            <c:dLbl>
              <c:idx val="3"/>
              <c:tx>
                <c:rich>
                  <a:bodyPr/>
                  <a:lstStyle/>
                  <a:p>
                    <a:fld id="{FA223130-1EEB-4A44-9236-94A57543D61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14A2-411E-9470-FDD3E4FA03F5}"/>
                </c:ext>
              </c:extLst>
            </c:dLbl>
            <c:dLbl>
              <c:idx val="4"/>
              <c:tx>
                <c:rich>
                  <a:bodyPr/>
                  <a:lstStyle/>
                  <a:p>
                    <a:fld id="{A01BF460-6446-4DB6-9403-C2A453BD6BF8}"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14A2-411E-9470-FDD3E4FA03F5}"/>
                </c:ext>
              </c:extLst>
            </c:dLbl>
            <c:dLbl>
              <c:idx val="5"/>
              <c:tx>
                <c:rich>
                  <a:bodyPr/>
                  <a:lstStyle/>
                  <a:p>
                    <a:fld id="{BF7006D9-5507-4080-97D4-023996E3446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14A2-411E-9470-FDD3E4FA03F5}"/>
                </c:ext>
              </c:extLst>
            </c:dLbl>
            <c:dLbl>
              <c:idx val="6"/>
              <c:tx>
                <c:rich>
                  <a:bodyPr/>
                  <a:lstStyle/>
                  <a:p>
                    <a:fld id="{7E9341E4-D43D-45A4-8718-EE6059E6CB8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14A2-411E-9470-FDD3E4FA03F5}"/>
                </c:ext>
              </c:extLst>
            </c:dLbl>
            <c:dLbl>
              <c:idx val="7"/>
              <c:tx>
                <c:rich>
                  <a:bodyPr/>
                  <a:lstStyle/>
                  <a:p>
                    <a:fld id="{93E31CAE-3C80-4A46-93DC-DA78FCF22DE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14A2-411E-9470-FDD3E4FA03F5}"/>
                </c:ext>
              </c:extLst>
            </c:dLbl>
            <c:dLbl>
              <c:idx val="8"/>
              <c:tx>
                <c:rich>
                  <a:bodyPr/>
                  <a:lstStyle/>
                  <a:p>
                    <a:fld id="{A499F08C-7883-4023-A543-BF98C7BAE6D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14A2-411E-9470-FDD3E4FA03F5}"/>
                </c:ext>
              </c:extLst>
            </c:dLbl>
            <c:dLbl>
              <c:idx val="9"/>
              <c:tx>
                <c:rich>
                  <a:bodyPr/>
                  <a:lstStyle/>
                  <a:p>
                    <a:fld id="{24BF712D-9D2D-4E1E-B373-A61A502B211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14A2-411E-9470-FDD3E4FA03F5}"/>
                </c:ext>
              </c:extLst>
            </c:dLbl>
            <c:dLbl>
              <c:idx val="10"/>
              <c:tx>
                <c:rich>
                  <a:bodyPr/>
                  <a:lstStyle/>
                  <a:p>
                    <a:fld id="{3D3C4A05-00D7-40A4-959B-27F5EC901E0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14A2-411E-9470-FDD3E4FA03F5}"/>
                </c:ext>
              </c:extLst>
            </c:dLbl>
            <c:dLbl>
              <c:idx val="11"/>
              <c:tx>
                <c:rich>
                  <a:bodyPr/>
                  <a:lstStyle/>
                  <a:p>
                    <a:fld id="{C6EEC3DF-F4A4-4D50-A979-1E7E370B795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14A2-411E-9470-FDD3E4FA03F5}"/>
                </c:ext>
              </c:extLst>
            </c:dLbl>
            <c:dLbl>
              <c:idx val="12"/>
              <c:tx>
                <c:rich>
                  <a:bodyPr/>
                  <a:lstStyle/>
                  <a:p>
                    <a:fld id="{3E219E28-9125-4110-9348-52E092C11CF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14A2-411E-9470-FDD3E4FA03F5}"/>
                </c:ext>
              </c:extLst>
            </c:dLbl>
            <c:dLbl>
              <c:idx val="13"/>
              <c:tx>
                <c:rich>
                  <a:bodyPr/>
                  <a:lstStyle/>
                  <a:p>
                    <a:fld id="{208AD273-7D0B-4B9A-90A7-FE192DDAFF5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14A2-411E-9470-FDD3E4FA03F5}"/>
                </c:ext>
              </c:extLst>
            </c:dLbl>
            <c:dLbl>
              <c:idx val="14"/>
              <c:tx>
                <c:rich>
                  <a:bodyPr/>
                  <a:lstStyle/>
                  <a:p>
                    <a:fld id="{C4C0DFF6-64E4-4641-89EF-77DC131BD02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14A2-411E-9470-FDD3E4FA03F5}"/>
                </c:ext>
              </c:extLst>
            </c:dLbl>
            <c:dLbl>
              <c:idx val="15"/>
              <c:tx>
                <c:rich>
                  <a:bodyPr/>
                  <a:lstStyle/>
                  <a:p>
                    <a:fld id="{439BCDE4-1B58-49C3-AE61-041695BF072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14A2-411E-9470-FDD3E4FA03F5}"/>
                </c:ext>
              </c:extLst>
            </c:dLbl>
            <c:dLbl>
              <c:idx val="16"/>
              <c:tx>
                <c:rich>
                  <a:bodyPr/>
                  <a:lstStyle/>
                  <a:p>
                    <a:fld id="{4CDC3C94-68AD-4B08-9DD4-310B24C0649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14A2-411E-9470-FDD3E4FA03F5}"/>
                </c:ext>
              </c:extLst>
            </c:dLbl>
            <c:dLbl>
              <c:idx val="17"/>
              <c:tx>
                <c:rich>
                  <a:bodyPr/>
                  <a:lstStyle/>
                  <a:p>
                    <a:fld id="{D95765A6-4A80-4A05-9DF3-29A3620FAFA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14A2-411E-9470-FDD3E4FA03F5}"/>
                </c:ext>
              </c:extLst>
            </c:dLbl>
            <c:dLbl>
              <c:idx val="18"/>
              <c:tx>
                <c:rich>
                  <a:bodyPr/>
                  <a:lstStyle/>
                  <a:p>
                    <a:fld id="{3FC6F5E9-0C17-4A9C-B688-AE3103F4FFB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14A2-411E-9470-FDD3E4FA03F5}"/>
                </c:ext>
              </c:extLst>
            </c:dLbl>
            <c:dLbl>
              <c:idx val="19"/>
              <c:tx>
                <c:rich>
                  <a:bodyPr/>
                  <a:lstStyle/>
                  <a:p>
                    <a:fld id="{17F1D009-DC7C-443E-8DF9-236B513B85F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14A2-411E-9470-FDD3E4FA03F5}"/>
                </c:ext>
              </c:extLst>
            </c:dLbl>
            <c:dLbl>
              <c:idx val="20"/>
              <c:tx>
                <c:rich>
                  <a:bodyPr/>
                  <a:lstStyle/>
                  <a:p>
                    <a:fld id="{2806602E-E7AB-4179-A2C8-1A4CD43FC4F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14A2-411E-9470-FDD3E4FA03F5}"/>
                </c:ext>
              </c:extLst>
            </c:dLbl>
            <c:dLbl>
              <c:idx val="21"/>
              <c:tx>
                <c:rich>
                  <a:bodyPr/>
                  <a:lstStyle/>
                  <a:p>
                    <a:fld id="{B5395574-E564-4641-86F5-A6768C21CD4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14A2-411E-9470-FDD3E4FA03F5}"/>
                </c:ext>
              </c:extLst>
            </c:dLbl>
            <c:dLbl>
              <c:idx val="22"/>
              <c:tx>
                <c:rich>
                  <a:bodyPr/>
                  <a:lstStyle/>
                  <a:p>
                    <a:fld id="{BDD86D0A-76BA-4A37-9145-5C9FF0EF2CCF}"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14A2-411E-9470-FDD3E4FA03F5}"/>
                </c:ext>
              </c:extLst>
            </c:dLbl>
            <c:dLbl>
              <c:idx val="23"/>
              <c:tx>
                <c:rich>
                  <a:bodyPr/>
                  <a:lstStyle/>
                  <a:p>
                    <a:fld id="{06AB53FA-CFF7-40BD-B45F-07161C9304F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14A2-411E-9470-FDD3E4FA03F5}"/>
                </c:ext>
              </c:extLst>
            </c:dLbl>
            <c:dLbl>
              <c:idx val="24"/>
              <c:tx>
                <c:rich>
                  <a:bodyPr/>
                  <a:lstStyle/>
                  <a:p>
                    <a:fld id="{D05E34DA-1B02-48F7-8C4D-EA8CE58F384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14A2-411E-9470-FDD3E4FA03F5}"/>
                </c:ext>
              </c:extLst>
            </c:dLbl>
            <c:dLbl>
              <c:idx val="25"/>
              <c:tx>
                <c:rich>
                  <a:bodyPr/>
                  <a:lstStyle/>
                  <a:p>
                    <a:fld id="{60140BD2-D1E0-426D-A243-3ECABBDB308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14A2-411E-9470-FDD3E4FA03F5}"/>
                </c:ext>
              </c:extLst>
            </c:dLbl>
            <c:dLbl>
              <c:idx val="26"/>
              <c:tx>
                <c:rich>
                  <a:bodyPr/>
                  <a:lstStyle/>
                  <a:p>
                    <a:fld id="{FA5B17FB-C592-4F60-8451-933FD9FF239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14A2-411E-9470-FDD3E4FA03F5}"/>
                </c:ext>
              </c:extLst>
            </c:dLbl>
            <c:dLbl>
              <c:idx val="27"/>
              <c:tx>
                <c:rich>
                  <a:bodyPr/>
                  <a:lstStyle/>
                  <a:p>
                    <a:fld id="{DB4A85A0-85F9-44CC-BDA3-AB85A66F39A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14A2-411E-9470-FDD3E4FA03F5}"/>
                </c:ext>
              </c:extLst>
            </c:dLbl>
            <c:dLbl>
              <c:idx val="28"/>
              <c:tx>
                <c:rich>
                  <a:bodyPr/>
                  <a:lstStyle/>
                  <a:p>
                    <a:fld id="{8D0617F8-DE1A-4B03-9FA2-6DB13D9BAFE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14A2-411E-9470-FDD3E4FA03F5}"/>
                </c:ext>
              </c:extLst>
            </c:dLbl>
            <c:dLbl>
              <c:idx val="29"/>
              <c:tx>
                <c:rich>
                  <a:bodyPr/>
                  <a:lstStyle/>
                  <a:p>
                    <a:fld id="{3A685C12-504F-4B7E-8D5B-69520632346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14A2-411E-9470-FDD3E4FA03F5}"/>
                </c:ext>
              </c:extLst>
            </c:dLbl>
            <c:dLbl>
              <c:idx val="30"/>
              <c:tx>
                <c:rich>
                  <a:bodyPr/>
                  <a:lstStyle/>
                  <a:p>
                    <a:fld id="{346AC755-3034-48E0-9CA6-DBEBA371D9A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14A2-411E-9470-FDD3E4FA03F5}"/>
                </c:ext>
              </c:extLst>
            </c:dLbl>
            <c:dLbl>
              <c:idx val="31"/>
              <c:tx>
                <c:rich>
                  <a:bodyPr/>
                  <a:lstStyle/>
                  <a:p>
                    <a:fld id="{917FF96C-5E87-41C4-9CEE-850E21AE3E1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14A2-411E-9470-FDD3E4FA03F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graf'!$BB$68:$BB$99</c:f>
              <c:numCache>
                <c:formatCode>General</c:formatCode>
                <c:ptCount val="32"/>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14A2-411E-9470-FDD3E4FA03F5}"/>
            </c:ext>
          </c:extLst>
        </c:ser>
        <c:ser>
          <c:idx val="0"/>
          <c:order val="2"/>
          <c:tx>
            <c:strRef>
              <c:f>'Prerađivačka_FS graf'!$BC$7</c:f>
              <c:strCache>
                <c:ptCount val="1"/>
                <c:pt idx="0">
                  <c:v>y</c:v>
                </c:pt>
              </c:strCache>
            </c:strRef>
          </c:tx>
          <c:spPr>
            <a:ln w="12700" cap="rnd">
              <a:solidFill>
                <a:srgbClr val="92278F"/>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graf'!$BC$68:$BC$99</c:f>
              <c:numCache>
                <c:formatCode>0.0</c:formatCode>
                <c:ptCount val="32"/>
                <c:pt idx="0">
                  <c:v>79.541284403999995</c:v>
                </c:pt>
                <c:pt idx="1">
                  <c:v>91.009174311999999</c:v>
                </c:pt>
                <c:pt idx="2">
                  <c:v>107.706422018</c:v>
                </c:pt>
                <c:pt idx="3">
                  <c:v>88.715596329999997</c:v>
                </c:pt>
                <c:pt idx="4">
                  <c:v>97.247706421999993</c:v>
                </c:pt>
                <c:pt idx="5">
                  <c:v>100.64220183499999</c:v>
                </c:pt>
                <c:pt idx="6">
                  <c:v>86.330275228999994</c:v>
                </c:pt>
                <c:pt idx="7">
                  <c:v>100.55045871599999</c:v>
                </c:pt>
                <c:pt idx="8">
                  <c:v>106.05504587199999</c:v>
                </c:pt>
                <c:pt idx="9">
                  <c:v>111.65137614699999</c:v>
                </c:pt>
                <c:pt idx="10">
                  <c:v>113.394495413</c:v>
                </c:pt>
                <c:pt idx="11">
                  <c:v>82.752293578000007</c:v>
                </c:pt>
                <c:pt idx="12">
                  <c:v>90.550458715999994</c:v>
                </c:pt>
                <c:pt idx="13">
                  <c:v>107.24770642199999</c:v>
                </c:pt>
                <c:pt idx="14">
                  <c:v>115.963302752</c:v>
                </c:pt>
                <c:pt idx="15">
                  <c:v>108.623853211</c:v>
                </c:pt>
                <c:pt idx="16">
                  <c:v>96.788990826000003</c:v>
                </c:pt>
                <c:pt idx="17">
                  <c:v>96.880733945000003</c:v>
                </c:pt>
                <c:pt idx="18">
                  <c:v>93.119266054999997</c:v>
                </c:pt>
                <c:pt idx="19">
                  <c:v>92.018348623999998</c:v>
                </c:pt>
                <c:pt idx="20">
                  <c:v>101.65137614699999</c:v>
                </c:pt>
                <c:pt idx="21">
                  <c:v>114.036697248</c:v>
                </c:pt>
                <c:pt idx="22">
                  <c:v>102.84403669700001</c:v>
                </c:pt>
                <c:pt idx="23">
                  <c:v>80.733944953999995</c:v>
                </c:pt>
                <c:pt idx="24">
                  <c:v>79.900000000000006</c:v>
                </c:pt>
                <c:pt idx="25">
                  <c:v>89.2</c:v>
                </c:pt>
                <c:pt idx="26">
                  <c:v>113.1</c:v>
                </c:pt>
                <c:pt idx="27">
                  <c:v>103.3</c:v>
                </c:pt>
                <c:pt idx="28">
                  <c:v>100.2</c:v>
                </c:pt>
                <c:pt idx="29">
                  <c:v>100.3</c:v>
                </c:pt>
                <c:pt idx="30">
                  <c:v>96.1</c:v>
                </c:pt>
                <c:pt idx="31">
                  <c:v>95.2</c:v>
                </c:pt>
              </c:numCache>
            </c:numRef>
          </c:val>
          <c:smooth val="0"/>
          <c:extLst>
            <c:ext xmlns:c16="http://schemas.microsoft.com/office/drawing/2014/chart" uri="{C3380CC4-5D6E-409C-BE32-E72D297353CC}">
              <c16:uniqueId val="{00000025-14A2-411E-9470-FDD3E4FA03F5}"/>
            </c:ext>
          </c:extLst>
        </c:ser>
        <c:ser>
          <c:idx val="1"/>
          <c:order val="3"/>
          <c:tx>
            <c:strRef>
              <c:f>'Prerađivačka_FS graf'!$BD$7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graf'!$BD$68:$BD$99</c:f>
              <c:numCache>
                <c:formatCode>0.0</c:formatCode>
                <c:ptCount val="32"/>
                <c:pt idx="0">
                  <c:v>95.073434469999995</c:v>
                </c:pt>
                <c:pt idx="1">
                  <c:v>95.959313788000003</c:v>
                </c:pt>
                <c:pt idx="2">
                  <c:v>93.892371221999994</c:v>
                </c:pt>
                <c:pt idx="3">
                  <c:v>88.495639924000002</c:v>
                </c:pt>
                <c:pt idx="4">
                  <c:v>94.856110551</c:v>
                </c:pt>
                <c:pt idx="5">
                  <c:v>96.492798863000004</c:v>
                </c:pt>
                <c:pt idx="6">
                  <c:v>92.402283392000001</c:v>
                </c:pt>
                <c:pt idx="7">
                  <c:v>106.87824773</c:v>
                </c:pt>
                <c:pt idx="8">
                  <c:v>100.38569019400001</c:v>
                </c:pt>
                <c:pt idx="9">
                  <c:v>100.596941391</c:v>
                </c:pt>
                <c:pt idx="10">
                  <c:v>106.71610037799999</c:v>
                </c:pt>
                <c:pt idx="11">
                  <c:v>96.464841109000005</c:v>
                </c:pt>
                <c:pt idx="12">
                  <c:v>103.07824417099999</c:v>
                </c:pt>
                <c:pt idx="13">
                  <c:v>107.96357606700001</c:v>
                </c:pt>
                <c:pt idx="14">
                  <c:v>104.12469098299999</c:v>
                </c:pt>
                <c:pt idx="15">
                  <c:v>101.941210978</c:v>
                </c:pt>
                <c:pt idx="16">
                  <c:v>100.88528755599999</c:v>
                </c:pt>
                <c:pt idx="17">
                  <c:v>95.708998625000007</c:v>
                </c:pt>
                <c:pt idx="18">
                  <c:v>97.850037850999996</c:v>
                </c:pt>
                <c:pt idx="19">
                  <c:v>97.913676787</c:v>
                </c:pt>
                <c:pt idx="20">
                  <c:v>98.359488338999995</c:v>
                </c:pt>
                <c:pt idx="21">
                  <c:v>98.332201824999999</c:v>
                </c:pt>
                <c:pt idx="22">
                  <c:v>96.581395248999996</c:v>
                </c:pt>
                <c:pt idx="23">
                  <c:v>96.761664976000006</c:v>
                </c:pt>
                <c:pt idx="24">
                  <c:v>95.323414111000005</c:v>
                </c:pt>
                <c:pt idx="25">
                  <c:v>90.907363910000001</c:v>
                </c:pt>
                <c:pt idx="26">
                  <c:v>101.03675427899999</c:v>
                </c:pt>
                <c:pt idx="27">
                  <c:v>100.026762647</c:v>
                </c:pt>
                <c:pt idx="28">
                  <c:v>98.995591567999995</c:v>
                </c:pt>
                <c:pt idx="29">
                  <c:v>100.774937337</c:v>
                </c:pt>
                <c:pt idx="30">
                  <c:v>99.991703600999998</c:v>
                </c:pt>
                <c:pt idx="31">
                  <c:v>103.126873729</c:v>
                </c:pt>
              </c:numCache>
            </c:numRef>
          </c:val>
          <c:smooth val="0"/>
          <c:extLst>
            <c:ext xmlns:c16="http://schemas.microsoft.com/office/drawing/2014/chart" uri="{C3380CC4-5D6E-409C-BE32-E72D297353CC}">
              <c16:uniqueId val="{00000026-14A2-411E-9470-FDD3E4FA03F5}"/>
            </c:ext>
          </c:extLst>
        </c:ser>
        <c:ser>
          <c:idx val="2"/>
          <c:order val="4"/>
          <c:tx>
            <c:strRef>
              <c:f>'Prerađivačka_FS graf'!$BE$7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graf'!$BE$68:$BE$99</c:f>
              <c:numCache>
                <c:formatCode>0.0</c:formatCode>
                <c:ptCount val="32"/>
                <c:pt idx="0">
                  <c:v>95.576620144000003</c:v>
                </c:pt>
                <c:pt idx="1">
                  <c:v>95.968797984999995</c:v>
                </c:pt>
                <c:pt idx="2">
                  <c:v>96.373583554999996</c:v>
                </c:pt>
                <c:pt idx="3">
                  <c:v>96.791186698000004</c:v>
                </c:pt>
                <c:pt idx="4">
                  <c:v>97.222756296</c:v>
                </c:pt>
                <c:pt idx="5">
                  <c:v>97.662331645999998</c:v>
                </c:pt>
                <c:pt idx="6">
                  <c:v>98.096816566000001</c:v>
                </c:pt>
                <c:pt idx="7">
                  <c:v>98.510380905000005</c:v>
                </c:pt>
                <c:pt idx="8">
                  <c:v>98.888184319999993</c:v>
                </c:pt>
                <c:pt idx="9">
                  <c:v>99.215752714999994</c:v>
                </c:pt>
                <c:pt idx="10">
                  <c:v>99.480650894999997</c:v>
                </c:pt>
                <c:pt idx="11">
                  <c:v>99.670113662999995</c:v>
                </c:pt>
                <c:pt idx="12">
                  <c:v>99.778088257999997</c:v>
                </c:pt>
                <c:pt idx="13">
                  <c:v>99.804787575999995</c:v>
                </c:pt>
                <c:pt idx="14">
                  <c:v>99.755194557999999</c:v>
                </c:pt>
                <c:pt idx="15">
                  <c:v>99.640677354000005</c:v>
                </c:pt>
                <c:pt idx="16">
                  <c:v>99.476693181000002</c:v>
                </c:pt>
                <c:pt idx="17">
                  <c:v>99.281498150999994</c:v>
                </c:pt>
                <c:pt idx="18">
                  <c:v>99.075374159999996</c:v>
                </c:pt>
                <c:pt idx="19">
                  <c:v>98.879000016999996</c:v>
                </c:pt>
                <c:pt idx="20">
                  <c:v>98.712511096</c:v>
                </c:pt>
                <c:pt idx="21">
                  <c:v>98.592861600000006</c:v>
                </c:pt>
                <c:pt idx="22">
                  <c:v>98.533273863000005</c:v>
                </c:pt>
                <c:pt idx="23">
                  <c:v>98.541749374999995</c:v>
                </c:pt>
                <c:pt idx="24">
                  <c:v>98.623242246999993</c:v>
                </c:pt>
                <c:pt idx="25">
                  <c:v>98.777751784000003</c:v>
                </c:pt>
                <c:pt idx="26">
                  <c:v>99.001749435999997</c:v>
                </c:pt>
                <c:pt idx="27">
                  <c:v>99.287198098000005</c:v>
                </c:pt>
                <c:pt idx="28">
                  <c:v>99.618604469999994</c:v>
                </c:pt>
                <c:pt idx="29">
                  <c:v>99.978827119000002</c:v>
                </c:pt>
                <c:pt idx="30">
                  <c:v>100.353193529</c:v>
                </c:pt>
                <c:pt idx="31">
                  <c:v>100.722872663</c:v>
                </c:pt>
              </c:numCache>
            </c:numRef>
          </c:val>
          <c:smooth val="0"/>
          <c:extLst>
            <c:ext xmlns:c16="http://schemas.microsoft.com/office/drawing/2014/chart" uri="{C3380CC4-5D6E-409C-BE32-E72D297353CC}">
              <c16:uniqueId val="{00000027-14A2-411E-9470-FDD3E4FA03F5}"/>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25"/>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graf'!$AA$7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9.7313548611613773E-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C8-4671-843B-240DC17E81DC}"/>
                </c:ext>
              </c:extLst>
            </c:dLbl>
            <c:dLbl>
              <c:idx val="12"/>
              <c:layout>
                <c:manualLayout>
                  <c:x val="0.10068697073401062"/>
                  <c:y val="3.42102014056351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C8-4671-843B-240DC17E81DC}"/>
                </c:ext>
              </c:extLst>
            </c:dLbl>
            <c:dLbl>
              <c:idx val="24"/>
              <c:layout>
                <c:manualLayout>
                  <c:x val="2.2742745982628893E-2"/>
                  <c:y val="3.525964647445765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C8-4671-843B-240DC17E81DC}"/>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graf'!$AA$68:$AA$99</c:f>
              <c:numCache>
                <c:formatCode>General</c:formatCode>
                <c:ptCount val="32"/>
                <c:pt idx="0">
                  <c:v>60</c:v>
                </c:pt>
                <c:pt idx="12">
                  <c:v>60</c:v>
                </c:pt>
                <c:pt idx="24">
                  <c:v>60</c:v>
                </c:pt>
              </c:numCache>
            </c:numRef>
          </c:val>
          <c:smooth val="0"/>
          <c:extLst>
            <c:ext xmlns:c16="http://schemas.microsoft.com/office/drawing/2014/chart" uri="{C3380CC4-5D6E-409C-BE32-E72D297353CC}">
              <c16:uniqueId val="{00000003-65C8-4671-843B-240DC17E81DC}"/>
            </c:ext>
          </c:extLst>
        </c:ser>
        <c:ser>
          <c:idx val="4"/>
          <c:order val="1"/>
          <c:tx>
            <c:strRef>
              <c:f>'Prerađivačka_FS graf'!$AB$7</c:f>
              <c:strCache>
                <c:ptCount val="1"/>
                <c:pt idx="0">
                  <c:v>Series5</c:v>
                </c:pt>
              </c:strCache>
            </c:strRef>
          </c:tx>
          <c:spPr>
            <a:ln w="25400" cap="rnd">
              <a:noFill/>
              <a:round/>
            </a:ln>
            <a:effectLst/>
          </c:spPr>
          <c:marker>
            <c:symbol val="none"/>
          </c:marker>
          <c:dLbls>
            <c:dLbl>
              <c:idx val="0"/>
              <c:tx>
                <c:rich>
                  <a:bodyPr/>
                  <a:lstStyle/>
                  <a:p>
                    <a:fld id="{A2E5F9B5-D7F0-482F-9EE6-F3262F19C76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65C8-4671-843B-240DC17E81DC}"/>
                </c:ext>
              </c:extLst>
            </c:dLbl>
            <c:dLbl>
              <c:idx val="1"/>
              <c:tx>
                <c:rich>
                  <a:bodyPr/>
                  <a:lstStyle/>
                  <a:p>
                    <a:fld id="{2B74DE4E-8553-44D4-97A5-445B072860F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65C8-4671-843B-240DC17E81DC}"/>
                </c:ext>
              </c:extLst>
            </c:dLbl>
            <c:dLbl>
              <c:idx val="2"/>
              <c:tx>
                <c:rich>
                  <a:bodyPr/>
                  <a:lstStyle/>
                  <a:p>
                    <a:fld id="{A7A87E88-0609-41EF-9B63-815C4BAF8B3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65C8-4671-843B-240DC17E81DC}"/>
                </c:ext>
              </c:extLst>
            </c:dLbl>
            <c:dLbl>
              <c:idx val="3"/>
              <c:tx>
                <c:rich>
                  <a:bodyPr/>
                  <a:lstStyle/>
                  <a:p>
                    <a:fld id="{A1CE102B-190F-4C3F-A149-9A847855ED4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65C8-4671-843B-240DC17E81DC}"/>
                </c:ext>
              </c:extLst>
            </c:dLbl>
            <c:dLbl>
              <c:idx val="4"/>
              <c:tx>
                <c:rich>
                  <a:bodyPr/>
                  <a:lstStyle/>
                  <a:p>
                    <a:fld id="{122307C8-2BBF-4183-B9C4-70B27D783A3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65C8-4671-843B-240DC17E81DC}"/>
                </c:ext>
              </c:extLst>
            </c:dLbl>
            <c:dLbl>
              <c:idx val="5"/>
              <c:tx>
                <c:rich>
                  <a:bodyPr/>
                  <a:lstStyle/>
                  <a:p>
                    <a:fld id="{28D51891-5887-428D-9F92-B82D24F0314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5C8-4671-843B-240DC17E81DC}"/>
                </c:ext>
              </c:extLst>
            </c:dLbl>
            <c:dLbl>
              <c:idx val="6"/>
              <c:tx>
                <c:rich>
                  <a:bodyPr/>
                  <a:lstStyle/>
                  <a:p>
                    <a:fld id="{AB19EA17-1FAB-4CFE-8991-2ABCF2C21D3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65C8-4671-843B-240DC17E81DC}"/>
                </c:ext>
              </c:extLst>
            </c:dLbl>
            <c:dLbl>
              <c:idx val="7"/>
              <c:tx>
                <c:rich>
                  <a:bodyPr/>
                  <a:lstStyle/>
                  <a:p>
                    <a:fld id="{21F07D97-ABF9-4B53-B581-51911A723FC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65C8-4671-843B-240DC17E81DC}"/>
                </c:ext>
              </c:extLst>
            </c:dLbl>
            <c:dLbl>
              <c:idx val="8"/>
              <c:tx>
                <c:rich>
                  <a:bodyPr/>
                  <a:lstStyle/>
                  <a:p>
                    <a:fld id="{B3A4BFC6-64F1-44A2-AC6D-936A5A2E966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5C8-4671-843B-240DC17E81DC}"/>
                </c:ext>
              </c:extLst>
            </c:dLbl>
            <c:dLbl>
              <c:idx val="9"/>
              <c:tx>
                <c:rich>
                  <a:bodyPr/>
                  <a:lstStyle/>
                  <a:p>
                    <a:fld id="{DCEF1076-3BD1-445B-8FB4-9B4152CB38E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65C8-4671-843B-240DC17E81DC}"/>
                </c:ext>
              </c:extLst>
            </c:dLbl>
            <c:dLbl>
              <c:idx val="10"/>
              <c:tx>
                <c:rich>
                  <a:bodyPr/>
                  <a:lstStyle/>
                  <a:p>
                    <a:fld id="{C9C614E4-5361-40FB-8005-C78FCD329FC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65C8-4671-843B-240DC17E81DC}"/>
                </c:ext>
              </c:extLst>
            </c:dLbl>
            <c:dLbl>
              <c:idx val="11"/>
              <c:tx>
                <c:rich>
                  <a:bodyPr/>
                  <a:lstStyle/>
                  <a:p>
                    <a:fld id="{9DE7A02C-3999-4EDE-AEB6-6282DAE5286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5C8-4671-843B-240DC17E81DC}"/>
                </c:ext>
              </c:extLst>
            </c:dLbl>
            <c:dLbl>
              <c:idx val="12"/>
              <c:tx>
                <c:rich>
                  <a:bodyPr/>
                  <a:lstStyle/>
                  <a:p>
                    <a:fld id="{24989C36-4F99-4E01-8949-39E31B5A7CA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65C8-4671-843B-240DC17E81DC}"/>
                </c:ext>
              </c:extLst>
            </c:dLbl>
            <c:dLbl>
              <c:idx val="13"/>
              <c:tx>
                <c:rich>
                  <a:bodyPr/>
                  <a:lstStyle/>
                  <a:p>
                    <a:fld id="{51774137-C356-46D4-A2D2-25413AAADDC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65C8-4671-843B-240DC17E81DC}"/>
                </c:ext>
              </c:extLst>
            </c:dLbl>
            <c:dLbl>
              <c:idx val="14"/>
              <c:tx>
                <c:rich>
                  <a:bodyPr/>
                  <a:lstStyle/>
                  <a:p>
                    <a:fld id="{152A3A2A-D1D4-48CC-B463-D1DAE55F87A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5C8-4671-843B-240DC17E81DC}"/>
                </c:ext>
              </c:extLst>
            </c:dLbl>
            <c:dLbl>
              <c:idx val="15"/>
              <c:tx>
                <c:rich>
                  <a:bodyPr/>
                  <a:lstStyle/>
                  <a:p>
                    <a:fld id="{D1989C81-D84B-4057-ADCE-199FDE1BD2D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65C8-4671-843B-240DC17E81DC}"/>
                </c:ext>
              </c:extLst>
            </c:dLbl>
            <c:dLbl>
              <c:idx val="16"/>
              <c:tx>
                <c:rich>
                  <a:bodyPr/>
                  <a:lstStyle/>
                  <a:p>
                    <a:fld id="{0BCC6ED3-91E3-4898-B8AA-50918556CAAA}"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65C8-4671-843B-240DC17E81DC}"/>
                </c:ext>
              </c:extLst>
            </c:dLbl>
            <c:dLbl>
              <c:idx val="17"/>
              <c:tx>
                <c:rich>
                  <a:bodyPr/>
                  <a:lstStyle/>
                  <a:p>
                    <a:fld id="{929956B7-9ED8-450B-B450-1439244CF761}"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5C8-4671-843B-240DC17E81DC}"/>
                </c:ext>
              </c:extLst>
            </c:dLbl>
            <c:dLbl>
              <c:idx val="18"/>
              <c:tx>
                <c:rich>
                  <a:bodyPr/>
                  <a:lstStyle/>
                  <a:p>
                    <a:fld id="{82CF1F54-1AA7-4E02-8B9C-0D4664C87FA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65C8-4671-843B-240DC17E81DC}"/>
                </c:ext>
              </c:extLst>
            </c:dLbl>
            <c:dLbl>
              <c:idx val="19"/>
              <c:tx>
                <c:rich>
                  <a:bodyPr/>
                  <a:lstStyle/>
                  <a:p>
                    <a:fld id="{519CAB8D-A2AB-4369-8931-3008A5B9C1A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65C8-4671-843B-240DC17E81DC}"/>
                </c:ext>
              </c:extLst>
            </c:dLbl>
            <c:dLbl>
              <c:idx val="20"/>
              <c:tx>
                <c:rich>
                  <a:bodyPr/>
                  <a:lstStyle/>
                  <a:p>
                    <a:fld id="{5697680C-E76E-462F-8559-E15BA7682236}"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65C8-4671-843B-240DC17E81DC}"/>
                </c:ext>
              </c:extLst>
            </c:dLbl>
            <c:dLbl>
              <c:idx val="21"/>
              <c:tx>
                <c:rich>
                  <a:bodyPr/>
                  <a:lstStyle/>
                  <a:p>
                    <a:fld id="{5B9BC226-7516-4DA3-BF36-649DD24046F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65C8-4671-843B-240DC17E81DC}"/>
                </c:ext>
              </c:extLst>
            </c:dLbl>
            <c:dLbl>
              <c:idx val="22"/>
              <c:tx>
                <c:rich>
                  <a:bodyPr/>
                  <a:lstStyle/>
                  <a:p>
                    <a:fld id="{337E6F06-5E23-460B-AD36-32C0754FD51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65C8-4671-843B-240DC17E81DC}"/>
                </c:ext>
              </c:extLst>
            </c:dLbl>
            <c:dLbl>
              <c:idx val="23"/>
              <c:tx>
                <c:rich>
                  <a:bodyPr/>
                  <a:lstStyle/>
                  <a:p>
                    <a:fld id="{91437E42-A530-4FE5-9BCB-BBEB06DF8290}"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65C8-4671-843B-240DC17E81DC}"/>
                </c:ext>
              </c:extLst>
            </c:dLbl>
            <c:dLbl>
              <c:idx val="24"/>
              <c:tx>
                <c:rich>
                  <a:bodyPr/>
                  <a:lstStyle/>
                  <a:p>
                    <a:fld id="{7F54660A-DA44-49D3-9592-4623F2E6C16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65C8-4671-843B-240DC17E81DC}"/>
                </c:ext>
              </c:extLst>
            </c:dLbl>
            <c:dLbl>
              <c:idx val="25"/>
              <c:tx>
                <c:rich>
                  <a:bodyPr/>
                  <a:lstStyle/>
                  <a:p>
                    <a:fld id="{61C1892F-7807-4D1C-A74B-7FA7921FBA8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65C8-4671-843B-240DC17E81DC}"/>
                </c:ext>
              </c:extLst>
            </c:dLbl>
            <c:dLbl>
              <c:idx val="26"/>
              <c:tx>
                <c:rich>
                  <a:bodyPr/>
                  <a:lstStyle/>
                  <a:p>
                    <a:fld id="{7C37CBFC-C252-4317-B48C-A4C9EB11012E}"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65C8-4671-843B-240DC17E81DC}"/>
                </c:ext>
              </c:extLst>
            </c:dLbl>
            <c:dLbl>
              <c:idx val="27"/>
              <c:tx>
                <c:rich>
                  <a:bodyPr/>
                  <a:lstStyle/>
                  <a:p>
                    <a:fld id="{3601576F-01C5-4F67-90AD-90913C330F4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65C8-4671-843B-240DC17E81DC}"/>
                </c:ext>
              </c:extLst>
            </c:dLbl>
            <c:dLbl>
              <c:idx val="28"/>
              <c:tx>
                <c:rich>
                  <a:bodyPr/>
                  <a:lstStyle/>
                  <a:p>
                    <a:fld id="{ADF3BF43-3009-40FA-828D-68A0A3455F8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65C8-4671-843B-240DC17E81DC}"/>
                </c:ext>
              </c:extLst>
            </c:dLbl>
            <c:dLbl>
              <c:idx val="29"/>
              <c:tx>
                <c:rich>
                  <a:bodyPr/>
                  <a:lstStyle/>
                  <a:p>
                    <a:fld id="{0ECFE000-0CBB-4CF3-ADD1-FE8CE556C5D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65C8-4671-843B-240DC17E81DC}"/>
                </c:ext>
              </c:extLst>
            </c:dLbl>
            <c:dLbl>
              <c:idx val="30"/>
              <c:tx>
                <c:rich>
                  <a:bodyPr/>
                  <a:lstStyle/>
                  <a:p>
                    <a:fld id="{265019A7-7397-489B-A0C0-744A9ECDD12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65C8-4671-843B-240DC17E81DC}"/>
                </c:ext>
              </c:extLst>
            </c:dLbl>
            <c:dLbl>
              <c:idx val="31"/>
              <c:tx>
                <c:rich>
                  <a:bodyPr/>
                  <a:lstStyle/>
                  <a:p>
                    <a:fld id="{736A97E3-8EB1-4395-953C-76474E5E531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65C8-4671-843B-240DC17E81DC}"/>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graf'!$AB$68:$AB$99</c:f>
              <c:numCache>
                <c:formatCode>General</c:formatCode>
                <c:ptCount val="32"/>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4-65C8-4671-843B-240DC17E81DC}"/>
            </c:ext>
          </c:extLst>
        </c:ser>
        <c:ser>
          <c:idx val="0"/>
          <c:order val="2"/>
          <c:tx>
            <c:strRef>
              <c:f>'Prerađivačka_FS graf'!$AC$7</c:f>
              <c:strCache>
                <c:ptCount val="1"/>
                <c:pt idx="0">
                  <c:v>y</c:v>
                </c:pt>
              </c:strCache>
            </c:strRef>
          </c:tx>
          <c:spPr>
            <a:ln w="12700" cap="rnd">
              <a:solidFill>
                <a:srgbClr val="7F3F98"/>
              </a:solidFill>
              <a:prstDash val="sysDash"/>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graf'!$AC$68:$AC$99</c:f>
              <c:numCache>
                <c:formatCode>0.0</c:formatCode>
                <c:ptCount val="32"/>
                <c:pt idx="0">
                  <c:v>86.672710789000007</c:v>
                </c:pt>
                <c:pt idx="1">
                  <c:v>104.714415231</c:v>
                </c:pt>
                <c:pt idx="2">
                  <c:v>104.805077063</c:v>
                </c:pt>
                <c:pt idx="3">
                  <c:v>98.549410698000003</c:v>
                </c:pt>
                <c:pt idx="4">
                  <c:v>104.079782412</c:v>
                </c:pt>
                <c:pt idx="5">
                  <c:v>109.156844968</c:v>
                </c:pt>
                <c:pt idx="6">
                  <c:v>101.631912965</c:v>
                </c:pt>
                <c:pt idx="7">
                  <c:v>105.077062557</c:v>
                </c:pt>
                <c:pt idx="8">
                  <c:v>113.599274705</c:v>
                </c:pt>
                <c:pt idx="9">
                  <c:v>112.873980054</c:v>
                </c:pt>
                <c:pt idx="10">
                  <c:v>107.706255666</c:v>
                </c:pt>
                <c:pt idx="11">
                  <c:v>115.956482321</c:v>
                </c:pt>
                <c:pt idx="12">
                  <c:v>89.936536717999999</c:v>
                </c:pt>
                <c:pt idx="13">
                  <c:v>101.450589302</c:v>
                </c:pt>
                <c:pt idx="14">
                  <c:v>103.98912058000001</c:v>
                </c:pt>
                <c:pt idx="15">
                  <c:v>103.807796917</c:v>
                </c:pt>
                <c:pt idx="16">
                  <c:v>93.019038984999995</c:v>
                </c:pt>
                <c:pt idx="17">
                  <c:v>100.725294651</c:v>
                </c:pt>
                <c:pt idx="18">
                  <c:v>96.826835901999999</c:v>
                </c:pt>
                <c:pt idx="19">
                  <c:v>88.848594742000003</c:v>
                </c:pt>
                <c:pt idx="20">
                  <c:v>97.370806889999997</c:v>
                </c:pt>
                <c:pt idx="21">
                  <c:v>104.17044424300001</c:v>
                </c:pt>
                <c:pt idx="22">
                  <c:v>95.648232093999994</c:v>
                </c:pt>
                <c:pt idx="23">
                  <c:v>124.11604714400001</c:v>
                </c:pt>
                <c:pt idx="24">
                  <c:v>84.4</c:v>
                </c:pt>
                <c:pt idx="25">
                  <c:v>94.7</c:v>
                </c:pt>
                <c:pt idx="26">
                  <c:v>106</c:v>
                </c:pt>
                <c:pt idx="27">
                  <c:v>89.1</c:v>
                </c:pt>
                <c:pt idx="28">
                  <c:v>98</c:v>
                </c:pt>
                <c:pt idx="29">
                  <c:v>102.8</c:v>
                </c:pt>
                <c:pt idx="30">
                  <c:v>98.2</c:v>
                </c:pt>
                <c:pt idx="31">
                  <c:v>85.3</c:v>
                </c:pt>
              </c:numCache>
            </c:numRef>
          </c:val>
          <c:smooth val="0"/>
          <c:extLst>
            <c:ext xmlns:c16="http://schemas.microsoft.com/office/drawing/2014/chart" uri="{C3380CC4-5D6E-409C-BE32-E72D297353CC}">
              <c16:uniqueId val="{00000025-65C8-4671-843B-240DC17E81DC}"/>
            </c:ext>
          </c:extLst>
        </c:ser>
        <c:ser>
          <c:idx val="1"/>
          <c:order val="3"/>
          <c:tx>
            <c:strRef>
              <c:f>'Prerađivačka_FS graf'!$AD$7</c:f>
              <c:strCache>
                <c:ptCount val="1"/>
                <c:pt idx="0">
                  <c:v>sa</c:v>
                </c:pt>
              </c:strCache>
            </c:strRef>
          </c:tx>
          <c:spPr>
            <a:ln w="22225" cap="rnd">
              <a:solidFill>
                <a:srgbClr val="25AAE1"/>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graf'!$AD$68:$AD$99</c:f>
              <c:numCache>
                <c:formatCode>0.0</c:formatCode>
                <c:ptCount val="32"/>
                <c:pt idx="0">
                  <c:v>99.732727855999997</c:v>
                </c:pt>
                <c:pt idx="1">
                  <c:v>104.97824761</c:v>
                </c:pt>
                <c:pt idx="2">
                  <c:v>98.959555074999997</c:v>
                </c:pt>
                <c:pt idx="3">
                  <c:v>101.028509856</c:v>
                </c:pt>
                <c:pt idx="4">
                  <c:v>102.435963126</c:v>
                </c:pt>
                <c:pt idx="5">
                  <c:v>103.447504919</c:v>
                </c:pt>
                <c:pt idx="6">
                  <c:v>106.536378974</c:v>
                </c:pt>
                <c:pt idx="7">
                  <c:v>112.697088261</c:v>
                </c:pt>
                <c:pt idx="8">
                  <c:v>113.653620832</c:v>
                </c:pt>
                <c:pt idx="9">
                  <c:v>110.52351788599999</c:v>
                </c:pt>
                <c:pt idx="10">
                  <c:v>104.01267195299999</c:v>
                </c:pt>
                <c:pt idx="11">
                  <c:v>105.793677143</c:v>
                </c:pt>
                <c:pt idx="12">
                  <c:v>102.52857111599999</c:v>
                </c:pt>
                <c:pt idx="13">
                  <c:v>99.611225524000005</c:v>
                </c:pt>
                <c:pt idx="14">
                  <c:v>100.076061555</c:v>
                </c:pt>
                <c:pt idx="15">
                  <c:v>102.52882584699999</c:v>
                </c:pt>
                <c:pt idx="16">
                  <c:v>94.858357501</c:v>
                </c:pt>
                <c:pt idx="17">
                  <c:v>97.910675470000001</c:v>
                </c:pt>
                <c:pt idx="18">
                  <c:v>98.796127532</c:v>
                </c:pt>
                <c:pt idx="19">
                  <c:v>97.226862459000003</c:v>
                </c:pt>
                <c:pt idx="20">
                  <c:v>97.049209758000003</c:v>
                </c:pt>
                <c:pt idx="21">
                  <c:v>99.773554089000001</c:v>
                </c:pt>
                <c:pt idx="22">
                  <c:v>94.974118082000004</c:v>
                </c:pt>
                <c:pt idx="23">
                  <c:v>112.23391446700001</c:v>
                </c:pt>
                <c:pt idx="24">
                  <c:v>97.774719254000004</c:v>
                </c:pt>
                <c:pt idx="25">
                  <c:v>93.417559749000006</c:v>
                </c:pt>
                <c:pt idx="26">
                  <c:v>102.23919469499999</c:v>
                </c:pt>
                <c:pt idx="27">
                  <c:v>90.500018690000005</c:v>
                </c:pt>
                <c:pt idx="28">
                  <c:v>98.899784750999999</c:v>
                </c:pt>
                <c:pt idx="29">
                  <c:v>99.221036498000004</c:v>
                </c:pt>
                <c:pt idx="30">
                  <c:v>99.551784878000007</c:v>
                </c:pt>
                <c:pt idx="31">
                  <c:v>94.691084575999994</c:v>
                </c:pt>
              </c:numCache>
            </c:numRef>
          </c:val>
          <c:smooth val="0"/>
          <c:extLst>
            <c:ext xmlns:c16="http://schemas.microsoft.com/office/drawing/2014/chart" uri="{C3380CC4-5D6E-409C-BE32-E72D297353CC}">
              <c16:uniqueId val="{00000026-65C8-4671-843B-240DC17E81DC}"/>
            </c:ext>
          </c:extLst>
        </c:ser>
        <c:ser>
          <c:idx val="2"/>
          <c:order val="4"/>
          <c:tx>
            <c:strRef>
              <c:f>'Prerađivačka_FS graf'!$AE$7</c:f>
              <c:strCache>
                <c:ptCount val="1"/>
                <c:pt idx="0">
                  <c:v>t</c:v>
                </c:pt>
              </c:strCache>
            </c:strRef>
          </c:tx>
          <c:spPr>
            <a:ln w="25400" cap="rnd">
              <a:solidFill>
                <a:srgbClr val="FF0000"/>
              </a:solidFill>
              <a:round/>
            </a:ln>
            <a:effectLst/>
          </c:spPr>
          <c:marker>
            <c:symbol val="none"/>
          </c:marker>
          <c:cat>
            <c:numRef>
              <c:f>'Prerađivačka_FS graf'!$C$68:$C$99</c:f>
              <c:numCache>
                <c:formatCode>yyyy</c:formatCode>
                <c:ptCount val="32"/>
                <c:pt idx="0">
                  <c:v>44927</c:v>
                </c:pt>
                <c:pt idx="1">
                  <c:v>44958</c:v>
                </c:pt>
                <c:pt idx="2">
                  <c:v>44986</c:v>
                </c:pt>
                <c:pt idx="3">
                  <c:v>45017</c:v>
                </c:pt>
                <c:pt idx="4">
                  <c:v>45047</c:v>
                </c:pt>
                <c:pt idx="5">
                  <c:v>45078</c:v>
                </c:pt>
                <c:pt idx="6">
                  <c:v>45108</c:v>
                </c:pt>
                <c:pt idx="7">
                  <c:v>45139</c:v>
                </c:pt>
                <c:pt idx="8">
                  <c:v>45170</c:v>
                </c:pt>
                <c:pt idx="9">
                  <c:v>45200</c:v>
                </c:pt>
                <c:pt idx="10">
                  <c:v>45231</c:v>
                </c:pt>
                <c:pt idx="11">
                  <c:v>45261</c:v>
                </c:pt>
                <c:pt idx="12">
                  <c:v>45292</c:v>
                </c:pt>
                <c:pt idx="13">
                  <c:v>45323</c:v>
                </c:pt>
                <c:pt idx="14">
                  <c:v>45352</c:v>
                </c:pt>
                <c:pt idx="15">
                  <c:v>45383</c:v>
                </c:pt>
                <c:pt idx="16">
                  <c:v>45413</c:v>
                </c:pt>
                <c:pt idx="17">
                  <c:v>45444</c:v>
                </c:pt>
                <c:pt idx="18">
                  <c:v>45474</c:v>
                </c:pt>
                <c:pt idx="19">
                  <c:v>45505</c:v>
                </c:pt>
                <c:pt idx="20">
                  <c:v>45536</c:v>
                </c:pt>
                <c:pt idx="21">
                  <c:v>45566</c:v>
                </c:pt>
                <c:pt idx="22">
                  <c:v>45597</c:v>
                </c:pt>
                <c:pt idx="23">
                  <c:v>45627</c:v>
                </c:pt>
                <c:pt idx="24">
                  <c:v>45658</c:v>
                </c:pt>
                <c:pt idx="25">
                  <c:v>45689</c:v>
                </c:pt>
                <c:pt idx="26">
                  <c:v>45717</c:v>
                </c:pt>
                <c:pt idx="27">
                  <c:v>45748</c:v>
                </c:pt>
                <c:pt idx="28">
                  <c:v>45778</c:v>
                </c:pt>
                <c:pt idx="29">
                  <c:v>45809</c:v>
                </c:pt>
                <c:pt idx="30">
                  <c:v>45839</c:v>
                </c:pt>
                <c:pt idx="31">
                  <c:v>45870</c:v>
                </c:pt>
              </c:numCache>
            </c:numRef>
          </c:cat>
          <c:val>
            <c:numRef>
              <c:f>'Prerađivačka_FS graf'!$AE$68:$AE$99</c:f>
              <c:numCache>
                <c:formatCode>0.0</c:formatCode>
                <c:ptCount val="32"/>
                <c:pt idx="0">
                  <c:v>97.601572931999996</c:v>
                </c:pt>
                <c:pt idx="1">
                  <c:v>99.488653803999995</c:v>
                </c:pt>
                <c:pt idx="2">
                  <c:v>101.20991315099999</c:v>
                </c:pt>
                <c:pt idx="3">
                  <c:v>102.82200729</c:v>
                </c:pt>
                <c:pt idx="4">
                  <c:v>104.466967076</c:v>
                </c:pt>
                <c:pt idx="5">
                  <c:v>106.144556008</c:v>
                </c:pt>
                <c:pt idx="6">
                  <c:v>107.676479462</c:v>
                </c:pt>
                <c:pt idx="7">
                  <c:v>108.74282521799999</c:v>
                </c:pt>
                <c:pt idx="8">
                  <c:v>109.156820248</c:v>
                </c:pt>
                <c:pt idx="9">
                  <c:v>108.722296998</c:v>
                </c:pt>
                <c:pt idx="10">
                  <c:v>107.444456504</c:v>
                </c:pt>
                <c:pt idx="11">
                  <c:v>105.558747483</c:v>
                </c:pt>
                <c:pt idx="12">
                  <c:v>103.48992160900001</c:v>
                </c:pt>
                <c:pt idx="13">
                  <c:v>101.551704355</c:v>
                </c:pt>
                <c:pt idx="14">
                  <c:v>100.033806279</c:v>
                </c:pt>
                <c:pt idx="15">
                  <c:v>99.013396792999998</c:v>
                </c:pt>
                <c:pt idx="16">
                  <c:v>98.381547497</c:v>
                </c:pt>
                <c:pt idx="17">
                  <c:v>98.007639803999993</c:v>
                </c:pt>
                <c:pt idx="18">
                  <c:v>97.718883980000001</c:v>
                </c:pt>
                <c:pt idx="19">
                  <c:v>97.525439996000003</c:v>
                </c:pt>
                <c:pt idx="20">
                  <c:v>97.401112874000006</c:v>
                </c:pt>
                <c:pt idx="21">
                  <c:v>97.276635591000002</c:v>
                </c:pt>
                <c:pt idx="22">
                  <c:v>97.166116152000001</c:v>
                </c:pt>
                <c:pt idx="23">
                  <c:v>97.141172251</c:v>
                </c:pt>
                <c:pt idx="24">
                  <c:v>97.212391991000004</c:v>
                </c:pt>
                <c:pt idx="25">
                  <c:v>97.376214172000005</c:v>
                </c:pt>
                <c:pt idx="26">
                  <c:v>97.577722324999996</c:v>
                </c:pt>
                <c:pt idx="27">
                  <c:v>97.713466546999996</c:v>
                </c:pt>
                <c:pt idx="28">
                  <c:v>97.717701546000001</c:v>
                </c:pt>
                <c:pt idx="29">
                  <c:v>97.585604007000001</c:v>
                </c:pt>
                <c:pt idx="30">
                  <c:v>97.379866333999999</c:v>
                </c:pt>
                <c:pt idx="31">
                  <c:v>97.149018701000003</c:v>
                </c:pt>
              </c:numCache>
            </c:numRef>
          </c:val>
          <c:smooth val="0"/>
          <c:extLst>
            <c:ext xmlns:c16="http://schemas.microsoft.com/office/drawing/2014/chart" uri="{C3380CC4-5D6E-409C-BE32-E72D297353CC}">
              <c16:uniqueId val="{00000027-65C8-4671-843B-240DC17E81DC}"/>
            </c:ext>
          </c:extLst>
        </c:ser>
        <c:dLbls>
          <c:showLegendKey val="0"/>
          <c:showVal val="0"/>
          <c:showCatName val="0"/>
          <c:showSerName val="0"/>
          <c:showPercent val="0"/>
          <c:showBubbleSize val="0"/>
        </c:dLbls>
        <c:marker val="1"/>
        <c:smooth val="0"/>
        <c:axId val="2092140944"/>
        <c:axId val="2092131696"/>
      </c:lineChart>
      <c:dateAx>
        <c:axId val="2092140944"/>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31696"/>
        <c:crosses val="autoZero"/>
        <c:auto val="1"/>
        <c:lblOffset val="0"/>
        <c:baseTimeUnit val="months"/>
        <c:majorUnit val="12"/>
        <c:majorTimeUnit val="months"/>
      </c:dateAx>
      <c:valAx>
        <c:axId val="2092131696"/>
        <c:scaling>
          <c:orientation val="minMax"/>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40944"/>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3272107100582403E-2"/>
          <c:y val="5.9757236227824466E-2"/>
          <c:w val="0.94672789289941761"/>
          <c:h val="0.83069998603115791"/>
        </c:manualLayout>
      </c:layout>
      <c:areaChart>
        <c:grouping val="stacked"/>
        <c:varyColors val="0"/>
        <c:ser>
          <c:idx val="0"/>
          <c:order val="0"/>
          <c:tx>
            <c:strRef>
              <c:f>'Quarterly GDP chart fan'!$AE$16</c:f>
              <c:strCache>
                <c:ptCount val="1"/>
                <c:pt idx="0">
                  <c:v>Baza</c:v>
                </c:pt>
              </c:strCache>
            </c:strRef>
          </c:tx>
          <c:spPr>
            <a:noFill/>
            <a:ln>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fan'!$AE$17:$AE$34</c:f>
              <c:numCache>
                <c:formatCode>0.00</c:formatCode>
                <c:ptCount val="8"/>
                <c:pt idx="0">
                  <c:v>4.5999999999999996</c:v>
                </c:pt>
                <c:pt idx="1">
                  <c:v>4.5</c:v>
                </c:pt>
                <c:pt idx="2">
                  <c:v>3.2</c:v>
                </c:pt>
                <c:pt idx="3">
                  <c:v>3.2690420744048083</c:v>
                </c:pt>
                <c:pt idx="4">
                  <c:v>1.9</c:v>
                </c:pt>
                <c:pt idx="5">
                  <c:v>2.1</c:v>
                </c:pt>
                <c:pt idx="6">
                  <c:v>1.5999999999999996</c:v>
                </c:pt>
                <c:pt idx="7">
                  <c:v>1.6833333333333331</c:v>
                </c:pt>
              </c:numCache>
              <c:extLst/>
            </c:numRef>
          </c:val>
          <c:extLst>
            <c:ext xmlns:c16="http://schemas.microsoft.com/office/drawing/2014/chart" uri="{C3380CC4-5D6E-409C-BE32-E72D297353CC}">
              <c16:uniqueId val="{00000000-E36C-4C2E-BD97-D4A7F4B7290C}"/>
            </c:ext>
          </c:extLst>
        </c:ser>
        <c:ser>
          <c:idx val="1"/>
          <c:order val="1"/>
          <c:tx>
            <c:strRef>
              <c:f>'Quarterly GDP chart fan'!$AF$16</c:f>
              <c:strCache>
                <c:ptCount val="1"/>
                <c:pt idx="0">
                  <c:v>Lower 10</c:v>
                </c:pt>
              </c:strCache>
            </c:strRef>
          </c:tx>
          <c:spPr>
            <a:solidFill>
              <a:srgbClr val="C00000">
                <a:alpha val="1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fan'!$AF$17:$AF$34</c:f>
              <c:numCache>
                <c:formatCode>0.0000</c:formatCode>
                <c:ptCount val="8"/>
                <c:pt idx="0">
                  <c:v>0</c:v>
                </c:pt>
                <c:pt idx="1">
                  <c:v>0</c:v>
                </c:pt>
                <c:pt idx="2">
                  <c:v>0</c:v>
                </c:pt>
                <c:pt idx="3">
                  <c:v>0</c:v>
                </c:pt>
                <c:pt idx="4">
                  <c:v>0</c:v>
                </c:pt>
                <c:pt idx="5">
                  <c:v>0</c:v>
                </c:pt>
                <c:pt idx="6">
                  <c:v>0.1454545454545455</c:v>
                </c:pt>
                <c:pt idx="7">
                  <c:v>0.20303030303030312</c:v>
                </c:pt>
              </c:numCache>
              <c:extLst/>
            </c:numRef>
          </c:val>
          <c:extLst>
            <c:ext xmlns:c16="http://schemas.microsoft.com/office/drawing/2014/chart" uri="{C3380CC4-5D6E-409C-BE32-E72D297353CC}">
              <c16:uniqueId val="{00000001-E36C-4C2E-BD97-D4A7F4B7290C}"/>
            </c:ext>
          </c:extLst>
        </c:ser>
        <c:ser>
          <c:idx val="2"/>
          <c:order val="2"/>
          <c:tx>
            <c:strRef>
              <c:f>'Quarterly GDP chart fan'!$AG$16</c:f>
              <c:strCache>
                <c:ptCount val="1"/>
                <c:pt idx="0">
                  <c:v>Lower 9</c:v>
                </c:pt>
              </c:strCache>
            </c:strRef>
          </c:tx>
          <c:spPr>
            <a:solidFill>
              <a:srgbClr val="C00000">
                <a:alpha val="2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fan'!$AG$17:$AG$34</c:f>
              <c:numCache>
                <c:formatCode>0.0000</c:formatCode>
                <c:ptCount val="8"/>
                <c:pt idx="0">
                  <c:v>0</c:v>
                </c:pt>
                <c:pt idx="1">
                  <c:v>0</c:v>
                </c:pt>
                <c:pt idx="2">
                  <c:v>0</c:v>
                </c:pt>
                <c:pt idx="3">
                  <c:v>0</c:v>
                </c:pt>
                <c:pt idx="4">
                  <c:v>0</c:v>
                </c:pt>
                <c:pt idx="5">
                  <c:v>0</c:v>
                </c:pt>
                <c:pt idx="6">
                  <c:v>0.13090909090909086</c:v>
                </c:pt>
                <c:pt idx="7">
                  <c:v>0.18272727272727263</c:v>
                </c:pt>
              </c:numCache>
              <c:extLst/>
            </c:numRef>
          </c:val>
          <c:extLst>
            <c:ext xmlns:c16="http://schemas.microsoft.com/office/drawing/2014/chart" uri="{C3380CC4-5D6E-409C-BE32-E72D297353CC}">
              <c16:uniqueId val="{00000002-E36C-4C2E-BD97-D4A7F4B7290C}"/>
            </c:ext>
          </c:extLst>
        </c:ser>
        <c:ser>
          <c:idx val="3"/>
          <c:order val="3"/>
          <c:tx>
            <c:strRef>
              <c:f>'Quarterly GDP chart fan'!$AH$16</c:f>
              <c:strCache>
                <c:ptCount val="1"/>
                <c:pt idx="0">
                  <c:v>Lower 8</c:v>
                </c:pt>
              </c:strCache>
            </c:strRef>
          </c:tx>
          <c:spPr>
            <a:solidFill>
              <a:srgbClr val="C00000">
                <a:alpha val="3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fan'!$AH$17:$AH$34</c:f>
              <c:numCache>
                <c:formatCode>0.0000</c:formatCode>
                <c:ptCount val="8"/>
                <c:pt idx="0">
                  <c:v>0</c:v>
                </c:pt>
                <c:pt idx="1">
                  <c:v>0</c:v>
                </c:pt>
                <c:pt idx="2">
                  <c:v>0</c:v>
                </c:pt>
                <c:pt idx="3">
                  <c:v>0</c:v>
                </c:pt>
                <c:pt idx="4">
                  <c:v>0</c:v>
                </c:pt>
                <c:pt idx="5">
                  <c:v>0</c:v>
                </c:pt>
                <c:pt idx="6">
                  <c:v>0.11636363636363645</c:v>
                </c:pt>
                <c:pt idx="7">
                  <c:v>0.16242424242424258</c:v>
                </c:pt>
              </c:numCache>
              <c:extLst/>
            </c:numRef>
          </c:val>
          <c:extLst>
            <c:ext xmlns:c16="http://schemas.microsoft.com/office/drawing/2014/chart" uri="{C3380CC4-5D6E-409C-BE32-E72D297353CC}">
              <c16:uniqueId val="{00000003-E36C-4C2E-BD97-D4A7F4B7290C}"/>
            </c:ext>
          </c:extLst>
        </c:ser>
        <c:ser>
          <c:idx val="4"/>
          <c:order val="4"/>
          <c:tx>
            <c:strRef>
              <c:f>'Quarterly GDP chart fan'!$AI$16</c:f>
              <c:strCache>
                <c:ptCount val="1"/>
                <c:pt idx="0">
                  <c:v>Lower 7</c:v>
                </c:pt>
              </c:strCache>
            </c:strRef>
          </c:tx>
          <c:spPr>
            <a:solidFill>
              <a:srgbClr val="C00000">
                <a:alpha val="4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fan'!$AI$17:$AI$34</c:f>
              <c:numCache>
                <c:formatCode>0.0000</c:formatCode>
                <c:ptCount val="8"/>
                <c:pt idx="0">
                  <c:v>0</c:v>
                </c:pt>
                <c:pt idx="1">
                  <c:v>0</c:v>
                </c:pt>
                <c:pt idx="2">
                  <c:v>0</c:v>
                </c:pt>
                <c:pt idx="3">
                  <c:v>0</c:v>
                </c:pt>
                <c:pt idx="4">
                  <c:v>0</c:v>
                </c:pt>
                <c:pt idx="5">
                  <c:v>0</c:v>
                </c:pt>
                <c:pt idx="6">
                  <c:v>0.10181818181818181</c:v>
                </c:pt>
                <c:pt idx="7">
                  <c:v>0.14212121212121209</c:v>
                </c:pt>
              </c:numCache>
              <c:extLst/>
            </c:numRef>
          </c:val>
          <c:extLst>
            <c:ext xmlns:c16="http://schemas.microsoft.com/office/drawing/2014/chart" uri="{C3380CC4-5D6E-409C-BE32-E72D297353CC}">
              <c16:uniqueId val="{00000004-E36C-4C2E-BD97-D4A7F4B7290C}"/>
            </c:ext>
          </c:extLst>
        </c:ser>
        <c:ser>
          <c:idx val="5"/>
          <c:order val="5"/>
          <c:tx>
            <c:strRef>
              <c:f>'Quarterly GDP chart fan'!$AJ$16</c:f>
              <c:strCache>
                <c:ptCount val="1"/>
                <c:pt idx="0">
                  <c:v>Lower 6</c:v>
                </c:pt>
              </c:strCache>
            </c:strRef>
          </c:tx>
          <c:spPr>
            <a:solidFill>
              <a:srgbClr val="C00000">
                <a:alpha val="5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fan'!$AJ$17:$AJ$34</c:f>
              <c:numCache>
                <c:formatCode>0.0000</c:formatCode>
                <c:ptCount val="8"/>
                <c:pt idx="0">
                  <c:v>0</c:v>
                </c:pt>
                <c:pt idx="1">
                  <c:v>0</c:v>
                </c:pt>
                <c:pt idx="2">
                  <c:v>0</c:v>
                </c:pt>
                <c:pt idx="3">
                  <c:v>0</c:v>
                </c:pt>
                <c:pt idx="4">
                  <c:v>0</c:v>
                </c:pt>
                <c:pt idx="5">
                  <c:v>0</c:v>
                </c:pt>
                <c:pt idx="6">
                  <c:v>8.7272727272727391E-2</c:v>
                </c:pt>
                <c:pt idx="7">
                  <c:v>0.1218181818181816</c:v>
                </c:pt>
              </c:numCache>
              <c:extLst/>
            </c:numRef>
          </c:val>
          <c:extLst>
            <c:ext xmlns:c16="http://schemas.microsoft.com/office/drawing/2014/chart" uri="{C3380CC4-5D6E-409C-BE32-E72D297353CC}">
              <c16:uniqueId val="{00000005-E36C-4C2E-BD97-D4A7F4B7290C}"/>
            </c:ext>
          </c:extLst>
        </c:ser>
        <c:ser>
          <c:idx val="6"/>
          <c:order val="6"/>
          <c:tx>
            <c:strRef>
              <c:f>'Quarterly GDP chart fan'!$AK$16</c:f>
              <c:strCache>
                <c:ptCount val="1"/>
                <c:pt idx="0">
                  <c:v>Lower 5</c:v>
                </c:pt>
              </c:strCache>
            </c:strRef>
          </c:tx>
          <c:spPr>
            <a:solidFill>
              <a:srgbClr val="C00000">
                <a:alpha val="6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fan'!$AK$17:$AK$34</c:f>
              <c:numCache>
                <c:formatCode>0.0000</c:formatCode>
                <c:ptCount val="8"/>
                <c:pt idx="0">
                  <c:v>0</c:v>
                </c:pt>
                <c:pt idx="1">
                  <c:v>0</c:v>
                </c:pt>
                <c:pt idx="2">
                  <c:v>0</c:v>
                </c:pt>
                <c:pt idx="3">
                  <c:v>0</c:v>
                </c:pt>
                <c:pt idx="4">
                  <c:v>0</c:v>
                </c:pt>
                <c:pt idx="5">
                  <c:v>0</c:v>
                </c:pt>
                <c:pt idx="6">
                  <c:v>7.2727272727272751E-2</c:v>
                </c:pt>
                <c:pt idx="7">
                  <c:v>0.10151515151515156</c:v>
                </c:pt>
              </c:numCache>
              <c:extLst/>
            </c:numRef>
          </c:val>
          <c:extLst>
            <c:ext xmlns:c16="http://schemas.microsoft.com/office/drawing/2014/chart" uri="{C3380CC4-5D6E-409C-BE32-E72D297353CC}">
              <c16:uniqueId val="{00000006-E36C-4C2E-BD97-D4A7F4B7290C}"/>
            </c:ext>
          </c:extLst>
        </c:ser>
        <c:ser>
          <c:idx val="7"/>
          <c:order val="7"/>
          <c:tx>
            <c:strRef>
              <c:f>'Quarterly GDP chart fan'!$AL$16</c:f>
              <c:strCache>
                <c:ptCount val="1"/>
                <c:pt idx="0">
                  <c:v>Lower 4</c:v>
                </c:pt>
              </c:strCache>
            </c:strRef>
          </c:tx>
          <c:spPr>
            <a:solidFill>
              <a:srgbClr val="C00000">
                <a:alpha val="7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fan'!$AL$17:$AL$34</c:f>
              <c:numCache>
                <c:formatCode>0.0000</c:formatCode>
                <c:ptCount val="8"/>
                <c:pt idx="0">
                  <c:v>0</c:v>
                </c:pt>
                <c:pt idx="1">
                  <c:v>0</c:v>
                </c:pt>
                <c:pt idx="2">
                  <c:v>0</c:v>
                </c:pt>
                <c:pt idx="3">
                  <c:v>0</c:v>
                </c:pt>
                <c:pt idx="4">
                  <c:v>0</c:v>
                </c:pt>
                <c:pt idx="5">
                  <c:v>0</c:v>
                </c:pt>
                <c:pt idx="6">
                  <c:v>5.8181818181818112E-2</c:v>
                </c:pt>
                <c:pt idx="7">
                  <c:v>8.1212121212121069E-2</c:v>
                </c:pt>
              </c:numCache>
              <c:extLst/>
            </c:numRef>
          </c:val>
          <c:extLst>
            <c:ext xmlns:c16="http://schemas.microsoft.com/office/drawing/2014/chart" uri="{C3380CC4-5D6E-409C-BE32-E72D297353CC}">
              <c16:uniqueId val="{00000007-E36C-4C2E-BD97-D4A7F4B7290C}"/>
            </c:ext>
          </c:extLst>
        </c:ser>
        <c:ser>
          <c:idx val="8"/>
          <c:order val="8"/>
          <c:tx>
            <c:strRef>
              <c:f>'Quarterly GDP chart fan'!$AM$16</c:f>
              <c:strCache>
                <c:ptCount val="1"/>
                <c:pt idx="0">
                  <c:v>Lower 3</c:v>
                </c:pt>
              </c:strCache>
            </c:strRef>
          </c:tx>
          <c:spPr>
            <a:solidFill>
              <a:srgbClr val="C00000">
                <a:alpha val="8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fan'!$AM$17:$AM$34</c:f>
              <c:numCache>
                <c:formatCode>0.0000</c:formatCode>
                <c:ptCount val="8"/>
                <c:pt idx="0">
                  <c:v>0</c:v>
                </c:pt>
                <c:pt idx="1">
                  <c:v>0</c:v>
                </c:pt>
                <c:pt idx="2">
                  <c:v>0</c:v>
                </c:pt>
                <c:pt idx="3">
                  <c:v>0</c:v>
                </c:pt>
                <c:pt idx="4">
                  <c:v>0</c:v>
                </c:pt>
                <c:pt idx="5">
                  <c:v>0</c:v>
                </c:pt>
                <c:pt idx="6">
                  <c:v>4.3636363636363473E-2</c:v>
                </c:pt>
                <c:pt idx="7">
                  <c:v>6.0909090909091024E-2</c:v>
                </c:pt>
              </c:numCache>
              <c:extLst/>
            </c:numRef>
          </c:val>
          <c:extLst>
            <c:ext xmlns:c16="http://schemas.microsoft.com/office/drawing/2014/chart" uri="{C3380CC4-5D6E-409C-BE32-E72D297353CC}">
              <c16:uniqueId val="{00000008-E36C-4C2E-BD97-D4A7F4B7290C}"/>
            </c:ext>
          </c:extLst>
        </c:ser>
        <c:ser>
          <c:idx val="9"/>
          <c:order val="9"/>
          <c:tx>
            <c:strRef>
              <c:f>'Quarterly GDP chart fan'!$AN$16</c:f>
              <c:strCache>
                <c:ptCount val="1"/>
                <c:pt idx="0">
                  <c:v>Lower 2</c:v>
                </c:pt>
              </c:strCache>
            </c:strRef>
          </c:tx>
          <c:spPr>
            <a:solidFill>
              <a:srgbClr val="C00000">
                <a:alpha val="9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fan'!$AN$17:$AN$34</c:f>
              <c:numCache>
                <c:formatCode>0.0000</c:formatCode>
                <c:ptCount val="8"/>
                <c:pt idx="0">
                  <c:v>0</c:v>
                </c:pt>
                <c:pt idx="1">
                  <c:v>0</c:v>
                </c:pt>
                <c:pt idx="2">
                  <c:v>0</c:v>
                </c:pt>
                <c:pt idx="3">
                  <c:v>0</c:v>
                </c:pt>
                <c:pt idx="4">
                  <c:v>0</c:v>
                </c:pt>
                <c:pt idx="5">
                  <c:v>0</c:v>
                </c:pt>
                <c:pt idx="6">
                  <c:v>2.9090909090909278E-2</c:v>
                </c:pt>
                <c:pt idx="7">
                  <c:v>4.0606060606060534E-2</c:v>
                </c:pt>
              </c:numCache>
              <c:extLst/>
            </c:numRef>
          </c:val>
          <c:extLst>
            <c:ext xmlns:c16="http://schemas.microsoft.com/office/drawing/2014/chart" uri="{C3380CC4-5D6E-409C-BE32-E72D297353CC}">
              <c16:uniqueId val="{00000009-E36C-4C2E-BD97-D4A7F4B7290C}"/>
            </c:ext>
          </c:extLst>
        </c:ser>
        <c:ser>
          <c:idx val="10"/>
          <c:order val="10"/>
          <c:tx>
            <c:strRef>
              <c:f>'Quarterly GDP chart fan'!$AO$16</c:f>
              <c:strCache>
                <c:ptCount val="1"/>
                <c:pt idx="0">
                  <c:v>Lower 1</c:v>
                </c:pt>
              </c:strCache>
            </c:strRef>
          </c:tx>
          <c:spPr>
            <a:solidFill>
              <a:srgbClr val="C00000"/>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fan'!$AO$17:$AO$34</c:f>
              <c:numCache>
                <c:formatCode>0.0000</c:formatCode>
                <c:ptCount val="8"/>
                <c:pt idx="0">
                  <c:v>0</c:v>
                </c:pt>
                <c:pt idx="1">
                  <c:v>0</c:v>
                </c:pt>
                <c:pt idx="2">
                  <c:v>0</c:v>
                </c:pt>
                <c:pt idx="3">
                  <c:v>0</c:v>
                </c:pt>
                <c:pt idx="4">
                  <c:v>0</c:v>
                </c:pt>
                <c:pt idx="5">
                  <c:v>0</c:v>
                </c:pt>
                <c:pt idx="6">
                  <c:v>1.4545454545454639E-2</c:v>
                </c:pt>
                <c:pt idx="7">
                  <c:v>2.0303030303030489E-2</c:v>
                </c:pt>
              </c:numCache>
              <c:extLst/>
            </c:numRef>
          </c:val>
          <c:extLst>
            <c:ext xmlns:c16="http://schemas.microsoft.com/office/drawing/2014/chart" uri="{C3380CC4-5D6E-409C-BE32-E72D297353CC}">
              <c16:uniqueId val="{0000000A-E36C-4C2E-BD97-D4A7F4B7290C}"/>
            </c:ext>
          </c:extLst>
        </c:ser>
        <c:ser>
          <c:idx val="11"/>
          <c:order val="11"/>
          <c:tx>
            <c:strRef>
              <c:f>'Quarterly GDP chart fan'!$AP$16</c:f>
              <c:strCache>
                <c:ptCount val="1"/>
                <c:pt idx="0">
                  <c:v>Upper 1</c:v>
                </c:pt>
              </c:strCache>
            </c:strRef>
          </c:tx>
          <c:spPr>
            <a:solidFill>
              <a:srgbClr val="C00000"/>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fan'!$AP$17:$AP$34</c:f>
              <c:numCache>
                <c:formatCode>0.0000</c:formatCode>
                <c:ptCount val="8"/>
                <c:pt idx="0">
                  <c:v>0</c:v>
                </c:pt>
                <c:pt idx="1">
                  <c:v>0</c:v>
                </c:pt>
                <c:pt idx="2">
                  <c:v>0</c:v>
                </c:pt>
                <c:pt idx="3">
                  <c:v>0</c:v>
                </c:pt>
                <c:pt idx="4">
                  <c:v>0</c:v>
                </c:pt>
                <c:pt idx="5">
                  <c:v>0</c:v>
                </c:pt>
                <c:pt idx="6">
                  <c:v>1.4545454545454639E-2</c:v>
                </c:pt>
                <c:pt idx="7">
                  <c:v>2.0303030303030489E-2</c:v>
                </c:pt>
              </c:numCache>
              <c:extLst/>
            </c:numRef>
          </c:val>
          <c:extLst>
            <c:ext xmlns:c16="http://schemas.microsoft.com/office/drawing/2014/chart" uri="{C3380CC4-5D6E-409C-BE32-E72D297353CC}">
              <c16:uniqueId val="{0000000B-E36C-4C2E-BD97-D4A7F4B7290C}"/>
            </c:ext>
          </c:extLst>
        </c:ser>
        <c:ser>
          <c:idx val="12"/>
          <c:order val="12"/>
          <c:tx>
            <c:strRef>
              <c:f>'Quarterly GDP chart fan'!$AQ$16</c:f>
              <c:strCache>
                <c:ptCount val="1"/>
                <c:pt idx="0">
                  <c:v>Upper 2</c:v>
                </c:pt>
              </c:strCache>
            </c:strRef>
          </c:tx>
          <c:spPr>
            <a:solidFill>
              <a:srgbClr val="C00000">
                <a:alpha val="9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fan'!$AQ$17:$AQ$34</c:f>
              <c:numCache>
                <c:formatCode>0.0000</c:formatCode>
                <c:ptCount val="8"/>
                <c:pt idx="0">
                  <c:v>0</c:v>
                </c:pt>
                <c:pt idx="1">
                  <c:v>0</c:v>
                </c:pt>
                <c:pt idx="2">
                  <c:v>0</c:v>
                </c:pt>
                <c:pt idx="3">
                  <c:v>0</c:v>
                </c:pt>
                <c:pt idx="4">
                  <c:v>0</c:v>
                </c:pt>
                <c:pt idx="5">
                  <c:v>0</c:v>
                </c:pt>
                <c:pt idx="6">
                  <c:v>2.9090909090909278E-2</c:v>
                </c:pt>
                <c:pt idx="7">
                  <c:v>4.0606060606060534E-2</c:v>
                </c:pt>
              </c:numCache>
              <c:extLst/>
            </c:numRef>
          </c:val>
          <c:extLst>
            <c:ext xmlns:c16="http://schemas.microsoft.com/office/drawing/2014/chart" uri="{C3380CC4-5D6E-409C-BE32-E72D297353CC}">
              <c16:uniqueId val="{0000000C-E36C-4C2E-BD97-D4A7F4B7290C}"/>
            </c:ext>
          </c:extLst>
        </c:ser>
        <c:ser>
          <c:idx val="13"/>
          <c:order val="13"/>
          <c:tx>
            <c:strRef>
              <c:f>'Quarterly GDP chart fan'!$AR$16</c:f>
              <c:strCache>
                <c:ptCount val="1"/>
                <c:pt idx="0">
                  <c:v>Upper 3</c:v>
                </c:pt>
              </c:strCache>
            </c:strRef>
          </c:tx>
          <c:spPr>
            <a:solidFill>
              <a:srgbClr val="C00000">
                <a:alpha val="8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fan'!$AR$17:$AR$34</c:f>
              <c:numCache>
                <c:formatCode>0.0000</c:formatCode>
                <c:ptCount val="8"/>
                <c:pt idx="0">
                  <c:v>0</c:v>
                </c:pt>
                <c:pt idx="1">
                  <c:v>0</c:v>
                </c:pt>
                <c:pt idx="2">
                  <c:v>0</c:v>
                </c:pt>
                <c:pt idx="3">
                  <c:v>0</c:v>
                </c:pt>
                <c:pt idx="4">
                  <c:v>0</c:v>
                </c:pt>
                <c:pt idx="5">
                  <c:v>0</c:v>
                </c:pt>
                <c:pt idx="6">
                  <c:v>4.3636363636363473E-2</c:v>
                </c:pt>
                <c:pt idx="7">
                  <c:v>6.0909090909091024E-2</c:v>
                </c:pt>
              </c:numCache>
              <c:extLst/>
            </c:numRef>
          </c:val>
          <c:extLst>
            <c:ext xmlns:c16="http://schemas.microsoft.com/office/drawing/2014/chart" uri="{C3380CC4-5D6E-409C-BE32-E72D297353CC}">
              <c16:uniqueId val="{0000000D-E36C-4C2E-BD97-D4A7F4B7290C}"/>
            </c:ext>
          </c:extLst>
        </c:ser>
        <c:ser>
          <c:idx val="14"/>
          <c:order val="14"/>
          <c:tx>
            <c:strRef>
              <c:f>'Quarterly GDP chart fan'!$AS$16</c:f>
              <c:strCache>
                <c:ptCount val="1"/>
                <c:pt idx="0">
                  <c:v>Upper 4</c:v>
                </c:pt>
              </c:strCache>
            </c:strRef>
          </c:tx>
          <c:spPr>
            <a:solidFill>
              <a:srgbClr val="C00000">
                <a:alpha val="7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fan'!$AS$17:$AS$34</c:f>
              <c:numCache>
                <c:formatCode>0.0000</c:formatCode>
                <c:ptCount val="8"/>
                <c:pt idx="0">
                  <c:v>0</c:v>
                </c:pt>
                <c:pt idx="1">
                  <c:v>0</c:v>
                </c:pt>
                <c:pt idx="2">
                  <c:v>0</c:v>
                </c:pt>
                <c:pt idx="3">
                  <c:v>0</c:v>
                </c:pt>
                <c:pt idx="4">
                  <c:v>0</c:v>
                </c:pt>
                <c:pt idx="5">
                  <c:v>0</c:v>
                </c:pt>
                <c:pt idx="6">
                  <c:v>5.8181818181818112E-2</c:v>
                </c:pt>
                <c:pt idx="7">
                  <c:v>8.1212121212121069E-2</c:v>
                </c:pt>
              </c:numCache>
              <c:extLst/>
            </c:numRef>
          </c:val>
          <c:extLst>
            <c:ext xmlns:c16="http://schemas.microsoft.com/office/drawing/2014/chart" uri="{C3380CC4-5D6E-409C-BE32-E72D297353CC}">
              <c16:uniqueId val="{0000000E-E36C-4C2E-BD97-D4A7F4B7290C}"/>
            </c:ext>
          </c:extLst>
        </c:ser>
        <c:ser>
          <c:idx val="15"/>
          <c:order val="15"/>
          <c:tx>
            <c:strRef>
              <c:f>'Quarterly GDP chart fan'!$AT$16</c:f>
              <c:strCache>
                <c:ptCount val="1"/>
                <c:pt idx="0">
                  <c:v>Upper 5</c:v>
                </c:pt>
              </c:strCache>
            </c:strRef>
          </c:tx>
          <c:spPr>
            <a:solidFill>
              <a:srgbClr val="C00000">
                <a:alpha val="6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fan'!$AT$17:$AT$34</c:f>
              <c:numCache>
                <c:formatCode>0.0000</c:formatCode>
                <c:ptCount val="8"/>
                <c:pt idx="0">
                  <c:v>0</c:v>
                </c:pt>
                <c:pt idx="1">
                  <c:v>0</c:v>
                </c:pt>
                <c:pt idx="2">
                  <c:v>0</c:v>
                </c:pt>
                <c:pt idx="3">
                  <c:v>0</c:v>
                </c:pt>
                <c:pt idx="4">
                  <c:v>0</c:v>
                </c:pt>
                <c:pt idx="5">
                  <c:v>0</c:v>
                </c:pt>
                <c:pt idx="6">
                  <c:v>7.2727272727272751E-2</c:v>
                </c:pt>
                <c:pt idx="7">
                  <c:v>0.10151515151515156</c:v>
                </c:pt>
              </c:numCache>
              <c:extLst/>
            </c:numRef>
          </c:val>
          <c:extLst>
            <c:ext xmlns:c16="http://schemas.microsoft.com/office/drawing/2014/chart" uri="{C3380CC4-5D6E-409C-BE32-E72D297353CC}">
              <c16:uniqueId val="{0000000F-E36C-4C2E-BD97-D4A7F4B7290C}"/>
            </c:ext>
          </c:extLst>
        </c:ser>
        <c:ser>
          <c:idx val="16"/>
          <c:order val="16"/>
          <c:tx>
            <c:strRef>
              <c:f>'Quarterly GDP chart fan'!$AU$16</c:f>
              <c:strCache>
                <c:ptCount val="1"/>
                <c:pt idx="0">
                  <c:v>Upper 6</c:v>
                </c:pt>
              </c:strCache>
            </c:strRef>
          </c:tx>
          <c:spPr>
            <a:solidFill>
              <a:srgbClr val="C00000">
                <a:alpha val="5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fan'!$AU$17:$AU$34</c:f>
              <c:numCache>
                <c:formatCode>0.0000</c:formatCode>
                <c:ptCount val="8"/>
                <c:pt idx="0">
                  <c:v>0</c:v>
                </c:pt>
                <c:pt idx="1">
                  <c:v>0</c:v>
                </c:pt>
                <c:pt idx="2">
                  <c:v>0</c:v>
                </c:pt>
                <c:pt idx="3">
                  <c:v>0</c:v>
                </c:pt>
                <c:pt idx="4">
                  <c:v>0</c:v>
                </c:pt>
                <c:pt idx="5">
                  <c:v>0</c:v>
                </c:pt>
                <c:pt idx="6">
                  <c:v>8.7272727272727391E-2</c:v>
                </c:pt>
                <c:pt idx="7">
                  <c:v>0.1218181818181816</c:v>
                </c:pt>
              </c:numCache>
              <c:extLst/>
            </c:numRef>
          </c:val>
          <c:extLst>
            <c:ext xmlns:c16="http://schemas.microsoft.com/office/drawing/2014/chart" uri="{C3380CC4-5D6E-409C-BE32-E72D297353CC}">
              <c16:uniqueId val="{00000010-E36C-4C2E-BD97-D4A7F4B7290C}"/>
            </c:ext>
          </c:extLst>
        </c:ser>
        <c:ser>
          <c:idx val="17"/>
          <c:order val="17"/>
          <c:tx>
            <c:strRef>
              <c:f>'Quarterly GDP chart fan'!$AV$16</c:f>
              <c:strCache>
                <c:ptCount val="1"/>
                <c:pt idx="0">
                  <c:v>Upper 7</c:v>
                </c:pt>
              </c:strCache>
            </c:strRef>
          </c:tx>
          <c:spPr>
            <a:solidFill>
              <a:srgbClr val="C00000">
                <a:alpha val="4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fan'!$AV$17:$AV$34</c:f>
              <c:numCache>
                <c:formatCode>0.0000</c:formatCode>
                <c:ptCount val="8"/>
                <c:pt idx="0">
                  <c:v>0</c:v>
                </c:pt>
                <c:pt idx="1">
                  <c:v>0</c:v>
                </c:pt>
                <c:pt idx="2">
                  <c:v>0</c:v>
                </c:pt>
                <c:pt idx="3">
                  <c:v>0</c:v>
                </c:pt>
                <c:pt idx="4">
                  <c:v>0</c:v>
                </c:pt>
                <c:pt idx="5">
                  <c:v>0</c:v>
                </c:pt>
                <c:pt idx="6">
                  <c:v>0.10181818181818203</c:v>
                </c:pt>
                <c:pt idx="7">
                  <c:v>0.14212121212121209</c:v>
                </c:pt>
              </c:numCache>
              <c:extLst/>
            </c:numRef>
          </c:val>
          <c:extLst>
            <c:ext xmlns:c16="http://schemas.microsoft.com/office/drawing/2014/chart" uri="{C3380CC4-5D6E-409C-BE32-E72D297353CC}">
              <c16:uniqueId val="{00000011-E36C-4C2E-BD97-D4A7F4B7290C}"/>
            </c:ext>
          </c:extLst>
        </c:ser>
        <c:ser>
          <c:idx val="18"/>
          <c:order val="18"/>
          <c:tx>
            <c:strRef>
              <c:f>'Quarterly GDP chart fan'!$AW$16</c:f>
              <c:strCache>
                <c:ptCount val="1"/>
                <c:pt idx="0">
                  <c:v>Upper 8</c:v>
                </c:pt>
              </c:strCache>
            </c:strRef>
          </c:tx>
          <c:spPr>
            <a:solidFill>
              <a:srgbClr val="C00000">
                <a:alpha val="3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fan'!$AW$17:$AW$34</c:f>
              <c:numCache>
                <c:formatCode>0.0000</c:formatCode>
                <c:ptCount val="8"/>
                <c:pt idx="0">
                  <c:v>0</c:v>
                </c:pt>
                <c:pt idx="1">
                  <c:v>0</c:v>
                </c:pt>
                <c:pt idx="2">
                  <c:v>0</c:v>
                </c:pt>
                <c:pt idx="3">
                  <c:v>0</c:v>
                </c:pt>
                <c:pt idx="4">
                  <c:v>0</c:v>
                </c:pt>
                <c:pt idx="5">
                  <c:v>0</c:v>
                </c:pt>
                <c:pt idx="6">
                  <c:v>0.11636363636363622</c:v>
                </c:pt>
                <c:pt idx="7">
                  <c:v>0.16242424242424258</c:v>
                </c:pt>
              </c:numCache>
              <c:extLst/>
            </c:numRef>
          </c:val>
          <c:extLst>
            <c:ext xmlns:c16="http://schemas.microsoft.com/office/drawing/2014/chart" uri="{C3380CC4-5D6E-409C-BE32-E72D297353CC}">
              <c16:uniqueId val="{00000012-E36C-4C2E-BD97-D4A7F4B7290C}"/>
            </c:ext>
          </c:extLst>
        </c:ser>
        <c:ser>
          <c:idx val="19"/>
          <c:order val="19"/>
          <c:tx>
            <c:strRef>
              <c:f>'Quarterly GDP chart fan'!$AX$16</c:f>
              <c:strCache>
                <c:ptCount val="1"/>
                <c:pt idx="0">
                  <c:v>Upper 9</c:v>
                </c:pt>
              </c:strCache>
            </c:strRef>
          </c:tx>
          <c:spPr>
            <a:solidFill>
              <a:srgbClr val="C00000">
                <a:alpha val="2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fan'!$AX$17:$AX$34</c:f>
              <c:numCache>
                <c:formatCode>0.0000</c:formatCode>
                <c:ptCount val="8"/>
                <c:pt idx="0">
                  <c:v>0</c:v>
                </c:pt>
                <c:pt idx="1">
                  <c:v>0</c:v>
                </c:pt>
                <c:pt idx="2">
                  <c:v>0</c:v>
                </c:pt>
                <c:pt idx="3">
                  <c:v>0</c:v>
                </c:pt>
                <c:pt idx="4">
                  <c:v>0</c:v>
                </c:pt>
                <c:pt idx="5">
                  <c:v>0</c:v>
                </c:pt>
                <c:pt idx="6">
                  <c:v>0.13090909090909086</c:v>
                </c:pt>
                <c:pt idx="7">
                  <c:v>0.18272727272727263</c:v>
                </c:pt>
              </c:numCache>
              <c:extLst/>
            </c:numRef>
          </c:val>
          <c:extLst>
            <c:ext xmlns:c16="http://schemas.microsoft.com/office/drawing/2014/chart" uri="{C3380CC4-5D6E-409C-BE32-E72D297353CC}">
              <c16:uniqueId val="{00000013-E36C-4C2E-BD97-D4A7F4B7290C}"/>
            </c:ext>
          </c:extLst>
        </c:ser>
        <c:ser>
          <c:idx val="20"/>
          <c:order val="20"/>
          <c:tx>
            <c:strRef>
              <c:f>'Quarterly GDP chart fan'!$AY$16</c:f>
              <c:strCache>
                <c:ptCount val="1"/>
                <c:pt idx="0">
                  <c:v>Upper 10</c:v>
                </c:pt>
              </c:strCache>
            </c:strRef>
          </c:tx>
          <c:spPr>
            <a:solidFill>
              <a:srgbClr val="C00000">
                <a:alpha val="10000"/>
              </a:srgbClr>
            </a:solidFill>
            <a:ln w="25400">
              <a:noFill/>
            </a:ln>
            <a:effectLst/>
          </c:spPr>
          <c:cat>
            <c:multiLvlStrRef>
              <c:f>'Quarterly GDP chart fan'!$B$17:$C$34</c:f>
              <c:multiLvlStrCache>
                <c:ptCount val="8"/>
                <c:lvl>
                  <c:pt idx="0">
                    <c:v>Q1</c:v>
                  </c:pt>
                  <c:pt idx="1">
                    <c:v>Q2</c:v>
                  </c:pt>
                  <c:pt idx="2">
                    <c:v>Q3</c:v>
                  </c:pt>
                  <c:pt idx="3">
                    <c:v>Q4</c:v>
                  </c:pt>
                  <c:pt idx="4">
                    <c:v>Q1</c:v>
                  </c:pt>
                  <c:pt idx="5">
                    <c:v>Q2</c:v>
                  </c:pt>
                  <c:pt idx="6">
                    <c:v>Q3</c:v>
                  </c:pt>
                  <c:pt idx="7">
                    <c:v>Q4</c:v>
                  </c:pt>
                </c:lvl>
                <c:lvl>
                  <c:pt idx="0">
                    <c:v>2024</c:v>
                  </c:pt>
                  <c:pt idx="4">
                    <c:v>2025</c:v>
                  </c:pt>
                </c:lvl>
              </c:multiLvlStrCache>
              <c:extLst/>
            </c:multiLvlStrRef>
          </c:cat>
          <c:val>
            <c:numRef>
              <c:f>'Quarterly GDP chart fan'!$AY$17:$AY$34</c:f>
              <c:numCache>
                <c:formatCode>0.0000</c:formatCode>
                <c:ptCount val="8"/>
                <c:pt idx="0">
                  <c:v>0</c:v>
                </c:pt>
                <c:pt idx="1">
                  <c:v>0</c:v>
                </c:pt>
                <c:pt idx="2">
                  <c:v>0</c:v>
                </c:pt>
                <c:pt idx="3">
                  <c:v>0</c:v>
                </c:pt>
                <c:pt idx="4">
                  <c:v>0</c:v>
                </c:pt>
                <c:pt idx="5">
                  <c:v>0</c:v>
                </c:pt>
                <c:pt idx="6">
                  <c:v>0.1454545454545455</c:v>
                </c:pt>
                <c:pt idx="7">
                  <c:v>0.20303030303030312</c:v>
                </c:pt>
              </c:numCache>
              <c:extLst/>
            </c:numRef>
          </c:val>
          <c:extLst>
            <c:ext xmlns:c16="http://schemas.microsoft.com/office/drawing/2014/chart" uri="{C3380CC4-5D6E-409C-BE32-E72D297353CC}">
              <c16:uniqueId val="{00000014-E36C-4C2E-BD97-D4A7F4B7290C}"/>
            </c:ext>
          </c:extLst>
        </c:ser>
        <c:dLbls>
          <c:showLegendKey val="0"/>
          <c:showVal val="0"/>
          <c:showCatName val="0"/>
          <c:showSerName val="0"/>
          <c:showPercent val="0"/>
          <c:showBubbleSize val="0"/>
        </c:dLbls>
        <c:axId val="136355472"/>
        <c:axId val="136350480"/>
      </c:areaChart>
      <c:lineChart>
        <c:grouping val="standard"/>
        <c:varyColors val="0"/>
        <c:ser>
          <c:idx val="21"/>
          <c:order val="21"/>
          <c:tx>
            <c:strRef>
              <c:f>'Quarterly GDP chart fan'!$J$16</c:f>
              <c:strCache>
                <c:ptCount val="1"/>
                <c:pt idx="0">
                  <c:v>Kombinovana</c:v>
                </c:pt>
              </c:strCache>
            </c:strRef>
          </c:tx>
          <c:spPr>
            <a:ln w="12700" cap="rnd">
              <a:solidFill>
                <a:schemeClr val="tx1"/>
              </a:solidFill>
              <a:round/>
            </a:ln>
            <a:effectLst/>
          </c:spPr>
          <c:marker>
            <c:symbol val="none"/>
          </c:marker>
          <c:dLbls>
            <c:dLbl>
              <c:idx val="6"/>
              <c:tx>
                <c:rich>
                  <a:bodyPr/>
                  <a:lstStyle/>
                  <a:p>
                    <a:r>
                      <a:rPr lang="en-US"/>
                      <a:t>2.3</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E36C-4C2E-BD97-D4A7F4B7290C}"/>
                </c:ext>
              </c:extLst>
            </c:dLbl>
            <c:dLbl>
              <c:idx val="7"/>
              <c:tx>
                <c:rich>
                  <a:bodyPr/>
                  <a:lstStyle/>
                  <a:p>
                    <a:r>
                      <a:rPr lang="en-US"/>
                      <a:t>2.7</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E36C-4C2E-BD97-D4A7F4B7290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8"/>
              <c:pt idx="0">
                <c:v>2024 Q1</c:v>
              </c:pt>
              <c:pt idx="1">
                <c:v>2024 Q2</c:v>
              </c:pt>
              <c:pt idx="2">
                <c:v>2024 Q3</c:v>
              </c:pt>
              <c:pt idx="3">
                <c:v>2024 Q4</c:v>
              </c:pt>
              <c:pt idx="4">
                <c:v>2025 Q1</c:v>
              </c:pt>
              <c:pt idx="5">
                <c:v>2025 Q2</c:v>
              </c:pt>
              <c:pt idx="6">
                <c:v>2025 Q3</c:v>
              </c:pt>
              <c:pt idx="7">
                <c:v>2025 Q4</c:v>
              </c:pt>
              <c:extLst>
                <c:ext xmlns:c15="http://schemas.microsoft.com/office/drawing/2012/chart" uri="{02D57815-91ED-43cb-92C2-25804820EDAC}">
                  <c15:autoCat val="1"/>
                </c:ext>
              </c:extLst>
            </c:strLit>
          </c:cat>
          <c:val>
            <c:numRef>
              <c:f>'Quarterly GDP chart fan'!$J$17:$J$34</c:f>
              <c:numCache>
                <c:formatCode>0.0</c:formatCode>
                <c:ptCount val="8"/>
                <c:pt idx="0">
                  <c:v>4.5999999999999996</c:v>
                </c:pt>
                <c:pt idx="1">
                  <c:v>4.5</c:v>
                </c:pt>
                <c:pt idx="2">
                  <c:v>3.2</c:v>
                </c:pt>
                <c:pt idx="3">
                  <c:v>3.2690420744048083</c:v>
                </c:pt>
                <c:pt idx="4">
                  <c:v>1.9</c:v>
                </c:pt>
                <c:pt idx="5">
                  <c:v>2.1</c:v>
                </c:pt>
                <c:pt idx="6">
                  <c:v>2.4</c:v>
                </c:pt>
                <c:pt idx="7">
                  <c:v>2.8</c:v>
                </c:pt>
              </c:numCache>
              <c:extLst/>
            </c:numRef>
          </c:val>
          <c:smooth val="0"/>
          <c:extLst>
            <c:ext xmlns:c16="http://schemas.microsoft.com/office/drawing/2014/chart" uri="{C3380CC4-5D6E-409C-BE32-E72D297353CC}">
              <c16:uniqueId val="{00000017-E36C-4C2E-BD97-D4A7F4B7290C}"/>
            </c:ext>
          </c:extLst>
        </c:ser>
        <c:dLbls>
          <c:showLegendKey val="0"/>
          <c:showVal val="0"/>
          <c:showCatName val="0"/>
          <c:showSerName val="0"/>
          <c:showPercent val="0"/>
          <c:showBubbleSize val="0"/>
        </c:dLbls>
        <c:marker val="1"/>
        <c:smooth val="0"/>
        <c:axId val="136355472"/>
        <c:axId val="136350480"/>
      </c:lineChart>
      <c:catAx>
        <c:axId val="136355472"/>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b" anchorCtr="0"/>
          <a:lstStyle/>
          <a:p>
            <a:pPr>
              <a:defRPr sz="750" b="0" i="0" u="none" strike="noStrike" kern="1200" baseline="0">
                <a:solidFill>
                  <a:schemeClr val="tx2"/>
                </a:solidFill>
                <a:latin typeface="+mn-lt"/>
                <a:ea typeface="+mn-ea"/>
                <a:cs typeface="+mn-cs"/>
              </a:defRPr>
            </a:pPr>
            <a:endParaRPr lang="en-US"/>
          </a:p>
        </c:txPr>
        <c:crossAx val="136350480"/>
        <c:crosses val="autoZero"/>
        <c:auto val="1"/>
        <c:lblAlgn val="ctr"/>
        <c:lblOffset val="100"/>
        <c:noMultiLvlLbl val="0"/>
      </c:catAx>
      <c:valAx>
        <c:axId val="136350480"/>
        <c:scaling>
          <c:orientation val="minMax"/>
          <c:max val="5"/>
          <c:min val="1"/>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36355472"/>
        <c:crosses val="autoZero"/>
        <c:crossBetween val="between"/>
        <c:majorUnit val="1"/>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2294461456206862"/>
        </c:manualLayout>
      </c:layout>
      <c:barChart>
        <c:barDir val="col"/>
        <c:grouping val="stacked"/>
        <c:varyColors val="0"/>
        <c:ser>
          <c:idx val="2"/>
          <c:order val="0"/>
          <c:tx>
            <c:strRef>
              <c:f>BDP_doprinosi!$R$8</c:f>
              <c:strCache>
                <c:ptCount val="1"/>
                <c:pt idx="0">
                  <c:v>Приватна потрошња</c:v>
                </c:pt>
              </c:strCache>
            </c:strRef>
          </c:tx>
          <c:spPr>
            <a:solidFill>
              <a:srgbClr val="10103C"/>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extLst/>
            </c:numRef>
          </c:cat>
          <c:val>
            <c:numRef>
              <c:f>BDP_doprinosi!$AE$8:$AM$8</c:f>
              <c:numCache>
                <c:formatCode>0.0</c:formatCode>
                <c:ptCount val="7"/>
                <c:pt idx="0">
                  <c:v>2.2221902045863948</c:v>
                </c:pt>
                <c:pt idx="1">
                  <c:v>0.31833848973833495</c:v>
                </c:pt>
                <c:pt idx="2">
                  <c:v>3.2370016461031832</c:v>
                </c:pt>
                <c:pt idx="3">
                  <c:v>1.7682994404567565</c:v>
                </c:pt>
                <c:pt idx="4">
                  <c:v>2.9460869252614255</c:v>
                </c:pt>
                <c:pt idx="5">
                  <c:v>2.2262599233272224</c:v>
                </c:pt>
                <c:pt idx="6">
                  <c:v>2.1866219171354873</c:v>
                </c:pt>
              </c:numCache>
              <c:extLst/>
            </c:numRef>
          </c:val>
          <c:extLst>
            <c:ext xmlns:c16="http://schemas.microsoft.com/office/drawing/2014/chart" uri="{C3380CC4-5D6E-409C-BE32-E72D297353CC}">
              <c16:uniqueId val="{00000000-3BA6-448F-8782-7E501C18D26F}"/>
            </c:ext>
          </c:extLst>
        </c:ser>
        <c:ser>
          <c:idx val="3"/>
          <c:order val="1"/>
          <c:tx>
            <c:strRef>
              <c:f>BDP_doprinosi!$R$9</c:f>
              <c:strCache>
                <c:ptCount val="1"/>
                <c:pt idx="0">
                  <c:v>Државна потрошња</c:v>
                </c:pt>
              </c:strCache>
            </c:strRef>
          </c:tx>
          <c:spPr>
            <a:solidFill>
              <a:srgbClr val="29489A"/>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extLst/>
            </c:numRef>
          </c:cat>
          <c:val>
            <c:numRef>
              <c:f>BDP_doprinosi!$AE$9:$AM$9</c:f>
              <c:numCache>
                <c:formatCode>0.0</c:formatCode>
                <c:ptCount val="7"/>
                <c:pt idx="0">
                  <c:v>0.24535717484313002</c:v>
                </c:pt>
                <c:pt idx="1">
                  <c:v>-0.44585232480102971</c:v>
                </c:pt>
                <c:pt idx="2">
                  <c:v>0.69087163634389692</c:v>
                </c:pt>
                <c:pt idx="3">
                  <c:v>0.45973980719210117</c:v>
                </c:pt>
                <c:pt idx="4">
                  <c:v>0.51393576276943054</c:v>
                </c:pt>
                <c:pt idx="5">
                  <c:v>0.34080954583774697</c:v>
                </c:pt>
                <c:pt idx="6">
                  <c:v>0.41398268951704387</c:v>
                </c:pt>
              </c:numCache>
              <c:extLst/>
            </c:numRef>
          </c:val>
          <c:extLst>
            <c:ext xmlns:c16="http://schemas.microsoft.com/office/drawing/2014/chart" uri="{C3380CC4-5D6E-409C-BE32-E72D297353CC}">
              <c16:uniqueId val="{00000001-3BA6-448F-8782-7E501C18D26F}"/>
            </c:ext>
          </c:extLst>
        </c:ser>
        <c:ser>
          <c:idx val="1"/>
          <c:order val="2"/>
          <c:tx>
            <c:strRef>
              <c:f>BDP_doprinosi!$R$10</c:f>
              <c:strCache>
                <c:ptCount val="1"/>
                <c:pt idx="0">
                  <c:v>Инвестиције</c:v>
                </c:pt>
              </c:strCache>
            </c:strRef>
          </c:tx>
          <c:spPr>
            <a:solidFill>
              <a:srgbClr val="2183C4"/>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extLst/>
            </c:numRef>
          </c:cat>
          <c:val>
            <c:numRef>
              <c:f>BDP_doprinosi!$AE$10:$AM$10</c:f>
              <c:numCache>
                <c:formatCode>0.0</c:formatCode>
                <c:ptCount val="7"/>
                <c:pt idx="0">
                  <c:v>0.50227686987182918</c:v>
                </c:pt>
                <c:pt idx="1">
                  <c:v>2.2266722518818769</c:v>
                </c:pt>
                <c:pt idx="2">
                  <c:v>1.8669989562268212</c:v>
                </c:pt>
                <c:pt idx="3">
                  <c:v>0.40201371600266272</c:v>
                </c:pt>
                <c:pt idx="4">
                  <c:v>1.7975615741458877</c:v>
                </c:pt>
                <c:pt idx="5">
                  <c:v>1.533661595139143</c:v>
                </c:pt>
                <c:pt idx="6">
                  <c:v>1.190028410537735</c:v>
                </c:pt>
              </c:numCache>
              <c:extLst/>
            </c:numRef>
          </c:val>
          <c:extLst>
            <c:ext xmlns:c16="http://schemas.microsoft.com/office/drawing/2014/chart" uri="{C3380CC4-5D6E-409C-BE32-E72D297353CC}">
              <c16:uniqueId val="{00000002-3BA6-448F-8782-7E501C18D26F}"/>
            </c:ext>
          </c:extLst>
        </c:ser>
        <c:ser>
          <c:idx val="0"/>
          <c:order val="3"/>
          <c:tx>
            <c:strRef>
              <c:f>BDP_doprinosi!$R$11</c:f>
              <c:strCache>
                <c:ptCount val="1"/>
                <c:pt idx="0">
                  <c:v>Нето извоз</c:v>
                </c:pt>
              </c:strCache>
            </c:strRef>
          </c:tx>
          <c:spPr>
            <a:solidFill>
              <a:srgbClr val="51BBE7"/>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extLst/>
            </c:numRef>
          </c:cat>
          <c:val>
            <c:numRef>
              <c:f>BDP_doprinosi!$AE$11:$AM$11</c:f>
              <c:numCache>
                <c:formatCode>0.0</c:formatCode>
                <c:ptCount val="7"/>
                <c:pt idx="0">
                  <c:v>-0.72017071190694426</c:v>
                </c:pt>
                <c:pt idx="1">
                  <c:v>2.5793220166551953</c:v>
                </c:pt>
                <c:pt idx="2">
                  <c:v>-2.087662236799805</c:v>
                </c:pt>
                <c:pt idx="3">
                  <c:v>-1.1249696836646341</c:v>
                </c:pt>
                <c:pt idx="4">
                  <c:v>-2.0284287787882986</c:v>
                </c:pt>
                <c:pt idx="5">
                  <c:v>0.95030787889770862</c:v>
                </c:pt>
                <c:pt idx="6">
                  <c:v>-0.38689606756467126</c:v>
                </c:pt>
              </c:numCache>
              <c:extLst/>
            </c:numRef>
          </c:val>
          <c:extLst>
            <c:ext xmlns:c16="http://schemas.microsoft.com/office/drawing/2014/chart" uri="{C3380CC4-5D6E-409C-BE32-E72D297353CC}">
              <c16:uniqueId val="{00000003-3BA6-448F-8782-7E501C18D26F}"/>
            </c:ext>
          </c:extLst>
        </c:ser>
        <c:ser>
          <c:idx val="4"/>
          <c:order val="4"/>
          <c:tx>
            <c:strRef>
              <c:f>BDP_doprinosi!$R$12</c:f>
              <c:strCache>
                <c:ptCount val="1"/>
                <c:pt idx="0">
                  <c:v>Промена у залихама</c:v>
                </c:pt>
              </c:strCache>
            </c:strRef>
          </c:tx>
          <c:spPr>
            <a:solidFill>
              <a:srgbClr val="9ED1E6"/>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extLst/>
            </c:numRef>
          </c:cat>
          <c:val>
            <c:numRef>
              <c:f>BDP_doprinosi!$AE$12:$AM$12</c:f>
              <c:numCache>
                <c:formatCode>0.0</c:formatCode>
                <c:ptCount val="7"/>
                <c:pt idx="0">
                  <c:v>0.45382313751105896</c:v>
                </c:pt>
                <c:pt idx="1">
                  <c:v>-0.93054733787088606</c:v>
                </c:pt>
                <c:pt idx="2">
                  <c:v>0.24271600932706799</c:v>
                </c:pt>
                <c:pt idx="3">
                  <c:v>0.74491672001311426</c:v>
                </c:pt>
                <c:pt idx="4">
                  <c:v>-0.26915548338844314</c:v>
                </c:pt>
                <c:pt idx="5">
                  <c:v>-3.1038943201813694E-2</c:v>
                </c:pt>
                <c:pt idx="6">
                  <c:v>4.7263050374417526E-2</c:v>
                </c:pt>
              </c:numCache>
              <c:extLst/>
            </c:numRef>
          </c:val>
          <c:extLst>
            <c:ext xmlns:c16="http://schemas.microsoft.com/office/drawing/2014/chart" uri="{C3380CC4-5D6E-409C-BE32-E72D297353CC}">
              <c16:uniqueId val="{00000004-3BA6-448F-8782-7E501C18D26F}"/>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BDP_doprinosi!$R$13</c:f>
              <c:strCache>
                <c:ptCount val="1"/>
                <c:pt idx="0">
                  <c:v>Реални раст БДП</c:v>
                </c:pt>
              </c:strCache>
            </c:strRef>
          </c:tx>
          <c:spPr>
            <a:ln w="25400" cap="rnd">
              <a:solidFill>
                <a:srgbClr val="FF0000"/>
              </a:solidFill>
              <a:round/>
            </a:ln>
            <a:effectLst/>
          </c:spPr>
          <c:marker>
            <c:symbol val="none"/>
          </c:marker>
          <c:dLbls>
            <c:dLbl>
              <c:idx val="5"/>
              <c:layout>
                <c:manualLayout>
                  <c:x val="-6.3285485332032612E-2"/>
                  <c:y val="-3.98726884446816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BA6-448F-8782-7E501C18D26F}"/>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BDP_doprinosi!$AE$6:$AM$6</c:f>
              <c:numCache>
                <c:formatCode>General</c:formatCode>
                <c:ptCount val="7"/>
                <c:pt idx="0">
                  <c:v>2022</c:v>
                </c:pt>
                <c:pt idx="1">
                  <c:v>2023</c:v>
                </c:pt>
                <c:pt idx="2">
                  <c:v>2024</c:v>
                </c:pt>
                <c:pt idx="3">
                  <c:v>2025</c:v>
                </c:pt>
                <c:pt idx="4">
                  <c:v>2026</c:v>
                </c:pt>
                <c:pt idx="5">
                  <c:v>2027</c:v>
                </c:pt>
                <c:pt idx="6">
                  <c:v>2028</c:v>
                </c:pt>
              </c:numCache>
              <c:extLst/>
            </c:numRef>
          </c:cat>
          <c:val>
            <c:numRef>
              <c:f>BDP_doprinosi!$AE$13:$AM$13</c:f>
              <c:numCache>
                <c:formatCode>0.0</c:formatCode>
                <c:ptCount val="7"/>
                <c:pt idx="0">
                  <c:v>2.7034766749054739</c:v>
                </c:pt>
                <c:pt idx="1">
                  <c:v>3.7479330956034858</c:v>
                </c:pt>
                <c:pt idx="2">
                  <c:v>3.9499260112011711</c:v>
                </c:pt>
                <c:pt idx="3">
                  <c:v>2.25</c:v>
                </c:pt>
                <c:pt idx="4">
                  <c:v>2.96</c:v>
                </c:pt>
                <c:pt idx="5">
                  <c:v>5.0199999999999996</c:v>
                </c:pt>
                <c:pt idx="6">
                  <c:v>3.4510000000000001</c:v>
                </c:pt>
              </c:numCache>
              <c:extLst/>
            </c:numRef>
          </c:val>
          <c:smooth val="0"/>
          <c:extLst>
            <c:ext xmlns:c16="http://schemas.microsoft.com/office/drawing/2014/chart" uri="{C3380CC4-5D6E-409C-BE32-E72D297353CC}">
              <c16:uniqueId val="{00000006-3BA6-448F-8782-7E501C18D26F}"/>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5072"/>
        <c:crosses val="autoZero"/>
        <c:auto val="1"/>
        <c:lblAlgn val="ctr"/>
        <c:lblOffset val="100"/>
        <c:noMultiLvlLbl val="0"/>
      </c:catAx>
      <c:valAx>
        <c:axId val="1768855072"/>
        <c:scaling>
          <c:orientation val="minMax"/>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248"/>
        <c:crosses val="autoZero"/>
        <c:crossBetween val="between"/>
        <c:majorUnit val="2"/>
      </c:valAx>
      <c:spPr>
        <a:noFill/>
        <a:ln>
          <a:noFill/>
        </a:ln>
        <a:effectLst/>
      </c:spPr>
    </c:plotArea>
    <c:legend>
      <c:legendPos val="b"/>
      <c:layout>
        <c:manualLayout>
          <c:xMode val="edge"/>
          <c:yMode val="edge"/>
          <c:x val="0"/>
          <c:y val="0.77842847769028867"/>
          <c:w val="1"/>
          <c:h val="0.2215715223097112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57521808609779423"/>
        </c:manualLayout>
      </c:layout>
      <c:barChart>
        <c:barDir val="col"/>
        <c:grouping val="stacked"/>
        <c:varyColors val="0"/>
        <c:ser>
          <c:idx val="0"/>
          <c:order val="0"/>
          <c:tx>
            <c:strRef>
              <c:f>BDP_doprinosi!$R$34</c:f>
              <c:strCache>
                <c:ptCount val="1"/>
                <c:pt idx="0">
                  <c:v>Пољопривреда</c:v>
                </c:pt>
              </c:strCache>
            </c:strRef>
          </c:tx>
          <c:spPr>
            <a:solidFill>
              <a:srgbClr val="10103C"/>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extLst/>
            </c:numRef>
          </c:cat>
          <c:val>
            <c:numRef>
              <c:f>BDP_doprinosi!$AF$34:$AM$34</c:f>
              <c:numCache>
                <c:formatCode>0.0</c:formatCode>
                <c:ptCount val="7"/>
                <c:pt idx="0">
                  <c:v>-0.38323156971446615</c:v>
                </c:pt>
                <c:pt idx="1">
                  <c:v>0.39680897090011247</c:v>
                </c:pt>
                <c:pt idx="2">
                  <c:v>-0.26559926313592375</c:v>
                </c:pt>
                <c:pt idx="3">
                  <c:v>6.6388042001179259E-2</c:v>
                </c:pt>
                <c:pt idx="4">
                  <c:v>0.10330792250183506</c:v>
                </c:pt>
                <c:pt idx="5">
                  <c:v>-1.3548580000240665E-3</c:v>
                </c:pt>
                <c:pt idx="6">
                  <c:v>0</c:v>
                </c:pt>
              </c:numCache>
              <c:extLst/>
            </c:numRef>
          </c:val>
          <c:extLst>
            <c:ext xmlns:c16="http://schemas.microsoft.com/office/drawing/2014/chart" uri="{C3380CC4-5D6E-409C-BE32-E72D297353CC}">
              <c16:uniqueId val="{00000000-D954-45C0-A81B-BB8383F023FD}"/>
            </c:ext>
          </c:extLst>
        </c:ser>
        <c:ser>
          <c:idx val="1"/>
          <c:order val="1"/>
          <c:tx>
            <c:strRef>
              <c:f>BDP_doprinosi!$R$35</c:f>
              <c:strCache>
                <c:ptCount val="1"/>
                <c:pt idx="0">
                  <c:v>Индустрија</c:v>
                </c:pt>
              </c:strCache>
            </c:strRef>
          </c:tx>
          <c:spPr>
            <a:solidFill>
              <a:srgbClr val="29489A"/>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extLst/>
            </c:numRef>
          </c:cat>
          <c:val>
            <c:numRef>
              <c:f>BDP_doprinosi!$AF$35:$AM$35</c:f>
              <c:numCache>
                <c:formatCode>0.0</c:formatCode>
                <c:ptCount val="7"/>
                <c:pt idx="0">
                  <c:v>0.79837299863869049</c:v>
                </c:pt>
                <c:pt idx="1">
                  <c:v>0.37894201110574322</c:v>
                </c:pt>
                <c:pt idx="2">
                  <c:v>0.77833082527449671</c:v>
                </c:pt>
                <c:pt idx="3">
                  <c:v>0.51746989200868454</c:v>
                </c:pt>
                <c:pt idx="4">
                  <c:v>-7.5240987569419786E-3</c:v>
                </c:pt>
                <c:pt idx="5">
                  <c:v>0.73359962880184282</c:v>
                </c:pt>
                <c:pt idx="6">
                  <c:v>0.8916057026976244</c:v>
                </c:pt>
              </c:numCache>
              <c:extLst/>
            </c:numRef>
          </c:val>
          <c:extLst>
            <c:ext xmlns:c16="http://schemas.microsoft.com/office/drawing/2014/chart" uri="{C3380CC4-5D6E-409C-BE32-E72D297353CC}">
              <c16:uniqueId val="{00000001-D954-45C0-A81B-BB8383F023FD}"/>
            </c:ext>
          </c:extLst>
        </c:ser>
        <c:ser>
          <c:idx val="2"/>
          <c:order val="2"/>
          <c:tx>
            <c:strRef>
              <c:f>BDP_doprinosi!$R$36</c:f>
              <c:strCache>
                <c:ptCount val="1"/>
                <c:pt idx="0">
                  <c:v>Грађевинарство</c:v>
                </c:pt>
              </c:strCache>
            </c:strRef>
          </c:tx>
          <c:spPr>
            <a:solidFill>
              <a:srgbClr val="2183C4"/>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extLst/>
            </c:numRef>
          </c:cat>
          <c:val>
            <c:numRef>
              <c:f>BDP_doprinosi!$AF$36:$AM$36</c:f>
              <c:numCache>
                <c:formatCode>0.0</c:formatCode>
                <c:ptCount val="7"/>
                <c:pt idx="0">
                  <c:v>-0.49638809104102988</c:v>
                </c:pt>
                <c:pt idx="1">
                  <c:v>0.50016763763162086</c:v>
                </c:pt>
                <c:pt idx="2">
                  <c:v>0.19848017248080982</c:v>
                </c:pt>
                <c:pt idx="3">
                  <c:v>-0.2570998901367002</c:v>
                </c:pt>
                <c:pt idx="4">
                  <c:v>0.42316441061410193</c:v>
                </c:pt>
                <c:pt idx="5">
                  <c:v>0.24509522600580372</c:v>
                </c:pt>
                <c:pt idx="6">
                  <c:v>0.1320513054398616</c:v>
                </c:pt>
              </c:numCache>
              <c:extLst/>
            </c:numRef>
          </c:val>
          <c:extLst>
            <c:ext xmlns:c16="http://schemas.microsoft.com/office/drawing/2014/chart" uri="{C3380CC4-5D6E-409C-BE32-E72D297353CC}">
              <c16:uniqueId val="{00000002-D954-45C0-A81B-BB8383F023FD}"/>
            </c:ext>
          </c:extLst>
        </c:ser>
        <c:ser>
          <c:idx val="3"/>
          <c:order val="3"/>
          <c:tx>
            <c:strRef>
              <c:f>BDP_doprinosi!$R$37</c:f>
              <c:strCache>
                <c:ptCount val="1"/>
                <c:pt idx="0">
                  <c:v>Услуге</c:v>
                </c:pt>
              </c:strCache>
            </c:strRef>
          </c:tx>
          <c:spPr>
            <a:solidFill>
              <a:srgbClr val="51BBE7"/>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extLst/>
            </c:numRef>
          </c:cat>
          <c:val>
            <c:numRef>
              <c:f>BDP_doprinosi!$AF$37:$AM$37</c:f>
              <c:numCache>
                <c:formatCode>0.0</c:formatCode>
                <c:ptCount val="7"/>
                <c:pt idx="0">
                  <c:v>2.2640413112847577</c:v>
                </c:pt>
                <c:pt idx="1">
                  <c:v>2.7066373081422959</c:v>
                </c:pt>
                <c:pt idx="2">
                  <c:v>2.5969128620465889</c:v>
                </c:pt>
                <c:pt idx="3">
                  <c:v>1.5974405635708095</c:v>
                </c:pt>
                <c:pt idx="4">
                  <c:v>2.0040617979342885</c:v>
                </c:pt>
                <c:pt idx="5">
                  <c:v>3.4272361182064643</c:v>
                </c:pt>
                <c:pt idx="6">
                  <c:v>1.9517819249446982</c:v>
                </c:pt>
              </c:numCache>
              <c:extLst/>
            </c:numRef>
          </c:val>
          <c:extLst>
            <c:ext xmlns:c16="http://schemas.microsoft.com/office/drawing/2014/chart" uri="{C3380CC4-5D6E-409C-BE32-E72D297353CC}">
              <c16:uniqueId val="{00000003-D954-45C0-A81B-BB8383F023FD}"/>
            </c:ext>
          </c:extLst>
        </c:ser>
        <c:ser>
          <c:idx val="4"/>
          <c:order val="4"/>
          <c:tx>
            <c:strRef>
              <c:f>BDP_doprinosi!$R$38</c:f>
              <c:strCache>
                <c:ptCount val="1"/>
                <c:pt idx="0">
                  <c:v>Нето порези</c:v>
                </c:pt>
              </c:strCache>
            </c:strRef>
          </c:tx>
          <c:spPr>
            <a:solidFill>
              <a:srgbClr val="9ED1E6"/>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extLst/>
            </c:numRef>
          </c:cat>
          <c:val>
            <c:numRef>
              <c:f>BDP_doprinosi!$AF$38:$AM$38</c:f>
              <c:numCache>
                <c:formatCode>0.0</c:formatCode>
                <c:ptCount val="7"/>
                <c:pt idx="0">
                  <c:v>0.52068240626859308</c:v>
                </c:pt>
                <c:pt idx="1">
                  <c:v>-0.2346216400155999</c:v>
                </c:pt>
                <c:pt idx="2">
                  <c:v>0.64180298536778724</c:v>
                </c:pt>
                <c:pt idx="3">
                  <c:v>0.40604893802719505</c:v>
                </c:pt>
                <c:pt idx="4">
                  <c:v>0.52227309057845739</c:v>
                </c:pt>
                <c:pt idx="5">
                  <c:v>0.63261247591193437</c:v>
                </c:pt>
                <c:pt idx="6">
                  <c:v>0.50020521351176206</c:v>
                </c:pt>
              </c:numCache>
              <c:extLst/>
            </c:numRef>
          </c:val>
          <c:extLst>
            <c:ext xmlns:c16="http://schemas.microsoft.com/office/drawing/2014/chart" uri="{C3380CC4-5D6E-409C-BE32-E72D297353CC}">
              <c16:uniqueId val="{00000004-D954-45C0-A81B-BB8383F023FD}"/>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BDP_doprinosi!$R$39</c:f>
              <c:strCache>
                <c:ptCount val="1"/>
                <c:pt idx="0">
                  <c:v>Реални раст БДП</c:v>
                </c:pt>
              </c:strCache>
            </c:strRef>
          </c:tx>
          <c:spPr>
            <a:ln w="25400" cap="rnd">
              <a:solidFill>
                <a:srgbClr val="FF0000"/>
              </a:solidFill>
              <a:round/>
            </a:ln>
            <a:effectLst/>
          </c:spPr>
          <c:marker>
            <c:symbol val="none"/>
          </c:marker>
          <c:dLbls>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BDP_doprinosi!$AF$33:$AM$33</c:f>
              <c:numCache>
                <c:formatCode>General</c:formatCode>
                <c:ptCount val="7"/>
                <c:pt idx="0">
                  <c:v>2022</c:v>
                </c:pt>
                <c:pt idx="1">
                  <c:v>2023</c:v>
                </c:pt>
                <c:pt idx="2">
                  <c:v>2024</c:v>
                </c:pt>
                <c:pt idx="3">
                  <c:v>2025</c:v>
                </c:pt>
                <c:pt idx="4">
                  <c:v>2026</c:v>
                </c:pt>
                <c:pt idx="5">
                  <c:v>2027</c:v>
                </c:pt>
                <c:pt idx="6">
                  <c:v>2028</c:v>
                </c:pt>
              </c:numCache>
              <c:extLst/>
            </c:numRef>
          </c:cat>
          <c:val>
            <c:numRef>
              <c:f>BDP_doprinosi!$AF$39:$AM$39</c:f>
              <c:numCache>
                <c:formatCode>0.0</c:formatCode>
                <c:ptCount val="7"/>
                <c:pt idx="0">
                  <c:v>2.7034766749054739</c:v>
                </c:pt>
                <c:pt idx="1">
                  <c:v>3.7479330956034858</c:v>
                </c:pt>
                <c:pt idx="2">
                  <c:v>3.9165582040709159</c:v>
                </c:pt>
                <c:pt idx="3">
                  <c:v>2.3302475454711682</c:v>
                </c:pt>
                <c:pt idx="4">
                  <c:v>3.0452831228717412</c:v>
                </c:pt>
                <c:pt idx="5">
                  <c:v>5.0371885909260214</c:v>
                </c:pt>
                <c:pt idx="6">
                  <c:v>3.4756441465939467</c:v>
                </c:pt>
              </c:numCache>
              <c:extLst/>
            </c:numRef>
          </c:val>
          <c:smooth val="0"/>
          <c:extLst>
            <c:ext xmlns:c16="http://schemas.microsoft.com/office/drawing/2014/chart" uri="{C3380CC4-5D6E-409C-BE32-E72D297353CC}">
              <c16:uniqueId val="{00000005-D954-45C0-A81B-BB8383F023FD}"/>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8336"/>
        <c:crosses val="autoZero"/>
        <c:auto val="1"/>
        <c:lblAlgn val="ctr"/>
        <c:lblOffset val="100"/>
        <c:noMultiLvlLbl val="0"/>
      </c:catAx>
      <c:valAx>
        <c:axId val="1768858336"/>
        <c:scaling>
          <c:orientation val="minMax"/>
          <c:max val="8"/>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792"/>
        <c:crosses val="autoZero"/>
        <c:crossBetween val="between"/>
        <c:majorUnit val="2"/>
      </c:valAx>
      <c:spPr>
        <a:noFill/>
        <a:ln>
          <a:noFill/>
        </a:ln>
        <a:effectLst/>
      </c:spPr>
    </c:plotArea>
    <c:legend>
      <c:legendPos val="b"/>
      <c:layout>
        <c:manualLayout>
          <c:xMode val="edge"/>
          <c:yMode val="edge"/>
          <c:x val="2.9349664625255175E-2"/>
          <c:y val="0.77184787291576906"/>
          <c:w val="0.93586103820355804"/>
          <c:h val="0.2251827951075382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99511519393409"/>
          <c:y val="7.7030812324929976E-2"/>
          <c:w val="0.84707895888013995"/>
          <c:h val="0.74824268289993168"/>
        </c:manualLayout>
      </c:layout>
      <c:areaChart>
        <c:grouping val="stacked"/>
        <c:varyColors val="0"/>
        <c:ser>
          <c:idx val="0"/>
          <c:order val="0"/>
          <c:tx>
            <c:strRef>
              <c:f>Fan_chart!$A$19</c:f>
              <c:strCache>
                <c:ptCount val="1"/>
                <c:pt idx="0">
                  <c:v>90% Lower Bound:</c:v>
                </c:pt>
              </c:strCache>
            </c:strRef>
          </c:tx>
          <c:spPr>
            <a:no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Fan_chart!$B$19:$Q$19</c:f>
              <c:numCache>
                <c:formatCode>General</c:formatCode>
                <c:ptCount val="9"/>
                <c:pt idx="4" formatCode="0.0">
                  <c:v>3.9</c:v>
                </c:pt>
                <c:pt idx="5" formatCode="0.0">
                  <c:v>1.7845456152317392</c:v>
                </c:pt>
                <c:pt idx="6" formatCode="0.0">
                  <c:v>1.2186113740274211</c:v>
                </c:pt>
                <c:pt idx="7" formatCode="0.0">
                  <c:v>1.6290413843083642</c:v>
                </c:pt>
                <c:pt idx="8" formatCode="0.0">
                  <c:v>-2.4716812399997234E-2</c:v>
                </c:pt>
              </c:numCache>
              <c:extLst/>
            </c:numRef>
          </c:val>
          <c:extLst>
            <c:ext xmlns:c16="http://schemas.microsoft.com/office/drawing/2014/chart" uri="{C3380CC4-5D6E-409C-BE32-E72D297353CC}">
              <c16:uniqueId val="{00000000-DD59-4E60-B471-CA94E0AEC1D8}"/>
            </c:ext>
          </c:extLst>
        </c:ser>
        <c:ser>
          <c:idx val="1"/>
          <c:order val="1"/>
          <c:tx>
            <c:strRef>
              <c:f>Fan_chart!$A$20</c:f>
              <c:strCache>
                <c:ptCount val="1"/>
                <c:pt idx="0">
                  <c:v>75% Lower Bound: (aditional 15%)</c:v>
                </c:pt>
              </c:strCache>
            </c:strRef>
          </c:tx>
          <c:spPr>
            <a:solidFill>
              <a:srgbClr val="C00000">
                <a:alpha val="25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Fan_chart!$B$20:$Q$20</c:f>
              <c:numCache>
                <c:formatCode>General</c:formatCode>
                <c:ptCount val="9"/>
                <c:pt idx="5" formatCode="0.0">
                  <c:v>0.13906868813198048</c:v>
                </c:pt>
                <c:pt idx="6" formatCode="0.0">
                  <c:v>0.52029294312595353</c:v>
                </c:pt>
                <c:pt idx="7" formatCode="0.0">
                  <c:v>1.013152269322501</c:v>
                </c:pt>
                <c:pt idx="8" formatCode="0.0">
                  <c:v>1.0384763646804869</c:v>
                </c:pt>
              </c:numCache>
              <c:extLst/>
            </c:numRef>
          </c:val>
          <c:extLst>
            <c:ext xmlns:c16="http://schemas.microsoft.com/office/drawing/2014/chart" uri="{C3380CC4-5D6E-409C-BE32-E72D297353CC}">
              <c16:uniqueId val="{00000001-DD59-4E60-B471-CA94E0AEC1D8}"/>
            </c:ext>
          </c:extLst>
        </c:ser>
        <c:ser>
          <c:idx val="2"/>
          <c:order val="2"/>
          <c:tx>
            <c:strRef>
              <c:f>Fan_chart!$A$21</c:f>
              <c:strCache>
                <c:ptCount val="1"/>
                <c:pt idx="0">
                  <c:v>50% Lower Bound: (aditional 25%)</c:v>
                </c:pt>
              </c:strCache>
            </c:strRef>
          </c:tx>
          <c:spPr>
            <a:solidFill>
              <a:srgbClr val="C00000">
                <a:alpha val="50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Fan_chart!$B$21:$Q$21</c:f>
              <c:numCache>
                <c:formatCode>General</c:formatCode>
                <c:ptCount val="9"/>
                <c:pt idx="5" formatCode="0.0">
                  <c:v>0.13623055163949083</c:v>
                </c:pt>
                <c:pt idx="6" formatCode="0.0">
                  <c:v>0.50967471979685208</c:v>
                </c:pt>
                <c:pt idx="7" formatCode="0.0">
                  <c:v>0.99247569239755151</c:v>
                </c:pt>
                <c:pt idx="8" formatCode="0.0">
                  <c:v>1.0172829694829262</c:v>
                </c:pt>
              </c:numCache>
              <c:extLst/>
            </c:numRef>
          </c:val>
          <c:extLst>
            <c:ext xmlns:c16="http://schemas.microsoft.com/office/drawing/2014/chart" uri="{C3380CC4-5D6E-409C-BE32-E72D297353CC}">
              <c16:uniqueId val="{00000002-DD59-4E60-B471-CA94E0AEC1D8}"/>
            </c:ext>
          </c:extLst>
        </c:ser>
        <c:ser>
          <c:idx val="3"/>
          <c:order val="3"/>
          <c:tx>
            <c:strRef>
              <c:f>Fan_chart!$A$22</c:f>
              <c:strCache>
                <c:ptCount val="1"/>
                <c:pt idx="0">
                  <c:v>50% Upper Bound: (aditional 50%)</c:v>
                </c:pt>
              </c:strCache>
            </c:strRef>
          </c:tx>
          <c:spPr>
            <a:solidFill>
              <a:srgbClr val="C00000">
                <a:alpha val="75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Fan_chart!$B$22:$Q$22</c:f>
              <c:numCache>
                <c:formatCode>General</c:formatCode>
                <c:ptCount val="9"/>
                <c:pt idx="5" formatCode="0.0">
                  <c:v>0.38031028999357908</c:v>
                </c:pt>
                <c:pt idx="6" formatCode="0.0">
                  <c:v>1.4228419260995464</c:v>
                </c:pt>
                <c:pt idx="7" formatCode="0.0">
                  <c:v>2.7706613079431652</c:v>
                </c:pt>
                <c:pt idx="8" formatCode="0.0">
                  <c:v>2.8399149564731685</c:v>
                </c:pt>
              </c:numCache>
              <c:extLst/>
            </c:numRef>
          </c:val>
          <c:extLst>
            <c:ext xmlns:c16="http://schemas.microsoft.com/office/drawing/2014/chart" uri="{C3380CC4-5D6E-409C-BE32-E72D297353CC}">
              <c16:uniqueId val="{00000003-DD59-4E60-B471-CA94E0AEC1D8}"/>
            </c:ext>
          </c:extLst>
        </c:ser>
        <c:ser>
          <c:idx val="4"/>
          <c:order val="4"/>
          <c:tx>
            <c:strRef>
              <c:f>Fan_chart!$A$23</c:f>
              <c:strCache>
                <c:ptCount val="1"/>
                <c:pt idx="0">
                  <c:v>75% Upper Bound: (aditional 25%)</c:v>
                </c:pt>
              </c:strCache>
            </c:strRef>
          </c:tx>
          <c:spPr>
            <a:solidFill>
              <a:srgbClr val="C00000">
                <a:alpha val="50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Fan_chart!$B$23:$Q$23</c:f>
              <c:numCache>
                <c:formatCode>General</c:formatCode>
                <c:ptCount val="9"/>
                <c:pt idx="5" formatCode="0.0">
                  <c:v>0.13623055163949083</c:v>
                </c:pt>
                <c:pt idx="6" formatCode="0.0">
                  <c:v>0.5096747197968523</c:v>
                </c:pt>
                <c:pt idx="7" formatCode="0.0">
                  <c:v>0.99247569239755151</c:v>
                </c:pt>
                <c:pt idx="8" formatCode="0.0">
                  <c:v>1.0172829694829266</c:v>
                </c:pt>
              </c:numCache>
              <c:extLst/>
            </c:numRef>
          </c:val>
          <c:extLst>
            <c:ext xmlns:c16="http://schemas.microsoft.com/office/drawing/2014/chart" uri="{C3380CC4-5D6E-409C-BE32-E72D297353CC}">
              <c16:uniqueId val="{00000004-DD59-4E60-B471-CA94E0AEC1D8}"/>
            </c:ext>
          </c:extLst>
        </c:ser>
        <c:ser>
          <c:idx val="5"/>
          <c:order val="5"/>
          <c:tx>
            <c:strRef>
              <c:f>Fan_chart!$A$24</c:f>
              <c:strCache>
                <c:ptCount val="1"/>
                <c:pt idx="0">
                  <c:v>90% Upper Bound: (aditional 15%)</c:v>
                </c:pt>
              </c:strCache>
            </c:strRef>
          </c:tx>
          <c:spPr>
            <a:solidFill>
              <a:srgbClr val="C00000">
                <a:alpha val="25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Fan_chart!$B$24:$Q$24</c:f>
              <c:numCache>
                <c:formatCode>General</c:formatCode>
                <c:ptCount val="9"/>
                <c:pt idx="5" formatCode="0.0">
                  <c:v>0.13906868813198026</c:v>
                </c:pt>
                <c:pt idx="6" formatCode="0.0">
                  <c:v>0.52029294312595287</c:v>
                </c:pt>
                <c:pt idx="7" formatCode="0.0">
                  <c:v>1.0131522693225019</c:v>
                </c:pt>
                <c:pt idx="8" formatCode="0.0">
                  <c:v>1.038476364680486</c:v>
                </c:pt>
              </c:numCache>
              <c:extLst/>
            </c:numRef>
          </c:val>
          <c:extLst>
            <c:ext xmlns:c16="http://schemas.microsoft.com/office/drawing/2014/chart" uri="{C3380CC4-5D6E-409C-BE32-E72D297353CC}">
              <c16:uniqueId val="{00000005-DD59-4E60-B471-CA94E0AEC1D8}"/>
            </c:ext>
          </c:extLst>
        </c:ser>
        <c:dLbls>
          <c:showLegendKey val="0"/>
          <c:showVal val="0"/>
          <c:showCatName val="0"/>
          <c:showSerName val="0"/>
          <c:showPercent val="0"/>
          <c:showBubbleSize val="0"/>
        </c:dLbls>
        <c:axId val="1853986224"/>
        <c:axId val="1853987472"/>
      </c:areaChart>
      <c:lineChart>
        <c:grouping val="standard"/>
        <c:varyColors val="0"/>
        <c:ser>
          <c:idx val="6"/>
          <c:order val="6"/>
          <c:tx>
            <c:strRef>
              <c:f>Fan_chart!$A$12</c:f>
              <c:strCache>
                <c:ptCount val="1"/>
                <c:pt idx="0">
                  <c:v>Central Forecast</c:v>
                </c:pt>
              </c:strCache>
            </c:strRef>
          </c:tx>
          <c:spPr>
            <a:ln w="28575" cap="rnd">
              <a:solidFill>
                <a:sysClr val="windowText" lastClr="000000"/>
              </a:solidFill>
              <a:round/>
            </a:ln>
            <a:effectLst/>
          </c:spPr>
          <c:marker>
            <c:symbol val="circle"/>
            <c:size val="5"/>
            <c:spPr>
              <a:noFill/>
              <a:ln w="9525">
                <a:noFill/>
              </a:ln>
              <a:effectLst/>
            </c:spPr>
          </c:marker>
          <c:dPt>
            <c:idx val="4"/>
            <c:marker>
              <c:symbol val="circle"/>
              <c:size val="5"/>
              <c:spPr>
                <a:noFill/>
                <a:ln w="9525">
                  <a:noFill/>
                </a:ln>
                <a:effectLst/>
              </c:spPr>
            </c:marker>
            <c:bubble3D val="0"/>
            <c:spPr>
              <a:ln w="28575" cap="rnd">
                <a:solidFill>
                  <a:sysClr val="windowText" lastClr="000000"/>
                </a:solidFill>
                <a:prstDash val="solid"/>
                <a:round/>
              </a:ln>
              <a:effectLst/>
            </c:spPr>
            <c:extLst>
              <c:ext xmlns:c16="http://schemas.microsoft.com/office/drawing/2014/chart" uri="{C3380CC4-5D6E-409C-BE32-E72D297353CC}">
                <c16:uniqueId val="{00000007-DD59-4E60-B471-CA94E0AEC1D8}"/>
              </c:ext>
            </c:extLst>
          </c:dPt>
          <c:dPt>
            <c:idx val="5"/>
            <c:marker>
              <c:symbol val="circle"/>
              <c:size val="5"/>
              <c:spPr>
                <a:noFill/>
                <a:ln w="9525">
                  <a:noFill/>
                </a:ln>
                <a:effectLst/>
              </c:spPr>
            </c:marker>
            <c:bubble3D val="0"/>
            <c:spPr>
              <a:ln w="28575" cap="rnd">
                <a:solidFill>
                  <a:sysClr val="windowText" lastClr="000000"/>
                </a:solidFill>
                <a:prstDash val="sysDash"/>
                <a:round/>
              </a:ln>
              <a:effectLst/>
            </c:spPr>
            <c:extLst>
              <c:ext xmlns:c16="http://schemas.microsoft.com/office/drawing/2014/chart" uri="{C3380CC4-5D6E-409C-BE32-E72D297353CC}">
                <c16:uniqueId val="{00000009-DD59-4E60-B471-CA94E0AEC1D8}"/>
              </c:ext>
            </c:extLst>
          </c:dPt>
          <c:dPt>
            <c:idx val="6"/>
            <c:marker>
              <c:symbol val="circle"/>
              <c:size val="5"/>
              <c:spPr>
                <a:noFill/>
                <a:ln w="9525">
                  <a:noFill/>
                </a:ln>
                <a:effectLst/>
              </c:spPr>
            </c:marker>
            <c:bubble3D val="0"/>
            <c:spPr>
              <a:ln w="28575" cap="rnd">
                <a:solidFill>
                  <a:sysClr val="windowText" lastClr="000000"/>
                </a:solidFill>
                <a:prstDash val="sysDash"/>
                <a:round/>
              </a:ln>
              <a:effectLst/>
            </c:spPr>
            <c:extLst>
              <c:ext xmlns:c16="http://schemas.microsoft.com/office/drawing/2014/chart" uri="{C3380CC4-5D6E-409C-BE32-E72D297353CC}">
                <c16:uniqueId val="{0000000B-DD59-4E60-B471-CA94E0AEC1D8}"/>
              </c:ext>
            </c:extLst>
          </c:dPt>
          <c:dPt>
            <c:idx val="7"/>
            <c:marker>
              <c:symbol val="circle"/>
              <c:size val="5"/>
              <c:spPr>
                <a:noFill/>
                <a:ln w="9525">
                  <a:noFill/>
                </a:ln>
                <a:effectLst/>
              </c:spPr>
            </c:marker>
            <c:bubble3D val="0"/>
            <c:spPr>
              <a:ln w="28575" cap="rnd">
                <a:solidFill>
                  <a:sysClr val="windowText" lastClr="000000"/>
                </a:solidFill>
                <a:prstDash val="sysDash"/>
                <a:round/>
              </a:ln>
              <a:effectLst/>
            </c:spPr>
            <c:extLst>
              <c:ext xmlns:c16="http://schemas.microsoft.com/office/drawing/2014/chart" uri="{C3380CC4-5D6E-409C-BE32-E72D297353CC}">
                <c16:uniqueId val="{0000000D-DD59-4E60-B471-CA94E0AEC1D8}"/>
              </c:ext>
            </c:extLst>
          </c:dPt>
          <c:dPt>
            <c:idx val="8"/>
            <c:marker>
              <c:symbol val="circle"/>
              <c:size val="5"/>
              <c:spPr>
                <a:noFill/>
                <a:ln w="9525">
                  <a:noFill/>
                </a:ln>
                <a:effectLst/>
              </c:spPr>
            </c:marker>
            <c:bubble3D val="0"/>
            <c:spPr>
              <a:ln w="28575" cap="rnd">
                <a:solidFill>
                  <a:sysClr val="windowText" lastClr="000000"/>
                </a:solidFill>
                <a:prstDash val="sysDash"/>
                <a:round/>
              </a:ln>
              <a:effectLst/>
            </c:spPr>
            <c:extLst>
              <c:ext xmlns:c16="http://schemas.microsoft.com/office/drawing/2014/chart" uri="{C3380CC4-5D6E-409C-BE32-E72D297353CC}">
                <c16:uniqueId val="{0000000F-DD59-4E60-B471-CA94E0AEC1D8}"/>
              </c:ext>
            </c:extLst>
          </c:dPt>
          <c:dLbls>
            <c:dLbl>
              <c:idx val="2"/>
              <c:layout>
                <c:manualLayout>
                  <c:x val="-0.11399314668999713"/>
                  <c:y val="-3.63679733232727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D59-4E60-B471-CA94E0AEC1D8}"/>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Fan_chart!$B$11:$Q$11</c:f>
              <c:numCache>
                <c:formatCode>General</c:formatCode>
                <c:ptCount val="9"/>
                <c:pt idx="0">
                  <c:v>2020</c:v>
                </c:pt>
                <c:pt idx="1">
                  <c:v>2021</c:v>
                </c:pt>
                <c:pt idx="2">
                  <c:v>2022</c:v>
                </c:pt>
                <c:pt idx="3">
                  <c:v>2023</c:v>
                </c:pt>
                <c:pt idx="4">
                  <c:v>2024</c:v>
                </c:pt>
                <c:pt idx="5">
                  <c:v>2025</c:v>
                </c:pt>
                <c:pt idx="6">
                  <c:v>2026</c:v>
                </c:pt>
                <c:pt idx="7">
                  <c:v>2027</c:v>
                </c:pt>
                <c:pt idx="8">
                  <c:v>2028</c:v>
                </c:pt>
              </c:numCache>
              <c:extLst/>
            </c:numRef>
          </c:cat>
          <c:val>
            <c:numRef>
              <c:f>Fan_chart!$B$12:$Q$12</c:f>
              <c:numCache>
                <c:formatCode>0.0</c:formatCode>
                <c:ptCount val="9"/>
                <c:pt idx="0">
                  <c:v>-0.95002358986207014</c:v>
                </c:pt>
                <c:pt idx="1">
                  <c:v>7.9490568037111018</c:v>
                </c:pt>
                <c:pt idx="2">
                  <c:v>2.6309864215221199</c:v>
                </c:pt>
                <c:pt idx="3">
                  <c:v>3.8474719538126299</c:v>
                </c:pt>
                <c:pt idx="4">
                  <c:v>3.9</c:v>
                </c:pt>
                <c:pt idx="5">
                  <c:v>2.25</c:v>
                </c:pt>
                <c:pt idx="6">
                  <c:v>2.96</c:v>
                </c:pt>
                <c:pt idx="7">
                  <c:v>5.0199999999999996</c:v>
                </c:pt>
                <c:pt idx="8">
                  <c:v>3.4510000000000001</c:v>
                </c:pt>
              </c:numCache>
              <c:extLst/>
            </c:numRef>
          </c:val>
          <c:smooth val="0"/>
          <c:extLst>
            <c:ext xmlns:c16="http://schemas.microsoft.com/office/drawing/2014/chart" uri="{C3380CC4-5D6E-409C-BE32-E72D297353CC}">
              <c16:uniqueId val="{00000011-DD59-4E60-B471-CA94E0AEC1D8}"/>
            </c:ext>
          </c:extLst>
        </c:ser>
        <c:dLbls>
          <c:showLegendKey val="0"/>
          <c:showVal val="0"/>
          <c:showCatName val="0"/>
          <c:showSerName val="0"/>
          <c:showPercent val="0"/>
          <c:showBubbleSize val="0"/>
        </c:dLbls>
        <c:marker val="1"/>
        <c:smooth val="0"/>
        <c:axId val="1853986224"/>
        <c:axId val="1853987472"/>
      </c:lineChart>
      <c:catAx>
        <c:axId val="1853986224"/>
        <c:scaling>
          <c:orientation val="minMax"/>
        </c:scaling>
        <c:delete val="0"/>
        <c:axPos val="b"/>
        <c:numFmt formatCode="General" sourceLinked="0"/>
        <c:majorTickMark val="out"/>
        <c:minorTickMark val="none"/>
        <c:tickLblPos val="low"/>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53987472"/>
        <c:crosses val="autoZero"/>
        <c:auto val="1"/>
        <c:lblAlgn val="ctr"/>
        <c:lblOffset val="100"/>
        <c:noMultiLvlLbl val="0"/>
      </c:catAx>
      <c:valAx>
        <c:axId val="1853987472"/>
        <c:scaling>
          <c:orientation val="minMax"/>
          <c:max val="1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53986224"/>
        <c:crosses val="autoZero"/>
        <c:crossBetween val="between"/>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890798861412E-2"/>
          <c:y val="3.2668451682857202E-2"/>
          <c:w val="0.90740810185185183"/>
          <c:h val="0.64325861344072932"/>
        </c:manualLayout>
      </c:layout>
      <c:barChart>
        <c:barDir val="col"/>
        <c:grouping val="stacked"/>
        <c:varyColors val="0"/>
        <c:ser>
          <c:idx val="2"/>
          <c:order val="1"/>
          <c:tx>
            <c:strRef>
              <c:f>'потенцијални BDP'!$D$5</c:f>
              <c:strCache>
                <c:ptCount val="1"/>
                <c:pt idx="0">
                  <c:v>Допринос фактора рада, п.п.</c:v>
                </c:pt>
              </c:strCache>
            </c:strRef>
          </c:tx>
          <c:spPr>
            <a:solidFill>
              <a:srgbClr val="10103C"/>
            </a:solidFill>
            <a:ln>
              <a:noFill/>
            </a:ln>
            <a:effectLst/>
          </c:spPr>
          <c:invertIfNegative val="0"/>
          <c:cat>
            <c:numRef>
              <c:f>'потенцијални BDP'!$B$13:$B$19</c:f>
              <c:numCache>
                <c:formatCode>General</c:formatCode>
                <c:ptCount val="7"/>
                <c:pt idx="0">
                  <c:v>2022</c:v>
                </c:pt>
                <c:pt idx="1">
                  <c:v>2023</c:v>
                </c:pt>
                <c:pt idx="2">
                  <c:v>2024</c:v>
                </c:pt>
                <c:pt idx="3">
                  <c:v>2025</c:v>
                </c:pt>
                <c:pt idx="4">
                  <c:v>2026</c:v>
                </c:pt>
                <c:pt idx="5">
                  <c:v>2027</c:v>
                </c:pt>
                <c:pt idx="6">
                  <c:v>2028</c:v>
                </c:pt>
              </c:numCache>
            </c:numRef>
          </c:cat>
          <c:val>
            <c:numRef>
              <c:f>'потенцијални BDP'!$D$13:$D$19</c:f>
              <c:numCache>
                <c:formatCode>0.0</c:formatCode>
                <c:ptCount val="7"/>
                <c:pt idx="0">
                  <c:v>0.76564961926302022</c:v>
                </c:pt>
                <c:pt idx="1">
                  <c:v>0.94230647245415866</c:v>
                </c:pt>
                <c:pt idx="2">
                  <c:v>0.83182831889549014</c:v>
                </c:pt>
                <c:pt idx="3">
                  <c:v>0.61439733071099734</c:v>
                </c:pt>
                <c:pt idx="4">
                  <c:v>0.37530272515173713</c:v>
                </c:pt>
                <c:pt idx="5">
                  <c:v>0.21414887064558963</c:v>
                </c:pt>
                <c:pt idx="6">
                  <c:v>0.30792650735404603</c:v>
                </c:pt>
              </c:numCache>
            </c:numRef>
          </c:val>
          <c:extLst>
            <c:ext xmlns:c16="http://schemas.microsoft.com/office/drawing/2014/chart" uri="{C3380CC4-5D6E-409C-BE32-E72D297353CC}">
              <c16:uniqueId val="{00000000-A369-4860-954E-BAF1018BD722}"/>
            </c:ext>
          </c:extLst>
        </c:ser>
        <c:ser>
          <c:idx val="1"/>
          <c:order val="2"/>
          <c:tx>
            <c:strRef>
              <c:f>'потенцијални BDP'!$E$5</c:f>
              <c:strCache>
                <c:ptCount val="1"/>
                <c:pt idx="0">
                  <c:v>Допринос капитала, п.п.</c:v>
                </c:pt>
              </c:strCache>
            </c:strRef>
          </c:tx>
          <c:spPr>
            <a:solidFill>
              <a:srgbClr val="29489A"/>
            </a:solidFill>
            <a:ln>
              <a:noFill/>
            </a:ln>
            <a:effectLst/>
          </c:spPr>
          <c:invertIfNegative val="0"/>
          <c:cat>
            <c:numRef>
              <c:f>'потенцијални BDP'!$B$13:$B$19</c:f>
              <c:numCache>
                <c:formatCode>General</c:formatCode>
                <c:ptCount val="7"/>
                <c:pt idx="0">
                  <c:v>2022</c:v>
                </c:pt>
                <c:pt idx="1">
                  <c:v>2023</c:v>
                </c:pt>
                <c:pt idx="2">
                  <c:v>2024</c:v>
                </c:pt>
                <c:pt idx="3">
                  <c:v>2025</c:v>
                </c:pt>
                <c:pt idx="4">
                  <c:v>2026</c:v>
                </c:pt>
                <c:pt idx="5">
                  <c:v>2027</c:v>
                </c:pt>
                <c:pt idx="6">
                  <c:v>2028</c:v>
                </c:pt>
              </c:numCache>
            </c:numRef>
          </c:cat>
          <c:val>
            <c:numRef>
              <c:f>'потенцијални BDP'!$E$13:$E$19</c:f>
              <c:numCache>
                <c:formatCode>0.0</c:formatCode>
                <c:ptCount val="7"/>
                <c:pt idx="0">
                  <c:v>1.6841914599443151</c:v>
                </c:pt>
                <c:pt idx="1">
                  <c:v>1.8524329672844595</c:v>
                </c:pt>
                <c:pt idx="2">
                  <c:v>1.9386537218612263</c:v>
                </c:pt>
                <c:pt idx="3">
                  <c:v>1.7946859646012434</c:v>
                </c:pt>
                <c:pt idx="4">
                  <c:v>1.8890799113004328</c:v>
                </c:pt>
                <c:pt idx="5">
                  <c:v>1.9253028687541172</c:v>
                </c:pt>
                <c:pt idx="6">
                  <c:v>1.8888354540890016</c:v>
                </c:pt>
              </c:numCache>
            </c:numRef>
          </c:val>
          <c:extLst>
            <c:ext xmlns:c16="http://schemas.microsoft.com/office/drawing/2014/chart" uri="{C3380CC4-5D6E-409C-BE32-E72D297353CC}">
              <c16:uniqueId val="{00000001-A369-4860-954E-BAF1018BD722}"/>
            </c:ext>
          </c:extLst>
        </c:ser>
        <c:ser>
          <c:idx val="3"/>
          <c:order val="3"/>
          <c:tx>
            <c:strRef>
              <c:f>'потенцијални BDP'!$F$5</c:f>
              <c:strCache>
                <c:ptCount val="1"/>
                <c:pt idx="0">
                  <c:v>ТФП, п.п.</c:v>
                </c:pt>
              </c:strCache>
            </c:strRef>
          </c:tx>
          <c:spPr>
            <a:solidFill>
              <a:srgbClr val="51BBE7"/>
            </a:solidFill>
            <a:ln>
              <a:noFill/>
            </a:ln>
            <a:effectLst/>
          </c:spPr>
          <c:invertIfNegative val="0"/>
          <c:cat>
            <c:numRef>
              <c:f>'потенцијални BDP'!$B$13:$B$19</c:f>
              <c:numCache>
                <c:formatCode>General</c:formatCode>
                <c:ptCount val="7"/>
                <c:pt idx="0">
                  <c:v>2022</c:v>
                </c:pt>
                <c:pt idx="1">
                  <c:v>2023</c:v>
                </c:pt>
                <c:pt idx="2">
                  <c:v>2024</c:v>
                </c:pt>
                <c:pt idx="3">
                  <c:v>2025</c:v>
                </c:pt>
                <c:pt idx="4">
                  <c:v>2026</c:v>
                </c:pt>
                <c:pt idx="5">
                  <c:v>2027</c:v>
                </c:pt>
                <c:pt idx="6">
                  <c:v>2028</c:v>
                </c:pt>
              </c:numCache>
            </c:numRef>
          </c:cat>
          <c:val>
            <c:numRef>
              <c:f>'потенцијални BDP'!$F$13:$F$19</c:f>
              <c:numCache>
                <c:formatCode>0.0</c:formatCode>
                <c:ptCount val="7"/>
                <c:pt idx="0">
                  <c:v>1.3007879848533823</c:v>
                </c:pt>
                <c:pt idx="1">
                  <c:v>1.1342265948927355</c:v>
                </c:pt>
                <c:pt idx="2">
                  <c:v>1.1614489813771112</c:v>
                </c:pt>
                <c:pt idx="3">
                  <c:v>1.4727295048873723</c:v>
                </c:pt>
                <c:pt idx="4">
                  <c:v>1.4415119874271431</c:v>
                </c:pt>
                <c:pt idx="5">
                  <c:v>1.6471798245670179</c:v>
                </c:pt>
                <c:pt idx="6">
                  <c:v>1.66693101831793</c:v>
                </c:pt>
              </c:numCache>
            </c:numRef>
          </c:val>
          <c:extLst>
            <c:ext xmlns:c16="http://schemas.microsoft.com/office/drawing/2014/chart" uri="{C3380CC4-5D6E-409C-BE32-E72D297353CC}">
              <c16:uniqueId val="{00000002-A369-4860-954E-BAF1018BD722}"/>
            </c:ext>
          </c:extLst>
        </c:ser>
        <c:dLbls>
          <c:showLegendKey val="0"/>
          <c:showVal val="0"/>
          <c:showCatName val="0"/>
          <c:showSerName val="0"/>
          <c:showPercent val="0"/>
          <c:showBubbleSize val="0"/>
        </c:dLbls>
        <c:gapWidth val="60"/>
        <c:overlap val="100"/>
        <c:axId val="1961428144"/>
        <c:axId val="1961437392"/>
      </c:barChart>
      <c:lineChart>
        <c:grouping val="standard"/>
        <c:varyColors val="0"/>
        <c:ser>
          <c:idx val="0"/>
          <c:order val="0"/>
          <c:tx>
            <c:strRef>
              <c:f>'потенцијални BDP'!$C$5</c:f>
              <c:strCache>
                <c:ptCount val="1"/>
                <c:pt idx="0">
                  <c:v>Раст потенцијалног БДП, %</c:v>
                </c:pt>
              </c:strCache>
            </c:strRef>
          </c:tx>
          <c:spPr>
            <a:ln w="28575" cap="rnd">
              <a:solidFill>
                <a:srgbClr val="FF0000"/>
              </a:solidFill>
              <a:round/>
            </a:ln>
            <a:effectLst/>
          </c:spPr>
          <c:marker>
            <c:symbol val="none"/>
          </c:marker>
          <c:cat>
            <c:numRef>
              <c:f>'потенцијални BDP'!$B$13:$B$19</c:f>
              <c:numCache>
                <c:formatCode>General</c:formatCode>
                <c:ptCount val="7"/>
                <c:pt idx="0">
                  <c:v>2022</c:v>
                </c:pt>
                <c:pt idx="1">
                  <c:v>2023</c:v>
                </c:pt>
                <c:pt idx="2">
                  <c:v>2024</c:v>
                </c:pt>
                <c:pt idx="3">
                  <c:v>2025</c:v>
                </c:pt>
                <c:pt idx="4">
                  <c:v>2026</c:v>
                </c:pt>
                <c:pt idx="5">
                  <c:v>2027</c:v>
                </c:pt>
                <c:pt idx="6">
                  <c:v>2028</c:v>
                </c:pt>
              </c:numCache>
            </c:numRef>
          </c:cat>
          <c:val>
            <c:numRef>
              <c:f>'потенцијални BDP'!$C$13:$C$19</c:f>
              <c:numCache>
                <c:formatCode>0.0</c:formatCode>
                <c:ptCount val="7"/>
                <c:pt idx="0">
                  <c:v>3.7506290640607176</c:v>
                </c:pt>
                <c:pt idx="1">
                  <c:v>3.9289660346313537</c:v>
                </c:pt>
                <c:pt idx="2">
                  <c:v>3.9319310221338277</c:v>
                </c:pt>
                <c:pt idx="3">
                  <c:v>3.8818128001996133</c:v>
                </c:pt>
                <c:pt idx="4">
                  <c:v>3.7058946238793133</c:v>
                </c:pt>
                <c:pt idx="5">
                  <c:v>3.7866315639667247</c:v>
                </c:pt>
                <c:pt idx="6">
                  <c:v>3.86</c:v>
                </c:pt>
              </c:numCache>
            </c:numRef>
          </c:val>
          <c:smooth val="0"/>
          <c:extLst>
            <c:ext xmlns:c16="http://schemas.microsoft.com/office/drawing/2014/chart" uri="{C3380CC4-5D6E-409C-BE32-E72D297353CC}">
              <c16:uniqueId val="{00000003-A369-4860-954E-BAF1018BD722}"/>
            </c:ext>
          </c:extLst>
        </c:ser>
        <c:dLbls>
          <c:showLegendKey val="0"/>
          <c:showVal val="0"/>
          <c:showCatName val="0"/>
          <c:showSerName val="0"/>
          <c:showPercent val="0"/>
          <c:showBubbleSize val="0"/>
        </c:dLbls>
        <c:marker val="1"/>
        <c:smooth val="0"/>
        <c:axId val="1961428144"/>
        <c:axId val="1961437392"/>
      </c:lineChart>
      <c:catAx>
        <c:axId val="196142814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37392"/>
        <c:crossesAt val="0"/>
        <c:auto val="1"/>
        <c:lblAlgn val="ctr"/>
        <c:lblOffset val="100"/>
        <c:noMultiLvlLbl val="0"/>
      </c:catAx>
      <c:valAx>
        <c:axId val="1961437392"/>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28144"/>
        <c:crosses val="autoZero"/>
        <c:crossBetween val="between"/>
        <c:majorUnit val="1"/>
        <c:minorUnit val="0.2"/>
      </c:valAx>
      <c:spPr>
        <a:noFill/>
        <a:ln>
          <a:noFill/>
        </a:ln>
        <a:effectLst/>
      </c:spPr>
    </c:plotArea>
    <c:legend>
      <c:legendPos val="b"/>
      <c:layout>
        <c:manualLayout>
          <c:xMode val="edge"/>
          <c:yMode val="edge"/>
          <c:x val="1.4346234889652889E-3"/>
          <c:y val="0.79209678819444451"/>
          <c:w val="0.99827437063324831"/>
          <c:h val="0.19444878472222224"/>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65682414698163"/>
          <c:y val="6.035665294924554E-2"/>
          <c:w val="0.71252661125692618"/>
          <c:h val="0.70831513409961688"/>
        </c:manualLayout>
      </c:layout>
      <c:barChart>
        <c:barDir val="col"/>
        <c:grouping val="clustered"/>
        <c:varyColors val="0"/>
        <c:ser>
          <c:idx val="1"/>
          <c:order val="1"/>
          <c:tx>
            <c:strRef>
              <c:f>'Trziste rada-br zap croso'!$B$15</c:f>
              <c:strCache>
                <c:ptCount val="1"/>
                <c:pt idx="0">
                  <c:v>Стопа раста, у % (десна скала)</c:v>
                </c:pt>
              </c:strCache>
            </c:strRef>
          </c:tx>
          <c:spPr>
            <a:solidFill>
              <a:srgbClr val="29489A"/>
            </a:solidFill>
            <a:ln>
              <a:noFill/>
            </a:ln>
            <a:effectLst/>
          </c:spPr>
          <c:invertIfNegative val="0"/>
          <c:dLbls>
            <c:dLbl>
              <c:idx val="7"/>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ysClr val="windowText" lastClr="000000"/>
                      </a:solidFill>
                      <a:latin typeface="+mn-lt"/>
                      <a:ea typeface="+mn-ea"/>
                      <a:cs typeface="+mn-cs"/>
                    </a:defRPr>
                  </a:pPr>
                  <a:endParaRPr lang="en-US"/>
                </a:p>
              </c:txPr>
              <c:dLblPos val="inBase"/>
              <c:showLegendKey val="0"/>
              <c:showVal val="1"/>
              <c:showCatName val="0"/>
              <c:showSerName val="0"/>
              <c:showPercent val="0"/>
              <c:showBubbleSize val="0"/>
              <c:extLst>
                <c:ext xmlns:c16="http://schemas.microsoft.com/office/drawing/2014/chart" uri="{C3380CC4-5D6E-409C-BE32-E72D297353CC}">
                  <c16:uniqueId val="{00000000-D632-474A-9272-7D54F4B31429}"/>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rada-br zap croso'!$C$13:$J$13</c:f>
              <c:strCache>
                <c:ptCount val="8"/>
                <c:pt idx="0">
                  <c:v>2018</c:v>
                </c:pt>
                <c:pt idx="1">
                  <c:v>2019</c:v>
                </c:pt>
                <c:pt idx="2">
                  <c:v>2020</c:v>
                </c:pt>
                <c:pt idx="3">
                  <c:v>2021</c:v>
                </c:pt>
                <c:pt idx="4">
                  <c:v>2022</c:v>
                </c:pt>
                <c:pt idx="5">
                  <c:v>2023</c:v>
                </c:pt>
                <c:pt idx="6">
                  <c:v>2024</c:v>
                </c:pt>
                <c:pt idx="7">
                  <c:v>I-VIII 2025</c:v>
                </c:pt>
              </c:strCache>
            </c:strRef>
          </c:cat>
          <c:val>
            <c:numRef>
              <c:f>'Trziste rada-br zap croso'!$C$15:$J$15</c:f>
              <c:numCache>
                <c:formatCode>0.0</c:formatCode>
                <c:ptCount val="8"/>
                <c:pt idx="0">
                  <c:v>3.8024992025341504</c:v>
                </c:pt>
                <c:pt idx="1">
                  <c:v>2.3736491221046947</c:v>
                </c:pt>
                <c:pt idx="2">
                  <c:v>2.2763571179288817</c:v>
                </c:pt>
                <c:pt idx="3">
                  <c:v>2.9561962168021836</c:v>
                </c:pt>
                <c:pt idx="4">
                  <c:v>1.8458948204450394</c:v>
                </c:pt>
                <c:pt idx="5">
                  <c:v>2.4</c:v>
                </c:pt>
                <c:pt idx="6">
                  <c:v>0.5</c:v>
                </c:pt>
                <c:pt idx="7">
                  <c:v>0.2</c:v>
                </c:pt>
              </c:numCache>
            </c:numRef>
          </c:val>
          <c:extLst>
            <c:ext xmlns:c16="http://schemas.microsoft.com/office/drawing/2014/chart" uri="{C3380CC4-5D6E-409C-BE32-E72D297353CC}">
              <c16:uniqueId val="{00000001-D632-474A-9272-7D54F4B31429}"/>
            </c:ext>
          </c:extLst>
        </c:ser>
        <c:dLbls>
          <c:showLegendKey val="0"/>
          <c:showVal val="0"/>
          <c:showCatName val="0"/>
          <c:showSerName val="0"/>
          <c:showPercent val="0"/>
          <c:showBubbleSize val="0"/>
        </c:dLbls>
        <c:gapWidth val="32"/>
        <c:axId val="1699767695"/>
        <c:axId val="1699779759"/>
      </c:barChart>
      <c:lineChart>
        <c:grouping val="standard"/>
        <c:varyColors val="0"/>
        <c:ser>
          <c:idx val="0"/>
          <c:order val="0"/>
          <c:tx>
            <c:strRef>
              <c:f>'Trziste rada-br zap croso'!$B$14</c:f>
              <c:strCache>
                <c:ptCount val="1"/>
                <c:pt idx="0">
                  <c:v>Просечан број запослених, у хиљ.</c:v>
                </c:pt>
              </c:strCache>
            </c:strRef>
          </c:tx>
          <c:spPr>
            <a:ln w="28575" cap="rnd">
              <a:solidFill>
                <a:srgbClr val="FF0000"/>
              </a:solidFill>
              <a:round/>
            </a:ln>
            <a:effectLst/>
          </c:spPr>
          <c:marker>
            <c:symbol val="circle"/>
            <c:size val="18"/>
            <c:spPr>
              <a:solidFill>
                <a:srgbClr val="FF0000"/>
              </a:solidFill>
              <a:ln w="9525">
                <a:solidFill>
                  <a:srgbClr val="ED1C2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rada-br zap croso'!$C$13:$J$13</c:f>
              <c:strCache>
                <c:ptCount val="8"/>
                <c:pt idx="0">
                  <c:v>2018</c:v>
                </c:pt>
                <c:pt idx="1">
                  <c:v>2019</c:v>
                </c:pt>
                <c:pt idx="2">
                  <c:v>2020</c:v>
                </c:pt>
                <c:pt idx="3">
                  <c:v>2021</c:v>
                </c:pt>
                <c:pt idx="4">
                  <c:v>2022</c:v>
                </c:pt>
                <c:pt idx="5">
                  <c:v>2023</c:v>
                </c:pt>
                <c:pt idx="6">
                  <c:v>2024</c:v>
                </c:pt>
                <c:pt idx="7">
                  <c:v>I-VIII 2025</c:v>
                </c:pt>
              </c:strCache>
            </c:strRef>
          </c:cat>
          <c:val>
            <c:numRef>
              <c:f>'Trziste rada-br zap croso'!$C$14:$J$14</c:f>
              <c:numCache>
                <c:formatCode>0</c:formatCode>
                <c:ptCount val="8"/>
                <c:pt idx="0">
                  <c:v>2052.5464166666666</c:v>
                </c:pt>
                <c:pt idx="1">
                  <c:v>2101.2666666666664</c:v>
                </c:pt>
                <c:pt idx="2">
                  <c:v>2149.0990000000002</c:v>
                </c:pt>
                <c:pt idx="3">
                  <c:v>2212.6305833333336</c:v>
                </c:pt>
                <c:pt idx="4">
                  <c:v>2253.4734166666667</c:v>
                </c:pt>
                <c:pt idx="5">
                  <c:v>2306.9553333333333</c:v>
                </c:pt>
                <c:pt idx="6">
                  <c:v>2319.5354166666666</c:v>
                </c:pt>
                <c:pt idx="7">
                  <c:v>2320.90625</c:v>
                </c:pt>
              </c:numCache>
            </c:numRef>
          </c:val>
          <c:smooth val="0"/>
          <c:extLst>
            <c:ext xmlns:c16="http://schemas.microsoft.com/office/drawing/2014/chart" uri="{C3380CC4-5D6E-409C-BE32-E72D297353CC}">
              <c16:uniqueId val="{00000002-D632-474A-9272-7D54F4B31429}"/>
            </c:ext>
          </c:extLst>
        </c:ser>
        <c:dLbls>
          <c:showLegendKey val="0"/>
          <c:showVal val="0"/>
          <c:showCatName val="0"/>
          <c:showSerName val="0"/>
          <c:showPercent val="0"/>
          <c:showBubbleSize val="0"/>
        </c:dLbls>
        <c:marker val="1"/>
        <c:smooth val="0"/>
        <c:axId val="1299337759"/>
        <c:axId val="1299338591"/>
      </c:lineChart>
      <c:catAx>
        <c:axId val="1299337759"/>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299338591"/>
        <c:crosses val="autoZero"/>
        <c:auto val="1"/>
        <c:lblAlgn val="ctr"/>
        <c:lblOffset val="100"/>
        <c:noMultiLvlLbl val="0"/>
      </c:catAx>
      <c:valAx>
        <c:axId val="1299338591"/>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299337759"/>
        <c:crosses val="autoZero"/>
        <c:crossBetween val="between"/>
      </c:valAx>
      <c:valAx>
        <c:axId val="1699779759"/>
        <c:scaling>
          <c:orientation val="minMax"/>
        </c:scaling>
        <c:delete val="0"/>
        <c:axPos val="r"/>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sz="700">
                    <a:solidFill>
                      <a:schemeClr val="tx2"/>
                    </a:solidFill>
                  </a:rPr>
                  <a:t>Промена у односу</a:t>
                </a:r>
                <a:r>
                  <a:rPr lang="sr-Cyrl-RS" sz="700" baseline="0">
                    <a:solidFill>
                      <a:schemeClr val="tx2"/>
                    </a:solidFill>
                  </a:rPr>
                  <a:t> на и</a:t>
                </a:r>
                <a:r>
                  <a:rPr lang="sr-Cyrl-RS" sz="700">
                    <a:solidFill>
                      <a:schemeClr val="tx2"/>
                    </a:solidFill>
                  </a:rPr>
                  <a:t>сти период претходне године, %</a:t>
                </a:r>
                <a:endParaRPr lang="en-GB" sz="700">
                  <a:solidFill>
                    <a:schemeClr val="tx2"/>
                  </a:solidFill>
                </a:endParaRPr>
              </a:p>
            </c:rich>
          </c:tx>
          <c:layout>
            <c:manualLayout>
              <c:xMode val="edge"/>
              <c:yMode val="edge"/>
              <c:x val="0.90699074074074071"/>
              <c:y val="0.10163647250824812"/>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GB"/>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699767695"/>
        <c:crosses val="max"/>
        <c:crossBetween val="between"/>
      </c:valAx>
      <c:catAx>
        <c:axId val="1699767695"/>
        <c:scaling>
          <c:orientation val="minMax"/>
        </c:scaling>
        <c:delete val="1"/>
        <c:axPos val="b"/>
        <c:numFmt formatCode="General" sourceLinked="1"/>
        <c:majorTickMark val="out"/>
        <c:minorTickMark val="none"/>
        <c:tickLblPos val="nextTo"/>
        <c:crossAx val="1699779759"/>
        <c:crosses val="autoZero"/>
        <c:auto val="1"/>
        <c:lblAlgn val="ctr"/>
        <c:lblOffset val="100"/>
        <c:noMultiLvlLbl val="0"/>
      </c:catAx>
      <c:spPr>
        <a:noFill/>
        <a:ln>
          <a:noFill/>
        </a:ln>
        <a:effectLst/>
      </c:spPr>
    </c:plotArea>
    <c:legend>
      <c:legendPos val="b"/>
      <c:layout>
        <c:manualLayout>
          <c:xMode val="edge"/>
          <c:yMode val="edge"/>
          <c:x val="0"/>
          <c:y val="0.88085296934865898"/>
          <c:w val="0.9740740740740742"/>
          <c:h val="0.119147030651341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r>
              <a:rPr lang="sr-Cyrl-RS" sz="900" b="1">
                <a:solidFill>
                  <a:srgbClr val="002060"/>
                </a:solidFill>
                <a:latin typeface="+mn-lt"/>
              </a:rPr>
              <a:t>Стопа</a:t>
            </a:r>
            <a:r>
              <a:rPr lang="sr-Cyrl-RS" sz="900" b="1" baseline="0">
                <a:solidFill>
                  <a:srgbClr val="002060"/>
                </a:solidFill>
                <a:latin typeface="+mn-lt"/>
              </a:rPr>
              <a:t> раста БДП Немачке</a:t>
            </a:r>
            <a:r>
              <a:rPr lang="sr-Cyrl-RS" sz="900" b="1">
                <a:solidFill>
                  <a:srgbClr val="002060"/>
                </a:solidFill>
                <a:latin typeface="+mn-lt"/>
              </a:rPr>
              <a:t>, %</a:t>
            </a:r>
          </a:p>
        </c:rich>
      </c:tx>
      <c:layout>
        <c:manualLayout>
          <c:xMode val="edge"/>
          <c:yMode val="edge"/>
          <c:x val="0.2616641149023039"/>
          <c:y val="2.7804738299664032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857688888888889"/>
          <c:w val="0.88876071125802292"/>
          <c:h val="0.69037833333333332"/>
        </c:manualLayout>
      </c:layout>
      <c:lineChart>
        <c:grouping val="standard"/>
        <c:varyColors val="0"/>
        <c:ser>
          <c:idx val="0"/>
          <c:order val="0"/>
          <c:tx>
            <c:strRef>
              <c:f>'Nemacka, Italija, realni rast'!$A$13</c:f>
              <c:strCache>
                <c:ptCount val="1"/>
                <c:pt idx="0">
                  <c:v>окт. 2024.</c:v>
                </c:pt>
              </c:strCache>
            </c:strRef>
          </c:tx>
          <c:spPr>
            <a:ln w="25400" cap="rnd">
              <a:solidFill>
                <a:schemeClr val="accent4"/>
              </a:solidFill>
              <a:prstDash val="sysDot"/>
              <a:round/>
            </a:ln>
            <a:effectLst/>
          </c:spPr>
          <c:marker>
            <c:symbol val="none"/>
          </c:marker>
          <c:dLbls>
            <c:dLbl>
              <c:idx val="0"/>
              <c:layout>
                <c:manualLayout>
                  <c:x val="-5.9496546065137809E-2"/>
                  <c:y val="-6.83060109289617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C4D-4E70-83D6-B6B9392533AF}"/>
                </c:ext>
              </c:extLst>
            </c:dLbl>
            <c:dLbl>
              <c:idx val="1"/>
              <c:layout>
                <c:manualLayout>
                  <c:x val="-5.5170744138634049E-2"/>
                  <c:y val="-5.70129629629630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4D-4E70-83D6-B6B9392533A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rast'!$E$12:$I$12</c:f>
              <c:numCache>
                <c:formatCode>General</c:formatCode>
                <c:ptCount val="3"/>
                <c:pt idx="0">
                  <c:v>2024</c:v>
                </c:pt>
                <c:pt idx="1">
                  <c:v>2025</c:v>
                </c:pt>
                <c:pt idx="2">
                  <c:v>2026</c:v>
                </c:pt>
              </c:numCache>
            </c:numRef>
          </c:cat>
          <c:val>
            <c:numRef>
              <c:f>'Nemacka, Italija, realni rast'!$E$13:$I$13</c:f>
              <c:numCache>
                <c:formatCode>0.0</c:formatCode>
                <c:ptCount val="3"/>
                <c:pt idx="0">
                  <c:v>7.0000000000000001E-3</c:v>
                </c:pt>
                <c:pt idx="1">
                  <c:v>0.78600000000000003</c:v>
                </c:pt>
                <c:pt idx="2">
                  <c:v>1.395</c:v>
                </c:pt>
              </c:numCache>
            </c:numRef>
          </c:val>
          <c:smooth val="0"/>
          <c:extLst>
            <c:ext xmlns:c16="http://schemas.microsoft.com/office/drawing/2014/chart" uri="{C3380CC4-5D6E-409C-BE32-E72D297353CC}">
              <c16:uniqueId val="{00000002-FC4D-4E70-83D6-B6B9392533AF}"/>
            </c:ext>
          </c:extLst>
        </c:ser>
        <c:ser>
          <c:idx val="1"/>
          <c:order val="1"/>
          <c:tx>
            <c:strRef>
              <c:f>'Nemacka, Italija, realni rast'!$A$14</c:f>
              <c:strCache>
                <c:ptCount val="1"/>
                <c:pt idx="0">
                  <c:v>апр. 2025.</c:v>
                </c:pt>
              </c:strCache>
            </c:strRef>
          </c:tx>
          <c:spPr>
            <a:ln w="22225" cap="rnd">
              <a:solidFill>
                <a:srgbClr val="002060"/>
              </a:solidFill>
              <a:prstDash val="sysDash"/>
              <a:round/>
            </a:ln>
            <a:effectLst/>
          </c:spPr>
          <c:marker>
            <c:symbol val="none"/>
          </c:marker>
          <c:dLbls>
            <c:dLbl>
              <c:idx val="0"/>
              <c:layout>
                <c:manualLayout>
                  <c:x val="-0.10487721759182456"/>
                  <c:y val="-2.62386973994359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C4D-4E70-83D6-B6B9392533AF}"/>
                </c:ext>
              </c:extLst>
            </c:dLbl>
            <c:dLbl>
              <c:idx val="1"/>
              <c:layout>
                <c:manualLayout>
                  <c:x val="-1.8332344318297545E-2"/>
                  <c:y val="4.59300977626647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C4D-4E70-83D6-B6B9392533AF}"/>
                </c:ext>
              </c:extLst>
            </c:dLbl>
            <c:dLbl>
              <c:idx val="2"/>
              <c:layout>
                <c:manualLayout>
                  <c:x val="4.8786210455440647E-3"/>
                  <c:y val="9.757549557556319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C4D-4E70-83D6-B6B9392533A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rast'!$E$12:$I$12</c:f>
              <c:numCache>
                <c:formatCode>General</c:formatCode>
                <c:ptCount val="3"/>
                <c:pt idx="0">
                  <c:v>2024</c:v>
                </c:pt>
                <c:pt idx="1">
                  <c:v>2025</c:v>
                </c:pt>
                <c:pt idx="2">
                  <c:v>2026</c:v>
                </c:pt>
              </c:numCache>
            </c:numRef>
          </c:cat>
          <c:val>
            <c:numRef>
              <c:f>'Nemacka, Italija, realni rast'!$E$14:$I$14</c:f>
              <c:numCache>
                <c:formatCode>0.0</c:formatCode>
                <c:ptCount val="3"/>
                <c:pt idx="0">
                  <c:v>-0.23200000000000001</c:v>
                </c:pt>
                <c:pt idx="1">
                  <c:v>-0.05</c:v>
                </c:pt>
                <c:pt idx="2">
                  <c:v>0.92200000000000004</c:v>
                </c:pt>
              </c:numCache>
            </c:numRef>
          </c:val>
          <c:smooth val="0"/>
          <c:extLst>
            <c:ext xmlns:c16="http://schemas.microsoft.com/office/drawing/2014/chart" uri="{C3380CC4-5D6E-409C-BE32-E72D297353CC}">
              <c16:uniqueId val="{00000006-FC4D-4E70-83D6-B6B9392533AF}"/>
            </c:ext>
          </c:extLst>
        </c:ser>
        <c:ser>
          <c:idx val="2"/>
          <c:order val="2"/>
          <c:tx>
            <c:strRef>
              <c:f>'Nemacka, Italija, realni rast'!$A$15</c:f>
              <c:strCache>
                <c:ptCount val="1"/>
                <c:pt idx="0">
                  <c:v>окт. 2025.</c:v>
                </c:pt>
              </c:strCache>
            </c:strRef>
          </c:tx>
          <c:spPr>
            <a:ln w="28575" cap="rnd">
              <a:solidFill>
                <a:srgbClr val="FF0000"/>
              </a:solidFill>
              <a:round/>
            </a:ln>
            <a:effectLst/>
          </c:spPr>
          <c:marker>
            <c:symbol val="circle"/>
            <c:size val="13"/>
            <c:spPr>
              <a:solidFill>
                <a:srgbClr val="FF0000"/>
              </a:solidFill>
              <a:ln w="9525">
                <a:noFill/>
              </a:ln>
              <a:effectLst/>
            </c:spPr>
          </c:marker>
          <c:dLbls>
            <c:dLbl>
              <c:idx val="2"/>
              <c:layout>
                <c:manualLayout>
                  <c:x val="-0.10877845907259058"/>
                  <c:y val="7.667896750260759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C4D-4E70-83D6-B6B9392533AF}"/>
                </c:ext>
              </c:extLst>
            </c:dLbl>
            <c:spPr>
              <a:solidFill>
                <a:srgbClr val="FF0000"/>
              </a:solidFill>
              <a:ln>
                <a:solidFill>
                  <a:srgbClr val="FF0000"/>
                </a:solidFill>
              </a:ln>
              <a:effectLst/>
            </c:spPr>
            <c:txPr>
              <a:bodyPr rot="0" spcFirstLastPara="1" vertOverflow="clip" horzOverflow="clip" vert="horz" wrap="square" lIns="36576" tIns="18288" rIns="36576" bIns="18288" anchor="ctr" anchorCtr="1">
                <a:spAutoFit/>
              </a:bodyPr>
              <a:lstStyle/>
              <a:p>
                <a:pPr>
                  <a:defRPr sz="7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'Nemacka, Italija, realni rast'!$E$12:$I$12</c:f>
              <c:numCache>
                <c:formatCode>General</c:formatCode>
                <c:ptCount val="3"/>
                <c:pt idx="0">
                  <c:v>2024</c:v>
                </c:pt>
                <c:pt idx="1">
                  <c:v>2025</c:v>
                </c:pt>
                <c:pt idx="2">
                  <c:v>2026</c:v>
                </c:pt>
              </c:numCache>
            </c:numRef>
          </c:cat>
          <c:val>
            <c:numRef>
              <c:f>'Nemacka, Italija, realni rast'!$E$15:$I$15</c:f>
              <c:numCache>
                <c:formatCode>0.0</c:formatCode>
                <c:ptCount val="3"/>
                <c:pt idx="0">
                  <c:v>-0.5</c:v>
                </c:pt>
                <c:pt idx="1">
                  <c:v>0.2</c:v>
                </c:pt>
                <c:pt idx="2">
                  <c:v>0.92200000000000004</c:v>
                </c:pt>
              </c:numCache>
            </c:numRef>
          </c:val>
          <c:smooth val="0"/>
          <c:extLst>
            <c:ext xmlns:c16="http://schemas.microsoft.com/office/drawing/2014/chart" uri="{C3380CC4-5D6E-409C-BE32-E72D297353CC}">
              <c16:uniqueId val="{00000008-FC4D-4E70-83D6-B6B9392533AF}"/>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79862933799949E-2"/>
          <c:y val="9.8260956915078204E-2"/>
          <c:w val="0.92629337999416761"/>
          <c:h val="0.72096111111111116"/>
        </c:manualLayout>
      </c:layout>
      <c:barChart>
        <c:barDir val="col"/>
        <c:grouping val="clustered"/>
        <c:varyColors val="0"/>
        <c:ser>
          <c:idx val="0"/>
          <c:order val="0"/>
          <c:spPr>
            <a:solidFill>
              <a:srgbClr val="29489A"/>
            </a:solidFill>
            <a:ln>
              <a:noFill/>
            </a:ln>
            <a:effectLst/>
          </c:spPr>
          <c:invertIfNegative val="0"/>
          <c:dLbls>
            <c:dLbl>
              <c:idx val="0"/>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432-46F0-83DA-20814A84F28C}"/>
                </c:ext>
              </c:extLst>
            </c:dLbl>
            <c:dLbl>
              <c:idx val="1"/>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432-46F0-83DA-20814A84F28C}"/>
                </c:ext>
              </c:extLst>
            </c:dLbl>
            <c:dLbl>
              <c:idx val="2"/>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432-46F0-83DA-20814A84F28C}"/>
                </c:ext>
              </c:extLst>
            </c:dLbl>
            <c:dLbl>
              <c:idx val="3"/>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432-46F0-83DA-20814A84F28C}"/>
                </c:ext>
              </c:extLst>
            </c:dLbl>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'Trziste rada-ARS'!$C$39:$D$62</c:f>
              <c:multiLvlStrCache>
                <c:ptCount val="18"/>
                <c:lvl>
                  <c:pt idx="0">
                    <c:v>I</c:v>
                  </c:pt>
                  <c:pt idx="1">
                    <c:v>II</c:v>
                  </c:pt>
                  <c:pt idx="2">
                    <c:v>III</c:v>
                  </c:pt>
                  <c:pt idx="3">
                    <c:v>IV</c:v>
                  </c:pt>
                  <c:pt idx="4">
                    <c:v>I</c:v>
                  </c:pt>
                  <c:pt idx="5">
                    <c:v>II</c:v>
                  </c:pt>
                  <c:pt idx="6">
                    <c:v>I</c:v>
                  </c:pt>
                  <c:pt idx="7">
                    <c:v>II</c:v>
                  </c:pt>
                  <c:pt idx="8">
                    <c:v>III</c:v>
                  </c:pt>
                  <c:pt idx="9">
                    <c:v>IV</c:v>
                  </c:pt>
                  <c:pt idx="10">
                    <c:v>I</c:v>
                  </c:pt>
                  <c:pt idx="11">
                    <c:v>II</c:v>
                  </c:pt>
                  <c:pt idx="12">
                    <c:v>I</c:v>
                  </c:pt>
                  <c:pt idx="13">
                    <c:v>II</c:v>
                  </c:pt>
                  <c:pt idx="14">
                    <c:v>III</c:v>
                  </c:pt>
                  <c:pt idx="15">
                    <c:v>IV</c:v>
                  </c:pt>
                  <c:pt idx="16">
                    <c:v>I</c:v>
                  </c:pt>
                  <c:pt idx="17">
                    <c:v>II</c:v>
                  </c:pt>
                </c:lvl>
                <c:lvl>
                  <c:pt idx="0">
                    <c:v>2024</c:v>
                  </c:pt>
                  <c:pt idx="4">
                    <c:v>2025</c:v>
                  </c:pt>
                  <c:pt idx="6">
                    <c:v>2024</c:v>
                  </c:pt>
                  <c:pt idx="10">
                    <c:v>2025</c:v>
                  </c:pt>
                  <c:pt idx="12">
                    <c:v>2024</c:v>
                  </c:pt>
                  <c:pt idx="16">
                    <c:v>2025</c:v>
                  </c:pt>
                </c:lvl>
              </c:multiLvlStrCache>
            </c:multiLvlStrRef>
          </c:cat>
          <c:val>
            <c:numRef>
              <c:f>'Trziste rada-ARS'!$E$39:$E$62</c:f>
              <c:numCache>
                <c:formatCode>0.0%</c:formatCode>
                <c:ptCount val="18"/>
                <c:pt idx="0">
                  <c:v>9.4E-2</c:v>
                </c:pt>
                <c:pt idx="1">
                  <c:v>8.2000000000000003E-2</c:v>
                </c:pt>
                <c:pt idx="2">
                  <c:v>8.1000000000000003E-2</c:v>
                </c:pt>
                <c:pt idx="3">
                  <c:v>8.5999999999999993E-2</c:v>
                </c:pt>
                <c:pt idx="6">
                  <c:v>0.50900000000000001</c:v>
                </c:pt>
                <c:pt idx="7">
                  <c:v>0.51400000000000001</c:v>
                </c:pt>
                <c:pt idx="8">
                  <c:v>0.51900000000000002</c:v>
                </c:pt>
                <c:pt idx="9">
                  <c:v>0.51400000000000001</c:v>
                </c:pt>
                <c:pt idx="12">
                  <c:v>0.438</c:v>
                </c:pt>
                <c:pt idx="13">
                  <c:v>0.44</c:v>
                </c:pt>
                <c:pt idx="14">
                  <c:v>0.436</c:v>
                </c:pt>
                <c:pt idx="15">
                  <c:v>0.437</c:v>
                </c:pt>
              </c:numCache>
            </c:numRef>
          </c:val>
          <c:extLst>
            <c:ext xmlns:c16="http://schemas.microsoft.com/office/drawing/2014/chart" uri="{C3380CC4-5D6E-409C-BE32-E72D297353CC}">
              <c16:uniqueId val="{00000004-A432-46F0-83DA-20814A84F28C}"/>
            </c:ext>
          </c:extLst>
        </c:ser>
        <c:dLbls>
          <c:showLegendKey val="0"/>
          <c:showVal val="0"/>
          <c:showCatName val="0"/>
          <c:showSerName val="0"/>
          <c:showPercent val="0"/>
          <c:showBubbleSize val="0"/>
        </c:dLbls>
        <c:gapWidth val="14"/>
        <c:overlap val="-27"/>
        <c:axId val="961497464"/>
        <c:axId val="961498448"/>
      </c:barChart>
      <c:barChart>
        <c:barDir val="col"/>
        <c:grouping val="clustered"/>
        <c:varyColors val="0"/>
        <c:ser>
          <c:idx val="1"/>
          <c:order val="1"/>
          <c:spPr>
            <a:solidFill>
              <a:srgbClr val="FF0000"/>
            </a:solidFill>
            <a:ln>
              <a:noFill/>
            </a:ln>
            <a:effectLst/>
          </c:spPr>
          <c:invertIfNegative val="0"/>
          <c:dLbls>
            <c:dLbl>
              <c:idx val="4"/>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432-46F0-83DA-20814A84F28C}"/>
                </c:ext>
              </c:extLst>
            </c:dLbl>
            <c:dLbl>
              <c:idx val="5"/>
              <c:layout>
                <c:manualLayout>
                  <c:x val="-4.0606874922846566E-17"/>
                  <c:y val="5.5583951973901128E-3"/>
                </c:manualLayout>
              </c:layout>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432-46F0-83DA-20814A84F28C}"/>
                </c:ext>
              </c:extLst>
            </c:dLbl>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'Trziste rada-ARS'!$C$39:$D$62</c:f>
              <c:multiLvlStrCache>
                <c:ptCount val="18"/>
                <c:lvl>
                  <c:pt idx="0">
                    <c:v>I</c:v>
                  </c:pt>
                  <c:pt idx="1">
                    <c:v>II</c:v>
                  </c:pt>
                  <c:pt idx="2">
                    <c:v>III</c:v>
                  </c:pt>
                  <c:pt idx="3">
                    <c:v>IV</c:v>
                  </c:pt>
                  <c:pt idx="4">
                    <c:v>I</c:v>
                  </c:pt>
                  <c:pt idx="5">
                    <c:v>II</c:v>
                  </c:pt>
                  <c:pt idx="6">
                    <c:v>I</c:v>
                  </c:pt>
                  <c:pt idx="7">
                    <c:v>II</c:v>
                  </c:pt>
                  <c:pt idx="8">
                    <c:v>III</c:v>
                  </c:pt>
                  <c:pt idx="9">
                    <c:v>IV</c:v>
                  </c:pt>
                  <c:pt idx="10">
                    <c:v>I</c:v>
                  </c:pt>
                  <c:pt idx="11">
                    <c:v>II</c:v>
                  </c:pt>
                  <c:pt idx="12">
                    <c:v>I</c:v>
                  </c:pt>
                  <c:pt idx="13">
                    <c:v>II</c:v>
                  </c:pt>
                  <c:pt idx="14">
                    <c:v>III</c:v>
                  </c:pt>
                  <c:pt idx="15">
                    <c:v>IV</c:v>
                  </c:pt>
                  <c:pt idx="16">
                    <c:v>I</c:v>
                  </c:pt>
                  <c:pt idx="17">
                    <c:v>II</c:v>
                  </c:pt>
                </c:lvl>
                <c:lvl>
                  <c:pt idx="0">
                    <c:v>2024</c:v>
                  </c:pt>
                  <c:pt idx="4">
                    <c:v>2025</c:v>
                  </c:pt>
                  <c:pt idx="6">
                    <c:v>2024</c:v>
                  </c:pt>
                  <c:pt idx="10">
                    <c:v>2025</c:v>
                  </c:pt>
                  <c:pt idx="12">
                    <c:v>2024</c:v>
                  </c:pt>
                  <c:pt idx="16">
                    <c:v>2025</c:v>
                  </c:pt>
                </c:lvl>
              </c:multiLvlStrCache>
            </c:multiLvlStrRef>
          </c:cat>
          <c:val>
            <c:numRef>
              <c:f>'Trziste rada-ARS'!$F$39:$F$62</c:f>
              <c:numCache>
                <c:formatCode>General</c:formatCode>
                <c:ptCount val="18"/>
                <c:pt idx="4" formatCode="0.0%">
                  <c:v>9.0999999999999998E-2</c:v>
                </c:pt>
                <c:pt idx="5" formatCode="0.0%">
                  <c:v>8.5000000000000006E-2</c:v>
                </c:pt>
                <c:pt idx="10" formatCode="0.0%">
                  <c:v>0.51400000000000001</c:v>
                </c:pt>
                <c:pt idx="11" formatCode="0.0%">
                  <c:v>0.51500000000000001</c:v>
                </c:pt>
                <c:pt idx="16" formatCode="0.0%">
                  <c:v>0.434</c:v>
                </c:pt>
                <c:pt idx="17" formatCode="0.0%">
                  <c:v>0.438</c:v>
                </c:pt>
              </c:numCache>
            </c:numRef>
          </c:val>
          <c:extLst>
            <c:ext xmlns:c16="http://schemas.microsoft.com/office/drawing/2014/chart" uri="{C3380CC4-5D6E-409C-BE32-E72D297353CC}">
              <c16:uniqueId val="{00000007-A432-46F0-83DA-20814A84F28C}"/>
            </c:ext>
          </c:extLst>
        </c:ser>
        <c:dLbls>
          <c:showLegendKey val="0"/>
          <c:showVal val="0"/>
          <c:showCatName val="0"/>
          <c:showSerName val="0"/>
          <c:showPercent val="0"/>
          <c:showBubbleSize val="0"/>
        </c:dLbls>
        <c:gapWidth val="14"/>
        <c:overlap val="-27"/>
        <c:axId val="1025104512"/>
        <c:axId val="1025106808"/>
      </c:barChart>
      <c:lineChart>
        <c:grouping val="standard"/>
        <c:varyColors val="0"/>
        <c:ser>
          <c:idx val="2"/>
          <c:order val="2"/>
          <c:spPr>
            <a:ln w="28575" cap="rnd">
              <a:noFill/>
              <a:round/>
            </a:ln>
            <a:effectLst/>
          </c:spPr>
          <c:marker>
            <c:symbol val="none"/>
          </c:marker>
          <c:dLbls>
            <c:dLbl>
              <c:idx val="0"/>
              <c:tx>
                <c:rich>
                  <a:bodyPr/>
                  <a:lstStyle/>
                  <a:p>
                    <a:fld id="{5378E484-418D-4BBB-9A9D-30B27110DB35}" type="CELLRANGE">
                      <a:rPr lang="en-U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A432-46F0-83DA-20814A84F28C}"/>
                </c:ext>
              </c:extLst>
            </c:dLbl>
            <c:dLbl>
              <c:idx val="1"/>
              <c:tx>
                <c:rich>
                  <a:bodyPr/>
                  <a:lstStyle/>
                  <a:p>
                    <a:fld id="{97478F8C-6B4E-4E46-B58B-9C1EF7037AF9}"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A432-46F0-83DA-20814A84F28C}"/>
                </c:ext>
              </c:extLst>
            </c:dLbl>
            <c:dLbl>
              <c:idx val="2"/>
              <c:tx>
                <c:rich>
                  <a:bodyPr/>
                  <a:lstStyle/>
                  <a:p>
                    <a:fld id="{CA10C925-F8DB-4AE2-A030-84538FA8FDFC}"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A432-46F0-83DA-20814A84F28C}"/>
                </c:ext>
              </c:extLst>
            </c:dLbl>
            <c:dLbl>
              <c:idx val="3"/>
              <c:tx>
                <c:rich>
                  <a:bodyPr/>
                  <a:lstStyle/>
                  <a:p>
                    <a:fld id="{91933464-16FF-4DE1-9325-62C2B0256697}"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A432-46F0-83DA-20814A84F28C}"/>
                </c:ext>
              </c:extLst>
            </c:dLbl>
            <c:dLbl>
              <c:idx val="4"/>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A432-46F0-83DA-20814A84F28C}"/>
                </c:ext>
              </c:extLst>
            </c:dLbl>
            <c:dLbl>
              <c:idx val="5"/>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A432-46F0-83DA-20814A84F28C}"/>
                </c:ext>
              </c:extLst>
            </c:dLbl>
            <c:dLbl>
              <c:idx val="6"/>
              <c:tx>
                <c:rich>
                  <a:bodyPr/>
                  <a:lstStyle/>
                  <a:p>
                    <a:fld id="{9F0A20D2-1A0F-4B91-98AD-C12F1E899F6D}"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A432-46F0-83DA-20814A84F28C}"/>
                </c:ext>
              </c:extLst>
            </c:dLbl>
            <c:dLbl>
              <c:idx val="7"/>
              <c:tx>
                <c:rich>
                  <a:bodyPr/>
                  <a:lstStyle/>
                  <a:p>
                    <a:fld id="{877D6631-6AA4-4658-AC5D-05FCD7E34B3D}"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A432-46F0-83DA-20814A84F28C}"/>
                </c:ext>
              </c:extLst>
            </c:dLbl>
            <c:dLbl>
              <c:idx val="8"/>
              <c:tx>
                <c:rich>
                  <a:bodyPr/>
                  <a:lstStyle/>
                  <a:p>
                    <a:fld id="{AB3D030D-1F1E-4E5F-8634-080E3AFD769C}"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A432-46F0-83DA-20814A84F28C}"/>
                </c:ext>
              </c:extLst>
            </c:dLbl>
            <c:dLbl>
              <c:idx val="9"/>
              <c:tx>
                <c:rich>
                  <a:bodyPr/>
                  <a:lstStyle/>
                  <a:p>
                    <a:fld id="{05BFB56C-9469-4394-AA39-386F50538CB1}"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A432-46F0-83DA-20814A84F28C}"/>
                </c:ext>
              </c:extLst>
            </c:dLbl>
            <c:dLbl>
              <c:idx val="10"/>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A432-46F0-83DA-20814A84F28C}"/>
                </c:ext>
              </c:extLst>
            </c:dLbl>
            <c:dLbl>
              <c:idx val="11"/>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A432-46F0-83DA-20814A84F28C}"/>
                </c:ext>
              </c:extLst>
            </c:dLbl>
            <c:dLbl>
              <c:idx val="12"/>
              <c:tx>
                <c:rich>
                  <a:bodyPr/>
                  <a:lstStyle/>
                  <a:p>
                    <a:fld id="{2B24D66C-8C6D-48C7-B20D-E295ED6DC717}"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A432-46F0-83DA-20814A84F28C}"/>
                </c:ext>
              </c:extLst>
            </c:dLbl>
            <c:dLbl>
              <c:idx val="13"/>
              <c:tx>
                <c:rich>
                  <a:bodyPr/>
                  <a:lstStyle/>
                  <a:p>
                    <a:fld id="{B0FAF61D-F74F-4198-AD7A-AEC96D4AE7E9}"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A432-46F0-83DA-20814A84F28C}"/>
                </c:ext>
              </c:extLst>
            </c:dLbl>
            <c:dLbl>
              <c:idx val="14"/>
              <c:tx>
                <c:rich>
                  <a:bodyPr/>
                  <a:lstStyle/>
                  <a:p>
                    <a:fld id="{05C0AEED-C991-4BBD-A1C0-8659387117D5}"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A432-46F0-83DA-20814A84F28C}"/>
                </c:ext>
              </c:extLst>
            </c:dLbl>
            <c:dLbl>
              <c:idx val="15"/>
              <c:tx>
                <c:rich>
                  <a:bodyPr/>
                  <a:lstStyle/>
                  <a:p>
                    <a:fld id="{CF8C5A40-48F4-4E33-A2DF-0BE8AB077358}"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A432-46F0-83DA-20814A84F28C}"/>
                </c:ext>
              </c:extLst>
            </c:dLbl>
            <c:dLbl>
              <c:idx val="16"/>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A432-46F0-83DA-20814A84F28C}"/>
                </c:ext>
              </c:extLst>
            </c:dLbl>
            <c:dLbl>
              <c:idx val="17"/>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A432-46F0-83DA-20814A84F28C}"/>
                </c:ext>
              </c:extLst>
            </c:dLbl>
            <c:spPr>
              <a:noFill/>
              <a:ln>
                <a:noFill/>
              </a:ln>
              <a:effectLst/>
            </c:spPr>
            <c:txPr>
              <a:bodyPr rot="0" spcFirstLastPara="1" vertOverflow="ellipsis" vert="horz" wrap="square" lIns="38100" tIns="0" rIns="38100" bIns="0" anchor="t" anchorCtr="0">
                <a:spAutoFit/>
              </a:bodyPr>
              <a:lstStyle/>
              <a:p>
                <a:pPr>
                  <a:defRPr sz="750" b="1" i="0" u="none" strike="noStrike" kern="1200" baseline="0">
                    <a:solidFill>
                      <a:srgbClr val="29489A"/>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rada-ARS'!$C$39:$D$62</c:f>
              <c:multiLvlStrCache>
                <c:ptCount val="18"/>
                <c:lvl>
                  <c:pt idx="0">
                    <c:v>I</c:v>
                  </c:pt>
                  <c:pt idx="1">
                    <c:v>II</c:v>
                  </c:pt>
                  <c:pt idx="2">
                    <c:v>III</c:v>
                  </c:pt>
                  <c:pt idx="3">
                    <c:v>IV</c:v>
                  </c:pt>
                  <c:pt idx="4">
                    <c:v>I</c:v>
                  </c:pt>
                  <c:pt idx="5">
                    <c:v>II</c:v>
                  </c:pt>
                  <c:pt idx="6">
                    <c:v>I</c:v>
                  </c:pt>
                  <c:pt idx="7">
                    <c:v>II</c:v>
                  </c:pt>
                  <c:pt idx="8">
                    <c:v>III</c:v>
                  </c:pt>
                  <c:pt idx="9">
                    <c:v>IV</c:v>
                  </c:pt>
                  <c:pt idx="10">
                    <c:v>I</c:v>
                  </c:pt>
                  <c:pt idx="11">
                    <c:v>II</c:v>
                  </c:pt>
                  <c:pt idx="12">
                    <c:v>I</c:v>
                  </c:pt>
                  <c:pt idx="13">
                    <c:v>II</c:v>
                  </c:pt>
                  <c:pt idx="14">
                    <c:v>III</c:v>
                  </c:pt>
                  <c:pt idx="15">
                    <c:v>IV</c:v>
                  </c:pt>
                  <c:pt idx="16">
                    <c:v>I</c:v>
                  </c:pt>
                  <c:pt idx="17">
                    <c:v>II</c:v>
                  </c:pt>
                </c:lvl>
                <c:lvl>
                  <c:pt idx="0">
                    <c:v>2024</c:v>
                  </c:pt>
                  <c:pt idx="4">
                    <c:v>2025</c:v>
                  </c:pt>
                  <c:pt idx="6">
                    <c:v>2024</c:v>
                  </c:pt>
                  <c:pt idx="10">
                    <c:v>2025</c:v>
                  </c:pt>
                  <c:pt idx="12">
                    <c:v>2024</c:v>
                  </c:pt>
                  <c:pt idx="16">
                    <c:v>2025</c:v>
                  </c:pt>
                </c:lvl>
              </c:multiLvlStrCache>
            </c:multiLvlStrRef>
          </c:cat>
          <c:val>
            <c:numRef>
              <c:f>'Trziste rada-ARS'!$G$39:$G$62</c:f>
              <c:numCache>
                <c:formatCode>General</c:formatCode>
                <c:ptCount val="18"/>
                <c:pt idx="0">
                  <c:v>0</c:v>
                </c:pt>
                <c:pt idx="1">
                  <c:v>0</c:v>
                </c:pt>
                <c:pt idx="2">
                  <c:v>0</c:v>
                </c:pt>
                <c:pt idx="3">
                  <c:v>0</c:v>
                </c:pt>
                <c:pt idx="6">
                  <c:v>0</c:v>
                </c:pt>
                <c:pt idx="7">
                  <c:v>0</c:v>
                </c:pt>
                <c:pt idx="8">
                  <c:v>0</c:v>
                </c:pt>
                <c:pt idx="9">
                  <c:v>0</c:v>
                </c:pt>
                <c:pt idx="12">
                  <c:v>0</c:v>
                </c:pt>
                <c:pt idx="13">
                  <c:v>0</c:v>
                </c:pt>
                <c:pt idx="14">
                  <c:v>0</c:v>
                </c:pt>
                <c:pt idx="15">
                  <c:v>0</c:v>
                </c:pt>
              </c:numCache>
            </c:numRef>
          </c:val>
          <c:smooth val="0"/>
          <c:extLst>
            <c:ext xmlns:c15="http://schemas.microsoft.com/office/drawing/2012/chart" uri="{02D57815-91ED-43cb-92C2-25804820EDAC}">
              <c15:datalabelsRange>
                <c15:f>'Trziste rada-ARS'!$K$39:$K$64</c15:f>
                <c15:dlblRangeCache>
                  <c:ptCount val="18"/>
                  <c:pt idx="0">
                    <c:v>I</c:v>
                  </c:pt>
                  <c:pt idx="1">
                    <c:v>II</c:v>
                  </c:pt>
                  <c:pt idx="2">
                    <c:v>III</c:v>
                  </c:pt>
                  <c:pt idx="3">
                    <c:v>IV</c:v>
                  </c:pt>
                  <c:pt idx="6">
                    <c:v>I</c:v>
                  </c:pt>
                  <c:pt idx="7">
                    <c:v>II</c:v>
                  </c:pt>
                  <c:pt idx="8">
                    <c:v>III</c:v>
                  </c:pt>
                  <c:pt idx="9">
                    <c:v>IV</c:v>
                  </c:pt>
                  <c:pt idx="12">
                    <c:v>I</c:v>
                  </c:pt>
                  <c:pt idx="13">
                    <c:v>II</c:v>
                  </c:pt>
                  <c:pt idx="14">
                    <c:v>III</c:v>
                  </c:pt>
                  <c:pt idx="15">
                    <c:v>IV</c:v>
                  </c:pt>
                </c15:dlblRangeCache>
              </c15:datalabelsRange>
            </c:ext>
            <c:ext xmlns:c16="http://schemas.microsoft.com/office/drawing/2014/chart" uri="{C3380CC4-5D6E-409C-BE32-E72D297353CC}">
              <c16:uniqueId val="{0000001A-A432-46F0-83DA-20814A84F28C}"/>
            </c:ext>
          </c:extLst>
        </c:ser>
        <c:ser>
          <c:idx val="3"/>
          <c:order val="3"/>
          <c:spPr>
            <a:ln w="28575" cap="rnd">
              <a:noFill/>
              <a:round/>
            </a:ln>
            <a:effectLst/>
          </c:spPr>
          <c:marker>
            <c:symbol val="none"/>
          </c:marker>
          <c:dLbls>
            <c:dLbl>
              <c:idx val="0"/>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A432-46F0-83DA-20814A84F28C}"/>
                </c:ext>
              </c:extLst>
            </c:dLbl>
            <c:dLbl>
              <c:idx val="1"/>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A432-46F0-83DA-20814A84F28C}"/>
                </c:ext>
              </c:extLst>
            </c:dLbl>
            <c:dLbl>
              <c:idx val="2"/>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A432-46F0-83DA-20814A84F28C}"/>
                </c:ext>
              </c:extLst>
            </c:dLbl>
            <c:dLbl>
              <c:idx val="3"/>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A432-46F0-83DA-20814A84F28C}"/>
                </c:ext>
              </c:extLst>
            </c:dLbl>
            <c:dLbl>
              <c:idx val="4"/>
              <c:tx>
                <c:rich>
                  <a:bodyPr/>
                  <a:lstStyle/>
                  <a:p>
                    <a:fld id="{AD5DBD83-E4B7-4C3C-8CF1-73F68222EFEE}" type="CELLRANGE">
                      <a:rPr lang="en-U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A432-46F0-83DA-20814A84F28C}"/>
                </c:ext>
              </c:extLst>
            </c:dLbl>
            <c:dLbl>
              <c:idx val="5"/>
              <c:tx>
                <c:rich>
                  <a:bodyPr/>
                  <a:lstStyle/>
                  <a:p>
                    <a:fld id="{6B59EE32-6752-4A70-A34D-5070A36F1626}"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A432-46F0-83DA-20814A84F28C}"/>
                </c:ext>
              </c:extLst>
            </c:dLbl>
            <c:dLbl>
              <c:idx val="6"/>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A432-46F0-83DA-20814A84F28C}"/>
                </c:ext>
              </c:extLst>
            </c:dLbl>
            <c:dLbl>
              <c:idx val="7"/>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A432-46F0-83DA-20814A84F28C}"/>
                </c:ext>
              </c:extLst>
            </c:dLbl>
            <c:dLbl>
              <c:idx val="8"/>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3-A432-46F0-83DA-20814A84F28C}"/>
                </c:ext>
              </c:extLst>
            </c:dLbl>
            <c:dLbl>
              <c:idx val="9"/>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A432-46F0-83DA-20814A84F28C}"/>
                </c:ext>
              </c:extLst>
            </c:dLbl>
            <c:dLbl>
              <c:idx val="10"/>
              <c:tx>
                <c:rich>
                  <a:bodyPr/>
                  <a:lstStyle/>
                  <a:p>
                    <a:fld id="{9CE22E61-04C4-48AC-BED3-51C98CE4BAFF}"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A432-46F0-83DA-20814A84F28C}"/>
                </c:ext>
              </c:extLst>
            </c:dLbl>
            <c:dLbl>
              <c:idx val="11"/>
              <c:tx>
                <c:rich>
                  <a:bodyPr/>
                  <a:lstStyle/>
                  <a:p>
                    <a:fld id="{7BFF854A-05E3-4DA2-80EF-24F944E6A413}"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A432-46F0-83DA-20814A84F28C}"/>
                </c:ext>
              </c:extLst>
            </c:dLbl>
            <c:dLbl>
              <c:idx val="12"/>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A432-46F0-83DA-20814A84F28C}"/>
                </c:ext>
              </c:extLst>
            </c:dLbl>
            <c:dLbl>
              <c:idx val="13"/>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A432-46F0-83DA-20814A84F28C}"/>
                </c:ext>
              </c:extLst>
            </c:dLbl>
            <c:dLbl>
              <c:idx val="14"/>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9-A432-46F0-83DA-20814A84F28C}"/>
                </c:ext>
              </c:extLst>
            </c:dLbl>
            <c:dLbl>
              <c:idx val="15"/>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A-A432-46F0-83DA-20814A84F28C}"/>
                </c:ext>
              </c:extLst>
            </c:dLbl>
            <c:dLbl>
              <c:idx val="16"/>
              <c:tx>
                <c:rich>
                  <a:bodyPr/>
                  <a:lstStyle/>
                  <a:p>
                    <a:fld id="{CA4FF280-7B78-497A-A6AC-AEEDBB139199}"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A432-46F0-83DA-20814A84F28C}"/>
                </c:ext>
              </c:extLst>
            </c:dLbl>
            <c:dLbl>
              <c:idx val="17"/>
              <c:tx>
                <c:rich>
                  <a:bodyPr/>
                  <a:lstStyle/>
                  <a:p>
                    <a:fld id="{B34225F7-7653-4044-8C8D-1C1E3068E01A}"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A432-46F0-83DA-20814A84F28C}"/>
                </c:ext>
              </c:extLst>
            </c:dLbl>
            <c:spPr>
              <a:noFill/>
              <a:ln>
                <a:noFill/>
              </a:ln>
              <a:effectLst/>
            </c:spPr>
            <c:txPr>
              <a:bodyPr rot="0" spcFirstLastPara="1" vertOverflow="ellipsis" vert="horz" wrap="square" lIns="38100" tIns="0" rIns="38100" bIns="0" anchor="t" anchorCtr="0">
                <a:spAutoFit/>
              </a:bodyPr>
              <a:lstStyle/>
              <a:p>
                <a:pPr>
                  <a:defRPr sz="750" b="1" i="0" u="none" strike="noStrike" kern="1200" baseline="0">
                    <a:solidFill>
                      <a:srgbClr val="FF0000"/>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rada-ARS'!$C$39:$D$62</c:f>
              <c:multiLvlStrCache>
                <c:ptCount val="18"/>
                <c:lvl>
                  <c:pt idx="0">
                    <c:v>I</c:v>
                  </c:pt>
                  <c:pt idx="1">
                    <c:v>II</c:v>
                  </c:pt>
                  <c:pt idx="2">
                    <c:v>III</c:v>
                  </c:pt>
                  <c:pt idx="3">
                    <c:v>IV</c:v>
                  </c:pt>
                  <c:pt idx="4">
                    <c:v>I</c:v>
                  </c:pt>
                  <c:pt idx="5">
                    <c:v>II</c:v>
                  </c:pt>
                  <c:pt idx="6">
                    <c:v>I</c:v>
                  </c:pt>
                  <c:pt idx="7">
                    <c:v>II</c:v>
                  </c:pt>
                  <c:pt idx="8">
                    <c:v>III</c:v>
                  </c:pt>
                  <c:pt idx="9">
                    <c:v>IV</c:v>
                  </c:pt>
                  <c:pt idx="10">
                    <c:v>I</c:v>
                  </c:pt>
                  <c:pt idx="11">
                    <c:v>II</c:v>
                  </c:pt>
                  <c:pt idx="12">
                    <c:v>I</c:v>
                  </c:pt>
                  <c:pt idx="13">
                    <c:v>II</c:v>
                  </c:pt>
                  <c:pt idx="14">
                    <c:v>III</c:v>
                  </c:pt>
                  <c:pt idx="15">
                    <c:v>IV</c:v>
                  </c:pt>
                  <c:pt idx="16">
                    <c:v>I</c:v>
                  </c:pt>
                  <c:pt idx="17">
                    <c:v>II</c:v>
                  </c:pt>
                </c:lvl>
                <c:lvl>
                  <c:pt idx="0">
                    <c:v>2024</c:v>
                  </c:pt>
                  <c:pt idx="4">
                    <c:v>2025</c:v>
                  </c:pt>
                  <c:pt idx="6">
                    <c:v>2024</c:v>
                  </c:pt>
                  <c:pt idx="10">
                    <c:v>2025</c:v>
                  </c:pt>
                  <c:pt idx="12">
                    <c:v>2024</c:v>
                  </c:pt>
                  <c:pt idx="16">
                    <c:v>2025</c:v>
                  </c:pt>
                </c:lvl>
              </c:multiLvlStrCache>
            </c:multiLvlStrRef>
          </c:cat>
          <c:val>
            <c:numRef>
              <c:f>'Trziste rada-ARS'!$H$39:$H$62</c:f>
              <c:numCache>
                <c:formatCode>General</c:formatCode>
                <c:ptCount val="18"/>
                <c:pt idx="4">
                  <c:v>0</c:v>
                </c:pt>
                <c:pt idx="5">
                  <c:v>0</c:v>
                </c:pt>
                <c:pt idx="10">
                  <c:v>0</c:v>
                </c:pt>
                <c:pt idx="11">
                  <c:v>0</c:v>
                </c:pt>
                <c:pt idx="16">
                  <c:v>0</c:v>
                </c:pt>
                <c:pt idx="17">
                  <c:v>0</c:v>
                </c:pt>
              </c:numCache>
            </c:numRef>
          </c:val>
          <c:smooth val="0"/>
          <c:extLst>
            <c:ext xmlns:c15="http://schemas.microsoft.com/office/drawing/2012/chart" uri="{02D57815-91ED-43cb-92C2-25804820EDAC}">
              <c15:datalabelsRange>
                <c15:f>'Trziste rada-ARS'!$L$39:$L$64</c15:f>
                <c15:dlblRangeCache>
                  <c:ptCount val="18"/>
                  <c:pt idx="4">
                    <c:v>I</c:v>
                  </c:pt>
                  <c:pt idx="5">
                    <c:v>II</c:v>
                  </c:pt>
                  <c:pt idx="10">
                    <c:v>I</c:v>
                  </c:pt>
                  <c:pt idx="11">
                    <c:v>II</c:v>
                  </c:pt>
                  <c:pt idx="16">
                    <c:v>I</c:v>
                  </c:pt>
                  <c:pt idx="17">
                    <c:v>II</c:v>
                  </c:pt>
                </c15:dlblRangeCache>
              </c15:datalabelsRange>
            </c:ext>
            <c:ext xmlns:c16="http://schemas.microsoft.com/office/drawing/2014/chart" uri="{C3380CC4-5D6E-409C-BE32-E72D297353CC}">
              <c16:uniqueId val="{0000002D-A432-46F0-83DA-20814A84F28C}"/>
            </c:ext>
          </c:extLst>
        </c:ser>
        <c:ser>
          <c:idx val="4"/>
          <c:order val="4"/>
          <c:spPr>
            <a:ln w="28575" cap="rnd">
              <a:noFill/>
              <a:round/>
            </a:ln>
            <a:effectLst/>
          </c:spPr>
          <c:marker>
            <c:symbol val="none"/>
          </c:marker>
          <c:dLbls>
            <c:dLbl>
              <c:idx val="0"/>
              <c:layout>
                <c:manualLayout>
                  <c:x val="2.5083843686205995E-3"/>
                  <c:y val="0.13676669659601692"/>
                </c:manualLayout>
              </c:layout>
              <c:tx>
                <c:rich>
                  <a:bodyPr/>
                  <a:lstStyle/>
                  <a:p>
                    <a:fld id="{B311ED07-E092-4090-80F9-734231D60A8B}"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A432-46F0-83DA-20814A84F28C}"/>
                </c:ext>
              </c:extLst>
            </c:dLbl>
            <c:dLbl>
              <c:idx val="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A432-46F0-83DA-20814A84F28C}"/>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A432-46F0-83DA-20814A84F28C}"/>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A432-46F0-83DA-20814A84F28C}"/>
                </c:ext>
              </c:extLst>
            </c:dLbl>
            <c:dLbl>
              <c:idx val="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2-A432-46F0-83DA-20814A84F28C}"/>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3-A432-46F0-83DA-20814A84F28C}"/>
                </c:ext>
              </c:extLst>
            </c:dLbl>
            <c:dLbl>
              <c:idx val="6"/>
              <c:layout>
                <c:manualLayout>
                  <c:x val="-4.2614464858559348E-3"/>
                  <c:y val="0.13676669659601692"/>
                </c:manualLayout>
              </c:layout>
              <c:tx>
                <c:rich>
                  <a:bodyPr/>
                  <a:lstStyle/>
                  <a:p>
                    <a:fld id="{BB50908B-2670-42D0-AF7F-333F31E1C5A4}"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4-A432-46F0-83DA-20814A84F28C}"/>
                </c:ext>
              </c:extLst>
            </c:dLbl>
            <c:dLbl>
              <c:idx val="7"/>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5-A432-46F0-83DA-20814A84F28C}"/>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6-A432-46F0-83DA-20814A84F28C}"/>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7-A432-46F0-83DA-20814A84F28C}"/>
                </c:ext>
              </c:extLst>
            </c:dLbl>
            <c:dLbl>
              <c:idx val="1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8-A432-46F0-83DA-20814A84F28C}"/>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9-A432-46F0-83DA-20814A84F28C}"/>
                </c:ext>
              </c:extLst>
            </c:dLbl>
            <c:dLbl>
              <c:idx val="12"/>
              <c:layout>
                <c:manualLayout>
                  <c:x val="2.9148439778361036E-3"/>
                  <c:y val="0.13676669659601692"/>
                </c:manualLayout>
              </c:layout>
              <c:tx>
                <c:rich>
                  <a:bodyPr/>
                  <a:lstStyle/>
                  <a:p>
                    <a:fld id="{7E10B3B2-D601-46C0-B71E-87FC6F4131CA}"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A-A432-46F0-83DA-20814A84F28C}"/>
                </c:ext>
              </c:extLst>
            </c:dLbl>
            <c:dLbl>
              <c:idx val="1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B-A432-46F0-83DA-20814A84F28C}"/>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C-A432-46F0-83DA-20814A84F28C}"/>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D-A432-46F0-83DA-20814A84F28C}"/>
                </c:ext>
              </c:extLst>
            </c:dLbl>
            <c:dLbl>
              <c:idx val="1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E-A432-46F0-83DA-20814A84F28C}"/>
                </c:ext>
              </c:extLst>
            </c:dLbl>
            <c:dLbl>
              <c:idx val="1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F-A432-46F0-83DA-20814A84F28C}"/>
                </c:ext>
              </c:extLst>
            </c:dLbl>
            <c:spPr>
              <a:noFill/>
              <a:ln>
                <a:noFill/>
              </a:ln>
              <a:effectLst/>
            </c:spPr>
            <c:txPr>
              <a:bodyPr rot="0" spcFirstLastPara="1" vertOverflow="ellipsis" vert="horz" wrap="none" lIns="38100" tIns="19050" rIns="38100" bIns="19050" anchor="ctr" anchorCtr="1">
                <a:spAutoFit/>
              </a:bodyPr>
              <a:lstStyle/>
              <a:p>
                <a:pPr>
                  <a:defRPr sz="759" b="1" i="0" u="none" strike="noStrike" kern="1200" baseline="0">
                    <a:solidFill>
                      <a:srgbClr val="29489A"/>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rada-ARS'!$C$39:$D$62</c:f>
              <c:multiLvlStrCache>
                <c:ptCount val="18"/>
                <c:lvl>
                  <c:pt idx="0">
                    <c:v>I</c:v>
                  </c:pt>
                  <c:pt idx="1">
                    <c:v>II</c:v>
                  </c:pt>
                  <c:pt idx="2">
                    <c:v>III</c:v>
                  </c:pt>
                  <c:pt idx="3">
                    <c:v>IV</c:v>
                  </c:pt>
                  <c:pt idx="4">
                    <c:v>I</c:v>
                  </c:pt>
                  <c:pt idx="5">
                    <c:v>II</c:v>
                  </c:pt>
                  <c:pt idx="6">
                    <c:v>I</c:v>
                  </c:pt>
                  <c:pt idx="7">
                    <c:v>II</c:v>
                  </c:pt>
                  <c:pt idx="8">
                    <c:v>III</c:v>
                  </c:pt>
                  <c:pt idx="9">
                    <c:v>IV</c:v>
                  </c:pt>
                  <c:pt idx="10">
                    <c:v>I</c:v>
                  </c:pt>
                  <c:pt idx="11">
                    <c:v>II</c:v>
                  </c:pt>
                  <c:pt idx="12">
                    <c:v>I</c:v>
                  </c:pt>
                  <c:pt idx="13">
                    <c:v>II</c:v>
                  </c:pt>
                  <c:pt idx="14">
                    <c:v>III</c:v>
                  </c:pt>
                  <c:pt idx="15">
                    <c:v>IV</c:v>
                  </c:pt>
                  <c:pt idx="16">
                    <c:v>I</c:v>
                  </c:pt>
                  <c:pt idx="17">
                    <c:v>II</c:v>
                  </c:pt>
                </c:lvl>
                <c:lvl>
                  <c:pt idx="0">
                    <c:v>2024</c:v>
                  </c:pt>
                  <c:pt idx="4">
                    <c:v>2025</c:v>
                  </c:pt>
                  <c:pt idx="6">
                    <c:v>2024</c:v>
                  </c:pt>
                  <c:pt idx="10">
                    <c:v>2025</c:v>
                  </c:pt>
                  <c:pt idx="12">
                    <c:v>2024</c:v>
                  </c:pt>
                  <c:pt idx="16">
                    <c:v>2025</c:v>
                  </c:pt>
                </c:lvl>
              </c:multiLvlStrCache>
            </c:multiLvlStrRef>
          </c:cat>
          <c:val>
            <c:numRef>
              <c:f>'Trziste rada-ARS'!$I$39:$I$62</c:f>
              <c:numCache>
                <c:formatCode>General</c:formatCode>
                <c:ptCount val="18"/>
                <c:pt idx="0">
                  <c:v>0</c:v>
                </c:pt>
                <c:pt idx="6">
                  <c:v>0</c:v>
                </c:pt>
                <c:pt idx="12">
                  <c:v>0</c:v>
                </c:pt>
              </c:numCache>
            </c:numRef>
          </c:val>
          <c:smooth val="0"/>
          <c:extLst>
            <c:ext xmlns:c15="http://schemas.microsoft.com/office/drawing/2012/chart" uri="{02D57815-91ED-43cb-92C2-25804820EDAC}">
              <c15:datalabelsRange>
                <c15:f>'Trziste rada-ARS'!$M$39:$M$64</c15:f>
                <c15:dlblRangeCache>
                  <c:ptCount val="18"/>
                  <c:pt idx="0">
                    <c:v>2024</c:v>
                  </c:pt>
                  <c:pt idx="6">
                    <c:v>2024</c:v>
                  </c:pt>
                  <c:pt idx="12">
                    <c:v>2024</c:v>
                  </c:pt>
                </c15:dlblRangeCache>
              </c15:datalabelsRange>
            </c:ext>
            <c:ext xmlns:c16="http://schemas.microsoft.com/office/drawing/2014/chart" uri="{C3380CC4-5D6E-409C-BE32-E72D297353CC}">
              <c16:uniqueId val="{00000040-A432-46F0-83DA-20814A84F28C}"/>
            </c:ext>
          </c:extLst>
        </c:ser>
        <c:ser>
          <c:idx val="5"/>
          <c:order val="5"/>
          <c:spPr>
            <a:ln w="28575" cap="rnd">
              <a:solidFill>
                <a:schemeClr val="accent6"/>
              </a:solidFill>
              <a:round/>
            </a:ln>
            <a:effectLst/>
          </c:spPr>
          <c:marker>
            <c:symbol val="none"/>
          </c:marker>
          <c:dLbls>
            <c:dLbl>
              <c:idx val="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1-A432-46F0-83DA-20814A84F28C}"/>
                </c:ext>
              </c:extLst>
            </c:dLbl>
            <c:dLbl>
              <c:idx val="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2-A432-46F0-83DA-20814A84F28C}"/>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3-A432-46F0-83DA-20814A84F28C}"/>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4-A432-46F0-83DA-20814A84F28C}"/>
                </c:ext>
              </c:extLst>
            </c:dLbl>
            <c:dLbl>
              <c:idx val="4"/>
              <c:layout>
                <c:manualLayout>
                  <c:x val="-7.6224846894138235E-2"/>
                  <c:y val="0.13716154435447334"/>
                </c:manualLayout>
              </c:layout>
              <c:tx>
                <c:rich>
                  <a:bodyPr/>
                  <a:lstStyle/>
                  <a:p>
                    <a:fld id="{ED561B17-722E-413E-8EF7-56D72ACE6865}" type="CELLRANGE">
                      <a:rPr lang="en-US"/>
                      <a:pPr/>
                      <a:t>[CELLRANGE]</a:t>
                    </a:fld>
                    <a:endParaRPr lang="sr-Latn-R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45-A432-46F0-83DA-20814A84F28C}"/>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6-A432-46F0-83DA-20814A84F28C}"/>
                </c:ext>
              </c:extLst>
            </c:dLbl>
            <c:dLbl>
              <c:idx val="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7-A432-46F0-83DA-20814A84F28C}"/>
                </c:ext>
              </c:extLst>
            </c:dLbl>
            <c:dLbl>
              <c:idx val="7"/>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8-A432-46F0-83DA-20814A84F28C}"/>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9-A432-46F0-83DA-20814A84F28C}"/>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A-A432-46F0-83DA-20814A84F28C}"/>
                </c:ext>
              </c:extLst>
            </c:dLbl>
            <c:dLbl>
              <c:idx val="10"/>
              <c:layout>
                <c:manualLayout>
                  <c:x val="-7.3708078156897061E-2"/>
                  <c:y val="0.13716154435447334"/>
                </c:manualLayout>
              </c:layout>
              <c:tx>
                <c:rich>
                  <a:bodyPr/>
                  <a:lstStyle/>
                  <a:p>
                    <a:fld id="{F4A7414F-3621-4E25-A4E2-919097916411}"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4B-A432-46F0-83DA-20814A84F28C}"/>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C-A432-46F0-83DA-20814A84F28C}"/>
                </c:ext>
              </c:extLst>
            </c:dLbl>
            <c:dLbl>
              <c:idx val="12"/>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D-A432-46F0-83DA-20814A84F28C}"/>
                </c:ext>
              </c:extLst>
            </c:dLbl>
            <c:dLbl>
              <c:idx val="1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E-A432-46F0-83DA-20814A84F28C}"/>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F-A432-46F0-83DA-20814A84F28C}"/>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0-A432-46F0-83DA-20814A84F28C}"/>
                </c:ext>
              </c:extLst>
            </c:dLbl>
            <c:dLbl>
              <c:idx val="16"/>
              <c:layout>
                <c:manualLayout>
                  <c:x val="-1.3509769612131817E-2"/>
                  <c:y val="0.13716154435447334"/>
                </c:manualLayout>
              </c:layout>
              <c:tx>
                <c:rich>
                  <a:bodyPr/>
                  <a:lstStyle/>
                  <a:p>
                    <a:fld id="{D6F22B4F-F8ED-48A6-8FED-DBBCE3723DA4}"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51-A432-46F0-83DA-20814A84F28C}"/>
                </c:ext>
              </c:extLst>
            </c:dLbl>
            <c:dLbl>
              <c:idx val="1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2-A432-46F0-83DA-20814A84F28C}"/>
                </c:ext>
              </c:extLst>
            </c:dLbl>
            <c:spPr>
              <a:noFill/>
              <a:ln>
                <a:noFill/>
              </a:ln>
              <a:effectLst/>
            </c:spPr>
            <c:txPr>
              <a:bodyPr rot="0" spcFirstLastPara="1" vertOverflow="ellipsis" vert="horz" wrap="non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rada-ARS'!$C$39:$D$62</c:f>
              <c:multiLvlStrCache>
                <c:ptCount val="18"/>
                <c:lvl>
                  <c:pt idx="0">
                    <c:v>I</c:v>
                  </c:pt>
                  <c:pt idx="1">
                    <c:v>II</c:v>
                  </c:pt>
                  <c:pt idx="2">
                    <c:v>III</c:v>
                  </c:pt>
                  <c:pt idx="3">
                    <c:v>IV</c:v>
                  </c:pt>
                  <c:pt idx="4">
                    <c:v>I</c:v>
                  </c:pt>
                  <c:pt idx="5">
                    <c:v>II</c:v>
                  </c:pt>
                  <c:pt idx="6">
                    <c:v>I</c:v>
                  </c:pt>
                  <c:pt idx="7">
                    <c:v>II</c:v>
                  </c:pt>
                  <c:pt idx="8">
                    <c:v>III</c:v>
                  </c:pt>
                  <c:pt idx="9">
                    <c:v>IV</c:v>
                  </c:pt>
                  <c:pt idx="10">
                    <c:v>I</c:v>
                  </c:pt>
                  <c:pt idx="11">
                    <c:v>II</c:v>
                  </c:pt>
                  <c:pt idx="12">
                    <c:v>I</c:v>
                  </c:pt>
                  <c:pt idx="13">
                    <c:v>II</c:v>
                  </c:pt>
                  <c:pt idx="14">
                    <c:v>III</c:v>
                  </c:pt>
                  <c:pt idx="15">
                    <c:v>IV</c:v>
                  </c:pt>
                  <c:pt idx="16">
                    <c:v>I</c:v>
                  </c:pt>
                  <c:pt idx="17">
                    <c:v>II</c:v>
                  </c:pt>
                </c:lvl>
                <c:lvl>
                  <c:pt idx="0">
                    <c:v>2024</c:v>
                  </c:pt>
                  <c:pt idx="4">
                    <c:v>2025</c:v>
                  </c:pt>
                  <c:pt idx="6">
                    <c:v>2024</c:v>
                  </c:pt>
                  <c:pt idx="10">
                    <c:v>2025</c:v>
                  </c:pt>
                  <c:pt idx="12">
                    <c:v>2024</c:v>
                  </c:pt>
                  <c:pt idx="16">
                    <c:v>2025</c:v>
                  </c:pt>
                </c:lvl>
              </c:multiLvlStrCache>
            </c:multiLvlStrRef>
          </c:cat>
          <c:val>
            <c:numRef>
              <c:f>'Trziste rada-ARS'!$J$39:$J$62</c:f>
              <c:numCache>
                <c:formatCode>General</c:formatCode>
                <c:ptCount val="18"/>
                <c:pt idx="4">
                  <c:v>0</c:v>
                </c:pt>
                <c:pt idx="10">
                  <c:v>0</c:v>
                </c:pt>
                <c:pt idx="16">
                  <c:v>0</c:v>
                </c:pt>
              </c:numCache>
            </c:numRef>
          </c:val>
          <c:smooth val="0"/>
          <c:extLst>
            <c:ext xmlns:c15="http://schemas.microsoft.com/office/drawing/2012/chart" uri="{02D57815-91ED-43cb-92C2-25804820EDAC}">
              <c15:datalabelsRange>
                <c15:f>'Trziste rada-ARS'!$N$39:$N$64</c15:f>
                <c15:dlblRangeCache>
                  <c:ptCount val="18"/>
                  <c:pt idx="4">
                    <c:v>2025</c:v>
                  </c:pt>
                  <c:pt idx="10">
                    <c:v>2025</c:v>
                  </c:pt>
                  <c:pt idx="16">
                    <c:v>2025</c:v>
                  </c:pt>
                </c15:dlblRangeCache>
              </c15:datalabelsRange>
            </c:ext>
            <c:ext xmlns:c16="http://schemas.microsoft.com/office/drawing/2014/chart" uri="{C3380CC4-5D6E-409C-BE32-E72D297353CC}">
              <c16:uniqueId val="{00000053-A432-46F0-83DA-20814A84F28C}"/>
            </c:ext>
          </c:extLst>
        </c:ser>
        <c:dLbls>
          <c:showLegendKey val="0"/>
          <c:showVal val="0"/>
          <c:showCatName val="0"/>
          <c:showSerName val="0"/>
          <c:showPercent val="0"/>
          <c:showBubbleSize val="0"/>
        </c:dLbls>
        <c:marker val="1"/>
        <c:smooth val="0"/>
        <c:axId val="961497464"/>
        <c:axId val="961498448"/>
      </c:lineChart>
      <c:catAx>
        <c:axId val="961497464"/>
        <c:scaling>
          <c:orientation val="minMax"/>
        </c:scaling>
        <c:delete val="0"/>
        <c:axPos val="b"/>
        <c:numFmt formatCode="General" sourceLinked="1"/>
        <c:majorTickMark val="none"/>
        <c:minorTickMark val="none"/>
        <c:tickLblPos val="none"/>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1498448"/>
        <c:crosses val="autoZero"/>
        <c:auto val="1"/>
        <c:lblAlgn val="ctr"/>
        <c:lblOffset val="100"/>
        <c:noMultiLvlLbl val="0"/>
      </c:catAx>
      <c:valAx>
        <c:axId val="961498448"/>
        <c:scaling>
          <c:orientation val="minMax"/>
        </c:scaling>
        <c:delete val="0"/>
        <c:axPos val="l"/>
        <c:numFmt formatCode="0%" sourceLinked="0"/>
        <c:majorTickMark val="none"/>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961497464"/>
        <c:crosses val="autoZero"/>
        <c:crossBetween val="between"/>
      </c:valAx>
      <c:valAx>
        <c:axId val="1025106808"/>
        <c:scaling>
          <c:orientation val="minMax"/>
        </c:scaling>
        <c:delete val="0"/>
        <c:axPos val="r"/>
        <c:numFmt formatCode="0%" sourceLinked="0"/>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025104512"/>
        <c:crosses val="max"/>
        <c:crossBetween val="between"/>
      </c:valAx>
      <c:catAx>
        <c:axId val="1025104512"/>
        <c:scaling>
          <c:orientation val="minMax"/>
        </c:scaling>
        <c:delete val="1"/>
        <c:axPos val="b"/>
        <c:numFmt formatCode="General" sourceLinked="1"/>
        <c:majorTickMark val="out"/>
        <c:minorTickMark val="none"/>
        <c:tickLblPos val="nextTo"/>
        <c:crossAx val="1025106808"/>
        <c:crosses val="autoZero"/>
        <c:auto val="1"/>
        <c:lblAlgn val="ctr"/>
        <c:lblOffset val="100"/>
        <c:noMultiLvlLbl val="0"/>
      </c:cat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2">
    <c:autoUpdate val="0"/>
  </c:externalData>
  <c:userShapes r:id="rId3"/>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626385243511229"/>
          <c:y val="6.4675925925925928E-2"/>
          <c:w val="0.65291229221347336"/>
          <c:h val="0.66223309478603765"/>
        </c:manualLayout>
      </c:layout>
      <c:barChart>
        <c:barDir val="col"/>
        <c:grouping val="clustered"/>
        <c:varyColors val="0"/>
        <c:ser>
          <c:idx val="0"/>
          <c:order val="0"/>
          <c:tx>
            <c:strRef>
              <c:f>Inflacija!$U$196</c:f>
              <c:strCache>
                <c:ptCount val="1"/>
                <c:pt idx="0">
                  <c:v>Месечна инфлација</c:v>
                </c:pt>
              </c:strCache>
            </c:strRef>
          </c:tx>
          <c:spPr>
            <a:solidFill>
              <a:srgbClr val="29489A"/>
            </a:solidFill>
            <a:ln>
              <a:noFill/>
            </a:ln>
            <a:effectLst/>
          </c:spPr>
          <c:invertIfNegative val="0"/>
          <c:cat>
            <c:multiLvlStrRef>
              <c:f>Inflacija!$R$197:$S$229</c:f>
              <c:multiLvlStrCache>
                <c:ptCount val="3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lvl>
                <c:lvl>
                  <c:pt idx="0">
                    <c:v>2023</c:v>
                  </c:pt>
                  <c:pt idx="12">
                    <c:v>2024</c:v>
                  </c:pt>
                  <c:pt idx="24">
                    <c:v>2025</c:v>
                  </c:pt>
                </c:lvl>
              </c:multiLvlStrCache>
            </c:multiLvlStrRef>
          </c:cat>
          <c:val>
            <c:numRef>
              <c:f>Inflacija!$U$197:$U$229</c:f>
              <c:numCache>
                <c:formatCode>0.0</c:formatCode>
                <c:ptCount val="33"/>
                <c:pt idx="0">
                  <c:v>1.4</c:v>
                </c:pt>
                <c:pt idx="1">
                  <c:v>1.4</c:v>
                </c:pt>
                <c:pt idx="2">
                  <c:v>0.9</c:v>
                </c:pt>
                <c:pt idx="3">
                  <c:v>0.7</c:v>
                </c:pt>
                <c:pt idx="4">
                  <c:v>0.9</c:v>
                </c:pt>
                <c:pt idx="5">
                  <c:v>0.7</c:v>
                </c:pt>
                <c:pt idx="6">
                  <c:v>-0.1</c:v>
                </c:pt>
                <c:pt idx="7">
                  <c:v>0.4</c:v>
                </c:pt>
                <c:pt idx="8">
                  <c:v>0.29999999999999716</c:v>
                </c:pt>
                <c:pt idx="9">
                  <c:v>0.29999999999999716</c:v>
                </c:pt>
                <c:pt idx="10">
                  <c:v>0.5</c:v>
                </c:pt>
                <c:pt idx="11">
                  <c:v>9.9999999999994316E-2</c:v>
                </c:pt>
                <c:pt idx="12">
                  <c:v>0.3</c:v>
                </c:pt>
                <c:pt idx="13">
                  <c:v>0.6</c:v>
                </c:pt>
                <c:pt idx="14">
                  <c:v>0.3</c:v>
                </c:pt>
                <c:pt idx="15">
                  <c:v>0.7</c:v>
                </c:pt>
                <c:pt idx="16">
                  <c:v>0.4</c:v>
                </c:pt>
                <c:pt idx="17">
                  <c:v>0.1</c:v>
                </c:pt>
                <c:pt idx="18">
                  <c:v>0.4</c:v>
                </c:pt>
                <c:pt idx="19">
                  <c:v>0.4</c:v>
                </c:pt>
                <c:pt idx="20">
                  <c:v>0.1</c:v>
                </c:pt>
                <c:pt idx="21">
                  <c:v>0.6</c:v>
                </c:pt>
                <c:pt idx="22">
                  <c:v>0.3</c:v>
                </c:pt>
                <c:pt idx="23">
                  <c:v>0.1</c:v>
                </c:pt>
                <c:pt idx="24">
                  <c:v>0.6</c:v>
                </c:pt>
                <c:pt idx="25">
                  <c:v>0.5</c:v>
                </c:pt>
                <c:pt idx="26">
                  <c:v>0.1</c:v>
                </c:pt>
                <c:pt idx="27">
                  <c:v>0.3</c:v>
                </c:pt>
                <c:pt idx="28">
                  <c:v>0.2</c:v>
                </c:pt>
                <c:pt idx="29">
                  <c:v>0.9</c:v>
                </c:pt>
                <c:pt idx="30">
                  <c:v>0.6</c:v>
                </c:pt>
                <c:pt idx="31">
                  <c:v>0.2</c:v>
                </c:pt>
                <c:pt idx="32">
                  <c:v>-1.6</c:v>
                </c:pt>
              </c:numCache>
            </c:numRef>
          </c:val>
          <c:extLst>
            <c:ext xmlns:c16="http://schemas.microsoft.com/office/drawing/2014/chart" uri="{C3380CC4-5D6E-409C-BE32-E72D297353CC}">
              <c16:uniqueId val="{00000000-A092-4B98-97F0-1ACD54829DB5}"/>
            </c:ext>
          </c:extLst>
        </c:ser>
        <c:dLbls>
          <c:showLegendKey val="0"/>
          <c:showVal val="0"/>
          <c:showCatName val="0"/>
          <c:showSerName val="0"/>
          <c:showPercent val="0"/>
          <c:showBubbleSize val="0"/>
        </c:dLbls>
        <c:gapWidth val="59"/>
        <c:axId val="807687135"/>
        <c:axId val="807693375"/>
      </c:barChart>
      <c:lineChart>
        <c:grouping val="standard"/>
        <c:varyColors val="0"/>
        <c:ser>
          <c:idx val="1"/>
          <c:order val="1"/>
          <c:tx>
            <c:strRef>
              <c:f>Inflacija!$V$196</c:f>
              <c:strCache>
                <c:ptCount val="1"/>
                <c:pt idx="0">
                  <c:v>Међугодишња инфлација (десна скала)</c:v>
                </c:pt>
              </c:strCache>
            </c:strRef>
          </c:tx>
          <c:spPr>
            <a:ln w="22225" cap="rnd">
              <a:solidFill>
                <a:srgbClr val="FF0000"/>
              </a:solidFill>
              <a:round/>
            </a:ln>
            <a:effectLst/>
          </c:spPr>
          <c:marker>
            <c:symbol val="none"/>
          </c:marker>
          <c:cat>
            <c:multiLvlStrRef>
              <c:f>Inflacija!$R$197:$S$229</c:f>
              <c:multiLvlStrCache>
                <c:ptCount val="3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lvl>
                <c:lvl>
                  <c:pt idx="0">
                    <c:v>2023</c:v>
                  </c:pt>
                  <c:pt idx="12">
                    <c:v>2024</c:v>
                  </c:pt>
                  <c:pt idx="24">
                    <c:v>2025</c:v>
                  </c:pt>
                </c:lvl>
              </c:multiLvlStrCache>
            </c:multiLvlStrRef>
          </c:cat>
          <c:val>
            <c:numRef>
              <c:f>Inflacija!$V$197:$V$229</c:f>
              <c:numCache>
                <c:formatCode>0.0</c:formatCode>
                <c:ptCount val="33"/>
                <c:pt idx="0">
                  <c:v>15.8</c:v>
                </c:pt>
                <c:pt idx="1">
                  <c:v>16.100000000000001</c:v>
                </c:pt>
                <c:pt idx="2">
                  <c:v>16.2</c:v>
                </c:pt>
                <c:pt idx="3">
                  <c:v>15.1</c:v>
                </c:pt>
                <c:pt idx="4">
                  <c:v>14.8</c:v>
                </c:pt>
                <c:pt idx="5">
                  <c:v>13.7</c:v>
                </c:pt>
                <c:pt idx="6">
                  <c:v>12.5</c:v>
                </c:pt>
                <c:pt idx="7">
                  <c:v>11.5</c:v>
                </c:pt>
                <c:pt idx="8">
                  <c:v>10.200000000000003</c:v>
                </c:pt>
                <c:pt idx="9">
                  <c:v>8.5</c:v>
                </c:pt>
                <c:pt idx="10">
                  <c:v>8</c:v>
                </c:pt>
                <c:pt idx="11">
                  <c:v>7.5999999999999943</c:v>
                </c:pt>
                <c:pt idx="12">
                  <c:v>6.4</c:v>
                </c:pt>
                <c:pt idx="13">
                  <c:v>5.6</c:v>
                </c:pt>
                <c:pt idx="14">
                  <c:v>5</c:v>
                </c:pt>
                <c:pt idx="15">
                  <c:v>5</c:v>
                </c:pt>
                <c:pt idx="16">
                  <c:v>4.5</c:v>
                </c:pt>
                <c:pt idx="17">
                  <c:v>3.8</c:v>
                </c:pt>
                <c:pt idx="18">
                  <c:v>4.3</c:v>
                </c:pt>
                <c:pt idx="19">
                  <c:v>4.3</c:v>
                </c:pt>
                <c:pt idx="20">
                  <c:v>4.2</c:v>
                </c:pt>
                <c:pt idx="21">
                  <c:v>4.5</c:v>
                </c:pt>
                <c:pt idx="22">
                  <c:v>4.3</c:v>
                </c:pt>
                <c:pt idx="23">
                  <c:v>4.3</c:v>
                </c:pt>
                <c:pt idx="24">
                  <c:v>4.5999999999999996</c:v>
                </c:pt>
                <c:pt idx="25">
                  <c:v>4.5</c:v>
                </c:pt>
                <c:pt idx="26">
                  <c:v>4.4000000000000004</c:v>
                </c:pt>
                <c:pt idx="27">
                  <c:v>4</c:v>
                </c:pt>
                <c:pt idx="28">
                  <c:v>3.8</c:v>
                </c:pt>
                <c:pt idx="29">
                  <c:v>4.5999999999999996</c:v>
                </c:pt>
                <c:pt idx="30">
                  <c:v>4.9000000000000004</c:v>
                </c:pt>
                <c:pt idx="31">
                  <c:v>4.7</c:v>
                </c:pt>
                <c:pt idx="32">
                  <c:v>2.9</c:v>
                </c:pt>
              </c:numCache>
            </c:numRef>
          </c:val>
          <c:smooth val="0"/>
          <c:extLst>
            <c:ext xmlns:c16="http://schemas.microsoft.com/office/drawing/2014/chart" uri="{C3380CC4-5D6E-409C-BE32-E72D297353CC}">
              <c16:uniqueId val="{00000001-A092-4B98-97F0-1ACD54829DB5}"/>
            </c:ext>
          </c:extLst>
        </c:ser>
        <c:dLbls>
          <c:showLegendKey val="0"/>
          <c:showVal val="0"/>
          <c:showCatName val="0"/>
          <c:showSerName val="0"/>
          <c:showPercent val="0"/>
          <c:showBubbleSize val="0"/>
        </c:dLbls>
        <c:marker val="1"/>
        <c:smooth val="0"/>
        <c:axId val="1141220367"/>
        <c:axId val="1141215375"/>
      </c:lineChart>
      <c:catAx>
        <c:axId val="807687135"/>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0" spcFirstLastPara="1" vertOverflow="ellipsis" wrap="square" anchor="t" anchorCtr="0"/>
          <a:lstStyle/>
          <a:p>
            <a:pPr>
              <a:defRPr sz="700" b="0" i="0" u="none" strike="noStrike" kern="1200" baseline="0">
                <a:solidFill>
                  <a:schemeClr val="tx2"/>
                </a:solidFill>
                <a:latin typeface="+mn-lt"/>
                <a:ea typeface="+mn-ea"/>
                <a:cs typeface="+mn-cs"/>
              </a:defRPr>
            </a:pPr>
            <a:endParaRPr lang="en-US"/>
          </a:p>
        </c:txPr>
        <c:crossAx val="807693375"/>
        <c:crosses val="autoZero"/>
        <c:auto val="1"/>
        <c:lblAlgn val="ctr"/>
        <c:lblOffset val="100"/>
        <c:noMultiLvlLbl val="1"/>
      </c:catAx>
      <c:valAx>
        <c:axId val="807693375"/>
        <c:scaling>
          <c:orientation val="minMax"/>
        </c:scaling>
        <c:delete val="0"/>
        <c:axPos val="l"/>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sz="700">
                    <a:solidFill>
                      <a:schemeClr val="tx2"/>
                    </a:solidFill>
                  </a:rPr>
                  <a:t>Промена у односу на претходни месец, %</a:t>
                </a:r>
              </a:p>
            </c:rich>
          </c:tx>
          <c:layout>
            <c:manualLayout>
              <c:xMode val="edge"/>
              <c:yMode val="edge"/>
              <c:x val="2.9932560513269174E-2"/>
              <c:y val="9.9343869731800764E-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807687135"/>
        <c:crosses val="autoZero"/>
        <c:crossBetween val="between"/>
      </c:valAx>
      <c:valAx>
        <c:axId val="1141215375"/>
        <c:scaling>
          <c:orientation val="minMax"/>
          <c:max val="18"/>
          <c:min val="-18"/>
        </c:scaling>
        <c:delete val="0"/>
        <c:axPos val="r"/>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sz="700">
                    <a:solidFill>
                      <a:schemeClr val="tx2"/>
                    </a:solidFill>
                  </a:rPr>
                  <a:t>Промена у односу на исти месец претходне године, %</a:t>
                </a:r>
              </a:p>
            </c:rich>
          </c:tx>
          <c:layout>
            <c:manualLayout>
              <c:xMode val="edge"/>
              <c:yMode val="edge"/>
              <c:x val="0.90699074074074071"/>
              <c:y val="6.4024425287356301E-2"/>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141220367"/>
        <c:crosses val="max"/>
        <c:crossBetween val="between"/>
      </c:valAx>
      <c:catAx>
        <c:axId val="1141220367"/>
        <c:scaling>
          <c:orientation val="minMax"/>
        </c:scaling>
        <c:delete val="1"/>
        <c:axPos val="b"/>
        <c:numFmt formatCode="General" sourceLinked="1"/>
        <c:majorTickMark val="out"/>
        <c:minorTickMark val="none"/>
        <c:tickLblPos val="nextTo"/>
        <c:crossAx val="1141215375"/>
        <c:crosses val="autoZero"/>
        <c:auto val="1"/>
        <c:lblAlgn val="ctr"/>
        <c:lblOffset val="100"/>
        <c:noMultiLvlLbl val="0"/>
      </c:catAx>
      <c:spPr>
        <a:noFill/>
        <a:ln>
          <a:noFill/>
        </a:ln>
        <a:effectLst/>
      </c:spPr>
    </c:plotArea>
    <c:legend>
      <c:legendPos val="b"/>
      <c:layout>
        <c:manualLayout>
          <c:xMode val="edge"/>
          <c:yMode val="edge"/>
          <c:x val="0.10446741032370954"/>
          <c:y val="0.87872129629629614"/>
          <c:w val="0.77717592592592588"/>
          <c:h val="0.1095194444444444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57193732193733"/>
          <c:y val="3.9230096237970254E-2"/>
          <c:w val="0.86351317663817662"/>
          <c:h val="0.6289622222222222"/>
        </c:manualLayout>
      </c:layout>
      <c:lineChart>
        <c:grouping val="standard"/>
        <c:varyColors val="0"/>
        <c:ser>
          <c:idx val="0"/>
          <c:order val="0"/>
          <c:tx>
            <c:strRef>
              <c:f>Inflacija!$U$3</c:f>
              <c:strCache>
                <c:ptCount val="1"/>
                <c:pt idx="0">
                  <c:v>Референтна каматна стопа</c:v>
                </c:pt>
              </c:strCache>
            </c:strRef>
          </c:tx>
          <c:spPr>
            <a:ln w="22225" cap="rnd">
              <a:solidFill>
                <a:srgbClr val="51BBE7"/>
              </a:solidFill>
              <a:round/>
            </a:ln>
            <a:effectLst/>
          </c:spPr>
          <c:marker>
            <c:symbol val="none"/>
          </c:marker>
          <c:cat>
            <c:numRef>
              <c:f>Inflacija!$Q$64:$Q$192</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45682</c:v>
                </c:pt>
                <c:pt idx="121">
                  <c:v>45683</c:v>
                </c:pt>
                <c:pt idx="122">
                  <c:v>45684</c:v>
                </c:pt>
                <c:pt idx="123">
                  <c:v>45685</c:v>
                </c:pt>
                <c:pt idx="124">
                  <c:v>45686</c:v>
                </c:pt>
                <c:pt idx="125">
                  <c:v>45687</c:v>
                </c:pt>
                <c:pt idx="126">
                  <c:v>45688</c:v>
                </c:pt>
                <c:pt idx="127">
                  <c:v>45689</c:v>
                </c:pt>
                <c:pt idx="128">
                  <c:v>45690</c:v>
                </c:pt>
              </c:numCache>
            </c:numRef>
          </c:cat>
          <c:val>
            <c:numRef>
              <c:f>Inflacija!$U$64:$U$192</c:f>
              <c:numCache>
                <c:formatCode>0.00</c:formatCode>
                <c:ptCount val="129"/>
                <c:pt idx="0">
                  <c:v>8</c:v>
                </c:pt>
                <c:pt idx="1">
                  <c:v>8</c:v>
                </c:pt>
                <c:pt idx="2">
                  <c:v>7.5</c:v>
                </c:pt>
                <c:pt idx="3">
                  <c:v>7</c:v>
                </c:pt>
                <c:pt idx="4">
                  <c:v>6.5</c:v>
                </c:pt>
                <c:pt idx="5">
                  <c:v>6</c:v>
                </c:pt>
                <c:pt idx="6">
                  <c:v>6</c:v>
                </c:pt>
                <c:pt idx="7">
                  <c:v>5.5</c:v>
                </c:pt>
                <c:pt idx="8">
                  <c:v>5</c:v>
                </c:pt>
                <c:pt idx="9">
                  <c:v>4.5</c:v>
                </c:pt>
                <c:pt idx="10">
                  <c:v>4.5</c:v>
                </c:pt>
                <c:pt idx="11">
                  <c:v>4.5</c:v>
                </c:pt>
                <c:pt idx="12">
                  <c:v>4.5</c:v>
                </c:pt>
                <c:pt idx="13">
                  <c:v>4.25</c:v>
                </c:pt>
                <c:pt idx="14">
                  <c:v>4.25</c:v>
                </c:pt>
                <c:pt idx="15">
                  <c:v>4.25</c:v>
                </c:pt>
                <c:pt idx="16">
                  <c:v>4.25</c:v>
                </c:pt>
                <c:pt idx="17">
                  <c:v>4.25</c:v>
                </c:pt>
                <c:pt idx="18">
                  <c:v>4</c:v>
                </c:pt>
                <c:pt idx="19">
                  <c:v>4</c:v>
                </c:pt>
                <c:pt idx="20">
                  <c:v>4</c:v>
                </c:pt>
                <c:pt idx="21">
                  <c:v>4</c:v>
                </c:pt>
                <c:pt idx="22">
                  <c:v>4</c:v>
                </c:pt>
                <c:pt idx="23">
                  <c:v>4</c:v>
                </c:pt>
                <c:pt idx="24">
                  <c:v>4</c:v>
                </c:pt>
                <c:pt idx="25">
                  <c:v>4</c:v>
                </c:pt>
                <c:pt idx="26">
                  <c:v>4</c:v>
                </c:pt>
                <c:pt idx="27">
                  <c:v>4</c:v>
                </c:pt>
                <c:pt idx="28">
                  <c:v>4</c:v>
                </c:pt>
                <c:pt idx="29">
                  <c:v>4</c:v>
                </c:pt>
                <c:pt idx="30">
                  <c:v>4</c:v>
                </c:pt>
                <c:pt idx="31">
                  <c:v>4</c:v>
                </c:pt>
                <c:pt idx="32">
                  <c:v>3.75</c:v>
                </c:pt>
                <c:pt idx="33">
                  <c:v>3.5</c:v>
                </c:pt>
                <c:pt idx="34">
                  <c:v>3.5</c:v>
                </c:pt>
                <c:pt idx="35">
                  <c:v>3.5</c:v>
                </c:pt>
                <c:pt idx="36">
                  <c:v>3.5</c:v>
                </c:pt>
                <c:pt idx="37">
                  <c:v>3.5</c:v>
                </c:pt>
                <c:pt idx="38">
                  <c:v>3.25</c:v>
                </c:pt>
                <c:pt idx="39">
                  <c:v>3</c:v>
                </c:pt>
                <c:pt idx="40">
                  <c:v>3</c:v>
                </c:pt>
                <c:pt idx="41">
                  <c:v>3</c:v>
                </c:pt>
                <c:pt idx="42">
                  <c:v>3</c:v>
                </c:pt>
                <c:pt idx="43">
                  <c:v>3</c:v>
                </c:pt>
                <c:pt idx="44">
                  <c:v>3</c:v>
                </c:pt>
                <c:pt idx="45">
                  <c:v>3</c:v>
                </c:pt>
                <c:pt idx="46">
                  <c:v>3</c:v>
                </c:pt>
                <c:pt idx="47">
                  <c:v>3</c:v>
                </c:pt>
                <c:pt idx="48">
                  <c:v>3</c:v>
                </c:pt>
                <c:pt idx="49">
                  <c:v>3</c:v>
                </c:pt>
                <c:pt idx="50">
                  <c:v>3</c:v>
                </c:pt>
                <c:pt idx="51">
                  <c:v>3</c:v>
                </c:pt>
                <c:pt idx="52">
                  <c:v>3</c:v>
                </c:pt>
                <c:pt idx="53">
                  <c:v>3</c:v>
                </c:pt>
                <c:pt idx="54">
                  <c:v>2.75</c:v>
                </c:pt>
                <c:pt idx="55">
                  <c:v>2.5</c:v>
                </c:pt>
                <c:pt idx="56">
                  <c:v>2.5</c:v>
                </c:pt>
                <c:pt idx="57">
                  <c:v>2.5</c:v>
                </c:pt>
                <c:pt idx="58">
                  <c:v>2.25</c:v>
                </c:pt>
                <c:pt idx="59">
                  <c:v>2.25</c:v>
                </c:pt>
                <c:pt idx="60">
                  <c:v>2.25</c:v>
                </c:pt>
                <c:pt idx="61">
                  <c:v>2.25</c:v>
                </c:pt>
                <c:pt idx="62">
                  <c:v>1.75</c:v>
                </c:pt>
                <c:pt idx="63">
                  <c:v>1.5</c:v>
                </c:pt>
                <c:pt idx="64">
                  <c:v>1.5</c:v>
                </c:pt>
                <c:pt idx="65">
                  <c:v>1.25</c:v>
                </c:pt>
                <c:pt idx="66">
                  <c:v>1.25</c:v>
                </c:pt>
                <c:pt idx="67">
                  <c:v>1.25</c:v>
                </c:pt>
                <c:pt idx="68">
                  <c:v>1.25</c:v>
                </c:pt>
                <c:pt idx="69" formatCode="General">
                  <c:v>1.25</c:v>
                </c:pt>
                <c:pt idx="70" formatCode="General">
                  <c:v>1.25</c:v>
                </c:pt>
                <c:pt idx="71">
                  <c:v>1</c:v>
                </c:pt>
                <c:pt idx="72">
                  <c:v>1</c:v>
                </c:pt>
                <c:pt idx="73">
                  <c:v>1</c:v>
                </c:pt>
                <c:pt idx="74">
                  <c:v>1</c:v>
                </c:pt>
                <c:pt idx="75">
                  <c:v>1</c:v>
                </c:pt>
                <c:pt idx="76">
                  <c:v>1</c:v>
                </c:pt>
                <c:pt idx="77">
                  <c:v>1</c:v>
                </c:pt>
                <c:pt idx="78">
                  <c:v>1</c:v>
                </c:pt>
                <c:pt idx="79">
                  <c:v>1</c:v>
                </c:pt>
                <c:pt idx="80">
                  <c:v>1</c:v>
                </c:pt>
                <c:pt idx="81">
                  <c:v>1</c:v>
                </c:pt>
                <c:pt idx="82">
                  <c:v>1</c:v>
                </c:pt>
                <c:pt idx="83">
                  <c:v>1</c:v>
                </c:pt>
                <c:pt idx="84">
                  <c:v>1</c:v>
                </c:pt>
                <c:pt idx="85">
                  <c:v>1</c:v>
                </c:pt>
                <c:pt idx="86">
                  <c:v>1</c:v>
                </c:pt>
                <c:pt idx="87">
                  <c:v>1.5</c:v>
                </c:pt>
                <c:pt idx="88">
                  <c:v>2</c:v>
                </c:pt>
                <c:pt idx="89">
                  <c:v>2.5</c:v>
                </c:pt>
                <c:pt idx="90">
                  <c:v>2.75</c:v>
                </c:pt>
                <c:pt idx="91">
                  <c:v>3</c:v>
                </c:pt>
                <c:pt idx="92">
                  <c:v>3.5</c:v>
                </c:pt>
                <c:pt idx="93">
                  <c:v>4</c:v>
                </c:pt>
                <c:pt idx="94">
                  <c:v>4.5</c:v>
                </c:pt>
                <c:pt idx="95">
                  <c:v>5</c:v>
                </c:pt>
                <c:pt idx="96">
                  <c:v>5.25</c:v>
                </c:pt>
                <c:pt idx="97">
                  <c:v>5.5</c:v>
                </c:pt>
                <c:pt idx="98">
                  <c:v>5.75</c:v>
                </c:pt>
                <c:pt idx="99">
                  <c:v>6</c:v>
                </c:pt>
                <c:pt idx="100">
                  <c:v>6</c:v>
                </c:pt>
                <c:pt idx="101" formatCode="General">
                  <c:v>6.25</c:v>
                </c:pt>
                <c:pt idx="102">
                  <c:v>6.5</c:v>
                </c:pt>
                <c:pt idx="103">
                  <c:v>6.5</c:v>
                </c:pt>
                <c:pt idx="104">
                  <c:v>6.5</c:v>
                </c:pt>
                <c:pt idx="105">
                  <c:v>6.5</c:v>
                </c:pt>
                <c:pt idx="106">
                  <c:v>6.5</c:v>
                </c:pt>
                <c:pt idx="107">
                  <c:v>6.5</c:v>
                </c:pt>
                <c:pt idx="108">
                  <c:v>6.5</c:v>
                </c:pt>
                <c:pt idx="109">
                  <c:v>6.5</c:v>
                </c:pt>
                <c:pt idx="110">
                  <c:v>6.5</c:v>
                </c:pt>
                <c:pt idx="111">
                  <c:v>6.5</c:v>
                </c:pt>
                <c:pt idx="112">
                  <c:v>6.5</c:v>
                </c:pt>
                <c:pt idx="113">
                  <c:v>6.25</c:v>
                </c:pt>
                <c:pt idx="114">
                  <c:v>6</c:v>
                </c:pt>
                <c:pt idx="115">
                  <c:v>6</c:v>
                </c:pt>
                <c:pt idx="116">
                  <c:v>5.75</c:v>
                </c:pt>
                <c:pt idx="117">
                  <c:v>5.75</c:v>
                </c:pt>
                <c:pt idx="118">
                  <c:v>5.75</c:v>
                </c:pt>
                <c:pt idx="119">
                  <c:v>5.75</c:v>
                </c:pt>
                <c:pt idx="120">
                  <c:v>5.75</c:v>
                </c:pt>
                <c:pt idx="121">
                  <c:v>5.75</c:v>
                </c:pt>
                <c:pt idx="122">
                  <c:v>5.75</c:v>
                </c:pt>
                <c:pt idx="123">
                  <c:v>5.75</c:v>
                </c:pt>
                <c:pt idx="124">
                  <c:v>5.75</c:v>
                </c:pt>
                <c:pt idx="125">
                  <c:v>5.75</c:v>
                </c:pt>
                <c:pt idx="126">
                  <c:v>5.75</c:v>
                </c:pt>
                <c:pt idx="127">
                  <c:v>5.75</c:v>
                </c:pt>
                <c:pt idx="128">
                  <c:v>5.75</c:v>
                </c:pt>
              </c:numCache>
            </c:numRef>
          </c:val>
          <c:smooth val="0"/>
          <c:extLst>
            <c:ext xmlns:c16="http://schemas.microsoft.com/office/drawing/2014/chart" uri="{C3380CC4-5D6E-409C-BE32-E72D297353CC}">
              <c16:uniqueId val="{00000000-845D-4E48-ACF8-6B99B0A212C6}"/>
            </c:ext>
          </c:extLst>
        </c:ser>
        <c:ser>
          <c:idx val="1"/>
          <c:order val="1"/>
          <c:tx>
            <c:strRef>
              <c:f>Inflacija!$V$3</c:f>
              <c:strCache>
                <c:ptCount val="1"/>
                <c:pt idx="0">
                  <c:v>Потрошачке цене</c:v>
                </c:pt>
              </c:strCache>
            </c:strRef>
          </c:tx>
          <c:spPr>
            <a:ln w="22225" cap="rnd">
              <a:solidFill>
                <a:srgbClr val="7F3F98"/>
              </a:solidFill>
              <a:round/>
            </a:ln>
            <a:effectLst/>
          </c:spPr>
          <c:marker>
            <c:symbol val="none"/>
          </c:marker>
          <c:cat>
            <c:numRef>
              <c:f>Inflacija!$Q$64:$Q$192</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45682</c:v>
                </c:pt>
                <c:pt idx="121">
                  <c:v>45683</c:v>
                </c:pt>
                <c:pt idx="122">
                  <c:v>45684</c:v>
                </c:pt>
                <c:pt idx="123">
                  <c:v>45685</c:v>
                </c:pt>
                <c:pt idx="124">
                  <c:v>45686</c:v>
                </c:pt>
                <c:pt idx="125">
                  <c:v>45687</c:v>
                </c:pt>
                <c:pt idx="126">
                  <c:v>45688</c:v>
                </c:pt>
                <c:pt idx="127">
                  <c:v>45689</c:v>
                </c:pt>
                <c:pt idx="128">
                  <c:v>45690</c:v>
                </c:pt>
              </c:numCache>
            </c:numRef>
          </c:cat>
          <c:val>
            <c:numRef>
              <c:f>Inflacija!$V$64:$V$192</c:f>
              <c:numCache>
                <c:formatCode>General</c:formatCode>
                <c:ptCount val="129"/>
                <c:pt idx="0">
                  <c:v>0.1</c:v>
                </c:pt>
                <c:pt idx="1">
                  <c:v>0.8</c:v>
                </c:pt>
                <c:pt idx="2">
                  <c:v>1.9</c:v>
                </c:pt>
                <c:pt idx="3">
                  <c:v>1.8</c:v>
                </c:pt>
                <c:pt idx="4" formatCode="0.0">
                  <c:v>1.5</c:v>
                </c:pt>
                <c:pt idx="5" formatCode="0.0">
                  <c:v>1.9</c:v>
                </c:pt>
                <c:pt idx="6" formatCode="0.0">
                  <c:v>1</c:v>
                </c:pt>
                <c:pt idx="7">
                  <c:v>2.1</c:v>
                </c:pt>
                <c:pt idx="8">
                  <c:v>1.4</c:v>
                </c:pt>
                <c:pt idx="9">
                  <c:v>1.4</c:v>
                </c:pt>
                <c:pt idx="10">
                  <c:v>1.3</c:v>
                </c:pt>
                <c:pt idx="11">
                  <c:v>1.5</c:v>
                </c:pt>
                <c:pt idx="12">
                  <c:v>2.4</c:v>
                </c:pt>
                <c:pt idx="13">
                  <c:v>1.5</c:v>
                </c:pt>
                <c:pt idx="14">
                  <c:v>0.6</c:v>
                </c:pt>
                <c:pt idx="15">
                  <c:v>0.4</c:v>
                </c:pt>
                <c:pt idx="16" formatCode="0.0">
                  <c:v>0.7</c:v>
                </c:pt>
                <c:pt idx="17" formatCode="0.0">
                  <c:v>0.3</c:v>
                </c:pt>
                <c:pt idx="18" formatCode="0.0">
                  <c:v>1.2</c:v>
                </c:pt>
                <c:pt idx="19">
                  <c:v>1.2</c:v>
                </c:pt>
                <c:pt idx="20">
                  <c:v>0.6</c:v>
                </c:pt>
                <c:pt idx="21">
                  <c:v>1.5</c:v>
                </c:pt>
                <c:pt idx="22">
                  <c:v>1.5</c:v>
                </c:pt>
                <c:pt idx="23">
                  <c:v>1.6</c:v>
                </c:pt>
                <c:pt idx="24">
                  <c:v>2.4</c:v>
                </c:pt>
                <c:pt idx="25">
                  <c:v>3.2</c:v>
                </c:pt>
                <c:pt idx="26">
                  <c:v>3.6</c:v>
                </c:pt>
                <c:pt idx="27" formatCode="0.0">
                  <c:v>4</c:v>
                </c:pt>
                <c:pt idx="28" formatCode="0.0">
                  <c:v>3.5</c:v>
                </c:pt>
                <c:pt idx="29" formatCode="0.0">
                  <c:v>3.6</c:v>
                </c:pt>
                <c:pt idx="30" formatCode="0.0">
                  <c:v>3.2</c:v>
                </c:pt>
                <c:pt idx="31">
                  <c:v>2.5</c:v>
                </c:pt>
                <c:pt idx="32">
                  <c:v>3.2</c:v>
                </c:pt>
                <c:pt idx="33">
                  <c:v>2.8</c:v>
                </c:pt>
                <c:pt idx="34">
                  <c:v>2.8</c:v>
                </c:pt>
                <c:pt idx="35" formatCode="0.0">
                  <c:v>3</c:v>
                </c:pt>
                <c:pt idx="36" formatCode="0.0">
                  <c:v>1.9</c:v>
                </c:pt>
                <c:pt idx="37">
                  <c:v>1.5</c:v>
                </c:pt>
                <c:pt idx="38">
                  <c:v>1.4</c:v>
                </c:pt>
                <c:pt idx="39" formatCode="0.0">
                  <c:v>1.1000000000000001</c:v>
                </c:pt>
                <c:pt idx="40">
                  <c:v>2.1</c:v>
                </c:pt>
                <c:pt idx="41">
                  <c:v>2.2999999999999998</c:v>
                </c:pt>
                <c:pt idx="42">
                  <c:v>2.4</c:v>
                </c:pt>
                <c:pt idx="43">
                  <c:v>2.6</c:v>
                </c:pt>
                <c:pt idx="44">
                  <c:v>2.1</c:v>
                </c:pt>
                <c:pt idx="45">
                  <c:v>2.2000000000000002</c:v>
                </c:pt>
                <c:pt idx="46">
                  <c:v>1.9</c:v>
                </c:pt>
                <c:pt idx="47" formatCode="0.0">
                  <c:v>2</c:v>
                </c:pt>
                <c:pt idx="48" formatCode="0.0">
                  <c:v>2.1</c:v>
                </c:pt>
                <c:pt idx="49" formatCode="0.0">
                  <c:v>2.4</c:v>
                </c:pt>
                <c:pt idx="50">
                  <c:v>2.8</c:v>
                </c:pt>
                <c:pt idx="51">
                  <c:v>3.1</c:v>
                </c:pt>
                <c:pt idx="52">
                  <c:v>2.2000000000000002</c:v>
                </c:pt>
                <c:pt idx="53">
                  <c:v>1.5</c:v>
                </c:pt>
                <c:pt idx="54">
                  <c:v>1.6</c:v>
                </c:pt>
                <c:pt idx="55">
                  <c:v>1.3</c:v>
                </c:pt>
                <c:pt idx="56">
                  <c:v>1.1000000000000001</c:v>
                </c:pt>
                <c:pt idx="57" formatCode="0.0">
                  <c:v>1</c:v>
                </c:pt>
                <c:pt idx="58" formatCode="0.0">
                  <c:v>1.5</c:v>
                </c:pt>
                <c:pt idx="59" formatCode="0.0">
                  <c:v>1.9</c:v>
                </c:pt>
                <c:pt idx="60" formatCode="0.0">
                  <c:v>2</c:v>
                </c:pt>
                <c:pt idx="61" formatCode="0.0">
                  <c:v>1.9</c:v>
                </c:pt>
                <c:pt idx="62" formatCode="0.0">
                  <c:v>1.3</c:v>
                </c:pt>
                <c:pt idx="63" formatCode="0.0">
                  <c:v>0.6</c:v>
                </c:pt>
                <c:pt idx="64" formatCode="0.0">
                  <c:v>0.7</c:v>
                </c:pt>
                <c:pt idx="65" formatCode="0.0">
                  <c:v>1.6</c:v>
                </c:pt>
                <c:pt idx="66" formatCode="0.0">
                  <c:v>2</c:v>
                </c:pt>
                <c:pt idx="67" formatCode="0.0">
                  <c:v>1.9</c:v>
                </c:pt>
                <c:pt idx="68" formatCode="0.0">
                  <c:v>1.8</c:v>
                </c:pt>
                <c:pt idx="69" formatCode="0.0">
                  <c:v>1.8</c:v>
                </c:pt>
                <c:pt idx="70" formatCode="0.0">
                  <c:v>1.7</c:v>
                </c:pt>
                <c:pt idx="71" formatCode="0.0">
                  <c:v>1.3</c:v>
                </c:pt>
                <c:pt idx="72" formatCode="0.0">
                  <c:v>1.1000000000000001</c:v>
                </c:pt>
                <c:pt idx="73" formatCode="0.0">
                  <c:v>1.2</c:v>
                </c:pt>
                <c:pt idx="74" formatCode="0.0">
                  <c:v>1.8</c:v>
                </c:pt>
                <c:pt idx="75" formatCode="0.0">
                  <c:v>2.8</c:v>
                </c:pt>
                <c:pt idx="76" formatCode="0.0">
                  <c:v>3.6</c:v>
                </c:pt>
                <c:pt idx="77" formatCode="0.0">
                  <c:v>3.3</c:v>
                </c:pt>
                <c:pt idx="78" formatCode="0.0">
                  <c:v>3.3</c:v>
                </c:pt>
                <c:pt idx="79" formatCode="0.0">
                  <c:v>4.3</c:v>
                </c:pt>
                <c:pt idx="80" formatCode="0.0">
                  <c:v>5.7</c:v>
                </c:pt>
                <c:pt idx="81">
                  <c:v>6.6</c:v>
                </c:pt>
                <c:pt idx="82">
                  <c:v>7.5</c:v>
                </c:pt>
                <c:pt idx="83">
                  <c:v>7.9</c:v>
                </c:pt>
                <c:pt idx="84">
                  <c:v>8.1999999999999993</c:v>
                </c:pt>
                <c:pt idx="85">
                  <c:v>8.8000000000000007</c:v>
                </c:pt>
                <c:pt idx="86">
                  <c:v>9.1</c:v>
                </c:pt>
                <c:pt idx="87">
                  <c:v>9.6</c:v>
                </c:pt>
                <c:pt idx="88">
                  <c:v>10.4</c:v>
                </c:pt>
                <c:pt idx="89">
                  <c:v>11.9</c:v>
                </c:pt>
                <c:pt idx="90">
                  <c:v>12.8</c:v>
                </c:pt>
                <c:pt idx="91">
                  <c:v>13.2</c:v>
                </c:pt>
                <c:pt idx="92" formatCode="0.0">
                  <c:v>14</c:v>
                </c:pt>
                <c:pt idx="93" formatCode="0.0">
                  <c:v>15</c:v>
                </c:pt>
                <c:pt idx="94">
                  <c:v>15.1</c:v>
                </c:pt>
                <c:pt idx="95">
                  <c:v>15.1</c:v>
                </c:pt>
                <c:pt idx="96">
                  <c:v>15.8</c:v>
                </c:pt>
                <c:pt idx="97">
                  <c:v>16.100000000000001</c:v>
                </c:pt>
                <c:pt idx="98">
                  <c:v>16.2</c:v>
                </c:pt>
                <c:pt idx="99">
                  <c:v>15.1</c:v>
                </c:pt>
                <c:pt idx="100">
                  <c:v>14.8</c:v>
                </c:pt>
                <c:pt idx="101">
                  <c:v>13.7</c:v>
                </c:pt>
                <c:pt idx="102">
                  <c:v>12.5</c:v>
                </c:pt>
                <c:pt idx="103">
                  <c:v>11.5</c:v>
                </c:pt>
                <c:pt idx="104" formatCode="0.0">
                  <c:v>10.200000000000003</c:v>
                </c:pt>
                <c:pt idx="105" formatCode="0.0">
                  <c:v>8.5</c:v>
                </c:pt>
                <c:pt idx="106" formatCode="0.0">
                  <c:v>8</c:v>
                </c:pt>
                <c:pt idx="107" formatCode="0.0">
                  <c:v>7.5999999999999943</c:v>
                </c:pt>
                <c:pt idx="108" formatCode="0.0">
                  <c:v>6.4</c:v>
                </c:pt>
                <c:pt idx="109" formatCode="0.0">
                  <c:v>5.6</c:v>
                </c:pt>
                <c:pt idx="110" formatCode="0.0">
                  <c:v>5</c:v>
                </c:pt>
                <c:pt idx="111" formatCode="0.0">
                  <c:v>5</c:v>
                </c:pt>
                <c:pt idx="112">
                  <c:v>4.5</c:v>
                </c:pt>
                <c:pt idx="113">
                  <c:v>3.8</c:v>
                </c:pt>
                <c:pt idx="114">
                  <c:v>4.3</c:v>
                </c:pt>
                <c:pt idx="115">
                  <c:v>4.3</c:v>
                </c:pt>
                <c:pt idx="116">
                  <c:v>4.2</c:v>
                </c:pt>
                <c:pt idx="117">
                  <c:v>4.5</c:v>
                </c:pt>
                <c:pt idx="118">
                  <c:v>4.3</c:v>
                </c:pt>
                <c:pt idx="119">
                  <c:v>4.3</c:v>
                </c:pt>
                <c:pt idx="120">
                  <c:v>4.5999999999999996</c:v>
                </c:pt>
                <c:pt idx="121">
                  <c:v>4.5</c:v>
                </c:pt>
                <c:pt idx="122">
                  <c:v>4.4000000000000004</c:v>
                </c:pt>
                <c:pt idx="123" formatCode="0.0">
                  <c:v>4</c:v>
                </c:pt>
                <c:pt idx="124" formatCode="0.0">
                  <c:v>3.8</c:v>
                </c:pt>
                <c:pt idx="125" formatCode="0.0">
                  <c:v>4.5999999999999996</c:v>
                </c:pt>
                <c:pt idx="126" formatCode="0.0">
                  <c:v>4.9000000000000004</c:v>
                </c:pt>
                <c:pt idx="127" formatCode="0.0">
                  <c:v>4.7</c:v>
                </c:pt>
                <c:pt idx="128" formatCode="0.0">
                  <c:v>2.9</c:v>
                </c:pt>
              </c:numCache>
            </c:numRef>
          </c:val>
          <c:smooth val="0"/>
          <c:extLst>
            <c:ext xmlns:c16="http://schemas.microsoft.com/office/drawing/2014/chart" uri="{C3380CC4-5D6E-409C-BE32-E72D297353CC}">
              <c16:uniqueId val="{00000001-845D-4E48-ACF8-6B99B0A212C6}"/>
            </c:ext>
          </c:extLst>
        </c:ser>
        <c:ser>
          <c:idx val="2"/>
          <c:order val="2"/>
          <c:tx>
            <c:strRef>
              <c:f>Inflacija!$W$3</c:f>
              <c:strCache>
                <c:ptCount val="1"/>
                <c:pt idx="0">
                  <c:v>Циљана инфлација</c:v>
                </c:pt>
              </c:strCache>
            </c:strRef>
          </c:tx>
          <c:spPr>
            <a:ln w="22225" cap="rnd">
              <a:solidFill>
                <a:srgbClr val="FF0000"/>
              </a:solidFill>
              <a:round/>
            </a:ln>
            <a:effectLst/>
          </c:spPr>
          <c:marker>
            <c:symbol val="none"/>
          </c:marker>
          <c:cat>
            <c:numRef>
              <c:f>Inflacija!$Q$64:$Q$192</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45682</c:v>
                </c:pt>
                <c:pt idx="121">
                  <c:v>45683</c:v>
                </c:pt>
                <c:pt idx="122">
                  <c:v>45684</c:v>
                </c:pt>
                <c:pt idx="123">
                  <c:v>45685</c:v>
                </c:pt>
                <c:pt idx="124">
                  <c:v>45686</c:v>
                </c:pt>
                <c:pt idx="125">
                  <c:v>45687</c:v>
                </c:pt>
                <c:pt idx="126">
                  <c:v>45688</c:v>
                </c:pt>
                <c:pt idx="127">
                  <c:v>45689</c:v>
                </c:pt>
                <c:pt idx="128">
                  <c:v>45690</c:v>
                </c:pt>
              </c:numCache>
            </c:numRef>
          </c:cat>
          <c:val>
            <c:numRef>
              <c:f>Inflacija!$W$64:$W$192</c:f>
              <c:numCache>
                <c:formatCode>0.0</c:formatCode>
                <c:ptCount val="129"/>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pt idx="15">
                  <c:v>4</c:v>
                </c:pt>
                <c:pt idx="16">
                  <c:v>4</c:v>
                </c:pt>
                <c:pt idx="17">
                  <c:v>4</c:v>
                </c:pt>
                <c:pt idx="18">
                  <c:v>4</c:v>
                </c:pt>
                <c:pt idx="19">
                  <c:v>4</c:v>
                </c:pt>
                <c:pt idx="20">
                  <c:v>4</c:v>
                </c:pt>
                <c:pt idx="21">
                  <c:v>4</c:v>
                </c:pt>
                <c:pt idx="22">
                  <c:v>4</c:v>
                </c:pt>
                <c:pt idx="23">
                  <c:v>4</c:v>
                </c:pt>
                <c:pt idx="24">
                  <c:v>3</c:v>
                </c:pt>
                <c:pt idx="25">
                  <c:v>3</c:v>
                </c:pt>
                <c:pt idx="26">
                  <c:v>3</c:v>
                </c:pt>
                <c:pt idx="27">
                  <c:v>3</c:v>
                </c:pt>
                <c:pt idx="28">
                  <c:v>3</c:v>
                </c:pt>
                <c:pt idx="29">
                  <c:v>3</c:v>
                </c:pt>
                <c:pt idx="30">
                  <c:v>3</c:v>
                </c:pt>
                <c:pt idx="31">
                  <c:v>3</c:v>
                </c:pt>
                <c:pt idx="32">
                  <c:v>3</c:v>
                </c:pt>
                <c:pt idx="33">
                  <c:v>3</c:v>
                </c:pt>
                <c:pt idx="34">
                  <c:v>3</c:v>
                </c:pt>
                <c:pt idx="35">
                  <c:v>3</c:v>
                </c:pt>
                <c:pt idx="36">
                  <c:v>3</c:v>
                </c:pt>
                <c:pt idx="37">
                  <c:v>3</c:v>
                </c:pt>
                <c:pt idx="38">
                  <c:v>3</c:v>
                </c:pt>
                <c:pt idx="39">
                  <c:v>3</c:v>
                </c:pt>
                <c:pt idx="40">
                  <c:v>3</c:v>
                </c:pt>
                <c:pt idx="41">
                  <c:v>3</c:v>
                </c:pt>
                <c:pt idx="42">
                  <c:v>3</c:v>
                </c:pt>
                <c:pt idx="43">
                  <c:v>3</c:v>
                </c:pt>
                <c:pt idx="44">
                  <c:v>3</c:v>
                </c:pt>
                <c:pt idx="45">
                  <c:v>3</c:v>
                </c:pt>
                <c:pt idx="46">
                  <c:v>3</c:v>
                </c:pt>
                <c:pt idx="47">
                  <c:v>3</c:v>
                </c:pt>
                <c:pt idx="48">
                  <c:v>3</c:v>
                </c:pt>
                <c:pt idx="49">
                  <c:v>3</c:v>
                </c:pt>
                <c:pt idx="50">
                  <c:v>3</c:v>
                </c:pt>
                <c:pt idx="51">
                  <c:v>3</c:v>
                </c:pt>
                <c:pt idx="52">
                  <c:v>3</c:v>
                </c:pt>
                <c:pt idx="53">
                  <c:v>3</c:v>
                </c:pt>
                <c:pt idx="54">
                  <c:v>3</c:v>
                </c:pt>
                <c:pt idx="55">
                  <c:v>3</c:v>
                </c:pt>
                <c:pt idx="56">
                  <c:v>3</c:v>
                </c:pt>
                <c:pt idx="57">
                  <c:v>3</c:v>
                </c:pt>
                <c:pt idx="58">
                  <c:v>3</c:v>
                </c:pt>
                <c:pt idx="59">
                  <c:v>3</c:v>
                </c:pt>
                <c:pt idx="60">
                  <c:v>3</c:v>
                </c:pt>
                <c:pt idx="61">
                  <c:v>3</c:v>
                </c:pt>
                <c:pt idx="62">
                  <c:v>3</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3</c:v>
                </c:pt>
                <c:pt idx="79">
                  <c:v>3</c:v>
                </c:pt>
                <c:pt idx="80">
                  <c:v>3</c:v>
                </c:pt>
                <c:pt idx="81">
                  <c:v>3</c:v>
                </c:pt>
                <c:pt idx="82">
                  <c:v>3</c:v>
                </c:pt>
                <c:pt idx="83">
                  <c:v>3</c:v>
                </c:pt>
                <c:pt idx="84">
                  <c:v>3</c:v>
                </c:pt>
                <c:pt idx="85">
                  <c:v>3</c:v>
                </c:pt>
                <c:pt idx="86">
                  <c:v>3</c:v>
                </c:pt>
                <c:pt idx="87">
                  <c:v>3</c:v>
                </c:pt>
                <c:pt idx="88">
                  <c:v>3</c:v>
                </c:pt>
                <c:pt idx="89">
                  <c:v>3</c:v>
                </c:pt>
                <c:pt idx="90">
                  <c:v>3</c:v>
                </c:pt>
                <c:pt idx="91">
                  <c:v>3</c:v>
                </c:pt>
                <c:pt idx="92">
                  <c:v>3</c:v>
                </c:pt>
                <c:pt idx="93">
                  <c:v>3</c:v>
                </c:pt>
                <c:pt idx="94">
                  <c:v>3</c:v>
                </c:pt>
                <c:pt idx="95">
                  <c:v>3</c:v>
                </c:pt>
                <c:pt idx="96">
                  <c:v>3</c:v>
                </c:pt>
                <c:pt idx="97">
                  <c:v>3</c:v>
                </c:pt>
                <c:pt idx="98">
                  <c:v>3</c:v>
                </c:pt>
                <c:pt idx="99">
                  <c:v>3</c:v>
                </c:pt>
                <c:pt idx="100">
                  <c:v>3</c:v>
                </c:pt>
                <c:pt idx="101">
                  <c:v>3</c:v>
                </c:pt>
                <c:pt idx="102">
                  <c:v>3</c:v>
                </c:pt>
                <c:pt idx="103">
                  <c:v>3</c:v>
                </c:pt>
                <c:pt idx="104">
                  <c:v>3</c:v>
                </c:pt>
                <c:pt idx="105">
                  <c:v>3</c:v>
                </c:pt>
                <c:pt idx="106">
                  <c:v>3</c:v>
                </c:pt>
                <c:pt idx="107">
                  <c:v>3</c:v>
                </c:pt>
                <c:pt idx="108">
                  <c:v>3</c:v>
                </c:pt>
                <c:pt idx="109">
                  <c:v>3</c:v>
                </c:pt>
                <c:pt idx="110">
                  <c:v>3</c:v>
                </c:pt>
                <c:pt idx="111">
                  <c:v>3</c:v>
                </c:pt>
                <c:pt idx="112">
                  <c:v>3</c:v>
                </c:pt>
                <c:pt idx="113">
                  <c:v>3</c:v>
                </c:pt>
                <c:pt idx="114">
                  <c:v>3</c:v>
                </c:pt>
                <c:pt idx="115">
                  <c:v>3</c:v>
                </c:pt>
                <c:pt idx="116">
                  <c:v>3</c:v>
                </c:pt>
                <c:pt idx="117">
                  <c:v>3</c:v>
                </c:pt>
                <c:pt idx="118">
                  <c:v>3</c:v>
                </c:pt>
                <c:pt idx="119">
                  <c:v>3</c:v>
                </c:pt>
                <c:pt idx="120">
                  <c:v>3</c:v>
                </c:pt>
                <c:pt idx="121">
                  <c:v>3</c:v>
                </c:pt>
                <c:pt idx="122">
                  <c:v>3</c:v>
                </c:pt>
                <c:pt idx="123">
                  <c:v>3</c:v>
                </c:pt>
                <c:pt idx="124">
                  <c:v>3</c:v>
                </c:pt>
                <c:pt idx="125">
                  <c:v>3</c:v>
                </c:pt>
                <c:pt idx="126">
                  <c:v>3</c:v>
                </c:pt>
                <c:pt idx="127">
                  <c:v>3</c:v>
                </c:pt>
                <c:pt idx="128">
                  <c:v>3</c:v>
                </c:pt>
              </c:numCache>
            </c:numRef>
          </c:val>
          <c:smooth val="0"/>
          <c:extLst>
            <c:ext xmlns:c16="http://schemas.microsoft.com/office/drawing/2014/chart" uri="{C3380CC4-5D6E-409C-BE32-E72D297353CC}">
              <c16:uniqueId val="{00000002-845D-4E48-ACF8-6B99B0A212C6}"/>
            </c:ext>
          </c:extLst>
        </c:ser>
        <c:ser>
          <c:idx val="3"/>
          <c:order val="3"/>
          <c:tx>
            <c:strRef>
              <c:f>Inflacija!$X$3</c:f>
              <c:strCache>
                <c:ptCount val="1"/>
                <c:pt idx="0">
                  <c:v>Коридор инфлације</c:v>
                </c:pt>
              </c:strCache>
            </c:strRef>
          </c:tx>
          <c:spPr>
            <a:ln w="12700" cap="rnd">
              <a:solidFill>
                <a:srgbClr val="898989"/>
              </a:solidFill>
              <a:prstDash val="sysDash"/>
              <a:round/>
            </a:ln>
            <a:effectLst/>
          </c:spPr>
          <c:marker>
            <c:symbol val="none"/>
          </c:marker>
          <c:cat>
            <c:numRef>
              <c:f>Inflacija!$Q$64:$Q$192</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45682</c:v>
                </c:pt>
                <c:pt idx="121">
                  <c:v>45683</c:v>
                </c:pt>
                <c:pt idx="122">
                  <c:v>45684</c:v>
                </c:pt>
                <c:pt idx="123">
                  <c:v>45685</c:v>
                </c:pt>
                <c:pt idx="124">
                  <c:v>45686</c:v>
                </c:pt>
                <c:pt idx="125">
                  <c:v>45687</c:v>
                </c:pt>
                <c:pt idx="126">
                  <c:v>45688</c:v>
                </c:pt>
                <c:pt idx="127">
                  <c:v>45689</c:v>
                </c:pt>
                <c:pt idx="128">
                  <c:v>45690</c:v>
                </c:pt>
              </c:numCache>
            </c:numRef>
          </c:cat>
          <c:val>
            <c:numRef>
              <c:f>Inflacija!$X$64:$X$192</c:f>
              <c:numCache>
                <c:formatCode>0.0</c:formatCode>
                <c:ptCount val="129"/>
                <c:pt idx="0">
                  <c:v>5.5</c:v>
                </c:pt>
                <c:pt idx="1">
                  <c:v>5.5</c:v>
                </c:pt>
                <c:pt idx="2">
                  <c:v>5.5</c:v>
                </c:pt>
                <c:pt idx="3">
                  <c:v>5.5</c:v>
                </c:pt>
                <c:pt idx="4">
                  <c:v>5.5</c:v>
                </c:pt>
                <c:pt idx="5">
                  <c:v>5.5</c:v>
                </c:pt>
                <c:pt idx="6">
                  <c:v>5.5</c:v>
                </c:pt>
                <c:pt idx="7">
                  <c:v>5.5</c:v>
                </c:pt>
                <c:pt idx="8">
                  <c:v>5.5</c:v>
                </c:pt>
                <c:pt idx="9">
                  <c:v>5.5</c:v>
                </c:pt>
                <c:pt idx="10">
                  <c:v>5.5</c:v>
                </c:pt>
                <c:pt idx="11">
                  <c:v>5.5</c:v>
                </c:pt>
                <c:pt idx="12">
                  <c:v>5.5</c:v>
                </c:pt>
                <c:pt idx="13" formatCode="General">
                  <c:v>5.5</c:v>
                </c:pt>
                <c:pt idx="14" formatCode="General">
                  <c:v>5.5</c:v>
                </c:pt>
                <c:pt idx="15" formatCode="General">
                  <c:v>5.5</c:v>
                </c:pt>
                <c:pt idx="16" formatCode="General">
                  <c:v>5.5</c:v>
                </c:pt>
                <c:pt idx="17" formatCode="General">
                  <c:v>5.5</c:v>
                </c:pt>
                <c:pt idx="18" formatCode="General">
                  <c:v>5.5</c:v>
                </c:pt>
                <c:pt idx="19" formatCode="General">
                  <c:v>5.5</c:v>
                </c:pt>
                <c:pt idx="20" formatCode="General">
                  <c:v>5.5</c:v>
                </c:pt>
                <c:pt idx="21" formatCode="General">
                  <c:v>5.5</c:v>
                </c:pt>
                <c:pt idx="22" formatCode="General">
                  <c:v>5.5</c:v>
                </c:pt>
                <c:pt idx="23" formatCode="General">
                  <c:v>5.5</c:v>
                </c:pt>
                <c:pt idx="24">
                  <c:v>4.5</c:v>
                </c:pt>
                <c:pt idx="25">
                  <c:v>4.5</c:v>
                </c:pt>
                <c:pt idx="26">
                  <c:v>4.5</c:v>
                </c:pt>
                <c:pt idx="27">
                  <c:v>4.5</c:v>
                </c:pt>
                <c:pt idx="28">
                  <c:v>4.5</c:v>
                </c:pt>
                <c:pt idx="29">
                  <c:v>4.5</c:v>
                </c:pt>
                <c:pt idx="30">
                  <c:v>4.5</c:v>
                </c:pt>
                <c:pt idx="31">
                  <c:v>4.5</c:v>
                </c:pt>
                <c:pt idx="32">
                  <c:v>4.5</c:v>
                </c:pt>
                <c:pt idx="33">
                  <c:v>4.5</c:v>
                </c:pt>
                <c:pt idx="34">
                  <c:v>4.5</c:v>
                </c:pt>
                <c:pt idx="35">
                  <c:v>4.5</c:v>
                </c:pt>
                <c:pt idx="36">
                  <c:v>4.5</c:v>
                </c:pt>
                <c:pt idx="37">
                  <c:v>4.5</c:v>
                </c:pt>
                <c:pt idx="38">
                  <c:v>4.5</c:v>
                </c:pt>
                <c:pt idx="39">
                  <c:v>4.5</c:v>
                </c:pt>
                <c:pt idx="40">
                  <c:v>4.5</c:v>
                </c:pt>
                <c:pt idx="41" formatCode="General">
                  <c:v>4.5</c:v>
                </c:pt>
                <c:pt idx="42" formatCode="General">
                  <c:v>4.5</c:v>
                </c:pt>
                <c:pt idx="43" formatCode="General">
                  <c:v>4.5</c:v>
                </c:pt>
                <c:pt idx="44">
                  <c:v>4.5</c:v>
                </c:pt>
                <c:pt idx="45">
                  <c:v>4.5</c:v>
                </c:pt>
                <c:pt idx="46">
                  <c:v>4.5</c:v>
                </c:pt>
                <c:pt idx="47">
                  <c:v>4.5</c:v>
                </c:pt>
                <c:pt idx="48">
                  <c:v>4.5</c:v>
                </c:pt>
                <c:pt idx="49">
                  <c:v>4.5</c:v>
                </c:pt>
                <c:pt idx="50">
                  <c:v>4.5</c:v>
                </c:pt>
                <c:pt idx="51">
                  <c:v>4.5</c:v>
                </c:pt>
                <c:pt idx="52">
                  <c:v>4.5</c:v>
                </c:pt>
                <c:pt idx="53">
                  <c:v>4.5</c:v>
                </c:pt>
                <c:pt idx="54">
                  <c:v>4.5</c:v>
                </c:pt>
                <c:pt idx="55">
                  <c:v>4.5</c:v>
                </c:pt>
                <c:pt idx="56">
                  <c:v>4.5</c:v>
                </c:pt>
                <c:pt idx="57">
                  <c:v>4.5</c:v>
                </c:pt>
                <c:pt idx="58">
                  <c:v>4.5</c:v>
                </c:pt>
                <c:pt idx="59">
                  <c:v>4.5</c:v>
                </c:pt>
                <c:pt idx="60">
                  <c:v>4.5</c:v>
                </c:pt>
                <c:pt idx="61">
                  <c:v>4.5</c:v>
                </c:pt>
                <c:pt idx="62">
                  <c:v>4.5</c:v>
                </c:pt>
                <c:pt idx="63">
                  <c:v>4.5</c:v>
                </c:pt>
                <c:pt idx="64">
                  <c:v>4.5</c:v>
                </c:pt>
                <c:pt idx="65">
                  <c:v>4.5</c:v>
                </c:pt>
                <c:pt idx="66">
                  <c:v>4.5</c:v>
                </c:pt>
                <c:pt idx="67">
                  <c:v>4.5</c:v>
                </c:pt>
                <c:pt idx="68">
                  <c:v>4.5</c:v>
                </c:pt>
                <c:pt idx="69">
                  <c:v>4.5</c:v>
                </c:pt>
                <c:pt idx="70">
                  <c:v>4.5</c:v>
                </c:pt>
                <c:pt idx="71">
                  <c:v>4.5</c:v>
                </c:pt>
                <c:pt idx="72">
                  <c:v>4.5</c:v>
                </c:pt>
                <c:pt idx="73">
                  <c:v>4.5</c:v>
                </c:pt>
                <c:pt idx="74">
                  <c:v>4.5</c:v>
                </c:pt>
                <c:pt idx="75">
                  <c:v>4.5</c:v>
                </c:pt>
                <c:pt idx="76">
                  <c:v>4.5</c:v>
                </c:pt>
                <c:pt idx="77">
                  <c:v>4.5</c:v>
                </c:pt>
                <c:pt idx="78">
                  <c:v>4.5</c:v>
                </c:pt>
                <c:pt idx="79">
                  <c:v>4.5</c:v>
                </c:pt>
                <c:pt idx="80">
                  <c:v>4.5</c:v>
                </c:pt>
                <c:pt idx="81" formatCode="General">
                  <c:v>4.5</c:v>
                </c:pt>
                <c:pt idx="82" formatCode="General">
                  <c:v>4.5</c:v>
                </c:pt>
                <c:pt idx="83" formatCode="General">
                  <c:v>4.5</c:v>
                </c:pt>
                <c:pt idx="84" formatCode="General">
                  <c:v>4.5</c:v>
                </c:pt>
                <c:pt idx="85" formatCode="General">
                  <c:v>4.5</c:v>
                </c:pt>
                <c:pt idx="86" formatCode="General">
                  <c:v>4.5</c:v>
                </c:pt>
                <c:pt idx="87" formatCode="General">
                  <c:v>4.5</c:v>
                </c:pt>
                <c:pt idx="88" formatCode="General">
                  <c:v>4.5</c:v>
                </c:pt>
                <c:pt idx="89" formatCode="General">
                  <c:v>4.5</c:v>
                </c:pt>
                <c:pt idx="90" formatCode="General">
                  <c:v>4.5</c:v>
                </c:pt>
                <c:pt idx="91" formatCode="General">
                  <c:v>4.5</c:v>
                </c:pt>
                <c:pt idx="92" formatCode="General">
                  <c:v>4.5</c:v>
                </c:pt>
                <c:pt idx="93" formatCode="General">
                  <c:v>4.5</c:v>
                </c:pt>
                <c:pt idx="94" formatCode="General">
                  <c:v>4.5</c:v>
                </c:pt>
                <c:pt idx="95" formatCode="General">
                  <c:v>4.5</c:v>
                </c:pt>
                <c:pt idx="96" formatCode="General">
                  <c:v>4.5</c:v>
                </c:pt>
                <c:pt idx="97" formatCode="General">
                  <c:v>4.5</c:v>
                </c:pt>
                <c:pt idx="98" formatCode="General">
                  <c:v>4.5</c:v>
                </c:pt>
                <c:pt idx="99" formatCode="General">
                  <c:v>4.5</c:v>
                </c:pt>
                <c:pt idx="100" formatCode="General">
                  <c:v>4.5</c:v>
                </c:pt>
                <c:pt idx="101" formatCode="General">
                  <c:v>4.5</c:v>
                </c:pt>
                <c:pt idx="102" formatCode="General">
                  <c:v>4.5</c:v>
                </c:pt>
                <c:pt idx="103" formatCode="General">
                  <c:v>4.5</c:v>
                </c:pt>
                <c:pt idx="104" formatCode="General">
                  <c:v>4.5</c:v>
                </c:pt>
                <c:pt idx="105" formatCode="General">
                  <c:v>4.5</c:v>
                </c:pt>
                <c:pt idx="106" formatCode="General">
                  <c:v>4.5</c:v>
                </c:pt>
                <c:pt idx="107" formatCode="General">
                  <c:v>4.5</c:v>
                </c:pt>
                <c:pt idx="108" formatCode="General">
                  <c:v>4.5</c:v>
                </c:pt>
                <c:pt idx="109" formatCode="General">
                  <c:v>4.5</c:v>
                </c:pt>
                <c:pt idx="110" formatCode="General">
                  <c:v>4.5</c:v>
                </c:pt>
                <c:pt idx="111" formatCode="General">
                  <c:v>4.5</c:v>
                </c:pt>
                <c:pt idx="112" formatCode="General">
                  <c:v>4.5</c:v>
                </c:pt>
                <c:pt idx="113" formatCode="General">
                  <c:v>4.5</c:v>
                </c:pt>
                <c:pt idx="114" formatCode="General">
                  <c:v>4.5</c:v>
                </c:pt>
                <c:pt idx="115" formatCode="General">
                  <c:v>4.5</c:v>
                </c:pt>
                <c:pt idx="116" formatCode="General">
                  <c:v>4.5</c:v>
                </c:pt>
                <c:pt idx="117" formatCode="General">
                  <c:v>4.5</c:v>
                </c:pt>
                <c:pt idx="118" formatCode="General">
                  <c:v>4.5</c:v>
                </c:pt>
                <c:pt idx="119" formatCode="General">
                  <c:v>4.5</c:v>
                </c:pt>
                <c:pt idx="120" formatCode="General">
                  <c:v>4.5</c:v>
                </c:pt>
                <c:pt idx="121" formatCode="General">
                  <c:v>4.5</c:v>
                </c:pt>
                <c:pt idx="122" formatCode="General">
                  <c:v>4.5</c:v>
                </c:pt>
                <c:pt idx="123" formatCode="General">
                  <c:v>4.5</c:v>
                </c:pt>
                <c:pt idx="124" formatCode="General">
                  <c:v>4.5</c:v>
                </c:pt>
                <c:pt idx="125" formatCode="General">
                  <c:v>4.5</c:v>
                </c:pt>
                <c:pt idx="126" formatCode="General">
                  <c:v>4.5</c:v>
                </c:pt>
                <c:pt idx="127" formatCode="General">
                  <c:v>4.5</c:v>
                </c:pt>
                <c:pt idx="128" formatCode="General">
                  <c:v>4.5</c:v>
                </c:pt>
              </c:numCache>
            </c:numRef>
          </c:val>
          <c:smooth val="0"/>
          <c:extLst>
            <c:ext xmlns:c16="http://schemas.microsoft.com/office/drawing/2014/chart" uri="{C3380CC4-5D6E-409C-BE32-E72D297353CC}">
              <c16:uniqueId val="{00000003-845D-4E48-ACF8-6B99B0A212C6}"/>
            </c:ext>
          </c:extLst>
        </c:ser>
        <c:ser>
          <c:idx val="4"/>
          <c:order val="4"/>
          <c:tx>
            <c:strRef>
              <c:f>Inflacija!$Y$3</c:f>
              <c:strCache>
                <c:ptCount val="1"/>
              </c:strCache>
            </c:strRef>
          </c:tx>
          <c:spPr>
            <a:ln w="12700" cap="rnd">
              <a:solidFill>
                <a:srgbClr val="898989"/>
              </a:solidFill>
              <a:prstDash val="sysDash"/>
              <a:round/>
            </a:ln>
            <a:effectLst/>
          </c:spPr>
          <c:marker>
            <c:symbol val="none"/>
          </c:marker>
          <c:cat>
            <c:numRef>
              <c:f>Inflacija!$Q$64:$Q$192</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45682</c:v>
                </c:pt>
                <c:pt idx="121">
                  <c:v>45683</c:v>
                </c:pt>
                <c:pt idx="122">
                  <c:v>45684</c:v>
                </c:pt>
                <c:pt idx="123">
                  <c:v>45685</c:v>
                </c:pt>
                <c:pt idx="124">
                  <c:v>45686</c:v>
                </c:pt>
                <c:pt idx="125">
                  <c:v>45687</c:v>
                </c:pt>
                <c:pt idx="126">
                  <c:v>45688</c:v>
                </c:pt>
                <c:pt idx="127">
                  <c:v>45689</c:v>
                </c:pt>
                <c:pt idx="128">
                  <c:v>45690</c:v>
                </c:pt>
              </c:numCache>
            </c:numRef>
          </c:cat>
          <c:val>
            <c:numRef>
              <c:f>Inflacija!$Y$64:$Y$192</c:f>
              <c:numCache>
                <c:formatCode>0.0</c:formatCode>
                <c:ptCount val="129"/>
                <c:pt idx="0">
                  <c:v>2.5</c:v>
                </c:pt>
                <c:pt idx="1">
                  <c:v>2.5</c:v>
                </c:pt>
                <c:pt idx="2">
                  <c:v>2.5</c:v>
                </c:pt>
                <c:pt idx="3">
                  <c:v>2.5</c:v>
                </c:pt>
                <c:pt idx="4">
                  <c:v>2.5</c:v>
                </c:pt>
                <c:pt idx="5">
                  <c:v>2.5</c:v>
                </c:pt>
                <c:pt idx="6">
                  <c:v>2.5</c:v>
                </c:pt>
                <c:pt idx="7">
                  <c:v>2.5</c:v>
                </c:pt>
                <c:pt idx="8">
                  <c:v>2.5</c:v>
                </c:pt>
                <c:pt idx="9">
                  <c:v>2.5</c:v>
                </c:pt>
                <c:pt idx="10">
                  <c:v>2.5</c:v>
                </c:pt>
                <c:pt idx="11">
                  <c:v>2.5</c:v>
                </c:pt>
                <c:pt idx="12">
                  <c:v>2.5</c:v>
                </c:pt>
                <c:pt idx="13" formatCode="General">
                  <c:v>2.5</c:v>
                </c:pt>
                <c:pt idx="14" formatCode="General">
                  <c:v>2.5</c:v>
                </c:pt>
                <c:pt idx="15" formatCode="General">
                  <c:v>2.5</c:v>
                </c:pt>
                <c:pt idx="16" formatCode="General">
                  <c:v>2.5</c:v>
                </c:pt>
                <c:pt idx="17" formatCode="General">
                  <c:v>2.5</c:v>
                </c:pt>
                <c:pt idx="18" formatCode="General">
                  <c:v>2.5</c:v>
                </c:pt>
                <c:pt idx="19" formatCode="General">
                  <c:v>2.5</c:v>
                </c:pt>
                <c:pt idx="20" formatCode="General">
                  <c:v>2.5</c:v>
                </c:pt>
                <c:pt idx="21" formatCode="General">
                  <c:v>2.5</c:v>
                </c:pt>
                <c:pt idx="22" formatCode="General">
                  <c:v>2.5</c:v>
                </c:pt>
                <c:pt idx="23" formatCode="General">
                  <c:v>2.5</c:v>
                </c:pt>
                <c:pt idx="24">
                  <c:v>1.5</c:v>
                </c:pt>
                <c:pt idx="25">
                  <c:v>1.5</c:v>
                </c:pt>
                <c:pt idx="26">
                  <c:v>1.5</c:v>
                </c:pt>
                <c:pt idx="27">
                  <c:v>1.5</c:v>
                </c:pt>
                <c:pt idx="28">
                  <c:v>1.5</c:v>
                </c:pt>
                <c:pt idx="29">
                  <c:v>1.5</c:v>
                </c:pt>
                <c:pt idx="30">
                  <c:v>1.5</c:v>
                </c:pt>
                <c:pt idx="31">
                  <c:v>1.5</c:v>
                </c:pt>
                <c:pt idx="32">
                  <c:v>1.5</c:v>
                </c:pt>
                <c:pt idx="33">
                  <c:v>1.5</c:v>
                </c:pt>
                <c:pt idx="34">
                  <c:v>1.5</c:v>
                </c:pt>
                <c:pt idx="35">
                  <c:v>1.5</c:v>
                </c:pt>
                <c:pt idx="36">
                  <c:v>1.5</c:v>
                </c:pt>
                <c:pt idx="37">
                  <c:v>1.5</c:v>
                </c:pt>
                <c:pt idx="38">
                  <c:v>1.5</c:v>
                </c:pt>
                <c:pt idx="39">
                  <c:v>1.5</c:v>
                </c:pt>
                <c:pt idx="40">
                  <c:v>1.5</c:v>
                </c:pt>
                <c:pt idx="41" formatCode="General">
                  <c:v>1.5</c:v>
                </c:pt>
                <c:pt idx="42" formatCode="General">
                  <c:v>1.5</c:v>
                </c:pt>
                <c:pt idx="43" formatCode="General">
                  <c:v>1.5</c:v>
                </c:pt>
                <c:pt idx="44">
                  <c:v>1.5</c:v>
                </c:pt>
                <c:pt idx="45">
                  <c:v>1.5</c:v>
                </c:pt>
                <c:pt idx="46">
                  <c:v>1.5</c:v>
                </c:pt>
                <c:pt idx="47">
                  <c:v>1.5</c:v>
                </c:pt>
                <c:pt idx="48">
                  <c:v>1.5</c:v>
                </c:pt>
                <c:pt idx="49">
                  <c:v>1.5</c:v>
                </c:pt>
                <c:pt idx="50">
                  <c:v>1.5</c:v>
                </c:pt>
                <c:pt idx="51">
                  <c:v>1.5</c:v>
                </c:pt>
                <c:pt idx="52">
                  <c:v>1.5</c:v>
                </c:pt>
                <c:pt idx="53">
                  <c:v>1.5</c:v>
                </c:pt>
                <c:pt idx="54">
                  <c:v>1.5</c:v>
                </c:pt>
                <c:pt idx="55">
                  <c:v>1.5</c:v>
                </c:pt>
                <c:pt idx="56">
                  <c:v>1.5</c:v>
                </c:pt>
                <c:pt idx="57">
                  <c:v>1.5</c:v>
                </c:pt>
                <c:pt idx="58">
                  <c:v>1.5</c:v>
                </c:pt>
                <c:pt idx="59">
                  <c:v>1.5</c:v>
                </c:pt>
                <c:pt idx="60">
                  <c:v>1.5</c:v>
                </c:pt>
                <c:pt idx="61">
                  <c:v>1.5</c:v>
                </c:pt>
                <c:pt idx="62">
                  <c:v>1.5</c:v>
                </c:pt>
                <c:pt idx="63">
                  <c:v>1.5</c:v>
                </c:pt>
                <c:pt idx="64">
                  <c:v>1.5</c:v>
                </c:pt>
                <c:pt idx="65">
                  <c:v>1.5</c:v>
                </c:pt>
                <c:pt idx="66">
                  <c:v>1.5</c:v>
                </c:pt>
                <c:pt idx="67">
                  <c:v>1.5</c:v>
                </c:pt>
                <c:pt idx="68">
                  <c:v>1.5</c:v>
                </c:pt>
                <c:pt idx="69">
                  <c:v>1.5</c:v>
                </c:pt>
                <c:pt idx="70">
                  <c:v>1.5</c:v>
                </c:pt>
                <c:pt idx="71">
                  <c:v>1.5</c:v>
                </c:pt>
                <c:pt idx="72">
                  <c:v>1.5</c:v>
                </c:pt>
                <c:pt idx="73">
                  <c:v>1.5</c:v>
                </c:pt>
                <c:pt idx="74">
                  <c:v>1.5</c:v>
                </c:pt>
                <c:pt idx="75">
                  <c:v>1.5</c:v>
                </c:pt>
                <c:pt idx="76">
                  <c:v>1.5</c:v>
                </c:pt>
                <c:pt idx="77">
                  <c:v>1.5</c:v>
                </c:pt>
                <c:pt idx="78">
                  <c:v>1.5</c:v>
                </c:pt>
                <c:pt idx="79">
                  <c:v>1.5</c:v>
                </c:pt>
                <c:pt idx="80">
                  <c:v>1.5</c:v>
                </c:pt>
                <c:pt idx="81" formatCode="General">
                  <c:v>1.5</c:v>
                </c:pt>
                <c:pt idx="82" formatCode="General">
                  <c:v>1.5</c:v>
                </c:pt>
                <c:pt idx="83" formatCode="General">
                  <c:v>1.5</c:v>
                </c:pt>
                <c:pt idx="84" formatCode="General">
                  <c:v>1.5</c:v>
                </c:pt>
                <c:pt idx="85" formatCode="General">
                  <c:v>1.5</c:v>
                </c:pt>
                <c:pt idx="86" formatCode="General">
                  <c:v>1.5</c:v>
                </c:pt>
                <c:pt idx="87" formatCode="General">
                  <c:v>1.5</c:v>
                </c:pt>
                <c:pt idx="88" formatCode="General">
                  <c:v>1.5</c:v>
                </c:pt>
                <c:pt idx="89" formatCode="General">
                  <c:v>1.5</c:v>
                </c:pt>
                <c:pt idx="90" formatCode="General">
                  <c:v>1.5</c:v>
                </c:pt>
                <c:pt idx="91" formatCode="General">
                  <c:v>1.5</c:v>
                </c:pt>
                <c:pt idx="92" formatCode="General">
                  <c:v>1.5</c:v>
                </c:pt>
                <c:pt idx="93" formatCode="General">
                  <c:v>1.5</c:v>
                </c:pt>
                <c:pt idx="94" formatCode="General">
                  <c:v>1.5</c:v>
                </c:pt>
                <c:pt idx="95" formatCode="General">
                  <c:v>1.5</c:v>
                </c:pt>
                <c:pt idx="96" formatCode="General">
                  <c:v>1.5</c:v>
                </c:pt>
                <c:pt idx="97" formatCode="General">
                  <c:v>1.5</c:v>
                </c:pt>
                <c:pt idx="98" formatCode="General">
                  <c:v>1.5</c:v>
                </c:pt>
                <c:pt idx="99" formatCode="General">
                  <c:v>1.5</c:v>
                </c:pt>
                <c:pt idx="100" formatCode="General">
                  <c:v>1.5</c:v>
                </c:pt>
                <c:pt idx="101" formatCode="General">
                  <c:v>1.5</c:v>
                </c:pt>
                <c:pt idx="102" formatCode="General">
                  <c:v>1.5</c:v>
                </c:pt>
                <c:pt idx="103" formatCode="General">
                  <c:v>1.5</c:v>
                </c:pt>
                <c:pt idx="104" formatCode="General">
                  <c:v>1.5</c:v>
                </c:pt>
                <c:pt idx="105" formatCode="General">
                  <c:v>1.5</c:v>
                </c:pt>
                <c:pt idx="106" formatCode="General">
                  <c:v>1.5</c:v>
                </c:pt>
                <c:pt idx="107" formatCode="General">
                  <c:v>1.5</c:v>
                </c:pt>
                <c:pt idx="108" formatCode="General">
                  <c:v>1.5</c:v>
                </c:pt>
                <c:pt idx="109" formatCode="General">
                  <c:v>1.5</c:v>
                </c:pt>
                <c:pt idx="110" formatCode="General">
                  <c:v>1.5</c:v>
                </c:pt>
                <c:pt idx="111" formatCode="General">
                  <c:v>1.5</c:v>
                </c:pt>
                <c:pt idx="112" formatCode="General">
                  <c:v>1.5</c:v>
                </c:pt>
                <c:pt idx="113" formatCode="General">
                  <c:v>1.5</c:v>
                </c:pt>
                <c:pt idx="114" formatCode="General">
                  <c:v>1.5</c:v>
                </c:pt>
                <c:pt idx="115" formatCode="General">
                  <c:v>1.5</c:v>
                </c:pt>
                <c:pt idx="116" formatCode="General">
                  <c:v>1.5</c:v>
                </c:pt>
                <c:pt idx="117" formatCode="General">
                  <c:v>1.5</c:v>
                </c:pt>
                <c:pt idx="118" formatCode="General">
                  <c:v>1.5</c:v>
                </c:pt>
                <c:pt idx="119" formatCode="General">
                  <c:v>1.5</c:v>
                </c:pt>
                <c:pt idx="120" formatCode="General">
                  <c:v>1.5</c:v>
                </c:pt>
                <c:pt idx="121" formatCode="General">
                  <c:v>1.5</c:v>
                </c:pt>
                <c:pt idx="122" formatCode="General">
                  <c:v>1.5</c:v>
                </c:pt>
                <c:pt idx="123" formatCode="General">
                  <c:v>1.5</c:v>
                </c:pt>
                <c:pt idx="124" formatCode="General">
                  <c:v>1.5</c:v>
                </c:pt>
                <c:pt idx="125" formatCode="General">
                  <c:v>1.5</c:v>
                </c:pt>
                <c:pt idx="126" formatCode="General">
                  <c:v>1.5</c:v>
                </c:pt>
                <c:pt idx="127" formatCode="General">
                  <c:v>1.5</c:v>
                </c:pt>
                <c:pt idx="128" formatCode="General">
                  <c:v>1.5</c:v>
                </c:pt>
              </c:numCache>
            </c:numRef>
          </c:val>
          <c:smooth val="0"/>
          <c:extLst>
            <c:ext xmlns:c16="http://schemas.microsoft.com/office/drawing/2014/chart" uri="{C3380CC4-5D6E-409C-BE32-E72D297353CC}">
              <c16:uniqueId val="{00000004-845D-4E48-ACF8-6B99B0A212C6}"/>
            </c:ext>
          </c:extLst>
        </c:ser>
        <c:ser>
          <c:idx val="5"/>
          <c:order val="5"/>
          <c:tx>
            <c:strRef>
              <c:f>Inflacija!$Z$3</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2.0699064389079484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45D-4E48-ACF8-6B99B0A212C6}"/>
                </c:ext>
              </c:extLst>
            </c:dLbl>
            <c:dLbl>
              <c:idx val="12"/>
              <c:layout>
                <c:manualLayout>
                  <c:x val="-2.1690534268032802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45D-4E48-ACF8-6B99B0A212C6}"/>
                </c:ext>
              </c:extLst>
            </c:dLbl>
            <c:dLbl>
              <c:idx val="24"/>
              <c:layout>
                <c:manualLayout>
                  <c:x val="-2.068166395065946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45D-4E48-ACF8-6B99B0A212C6}"/>
                </c:ext>
              </c:extLst>
            </c:dLbl>
            <c:dLbl>
              <c:idx val="36"/>
              <c:layout>
                <c:manualLayout>
                  <c:x val="-2.1690534268032802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45D-4E48-ACF8-6B99B0A212C6}"/>
                </c:ext>
              </c:extLst>
            </c:dLbl>
            <c:dLbl>
              <c:idx val="48"/>
              <c:layout>
                <c:manualLayout>
                  <c:x val="-1.9029687633721565E-2"/>
                  <c:y val="3.579620927221682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45D-4E48-ACF8-6B99B0A212C6}"/>
                </c:ext>
              </c:extLst>
            </c:dLbl>
            <c:dLbl>
              <c:idx val="60"/>
              <c:layout>
                <c:manualLayout>
                  <c:x val="-2.2446565561833522E-2"/>
                  <c:y val="3.552931189257716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45D-4E48-ACF8-6B99B0A212C6}"/>
                </c:ext>
              </c:extLst>
            </c:dLbl>
            <c:dLbl>
              <c:idx val="72"/>
              <c:layout>
                <c:manualLayout>
                  <c:x val="-2.162803473411614E-2"/>
                  <c:y val="3.620833022607217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45D-4E48-ACF8-6B99B0A212C6}"/>
                </c:ext>
              </c:extLst>
            </c:dLbl>
            <c:dLbl>
              <c:idx val="84"/>
              <c:layout>
                <c:manualLayout>
                  <c:x val="-2.5283475783475784E-2"/>
                  <c:y val="3.615711130995147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45D-4E48-ACF8-6B99B0A212C6}"/>
                </c:ext>
              </c:extLst>
            </c:dLbl>
            <c:dLbl>
              <c:idx val="96"/>
              <c:layout>
                <c:manualLayout>
                  <c:x val="-2.1756940022819433E-2"/>
                  <c:y val="3.567285334045059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45D-4E48-ACF8-6B99B0A212C6}"/>
                </c:ext>
              </c:extLst>
            </c:dLbl>
            <c:dLbl>
              <c:idx val="108"/>
              <c:layout>
                <c:manualLayout>
                  <c:x val="-3.6503561253561252E-2"/>
                  <c:y val="3.582500000000000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45D-4E48-ACF8-6B99B0A212C6}"/>
                </c:ext>
              </c:extLst>
            </c:dLbl>
            <c:dLbl>
              <c:idx val="120"/>
              <c:layout>
                <c:manualLayout>
                  <c:x val="-3.6983618233618234E-3"/>
                  <c:y val="3.582500000000000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45D-4E48-ACF8-6B99B0A212C6}"/>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Inflacija!$Q$64:$Q$192</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45682</c:v>
                </c:pt>
                <c:pt idx="121">
                  <c:v>45683</c:v>
                </c:pt>
                <c:pt idx="122">
                  <c:v>45684</c:v>
                </c:pt>
                <c:pt idx="123">
                  <c:v>45685</c:v>
                </c:pt>
                <c:pt idx="124">
                  <c:v>45686</c:v>
                </c:pt>
                <c:pt idx="125">
                  <c:v>45687</c:v>
                </c:pt>
                <c:pt idx="126">
                  <c:v>45688</c:v>
                </c:pt>
                <c:pt idx="127">
                  <c:v>45689</c:v>
                </c:pt>
                <c:pt idx="128">
                  <c:v>45690</c:v>
                </c:pt>
              </c:numCache>
            </c:numRef>
          </c:cat>
          <c:val>
            <c:numRef>
              <c:f>Inflacija!$Z$64:$Z$192</c:f>
              <c:numCache>
                <c:formatCode>General</c:formatCode>
                <c:ptCount val="129"/>
                <c:pt idx="0">
                  <c:v>0</c:v>
                </c:pt>
                <c:pt idx="12">
                  <c:v>0</c:v>
                </c:pt>
                <c:pt idx="24">
                  <c:v>0</c:v>
                </c:pt>
                <c:pt idx="36">
                  <c:v>0</c:v>
                </c:pt>
                <c:pt idx="48">
                  <c:v>0</c:v>
                </c:pt>
                <c:pt idx="60">
                  <c:v>0</c:v>
                </c:pt>
                <c:pt idx="72">
                  <c:v>0</c:v>
                </c:pt>
                <c:pt idx="84">
                  <c:v>0</c:v>
                </c:pt>
                <c:pt idx="96">
                  <c:v>0</c:v>
                </c:pt>
                <c:pt idx="108">
                  <c:v>0</c:v>
                </c:pt>
                <c:pt idx="120">
                  <c:v>0</c:v>
                </c:pt>
              </c:numCache>
            </c:numRef>
          </c:val>
          <c:smooth val="0"/>
          <c:extLst>
            <c:ext xmlns:c16="http://schemas.microsoft.com/office/drawing/2014/chart" uri="{C3380CC4-5D6E-409C-BE32-E72D297353CC}">
              <c16:uniqueId val="{00000010-845D-4E48-ACF8-6B99B0A212C6}"/>
            </c:ext>
          </c:extLst>
        </c:ser>
        <c:dLbls>
          <c:showLegendKey val="0"/>
          <c:showVal val="0"/>
          <c:showCatName val="0"/>
          <c:showSerName val="0"/>
          <c:showPercent val="0"/>
          <c:showBubbleSize val="0"/>
        </c:dLbls>
        <c:smooth val="0"/>
        <c:axId val="2067917072"/>
        <c:axId val="2067937744"/>
      </c:lineChart>
      <c:catAx>
        <c:axId val="2067917072"/>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7744"/>
        <c:crosses val="autoZero"/>
        <c:auto val="0"/>
        <c:lblAlgn val="ctr"/>
        <c:lblOffset val="100"/>
        <c:tickLblSkip val="12"/>
        <c:tickMarkSkip val="1"/>
        <c:noMultiLvlLbl val="1"/>
      </c:catAx>
      <c:valAx>
        <c:axId val="2067937744"/>
        <c:scaling>
          <c:orientation val="minMax"/>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Latn-RS"/>
                  <a:t>%</a:t>
                </a:r>
                <a:endParaRPr lang="en-GB"/>
              </a:p>
            </c:rich>
          </c:tx>
          <c:layout>
            <c:manualLayout>
              <c:xMode val="edge"/>
              <c:yMode val="edge"/>
              <c:x val="8.3333333333333332E-3"/>
              <c:y val="0.34151501895596381"/>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GB"/>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17072"/>
        <c:crosses val="autoZero"/>
        <c:crossBetween val="midCat"/>
        <c:majorUnit val="2"/>
      </c:valAx>
      <c:spPr>
        <a:noFill/>
        <a:ln>
          <a:noFill/>
        </a:ln>
        <a:effectLst/>
      </c:spPr>
    </c:plotArea>
    <c:legend>
      <c:legendPos val="b"/>
      <c:legendEntry>
        <c:idx val="4"/>
        <c:delete val="1"/>
      </c:legendEntry>
      <c:legendEntry>
        <c:idx val="5"/>
        <c:delete val="1"/>
      </c:legendEntry>
      <c:layout>
        <c:manualLayout>
          <c:xMode val="edge"/>
          <c:yMode val="edge"/>
          <c:x val="5.2445156695156696E-2"/>
          <c:y val="0.80408764890910533"/>
          <c:w val="0.89270036496097616"/>
          <c:h val="0.1926106297738615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932779235928838E-2"/>
          <c:y val="5.3106332138590201E-2"/>
          <c:w val="0.80891221930592005"/>
          <c:h val="0.58882795698924728"/>
        </c:manualLayout>
      </c:layout>
      <c:barChart>
        <c:barDir val="col"/>
        <c:grouping val="stacked"/>
        <c:varyColors val="0"/>
        <c:ser>
          <c:idx val="0"/>
          <c:order val="0"/>
          <c:tx>
            <c:strRef>
              <c:f>NPL!$S$4</c:f>
              <c:strCache>
                <c:ptCount val="1"/>
                <c:pt idx="0">
                  <c:v>Привреда</c:v>
                </c:pt>
              </c:strCache>
            </c:strRef>
          </c:tx>
          <c:spPr>
            <a:solidFill>
              <a:srgbClr val="10103C"/>
            </a:solidFill>
            <a:ln>
              <a:noFill/>
            </a:ln>
            <a:effectLst/>
          </c:spPr>
          <c:invertIfNegative val="0"/>
          <c:cat>
            <c:strRef>
              <c:f>NPL!$Q$5:$Q$17</c:f>
              <c:strCach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VIII 2025</c:v>
                </c:pt>
              </c:strCache>
            </c:strRef>
          </c:cat>
          <c:val>
            <c:numRef>
              <c:f>NPL!$S$5:$S$17</c:f>
              <c:numCache>
                <c:formatCode>#,##0</c:formatCode>
                <c:ptCount val="13"/>
                <c:pt idx="0">
                  <c:v>238.4</c:v>
                </c:pt>
                <c:pt idx="1">
                  <c:v>248.4</c:v>
                </c:pt>
                <c:pt idx="2" formatCode="0">
                  <c:v>216.8</c:v>
                </c:pt>
                <c:pt idx="3" formatCode="0">
                  <c:v>172.8</c:v>
                </c:pt>
                <c:pt idx="4" formatCode="0">
                  <c:v>107.6</c:v>
                </c:pt>
                <c:pt idx="5" formatCode="0">
                  <c:v>56.849434000000002</c:v>
                </c:pt>
                <c:pt idx="6" formatCode="0">
                  <c:v>38.949154999999998</c:v>
                </c:pt>
                <c:pt idx="7" formatCode="0">
                  <c:v>41.826799999999999</c:v>
                </c:pt>
                <c:pt idx="8" formatCode="0">
                  <c:v>43.140020999999997</c:v>
                </c:pt>
                <c:pt idx="9" formatCode="0">
                  <c:v>33.740698000000002</c:v>
                </c:pt>
                <c:pt idx="10" formatCode="0">
                  <c:v>34.603248999999998</c:v>
                </c:pt>
                <c:pt idx="11" formatCode="0">
                  <c:v>30.748996000000002</c:v>
                </c:pt>
              </c:numCache>
            </c:numRef>
          </c:val>
          <c:extLst>
            <c:ext xmlns:c16="http://schemas.microsoft.com/office/drawing/2014/chart" uri="{C3380CC4-5D6E-409C-BE32-E72D297353CC}">
              <c16:uniqueId val="{00000000-3714-43BD-832D-096C6A541AE1}"/>
            </c:ext>
          </c:extLst>
        </c:ser>
        <c:ser>
          <c:idx val="1"/>
          <c:order val="1"/>
          <c:tx>
            <c:strRef>
              <c:f>NPL!$T$4</c:f>
              <c:strCache>
                <c:ptCount val="1"/>
                <c:pt idx="0">
                  <c:v>Становништво</c:v>
                </c:pt>
              </c:strCache>
            </c:strRef>
          </c:tx>
          <c:spPr>
            <a:solidFill>
              <a:srgbClr val="2183C4"/>
            </a:solidFill>
            <a:ln>
              <a:noFill/>
            </a:ln>
            <a:effectLst/>
          </c:spPr>
          <c:invertIfNegative val="0"/>
          <c:cat>
            <c:strRef>
              <c:f>NPL!$Q$5:$Q$17</c:f>
              <c:strCach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VIII 2025</c:v>
                </c:pt>
              </c:strCache>
            </c:strRef>
          </c:cat>
          <c:val>
            <c:numRef>
              <c:f>NPL!$T$5:$T$17</c:f>
              <c:numCache>
                <c:formatCode>#,##0</c:formatCode>
                <c:ptCount val="13"/>
                <c:pt idx="0">
                  <c:v>56.7</c:v>
                </c:pt>
                <c:pt idx="1">
                  <c:v>66.400000000000006</c:v>
                </c:pt>
                <c:pt idx="2" formatCode="0">
                  <c:v>73.400000000000006</c:v>
                </c:pt>
                <c:pt idx="3" formatCode="0">
                  <c:v>69.2</c:v>
                </c:pt>
                <c:pt idx="4" formatCode="0">
                  <c:v>45.4</c:v>
                </c:pt>
                <c:pt idx="5" formatCode="0">
                  <c:v>39.608241</c:v>
                </c:pt>
                <c:pt idx="6" formatCode="0">
                  <c:v>39.016837000000002</c:v>
                </c:pt>
                <c:pt idx="7" formatCode="0">
                  <c:v>40.746828000000001</c:v>
                </c:pt>
                <c:pt idx="8" formatCode="0">
                  <c:v>51.147905000000002</c:v>
                </c:pt>
                <c:pt idx="9" formatCode="0">
                  <c:v>52.061318999999997</c:v>
                </c:pt>
                <c:pt idx="10" formatCode="0">
                  <c:v>58.331890999999999</c:v>
                </c:pt>
                <c:pt idx="11" formatCode="0">
                  <c:v>55.019401999999999</c:v>
                </c:pt>
              </c:numCache>
            </c:numRef>
          </c:val>
          <c:extLst>
            <c:ext xmlns:c16="http://schemas.microsoft.com/office/drawing/2014/chart" uri="{C3380CC4-5D6E-409C-BE32-E72D297353CC}">
              <c16:uniqueId val="{00000001-3714-43BD-832D-096C6A541AE1}"/>
            </c:ext>
          </c:extLst>
        </c:ser>
        <c:ser>
          <c:idx val="2"/>
          <c:order val="2"/>
          <c:tx>
            <c:strRef>
              <c:f>NPL!$U$4</c:f>
              <c:strCache>
                <c:ptCount val="1"/>
                <c:pt idx="0">
                  <c:v>Остали</c:v>
                </c:pt>
              </c:strCache>
            </c:strRef>
          </c:tx>
          <c:spPr>
            <a:solidFill>
              <a:srgbClr val="51BBE7"/>
            </a:solidFill>
            <a:ln>
              <a:noFill/>
            </a:ln>
            <a:effectLst/>
          </c:spPr>
          <c:invertIfNegative val="0"/>
          <c:cat>
            <c:strRef>
              <c:f>NPL!$Q$5:$Q$17</c:f>
              <c:strCach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VIII 2025</c:v>
                </c:pt>
              </c:strCache>
            </c:strRef>
          </c:cat>
          <c:val>
            <c:numRef>
              <c:f>NPL!$U$5:$U$17</c:f>
              <c:numCache>
                <c:formatCode>#,##0</c:formatCode>
                <c:ptCount val="13"/>
                <c:pt idx="0">
                  <c:v>100.2</c:v>
                </c:pt>
                <c:pt idx="1">
                  <c:v>106.4</c:v>
                </c:pt>
                <c:pt idx="2" formatCode="0">
                  <c:v>134.4</c:v>
                </c:pt>
                <c:pt idx="3" formatCode="0">
                  <c:v>103.8</c:v>
                </c:pt>
                <c:pt idx="4" formatCode="0">
                  <c:v>51.9</c:v>
                </c:pt>
                <c:pt idx="5" formatCode="0">
                  <c:v>34.192292000000002</c:v>
                </c:pt>
                <c:pt idx="6" formatCode="0">
                  <c:v>23.450085000000001</c:v>
                </c:pt>
                <c:pt idx="7" formatCode="0">
                  <c:v>19.835072</c:v>
                </c:pt>
                <c:pt idx="8" formatCode="0">
                  <c:v>14.723131</c:v>
                </c:pt>
                <c:pt idx="9" formatCode="0">
                  <c:v>13.706968</c:v>
                </c:pt>
                <c:pt idx="10" formatCode="0">
                  <c:v>14.360376</c:v>
                </c:pt>
                <c:pt idx="11" formatCode="0">
                  <c:v>8.3460190000000001</c:v>
                </c:pt>
              </c:numCache>
            </c:numRef>
          </c:val>
          <c:extLst>
            <c:ext xmlns:c16="http://schemas.microsoft.com/office/drawing/2014/chart" uri="{C3380CC4-5D6E-409C-BE32-E72D297353CC}">
              <c16:uniqueId val="{00000002-3714-43BD-832D-096C6A541AE1}"/>
            </c:ext>
          </c:extLst>
        </c:ser>
        <c:dLbls>
          <c:showLegendKey val="0"/>
          <c:showVal val="0"/>
          <c:showCatName val="0"/>
          <c:showSerName val="0"/>
          <c:showPercent val="0"/>
          <c:showBubbleSize val="0"/>
        </c:dLbls>
        <c:gapWidth val="40"/>
        <c:overlap val="100"/>
        <c:axId val="1839178672"/>
        <c:axId val="1839199888"/>
      </c:barChart>
      <c:lineChart>
        <c:grouping val="standard"/>
        <c:varyColors val="0"/>
        <c:ser>
          <c:idx val="3"/>
          <c:order val="3"/>
          <c:tx>
            <c:strRef>
              <c:f>NPL!$V$4</c:f>
              <c:strCache>
                <c:ptCount val="1"/>
                <c:pt idx="0">
                  <c:v>NPL % (бруто)</c:v>
                </c:pt>
              </c:strCache>
            </c:strRef>
          </c:tx>
          <c:spPr>
            <a:ln w="25400" cap="rnd">
              <a:solidFill>
                <a:srgbClr val="FF0000"/>
              </a:solidFill>
              <a:round/>
            </a:ln>
            <a:effectLst/>
          </c:spPr>
          <c:marker>
            <c:symbol val="none"/>
          </c:marker>
          <c:dLbls>
            <c:dLbl>
              <c:idx val="0"/>
              <c:layout>
                <c:manualLayout>
                  <c:x val="-9.2824074074074073E-2"/>
                  <c:y val="-7.79549793064894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14-43BD-832D-096C6A541AE1}"/>
                </c:ext>
              </c:extLst>
            </c:dLbl>
            <c:dLbl>
              <c:idx val="2"/>
              <c:layout>
                <c:manualLayout>
                  <c:x val="-5.5787037037036996E-2"/>
                  <c:y val="-7.79549793064894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714-43BD-832D-096C6A541AE1}"/>
                </c:ext>
              </c:extLst>
            </c:dLbl>
            <c:spPr>
              <a:noFill/>
              <a:ln>
                <a:noFill/>
              </a:ln>
              <a:effectLst/>
            </c:spPr>
            <c:txPr>
              <a:bodyPr rot="0" spcFirstLastPara="1" vertOverflow="ellipsis" vert="horz" wrap="square" anchor="ctr" anchorCtr="1"/>
              <a:lstStyle/>
              <a:p>
                <a:pPr>
                  <a:defRPr sz="60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NPL!$Q$5:$Q$17</c:f>
              <c:strCach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VIII 2025</c:v>
                </c:pt>
              </c:strCache>
            </c:strRef>
          </c:cat>
          <c:val>
            <c:numRef>
              <c:f>NPL!$V$5:$V$17</c:f>
              <c:numCache>
                <c:formatCode>0.0%</c:formatCode>
                <c:ptCount val="13"/>
                <c:pt idx="0">
                  <c:v>0.2137</c:v>
                </c:pt>
                <c:pt idx="1">
                  <c:v>0.21539999999999998</c:v>
                </c:pt>
                <c:pt idx="2">
                  <c:v>0.216</c:v>
                </c:pt>
                <c:pt idx="3">
                  <c:v>0.17030000000000001</c:v>
                </c:pt>
                <c:pt idx="4">
                  <c:v>9.8500000000000004E-2</c:v>
                </c:pt>
                <c:pt idx="5">
                  <c:v>5.7000000000000002E-2</c:v>
                </c:pt>
                <c:pt idx="6">
                  <c:v>4.1000000000000002E-2</c:v>
                </c:pt>
                <c:pt idx="7">
                  <c:v>3.6999999999999998E-2</c:v>
                </c:pt>
                <c:pt idx="8">
                  <c:v>3.5999999999999997E-2</c:v>
                </c:pt>
                <c:pt idx="9">
                  <c:v>0.03</c:v>
                </c:pt>
                <c:pt idx="10">
                  <c:v>3.2000000000000001E-2</c:v>
                </c:pt>
                <c:pt idx="11">
                  <c:v>2.5000000000000001E-2</c:v>
                </c:pt>
                <c:pt idx="12">
                  <c:v>2.1999999999999999E-2</c:v>
                </c:pt>
              </c:numCache>
            </c:numRef>
          </c:val>
          <c:smooth val="0"/>
          <c:extLst>
            <c:ext xmlns:c16="http://schemas.microsoft.com/office/drawing/2014/chart" uri="{C3380CC4-5D6E-409C-BE32-E72D297353CC}">
              <c16:uniqueId val="{00000005-3714-43BD-832D-096C6A541AE1}"/>
            </c:ext>
          </c:extLst>
        </c:ser>
        <c:dLbls>
          <c:showLegendKey val="0"/>
          <c:showVal val="0"/>
          <c:showCatName val="0"/>
          <c:showSerName val="0"/>
          <c:showPercent val="0"/>
          <c:showBubbleSize val="0"/>
        </c:dLbls>
        <c:marker val="1"/>
        <c:smooth val="0"/>
        <c:axId val="1839198256"/>
        <c:axId val="1839197712"/>
      </c:lineChart>
      <c:catAx>
        <c:axId val="1839178672"/>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9888"/>
        <c:crosses val="autoZero"/>
        <c:auto val="1"/>
        <c:lblAlgn val="ctr"/>
        <c:lblOffset val="100"/>
        <c:noMultiLvlLbl val="0"/>
      </c:catAx>
      <c:valAx>
        <c:axId val="1839199888"/>
        <c:scaling>
          <c:orientation val="minMax"/>
          <c:max val="450"/>
          <c:min val="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78672"/>
        <c:crosses val="autoZero"/>
        <c:crossBetween val="between"/>
        <c:majorUnit val="100"/>
      </c:valAx>
      <c:valAx>
        <c:axId val="1839197712"/>
        <c:scaling>
          <c:orientation val="minMax"/>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8256"/>
        <c:crosses val="max"/>
        <c:crossBetween val="between"/>
      </c:valAx>
      <c:catAx>
        <c:axId val="1839198256"/>
        <c:scaling>
          <c:orientation val="minMax"/>
        </c:scaling>
        <c:delete val="1"/>
        <c:axPos val="b"/>
        <c:numFmt formatCode="General" sourceLinked="1"/>
        <c:majorTickMark val="out"/>
        <c:minorTickMark val="none"/>
        <c:tickLblPos val="nextTo"/>
        <c:crossAx val="1839197712"/>
        <c:crosses val="autoZero"/>
        <c:auto val="1"/>
        <c:lblAlgn val="ctr"/>
        <c:lblOffset val="100"/>
        <c:noMultiLvlLbl val="0"/>
      </c:catAx>
      <c:spPr>
        <a:noFill/>
        <a:ln>
          <a:noFill/>
        </a:ln>
        <a:effectLst/>
      </c:spPr>
    </c:plotArea>
    <c:legend>
      <c:legendPos val="b"/>
      <c:layout>
        <c:manualLayout>
          <c:xMode val="edge"/>
          <c:yMode val="edge"/>
          <c:x val="0.14793963254593176"/>
          <c:y val="0.82833811230585419"/>
          <c:w val="0.76430592009332154"/>
          <c:h val="0.1489020310633213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067586007101372E-2"/>
          <c:y val="5.6338028169014086E-2"/>
          <c:w val="0.79899510791436967"/>
          <c:h val="0.65544933643857894"/>
        </c:manualLayout>
      </c:layout>
      <c:barChart>
        <c:barDir val="col"/>
        <c:grouping val="clustered"/>
        <c:varyColors val="0"/>
        <c:ser>
          <c:idx val="1"/>
          <c:order val="1"/>
          <c:tx>
            <c:strRef>
              <c:f>'Devizni kurs'!$V$2</c:f>
              <c:strCache>
                <c:ptCount val="1"/>
                <c:pt idx="0">
                  <c:v>Интервенције НБС, нето, мил. евра (десна скала)</c:v>
                </c:pt>
              </c:strCache>
            </c:strRef>
          </c:tx>
          <c:spPr>
            <a:solidFill>
              <a:srgbClr val="29489A"/>
            </a:solidFill>
            <a:ln>
              <a:noFill/>
            </a:ln>
            <a:effectLst/>
          </c:spPr>
          <c:invertIfNegative val="0"/>
          <c:cat>
            <c:numRef>
              <c:f>'Devizni kurs'!$Q$51:$Q$179</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45658</c:v>
                </c:pt>
                <c:pt idx="121">
                  <c:v>45689</c:v>
                </c:pt>
                <c:pt idx="122">
                  <c:v>45717</c:v>
                </c:pt>
                <c:pt idx="123">
                  <c:v>45748</c:v>
                </c:pt>
                <c:pt idx="124">
                  <c:v>45778</c:v>
                </c:pt>
                <c:pt idx="125">
                  <c:v>45809</c:v>
                </c:pt>
                <c:pt idx="126">
                  <c:v>45839</c:v>
                </c:pt>
                <c:pt idx="127">
                  <c:v>45870</c:v>
                </c:pt>
                <c:pt idx="128">
                  <c:v>45901</c:v>
                </c:pt>
              </c:numCache>
            </c:numRef>
          </c:cat>
          <c:val>
            <c:numRef>
              <c:f>'Devizni kurs'!$V$51:$V$179</c:f>
              <c:numCache>
                <c:formatCode>General</c:formatCode>
                <c:ptCount val="129"/>
                <c:pt idx="0">
                  <c:v>90</c:v>
                </c:pt>
                <c:pt idx="1">
                  <c:v>-140</c:v>
                </c:pt>
                <c:pt idx="2">
                  <c:v>-120</c:v>
                </c:pt>
                <c:pt idx="3">
                  <c:v>-110</c:v>
                </c:pt>
                <c:pt idx="4">
                  <c:v>0</c:v>
                </c:pt>
                <c:pt idx="5">
                  <c:v>-10</c:v>
                </c:pt>
                <c:pt idx="6">
                  <c:v>-230</c:v>
                </c:pt>
                <c:pt idx="7">
                  <c:v>-130</c:v>
                </c:pt>
                <c:pt idx="8">
                  <c:v>-80</c:v>
                </c:pt>
                <c:pt idx="9">
                  <c:v>-60</c:v>
                </c:pt>
                <c:pt idx="10">
                  <c:v>0</c:v>
                </c:pt>
                <c:pt idx="11">
                  <c:v>270</c:v>
                </c:pt>
                <c:pt idx="12">
                  <c:v>290</c:v>
                </c:pt>
                <c:pt idx="13">
                  <c:v>100</c:v>
                </c:pt>
                <c:pt idx="14">
                  <c:v>175</c:v>
                </c:pt>
                <c:pt idx="15">
                  <c:v>140</c:v>
                </c:pt>
                <c:pt idx="16">
                  <c:v>65</c:v>
                </c:pt>
                <c:pt idx="17">
                  <c:v>50</c:v>
                </c:pt>
                <c:pt idx="18">
                  <c:v>-355</c:v>
                </c:pt>
                <c:pt idx="19">
                  <c:v>-90</c:v>
                </c:pt>
                <c:pt idx="20">
                  <c:v>-30</c:v>
                </c:pt>
                <c:pt idx="21">
                  <c:v>-135</c:v>
                </c:pt>
                <c:pt idx="22">
                  <c:v>-60</c:v>
                </c:pt>
                <c:pt idx="23">
                  <c:v>10</c:v>
                </c:pt>
                <c:pt idx="24">
                  <c:v>225</c:v>
                </c:pt>
                <c:pt idx="25">
                  <c:v>105</c:v>
                </c:pt>
                <c:pt idx="26">
                  <c:v>15</c:v>
                </c:pt>
                <c:pt idx="27">
                  <c:v>-40</c:v>
                </c:pt>
                <c:pt idx="28">
                  <c:v>-120</c:v>
                </c:pt>
                <c:pt idx="29">
                  <c:v>-345</c:v>
                </c:pt>
                <c:pt idx="30">
                  <c:v>-165</c:v>
                </c:pt>
                <c:pt idx="31">
                  <c:v>-290</c:v>
                </c:pt>
                <c:pt idx="32">
                  <c:v>-150</c:v>
                </c:pt>
                <c:pt idx="33">
                  <c:v>-15</c:v>
                </c:pt>
                <c:pt idx="34">
                  <c:v>-50</c:v>
                </c:pt>
                <c:pt idx="35">
                  <c:v>135</c:v>
                </c:pt>
                <c:pt idx="36">
                  <c:v>180</c:v>
                </c:pt>
                <c:pt idx="37">
                  <c:v>-180</c:v>
                </c:pt>
                <c:pt idx="38">
                  <c:v>-400</c:v>
                </c:pt>
                <c:pt idx="39">
                  <c:v>-205</c:v>
                </c:pt>
                <c:pt idx="40">
                  <c:v>-220</c:v>
                </c:pt>
                <c:pt idx="41">
                  <c:v>-365</c:v>
                </c:pt>
                <c:pt idx="42">
                  <c:v>-220</c:v>
                </c:pt>
                <c:pt idx="43">
                  <c:v>-190</c:v>
                </c:pt>
                <c:pt idx="44">
                  <c:v>5</c:v>
                </c:pt>
                <c:pt idx="45">
                  <c:v>30</c:v>
                </c:pt>
                <c:pt idx="46">
                  <c:v>-15</c:v>
                </c:pt>
                <c:pt idx="47">
                  <c:v>0</c:v>
                </c:pt>
                <c:pt idx="48">
                  <c:v>130</c:v>
                </c:pt>
                <c:pt idx="49">
                  <c:v>-30</c:v>
                </c:pt>
                <c:pt idx="50">
                  <c:v>-135</c:v>
                </c:pt>
                <c:pt idx="51">
                  <c:v>-75</c:v>
                </c:pt>
                <c:pt idx="52" formatCode="0">
                  <c:v>-110</c:v>
                </c:pt>
                <c:pt idx="53" formatCode="0">
                  <c:v>-735</c:v>
                </c:pt>
                <c:pt idx="54" formatCode="0">
                  <c:v>-645</c:v>
                </c:pt>
                <c:pt idx="55" formatCode="0">
                  <c:v>-105</c:v>
                </c:pt>
                <c:pt idx="56" formatCode="0">
                  <c:v>-410</c:v>
                </c:pt>
                <c:pt idx="57">
                  <c:v>-235</c:v>
                </c:pt>
                <c:pt idx="58">
                  <c:v>0</c:v>
                </c:pt>
                <c:pt idx="59">
                  <c:v>-355</c:v>
                </c:pt>
                <c:pt idx="60">
                  <c:v>-15</c:v>
                </c:pt>
                <c:pt idx="61">
                  <c:v>65</c:v>
                </c:pt>
                <c:pt idx="62">
                  <c:v>135</c:v>
                </c:pt>
                <c:pt idx="63">
                  <c:v>440</c:v>
                </c:pt>
                <c:pt idx="64">
                  <c:v>250</c:v>
                </c:pt>
                <c:pt idx="65">
                  <c:v>155</c:v>
                </c:pt>
                <c:pt idx="66">
                  <c:v>325</c:v>
                </c:pt>
                <c:pt idx="67">
                  <c:v>160</c:v>
                </c:pt>
                <c:pt idx="68">
                  <c:v>120</c:v>
                </c:pt>
                <c:pt idx="69">
                  <c:v>100</c:v>
                </c:pt>
                <c:pt idx="70">
                  <c:v>-115</c:v>
                </c:pt>
                <c:pt idx="71">
                  <c:v>-170</c:v>
                </c:pt>
                <c:pt idx="72">
                  <c:v>105</c:v>
                </c:pt>
                <c:pt idx="73">
                  <c:v>-55</c:v>
                </c:pt>
                <c:pt idx="74">
                  <c:v>0</c:v>
                </c:pt>
                <c:pt idx="75">
                  <c:v>0</c:v>
                </c:pt>
                <c:pt idx="76">
                  <c:v>-45</c:v>
                </c:pt>
                <c:pt idx="77">
                  <c:v>-325</c:v>
                </c:pt>
                <c:pt idx="78">
                  <c:v>-380</c:v>
                </c:pt>
                <c:pt idx="79">
                  <c:v>-265</c:v>
                </c:pt>
                <c:pt idx="80">
                  <c:v>-135</c:v>
                </c:pt>
                <c:pt idx="81">
                  <c:v>140</c:v>
                </c:pt>
                <c:pt idx="82">
                  <c:v>110</c:v>
                </c:pt>
                <c:pt idx="83">
                  <c:v>205</c:v>
                </c:pt>
                <c:pt idx="84">
                  <c:v>340</c:v>
                </c:pt>
                <c:pt idx="85">
                  <c:v>605</c:v>
                </c:pt>
                <c:pt idx="86">
                  <c:v>1170</c:v>
                </c:pt>
                <c:pt idx="87">
                  <c:v>155</c:v>
                </c:pt>
                <c:pt idx="88">
                  <c:v>-75</c:v>
                </c:pt>
                <c:pt idx="89">
                  <c:v>-405</c:v>
                </c:pt>
                <c:pt idx="90">
                  <c:v>-435</c:v>
                </c:pt>
                <c:pt idx="91">
                  <c:v>-450</c:v>
                </c:pt>
                <c:pt idx="92">
                  <c:v>-480</c:v>
                </c:pt>
                <c:pt idx="93">
                  <c:v>-525</c:v>
                </c:pt>
                <c:pt idx="94">
                  <c:v>-350</c:v>
                </c:pt>
                <c:pt idx="95">
                  <c:v>-550</c:v>
                </c:pt>
                <c:pt idx="96">
                  <c:v>225</c:v>
                </c:pt>
                <c:pt idx="97">
                  <c:v>-390</c:v>
                </c:pt>
                <c:pt idx="98">
                  <c:v>-300</c:v>
                </c:pt>
                <c:pt idx="99">
                  <c:v>-600</c:v>
                </c:pt>
                <c:pt idx="100">
                  <c:v>-255</c:v>
                </c:pt>
                <c:pt idx="101">
                  <c:v>-540</c:v>
                </c:pt>
                <c:pt idx="102">
                  <c:v>-595</c:v>
                </c:pt>
                <c:pt idx="103">
                  <c:v>-315</c:v>
                </c:pt>
                <c:pt idx="104">
                  <c:v>-615</c:v>
                </c:pt>
                <c:pt idx="105">
                  <c:v>-25</c:v>
                </c:pt>
                <c:pt idx="106">
                  <c:v>60</c:v>
                </c:pt>
                <c:pt idx="107">
                  <c:v>-590</c:v>
                </c:pt>
                <c:pt idx="108">
                  <c:v>45</c:v>
                </c:pt>
                <c:pt idx="109">
                  <c:v>-345</c:v>
                </c:pt>
                <c:pt idx="110">
                  <c:v>-20</c:v>
                </c:pt>
                <c:pt idx="111">
                  <c:v>-210</c:v>
                </c:pt>
                <c:pt idx="112">
                  <c:v>-105</c:v>
                </c:pt>
                <c:pt idx="113">
                  <c:v>-695</c:v>
                </c:pt>
                <c:pt idx="114">
                  <c:v>-225</c:v>
                </c:pt>
                <c:pt idx="115">
                  <c:v>-280</c:v>
                </c:pt>
                <c:pt idx="116">
                  <c:v>100</c:v>
                </c:pt>
                <c:pt idx="117">
                  <c:v>-255</c:v>
                </c:pt>
                <c:pt idx="118">
                  <c:v>-325</c:v>
                </c:pt>
                <c:pt idx="119">
                  <c:v>-410</c:v>
                </c:pt>
                <c:pt idx="120">
                  <c:v>420</c:v>
                </c:pt>
                <c:pt idx="121">
                  <c:v>325</c:v>
                </c:pt>
                <c:pt idx="122">
                  <c:v>210</c:v>
                </c:pt>
                <c:pt idx="123">
                  <c:v>-45</c:v>
                </c:pt>
                <c:pt idx="124">
                  <c:v>90</c:v>
                </c:pt>
                <c:pt idx="125">
                  <c:v>-600</c:v>
                </c:pt>
                <c:pt idx="126">
                  <c:v>-530</c:v>
                </c:pt>
                <c:pt idx="127">
                  <c:v>-105</c:v>
                </c:pt>
                <c:pt idx="128">
                  <c:v>-195</c:v>
                </c:pt>
              </c:numCache>
            </c:numRef>
          </c:val>
          <c:extLst>
            <c:ext xmlns:c16="http://schemas.microsoft.com/office/drawing/2014/chart" uri="{C3380CC4-5D6E-409C-BE32-E72D297353CC}">
              <c16:uniqueId val="{00000000-3BD1-4128-94C5-3D471FEAA3FB}"/>
            </c:ext>
          </c:extLst>
        </c:ser>
        <c:dLbls>
          <c:showLegendKey val="0"/>
          <c:showVal val="0"/>
          <c:showCatName val="0"/>
          <c:showSerName val="0"/>
          <c:showPercent val="0"/>
          <c:showBubbleSize val="0"/>
        </c:dLbls>
        <c:gapWidth val="30"/>
        <c:axId val="1839186832"/>
        <c:axId val="1839203696"/>
      </c:barChart>
      <c:lineChart>
        <c:grouping val="standard"/>
        <c:varyColors val="0"/>
        <c:ser>
          <c:idx val="0"/>
          <c:order val="0"/>
          <c:tx>
            <c:strRef>
              <c:f>'Devizni kurs'!$U$2</c:f>
              <c:strCache>
                <c:ptCount val="1"/>
                <c:pt idx="0">
                  <c:v>Просечан девизни курс ЕУР/РСД</c:v>
                </c:pt>
              </c:strCache>
            </c:strRef>
          </c:tx>
          <c:spPr>
            <a:ln w="22225" cap="rnd">
              <a:solidFill>
                <a:srgbClr val="FF0000"/>
              </a:solidFill>
              <a:round/>
            </a:ln>
            <a:effectLst/>
          </c:spPr>
          <c:marker>
            <c:symbol val="none"/>
          </c:marker>
          <c:cat>
            <c:numRef>
              <c:f>'Devizni kurs'!$Q$51:$Q$179</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45658</c:v>
                </c:pt>
                <c:pt idx="121">
                  <c:v>45689</c:v>
                </c:pt>
                <c:pt idx="122">
                  <c:v>45717</c:v>
                </c:pt>
                <c:pt idx="123">
                  <c:v>45748</c:v>
                </c:pt>
                <c:pt idx="124">
                  <c:v>45778</c:v>
                </c:pt>
                <c:pt idx="125">
                  <c:v>45809</c:v>
                </c:pt>
                <c:pt idx="126">
                  <c:v>45839</c:v>
                </c:pt>
                <c:pt idx="127">
                  <c:v>45870</c:v>
                </c:pt>
                <c:pt idx="128">
                  <c:v>45901</c:v>
                </c:pt>
              </c:numCache>
            </c:numRef>
          </c:cat>
          <c:val>
            <c:numRef>
              <c:f>'Devizni kurs'!$U$51:$U$179</c:f>
              <c:numCache>
                <c:formatCode>0.00</c:formatCode>
                <c:ptCount val="129"/>
                <c:pt idx="0">
                  <c:v>122.62</c:v>
                </c:pt>
                <c:pt idx="1">
                  <c:v>121.58</c:v>
                </c:pt>
                <c:pt idx="2">
                  <c:v>120.47</c:v>
                </c:pt>
                <c:pt idx="3">
                  <c:v>120.17</c:v>
                </c:pt>
                <c:pt idx="4">
                  <c:v>120.59</c:v>
                </c:pt>
                <c:pt idx="5">
                  <c:v>120.55517727272726</c:v>
                </c:pt>
                <c:pt idx="6">
                  <c:v>120.21342173913044</c:v>
                </c:pt>
                <c:pt idx="7">
                  <c:v>120.22183333333331</c:v>
                </c:pt>
                <c:pt idx="8">
                  <c:v>120.18703181818181</c:v>
                </c:pt>
                <c:pt idx="9">
                  <c:v>120.07991818181817</c:v>
                </c:pt>
                <c:pt idx="10">
                  <c:v>120.65054000000001</c:v>
                </c:pt>
                <c:pt idx="11">
                  <c:v>121.75174782608696</c:v>
                </c:pt>
                <c:pt idx="12">
                  <c:v>122.54524736842107</c:v>
                </c:pt>
                <c:pt idx="13">
                  <c:v>122.87654736842104</c:v>
                </c:pt>
                <c:pt idx="14">
                  <c:v>123.13206956521738</c:v>
                </c:pt>
                <c:pt idx="15">
                  <c:v>122.80799500000001</c:v>
                </c:pt>
                <c:pt idx="16">
                  <c:v>122.82450500000002</c:v>
                </c:pt>
                <c:pt idx="17">
                  <c:v>123.40000909090909</c:v>
                </c:pt>
                <c:pt idx="18">
                  <c:v>123.34886190476189</c:v>
                </c:pt>
                <c:pt idx="19">
                  <c:v>123.30531739130437</c:v>
                </c:pt>
                <c:pt idx="20">
                  <c:v>123.23121818181816</c:v>
                </c:pt>
                <c:pt idx="21">
                  <c:v>123.17817142857142</c:v>
                </c:pt>
                <c:pt idx="22">
                  <c:v>123.18741904761906</c:v>
                </c:pt>
                <c:pt idx="23">
                  <c:v>123.42</c:v>
                </c:pt>
                <c:pt idx="24">
                  <c:v>123.8</c:v>
                </c:pt>
                <c:pt idx="25">
                  <c:v>123.94</c:v>
                </c:pt>
                <c:pt idx="26">
                  <c:v>123.89</c:v>
                </c:pt>
                <c:pt idx="27">
                  <c:v>123.66</c:v>
                </c:pt>
                <c:pt idx="28">
                  <c:v>123.05</c:v>
                </c:pt>
                <c:pt idx="29">
                  <c:v>122.02</c:v>
                </c:pt>
                <c:pt idx="30">
                  <c:v>120.42</c:v>
                </c:pt>
                <c:pt idx="31">
                  <c:v>119.57</c:v>
                </c:pt>
                <c:pt idx="32">
                  <c:v>119.2957</c:v>
                </c:pt>
                <c:pt idx="33">
                  <c:v>119.2818</c:v>
                </c:pt>
                <c:pt idx="34">
                  <c:v>118.89884545454547</c:v>
                </c:pt>
                <c:pt idx="35">
                  <c:v>119.13943333333332</c:v>
                </c:pt>
                <c:pt idx="36">
                  <c:v>118.61770952380952</c:v>
                </c:pt>
                <c:pt idx="37">
                  <c:v>118.39149999999999</c:v>
                </c:pt>
                <c:pt idx="38">
                  <c:v>118.2688</c:v>
                </c:pt>
                <c:pt idx="39">
                  <c:v>118.19159999999999</c:v>
                </c:pt>
                <c:pt idx="40">
                  <c:v>118.18894761904762</c:v>
                </c:pt>
                <c:pt idx="41">
                  <c:v>118.13484285714287</c:v>
                </c:pt>
                <c:pt idx="42">
                  <c:v>118.04732272727273</c:v>
                </c:pt>
                <c:pt idx="43">
                  <c:v>118.10411304347828</c:v>
                </c:pt>
                <c:pt idx="44">
                  <c:v>118.278565</c:v>
                </c:pt>
                <c:pt idx="45">
                  <c:v>118.43672608695648</c:v>
                </c:pt>
                <c:pt idx="46">
                  <c:v>118.34287619047618</c:v>
                </c:pt>
                <c:pt idx="47">
                  <c:v>118.27724285714282</c:v>
                </c:pt>
                <c:pt idx="48">
                  <c:v>118.41</c:v>
                </c:pt>
                <c:pt idx="49">
                  <c:v>118.24</c:v>
                </c:pt>
                <c:pt idx="50">
                  <c:v>118.04</c:v>
                </c:pt>
                <c:pt idx="51">
                  <c:v>117.99</c:v>
                </c:pt>
                <c:pt idx="52">
                  <c:v>117.96469999999999</c:v>
                </c:pt>
                <c:pt idx="53">
                  <c:v>117.93766999999998</c:v>
                </c:pt>
                <c:pt idx="54">
                  <c:v>117.78449999999999</c:v>
                </c:pt>
                <c:pt idx="55">
                  <c:v>117.777</c:v>
                </c:pt>
                <c:pt idx="56">
                  <c:v>117.5958</c:v>
                </c:pt>
                <c:pt idx="57">
                  <c:v>117.5453</c:v>
                </c:pt>
                <c:pt idx="58">
                  <c:v>117.51315499999998</c:v>
                </c:pt>
                <c:pt idx="59">
                  <c:v>117.54</c:v>
                </c:pt>
                <c:pt idx="60">
                  <c:v>117.5643</c:v>
                </c:pt>
                <c:pt idx="61">
                  <c:v>117.57170000000001</c:v>
                </c:pt>
                <c:pt idx="62">
                  <c:v>117.5625</c:v>
                </c:pt>
                <c:pt idx="63">
                  <c:v>117.5694</c:v>
                </c:pt>
                <c:pt idx="64">
                  <c:v>117.5913</c:v>
                </c:pt>
                <c:pt idx="65">
                  <c:v>117.5852</c:v>
                </c:pt>
                <c:pt idx="66">
                  <c:v>117.58579130434782</c:v>
                </c:pt>
                <c:pt idx="67">
                  <c:v>117.58645238095237</c:v>
                </c:pt>
                <c:pt idx="68">
                  <c:v>117.58302727272726</c:v>
                </c:pt>
                <c:pt idx="69" formatCode="General">
                  <c:v>117.58</c:v>
                </c:pt>
                <c:pt idx="70">
                  <c:v>117.57380000000001</c:v>
                </c:pt>
                <c:pt idx="71">
                  <c:v>117.57769999999999</c:v>
                </c:pt>
                <c:pt idx="72">
                  <c:v>117.58203684210527</c:v>
                </c:pt>
                <c:pt idx="73">
                  <c:v>117.57634999999998</c:v>
                </c:pt>
                <c:pt idx="74">
                  <c:v>117.57657826086957</c:v>
                </c:pt>
                <c:pt idx="75">
                  <c:v>117.57283333333332</c:v>
                </c:pt>
                <c:pt idx="76">
                  <c:v>117.57888421052631</c:v>
                </c:pt>
                <c:pt idx="77">
                  <c:v>117.57026363636363</c:v>
                </c:pt>
                <c:pt idx="78">
                  <c:v>117.56288181818182</c:v>
                </c:pt>
                <c:pt idx="79">
                  <c:v>117.56745909090908</c:v>
                </c:pt>
                <c:pt idx="80">
                  <c:v>117.5668</c:v>
                </c:pt>
                <c:pt idx="81">
                  <c:v>117.56744285714285</c:v>
                </c:pt>
                <c:pt idx="82">
                  <c:v>117.58056666666668</c:v>
                </c:pt>
                <c:pt idx="83">
                  <c:v>117.58005217391303</c:v>
                </c:pt>
                <c:pt idx="84">
                  <c:v>117.58427894736842</c:v>
                </c:pt>
                <c:pt idx="85">
                  <c:v>117.59068333333335</c:v>
                </c:pt>
                <c:pt idx="86">
                  <c:v>117.67664782608693</c:v>
                </c:pt>
                <c:pt idx="87">
                  <c:v>117.72751578947369</c:v>
                </c:pt>
                <c:pt idx="88">
                  <c:v>117.55720999999998</c:v>
                </c:pt>
                <c:pt idx="89">
                  <c:v>117.42971363636362</c:v>
                </c:pt>
                <c:pt idx="90">
                  <c:v>117.39375714285714</c:v>
                </c:pt>
                <c:pt idx="91">
                  <c:v>117.35496086956519</c:v>
                </c:pt>
                <c:pt idx="92">
                  <c:v>117.32463636363637</c:v>
                </c:pt>
                <c:pt idx="93">
                  <c:v>117.31286666666665</c:v>
                </c:pt>
                <c:pt idx="94">
                  <c:v>117.30856666666664</c:v>
                </c:pt>
                <c:pt idx="95">
                  <c:v>117.30965454545456</c:v>
                </c:pt>
                <c:pt idx="96">
                  <c:v>117.36350499999999</c:v>
                </c:pt>
                <c:pt idx="97">
                  <c:v>117.32664444444445</c:v>
                </c:pt>
                <c:pt idx="98">
                  <c:v>117.31440869565216</c:v>
                </c:pt>
                <c:pt idx="99">
                  <c:v>117.2824</c:v>
                </c:pt>
                <c:pt idx="100">
                  <c:v>117.2831</c:v>
                </c:pt>
                <c:pt idx="101">
                  <c:v>117.2731</c:v>
                </c:pt>
                <c:pt idx="102">
                  <c:v>117.2269</c:v>
                </c:pt>
                <c:pt idx="103">
                  <c:v>117.2139</c:v>
                </c:pt>
                <c:pt idx="104">
                  <c:v>117.20146666666668</c:v>
                </c:pt>
                <c:pt idx="105">
                  <c:v>117.1851590909091</c:v>
                </c:pt>
                <c:pt idx="106">
                  <c:v>117.19343181818181</c:v>
                </c:pt>
                <c:pt idx="107">
                  <c:v>117.17399523809523</c:v>
                </c:pt>
                <c:pt idx="108">
                  <c:v>117.21023333333335</c:v>
                </c:pt>
                <c:pt idx="109">
                  <c:v>117.17954210526314</c:v>
                </c:pt>
                <c:pt idx="110">
                  <c:v>117.19119047619047</c:v>
                </c:pt>
                <c:pt idx="111">
                  <c:v>117.13836363636364</c:v>
                </c:pt>
                <c:pt idx="112">
                  <c:v>117.11607368421052</c:v>
                </c:pt>
                <c:pt idx="113">
                  <c:v>117.07152000000001</c:v>
                </c:pt>
                <c:pt idx="114">
                  <c:v>117.05069130434786</c:v>
                </c:pt>
                <c:pt idx="115">
                  <c:v>117.03658181818183</c:v>
                </c:pt>
                <c:pt idx="116">
                  <c:v>117.04607619047617</c:v>
                </c:pt>
                <c:pt idx="117">
                  <c:v>117.0341130434783</c:v>
                </c:pt>
                <c:pt idx="118">
                  <c:v>116.99359999999999</c:v>
                </c:pt>
                <c:pt idx="119">
                  <c:v>116.97295909090911</c:v>
                </c:pt>
                <c:pt idx="120">
                  <c:v>117.12193157894735</c:v>
                </c:pt>
                <c:pt idx="121">
                  <c:v>117.13858421052632</c:v>
                </c:pt>
                <c:pt idx="122">
                  <c:v>117.17125238095237</c:v>
                </c:pt>
                <c:pt idx="123">
                  <c:v>117.20287</c:v>
                </c:pt>
                <c:pt idx="124">
                  <c:v>117.22749500000002</c:v>
                </c:pt>
                <c:pt idx="125">
                  <c:v>117.20740000000002</c:v>
                </c:pt>
                <c:pt idx="126">
                  <c:v>117.17558695652174</c:v>
                </c:pt>
                <c:pt idx="127">
                  <c:v>117.17251904761906</c:v>
                </c:pt>
                <c:pt idx="128">
                  <c:v>117.17732727272731</c:v>
                </c:pt>
              </c:numCache>
            </c:numRef>
          </c:val>
          <c:smooth val="0"/>
          <c:extLst>
            <c:ext xmlns:c16="http://schemas.microsoft.com/office/drawing/2014/chart" uri="{C3380CC4-5D6E-409C-BE32-E72D297353CC}">
              <c16:uniqueId val="{00000001-3BD1-4128-94C5-3D471FEAA3FB}"/>
            </c:ext>
          </c:extLst>
        </c:ser>
        <c:ser>
          <c:idx val="2"/>
          <c:order val="2"/>
          <c:tx>
            <c:strRef>
              <c:f>'Devizni kurs'!$W$2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2.3980625329626394E-2"/>
                  <c:y val="3.83853078092342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BD1-4128-94C5-3D471FEAA3FB}"/>
                </c:ext>
              </c:extLst>
            </c:dLbl>
            <c:dLbl>
              <c:idx val="12"/>
              <c:layout>
                <c:manualLayout>
                  <c:x val="-2.397662710483818E-2"/>
                  <c:y val="3.83853078092342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D1-4128-94C5-3D471FEAA3FB}"/>
                </c:ext>
              </c:extLst>
            </c:dLbl>
            <c:dLbl>
              <c:idx val="24"/>
              <c:layout>
                <c:manualLayout>
                  <c:x val="-2.3982547555871456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BD1-4128-94C5-3D471FEAA3FB}"/>
                </c:ext>
              </c:extLst>
            </c:dLbl>
            <c:dLbl>
              <c:idx val="36"/>
              <c:layout>
                <c:manualLayout>
                  <c:x val="-2.4758461788420488E-2"/>
                  <c:y val="3.83853078092342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BD1-4128-94C5-3D471FEAA3FB}"/>
                </c:ext>
              </c:extLst>
            </c:dLbl>
            <c:dLbl>
              <c:idx val="48"/>
              <c:layout>
                <c:manualLayout>
                  <c:x val="-2.5432706328375621E-2"/>
                  <c:y val="3.838550497195249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BD1-4128-94C5-3D471FEAA3FB}"/>
                </c:ext>
              </c:extLst>
            </c:dLbl>
            <c:dLbl>
              <c:idx val="60"/>
              <c:layout>
                <c:manualLayout>
                  <c:x val="-2.5972951297754447E-2"/>
                  <c:y val="3.790442361315454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BD1-4128-94C5-3D471FEAA3FB}"/>
                </c:ext>
              </c:extLst>
            </c:dLbl>
            <c:dLbl>
              <c:idx val="72"/>
              <c:layout>
                <c:manualLayout>
                  <c:x val="-2.6866433362496354E-2"/>
                  <c:y val="3.75296005156444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BD1-4128-94C5-3D471FEAA3FB}"/>
                </c:ext>
              </c:extLst>
            </c:dLbl>
            <c:dLbl>
              <c:idx val="84"/>
              <c:layout>
                <c:manualLayout>
                  <c:x val="-3.1481481481481652E-2"/>
                  <c:y val="3.79499628679922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BD1-4128-94C5-3D471FEAA3FB}"/>
                </c:ext>
              </c:extLst>
            </c:dLbl>
            <c:dLbl>
              <c:idx val="96"/>
              <c:layout>
                <c:manualLayout>
                  <c:x val="-3.6005831592591069E-2"/>
                  <c:y val="3.828911742352270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BD1-4128-94C5-3D471FEAA3FB}"/>
                </c:ext>
              </c:extLst>
            </c:dLbl>
            <c:dLbl>
              <c:idx val="108"/>
              <c:layout>
                <c:manualLayout>
                  <c:x val="-4.4444444444444446E-2"/>
                  <c:y val="3.795021186440664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BD1-4128-94C5-3D471FEAA3FB}"/>
                </c:ext>
              </c:extLst>
            </c:dLbl>
            <c:dLbl>
              <c:idx val="120"/>
              <c:layout>
                <c:manualLayout>
                  <c:x val="-0.05"/>
                  <c:y val="3.795021186440664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BD1-4128-94C5-3D471FEAA3FB}"/>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'Devizni kurs'!$Q$51:$Q$179</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45658</c:v>
                </c:pt>
                <c:pt idx="121">
                  <c:v>45689</c:v>
                </c:pt>
                <c:pt idx="122">
                  <c:v>45717</c:v>
                </c:pt>
                <c:pt idx="123">
                  <c:v>45748</c:v>
                </c:pt>
                <c:pt idx="124">
                  <c:v>45778</c:v>
                </c:pt>
                <c:pt idx="125">
                  <c:v>45809</c:v>
                </c:pt>
                <c:pt idx="126">
                  <c:v>45839</c:v>
                </c:pt>
                <c:pt idx="127">
                  <c:v>45870</c:v>
                </c:pt>
                <c:pt idx="128">
                  <c:v>45901</c:v>
                </c:pt>
              </c:numCache>
            </c:numRef>
          </c:cat>
          <c:val>
            <c:numRef>
              <c:f>'Devizni kurs'!$W$51:$W$179</c:f>
              <c:numCache>
                <c:formatCode>General</c:formatCode>
                <c:ptCount val="129"/>
                <c:pt idx="0">
                  <c:v>85</c:v>
                </c:pt>
                <c:pt idx="12">
                  <c:v>85</c:v>
                </c:pt>
                <c:pt idx="24">
                  <c:v>85</c:v>
                </c:pt>
                <c:pt idx="36">
                  <c:v>85</c:v>
                </c:pt>
                <c:pt idx="48">
                  <c:v>85</c:v>
                </c:pt>
                <c:pt idx="60">
                  <c:v>85</c:v>
                </c:pt>
                <c:pt idx="72">
                  <c:v>85</c:v>
                </c:pt>
                <c:pt idx="84">
                  <c:v>85</c:v>
                </c:pt>
                <c:pt idx="96">
                  <c:v>85</c:v>
                </c:pt>
                <c:pt idx="108">
                  <c:v>85</c:v>
                </c:pt>
                <c:pt idx="120">
                  <c:v>85</c:v>
                </c:pt>
              </c:numCache>
            </c:numRef>
          </c:val>
          <c:smooth val="0"/>
          <c:extLst>
            <c:ext xmlns:c16="http://schemas.microsoft.com/office/drawing/2014/chart" uri="{C3380CC4-5D6E-409C-BE32-E72D297353CC}">
              <c16:uniqueId val="{0000000D-3BD1-4128-94C5-3D471FEAA3FB}"/>
            </c:ext>
          </c:extLst>
        </c:ser>
        <c:dLbls>
          <c:showLegendKey val="0"/>
          <c:showVal val="0"/>
          <c:showCatName val="0"/>
          <c:showSerName val="0"/>
          <c:showPercent val="0"/>
          <c:showBubbleSize val="0"/>
        </c:dLbls>
        <c:marker val="1"/>
        <c:smooth val="0"/>
        <c:axId val="1839186288"/>
        <c:axId val="1839187920"/>
      </c:lineChart>
      <c:catAx>
        <c:axId val="1839186288"/>
        <c:scaling>
          <c:orientation val="minMax"/>
        </c:scaling>
        <c:delete val="0"/>
        <c:axPos val="b"/>
        <c:numFmt formatCode="\I\ 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7920"/>
        <c:crosses val="autoZero"/>
        <c:auto val="0"/>
        <c:lblAlgn val="ctr"/>
        <c:lblOffset val="100"/>
        <c:tickLblSkip val="12"/>
        <c:noMultiLvlLbl val="1"/>
      </c:catAx>
      <c:valAx>
        <c:axId val="1839187920"/>
        <c:scaling>
          <c:orientation val="minMax"/>
          <c:max val="140"/>
          <c:min val="85"/>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6288"/>
        <c:crosses val="autoZero"/>
        <c:crossBetween val="midCat"/>
        <c:majorUnit val="10"/>
      </c:valAx>
      <c:valAx>
        <c:axId val="183920369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6832"/>
        <c:crosses val="max"/>
        <c:crossBetween val="between"/>
        <c:majorUnit val="200"/>
      </c:valAx>
      <c:dateAx>
        <c:axId val="1839186832"/>
        <c:scaling>
          <c:orientation val="minMax"/>
        </c:scaling>
        <c:delete val="1"/>
        <c:axPos val="b"/>
        <c:numFmt formatCode="yyyy" sourceLinked="1"/>
        <c:majorTickMark val="out"/>
        <c:minorTickMark val="none"/>
        <c:tickLblPos val="nextTo"/>
        <c:crossAx val="1839203696"/>
        <c:crosses val="autoZero"/>
        <c:auto val="1"/>
        <c:lblOffset val="100"/>
        <c:baseTimeUnit val="months"/>
      </c:dateAx>
      <c:spPr>
        <a:noFill/>
        <a:ln>
          <a:noFill/>
        </a:ln>
        <a:effectLst/>
      </c:spPr>
    </c:plotArea>
    <c:legend>
      <c:legendPos val="b"/>
      <c:legendEntry>
        <c:idx val="2"/>
        <c:delete val="1"/>
      </c:legendEntry>
      <c:layout>
        <c:manualLayout>
          <c:xMode val="edge"/>
          <c:yMode val="edge"/>
          <c:x val="0"/>
          <c:y val="0.83348870056497193"/>
          <c:w val="0.99854002624671911"/>
          <c:h val="0.154159604519774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4.9388888888888892E-2"/>
          <c:w val="0.85158573928258963"/>
          <c:h val="0.68513222222222225"/>
        </c:manualLayout>
      </c:layout>
      <c:barChart>
        <c:barDir val="col"/>
        <c:grouping val="clustered"/>
        <c:varyColors val="0"/>
        <c:ser>
          <c:idx val="1"/>
          <c:order val="1"/>
          <c:tx>
            <c:strRef>
              <c:f>'Stednja i rezerve'!$V$2</c:f>
              <c:strCache>
                <c:ptCount val="1"/>
                <c:pt idx="0">
                  <c:v>Девизне резерве НБС </c:v>
                </c:pt>
              </c:strCache>
            </c:strRef>
          </c:tx>
          <c:spPr>
            <a:solidFill>
              <a:srgbClr val="9ED1E6"/>
            </a:solidFill>
            <a:ln>
              <a:noFill/>
            </a:ln>
            <a:effectLst/>
          </c:spPr>
          <c:invertIfNegative val="0"/>
          <c:cat>
            <c:numRef>
              <c:f>'Stednja i rezerve'!$Q$39:$Q$167</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45658</c:v>
                </c:pt>
                <c:pt idx="121">
                  <c:v>45689</c:v>
                </c:pt>
                <c:pt idx="122">
                  <c:v>45717</c:v>
                </c:pt>
                <c:pt idx="123">
                  <c:v>45748</c:v>
                </c:pt>
                <c:pt idx="124">
                  <c:v>45778</c:v>
                </c:pt>
                <c:pt idx="125">
                  <c:v>45809</c:v>
                </c:pt>
                <c:pt idx="126">
                  <c:v>45839</c:v>
                </c:pt>
                <c:pt idx="127">
                  <c:v>45870</c:v>
                </c:pt>
                <c:pt idx="128">
                  <c:v>45901</c:v>
                </c:pt>
              </c:numCache>
            </c:numRef>
          </c:cat>
          <c:val>
            <c:numRef>
              <c:f>'Stednja i rezerve'!$V$39:$V$167</c:f>
              <c:numCache>
                <c:formatCode>0.000</c:formatCode>
                <c:ptCount val="129"/>
                <c:pt idx="0">
                  <c:v>10.048999999999999</c:v>
                </c:pt>
                <c:pt idx="1">
                  <c:v>10.313000000000001</c:v>
                </c:pt>
                <c:pt idx="2">
                  <c:v>10.515000000000001</c:v>
                </c:pt>
                <c:pt idx="3">
                  <c:v>10.534000000000001</c:v>
                </c:pt>
                <c:pt idx="4">
                  <c:v>10.545</c:v>
                </c:pt>
                <c:pt idx="5">
                  <c:v>10.292999999999999</c:v>
                </c:pt>
                <c:pt idx="6">
                  <c:v>10.631</c:v>
                </c:pt>
                <c:pt idx="7">
                  <c:v>10.61</c:v>
                </c:pt>
                <c:pt idx="8">
                  <c:v>10.510999999999999</c:v>
                </c:pt>
                <c:pt idx="9">
                  <c:v>10.673999999999999</c:v>
                </c:pt>
                <c:pt idx="10">
                  <c:v>10.746</c:v>
                </c:pt>
                <c:pt idx="11">
                  <c:v>10.378</c:v>
                </c:pt>
                <c:pt idx="12">
                  <c:v>10.1045</c:v>
                </c:pt>
                <c:pt idx="13">
                  <c:v>9.8507999999999996</c:v>
                </c:pt>
                <c:pt idx="14">
                  <c:v>9.5008999999999997</c:v>
                </c:pt>
                <c:pt idx="15">
                  <c:v>9.3379999999999992</c:v>
                </c:pt>
                <c:pt idx="16">
                  <c:v>9.2639999999999993</c:v>
                </c:pt>
                <c:pt idx="17">
                  <c:v>9.2910000000000004</c:v>
                </c:pt>
                <c:pt idx="18">
                  <c:v>9.6059999999999999</c:v>
                </c:pt>
                <c:pt idx="19">
                  <c:v>9.5839999999999996</c:v>
                </c:pt>
                <c:pt idx="20">
                  <c:v>9.5519999999999996</c:v>
                </c:pt>
                <c:pt idx="21">
                  <c:v>9.7070000000000007</c:v>
                </c:pt>
                <c:pt idx="22">
                  <c:v>9.8179999999999996</c:v>
                </c:pt>
                <c:pt idx="23">
                  <c:v>10.205</c:v>
                </c:pt>
                <c:pt idx="24">
                  <c:v>9.8539999999999992</c:v>
                </c:pt>
                <c:pt idx="25">
                  <c:v>9.7590000000000003</c:v>
                </c:pt>
                <c:pt idx="26">
                  <c:v>9.73</c:v>
                </c:pt>
                <c:pt idx="27">
                  <c:v>9.4090000000000007</c:v>
                </c:pt>
                <c:pt idx="28">
                  <c:v>9.4920000000000009</c:v>
                </c:pt>
                <c:pt idx="29">
                  <c:v>9.67</c:v>
                </c:pt>
                <c:pt idx="30">
                  <c:v>9.9480000000000004</c:v>
                </c:pt>
                <c:pt idx="31">
                  <c:v>10.278</c:v>
                </c:pt>
                <c:pt idx="32">
                  <c:v>10.635999999999999</c:v>
                </c:pt>
                <c:pt idx="33">
                  <c:v>10.76</c:v>
                </c:pt>
                <c:pt idx="34">
                  <c:v>10.105</c:v>
                </c:pt>
                <c:pt idx="35">
                  <c:v>9.9617000000000004</c:v>
                </c:pt>
                <c:pt idx="36">
                  <c:v>9.6477000000000004</c:v>
                </c:pt>
                <c:pt idx="37">
                  <c:v>9.7910000000000004</c:v>
                </c:pt>
                <c:pt idx="38">
                  <c:v>10.234999999999999</c:v>
                </c:pt>
                <c:pt idx="39">
                  <c:v>10.43</c:v>
                </c:pt>
                <c:pt idx="40">
                  <c:v>10.882999999999999</c:v>
                </c:pt>
                <c:pt idx="41">
                  <c:v>11.103999999999999</c:v>
                </c:pt>
                <c:pt idx="42">
                  <c:v>11.403</c:v>
                </c:pt>
                <c:pt idx="43">
                  <c:v>11.326000000000001</c:v>
                </c:pt>
                <c:pt idx="44">
                  <c:v>11.17249</c:v>
                </c:pt>
                <c:pt idx="45">
                  <c:v>11.5504</c:v>
                </c:pt>
                <c:pt idx="46">
                  <c:v>11.627000000000001</c:v>
                </c:pt>
                <c:pt idx="47">
                  <c:v>11.262</c:v>
                </c:pt>
                <c:pt idx="48">
                  <c:v>11.346</c:v>
                </c:pt>
                <c:pt idx="49">
                  <c:v>11.398</c:v>
                </c:pt>
                <c:pt idx="50">
                  <c:v>11.44</c:v>
                </c:pt>
                <c:pt idx="51">
                  <c:v>11.336</c:v>
                </c:pt>
                <c:pt idx="52">
                  <c:v>11.656000000000001</c:v>
                </c:pt>
                <c:pt idx="53">
                  <c:v>12.146000000000001</c:v>
                </c:pt>
                <c:pt idx="54">
                  <c:v>12.757999999999999</c:v>
                </c:pt>
                <c:pt idx="55">
                  <c:v>13.1</c:v>
                </c:pt>
                <c:pt idx="56">
                  <c:v>13.295</c:v>
                </c:pt>
                <c:pt idx="57">
                  <c:v>13.499000000000001</c:v>
                </c:pt>
                <c:pt idx="58">
                  <c:v>13.464700000000001</c:v>
                </c:pt>
                <c:pt idx="59">
                  <c:v>13.378500000000001</c:v>
                </c:pt>
                <c:pt idx="60">
                  <c:v>13.694000000000001</c:v>
                </c:pt>
                <c:pt idx="61">
                  <c:v>13.459</c:v>
                </c:pt>
                <c:pt idx="62">
                  <c:v>13.115</c:v>
                </c:pt>
                <c:pt idx="63">
                  <c:v>12.792999999999999</c:v>
                </c:pt>
                <c:pt idx="64">
                  <c:v>14.345000000000001</c:v>
                </c:pt>
                <c:pt idx="65">
                  <c:v>13.956</c:v>
                </c:pt>
                <c:pt idx="66">
                  <c:v>13.521000000000001</c:v>
                </c:pt>
                <c:pt idx="67">
                  <c:v>13.369</c:v>
                </c:pt>
                <c:pt idx="68">
                  <c:v>13.03</c:v>
                </c:pt>
                <c:pt idx="69">
                  <c:v>13.05</c:v>
                </c:pt>
                <c:pt idx="70" formatCode="General">
                  <c:v>12.843999999999999</c:v>
                </c:pt>
                <c:pt idx="71" formatCode="General">
                  <c:v>13.492000000000001</c:v>
                </c:pt>
                <c:pt idx="72">
                  <c:v>13.602928</c:v>
                </c:pt>
                <c:pt idx="73">
                  <c:v>13.4227504</c:v>
                </c:pt>
                <c:pt idx="74">
                  <c:v>14.275499999999999</c:v>
                </c:pt>
                <c:pt idx="75">
                  <c:v>13.997441199999999</c:v>
                </c:pt>
                <c:pt idx="76">
                  <c:v>14.181562900000001</c:v>
                </c:pt>
                <c:pt idx="77">
                  <c:v>14.091799999999999</c:v>
                </c:pt>
                <c:pt idx="78">
                  <c:v>14.5802736</c:v>
                </c:pt>
                <c:pt idx="79">
                  <c:v>15.585386699999999</c:v>
                </c:pt>
                <c:pt idx="80">
                  <c:v>16.802540499999999</c:v>
                </c:pt>
                <c:pt idx="81">
                  <c:v>16.277799999999999</c:v>
                </c:pt>
                <c:pt idx="82">
                  <c:v>16.453099999999999</c:v>
                </c:pt>
                <c:pt idx="83">
                  <c:v>16.454510200000001</c:v>
                </c:pt>
                <c:pt idx="84">
                  <c:v>16.110843299999999</c:v>
                </c:pt>
                <c:pt idx="85">
                  <c:v>15.561500000000001</c:v>
                </c:pt>
                <c:pt idx="86">
                  <c:v>14.296276199999999</c:v>
                </c:pt>
                <c:pt idx="87">
                  <c:v>14.1136</c:v>
                </c:pt>
                <c:pt idx="88">
                  <c:v>13.903600000000001</c:v>
                </c:pt>
                <c:pt idx="89">
                  <c:v>14.775700000000001</c:v>
                </c:pt>
                <c:pt idx="90">
                  <c:v>15.0228</c:v>
                </c:pt>
                <c:pt idx="91">
                  <c:v>15.8756</c:v>
                </c:pt>
                <c:pt idx="92">
                  <c:v>16.502299999999998</c:v>
                </c:pt>
                <c:pt idx="93" formatCode="General">
                  <c:v>16.870999999999999</c:v>
                </c:pt>
                <c:pt idx="94" formatCode="General">
                  <c:v>17.266999999999999</c:v>
                </c:pt>
                <c:pt idx="95" formatCode="General">
                  <c:v>19.416</c:v>
                </c:pt>
                <c:pt idx="96">
                  <c:v>20.913319099999999</c:v>
                </c:pt>
                <c:pt idx="97">
                  <c:v>21.196145100000003</c:v>
                </c:pt>
                <c:pt idx="98">
                  <c:v>21.380610300000001</c:v>
                </c:pt>
                <c:pt idx="99">
                  <c:v>21.556726999999999</c:v>
                </c:pt>
                <c:pt idx="100">
                  <c:v>22.088187399999999</c:v>
                </c:pt>
                <c:pt idx="101">
                  <c:v>22.58493</c:v>
                </c:pt>
                <c:pt idx="102">
                  <c:v>23.134196199999998</c:v>
                </c:pt>
                <c:pt idx="103">
                  <c:v>23.623699999999999</c:v>
                </c:pt>
                <c:pt idx="104">
                  <c:v>24.182471699999997</c:v>
                </c:pt>
                <c:pt idx="105">
                  <c:v>24.388775200000001</c:v>
                </c:pt>
                <c:pt idx="106">
                  <c:v>24.1630912</c:v>
                </c:pt>
                <c:pt idx="107">
                  <c:v>24.909095799999999</c:v>
                </c:pt>
                <c:pt idx="108">
                  <c:v>25.036858199999998</c:v>
                </c:pt>
                <c:pt idx="109">
                  <c:v>25.031424999999999</c:v>
                </c:pt>
                <c:pt idx="110">
                  <c:v>24.942164200000001</c:v>
                </c:pt>
                <c:pt idx="111">
                  <c:v>25.129200000000001</c:v>
                </c:pt>
                <c:pt idx="112">
                  <c:v>25.157084399999999</c:v>
                </c:pt>
                <c:pt idx="113">
                  <c:v>27.506563999999997</c:v>
                </c:pt>
                <c:pt idx="114">
                  <c:v>28.113286899999999</c:v>
                </c:pt>
                <c:pt idx="115">
                  <c:v>28.225012599999999</c:v>
                </c:pt>
                <c:pt idx="116">
                  <c:v>28.279699999999998</c:v>
                </c:pt>
                <c:pt idx="117">
                  <c:v>28.288022400000003</c:v>
                </c:pt>
                <c:pt idx="118">
                  <c:v>28.7045882</c:v>
                </c:pt>
                <c:pt idx="119">
                  <c:v>29.2945718</c:v>
                </c:pt>
                <c:pt idx="120">
                  <c:v>29.018455500000002</c:v>
                </c:pt>
                <c:pt idx="121">
                  <c:v>28.793119600000001</c:v>
                </c:pt>
                <c:pt idx="122">
                  <c:v>28.527438799999999</c:v>
                </c:pt>
                <c:pt idx="123" formatCode="#,##0.000">
                  <c:v>27.705449600000001</c:v>
                </c:pt>
                <c:pt idx="124" formatCode="#,##0.000">
                  <c:v>27.398965499999999</c:v>
                </c:pt>
                <c:pt idx="125" formatCode="#,##0.000">
                  <c:v>27.403589100000001</c:v>
                </c:pt>
                <c:pt idx="126" formatCode="#,##0.000">
                  <c:v>28.3347658</c:v>
                </c:pt>
                <c:pt idx="127" formatCode="#,##0.000">
                  <c:v>28.6108026</c:v>
                </c:pt>
                <c:pt idx="128">
                  <c:v>29.0518</c:v>
                </c:pt>
              </c:numCache>
            </c:numRef>
          </c:val>
          <c:extLst>
            <c:ext xmlns:c16="http://schemas.microsoft.com/office/drawing/2014/chart" uri="{C3380CC4-5D6E-409C-BE32-E72D297353CC}">
              <c16:uniqueId val="{00000000-7662-4736-B99A-C1B8320D2466}"/>
            </c:ext>
          </c:extLst>
        </c:ser>
        <c:dLbls>
          <c:showLegendKey val="0"/>
          <c:showVal val="0"/>
          <c:showCatName val="0"/>
          <c:showSerName val="0"/>
          <c:showPercent val="0"/>
          <c:showBubbleSize val="0"/>
        </c:dLbls>
        <c:gapWidth val="100"/>
        <c:axId val="2067915440"/>
        <c:axId val="2067938832"/>
      </c:barChart>
      <c:lineChart>
        <c:grouping val="standard"/>
        <c:varyColors val="0"/>
        <c:ser>
          <c:idx val="0"/>
          <c:order val="0"/>
          <c:tx>
            <c:strRef>
              <c:f>'Stednja i rezerve'!$U$2</c:f>
              <c:strCache>
                <c:ptCount val="1"/>
                <c:pt idx="0">
                  <c:v>Девизна штедња становништва</c:v>
                </c:pt>
              </c:strCache>
            </c:strRef>
          </c:tx>
          <c:spPr>
            <a:ln w="22225" cap="rnd">
              <a:solidFill>
                <a:srgbClr val="FF0000"/>
              </a:solidFill>
              <a:round/>
            </a:ln>
            <a:effectLst/>
          </c:spPr>
          <c:marker>
            <c:symbol val="none"/>
          </c:marker>
          <c:cat>
            <c:numRef>
              <c:f>'Stednja i rezerve'!$Q$39:$Q$167</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45658</c:v>
                </c:pt>
                <c:pt idx="121">
                  <c:v>45689</c:v>
                </c:pt>
                <c:pt idx="122">
                  <c:v>45717</c:v>
                </c:pt>
                <c:pt idx="123">
                  <c:v>45748</c:v>
                </c:pt>
                <c:pt idx="124">
                  <c:v>45778</c:v>
                </c:pt>
                <c:pt idx="125">
                  <c:v>45809</c:v>
                </c:pt>
                <c:pt idx="126">
                  <c:v>45839</c:v>
                </c:pt>
                <c:pt idx="127">
                  <c:v>45870</c:v>
                </c:pt>
                <c:pt idx="128">
                  <c:v>45901</c:v>
                </c:pt>
              </c:numCache>
            </c:numRef>
          </c:cat>
          <c:val>
            <c:numRef>
              <c:f>'Stednja i rezerve'!$U$39:$U$167</c:f>
              <c:numCache>
                <c:formatCode>0.000</c:formatCode>
                <c:ptCount val="129"/>
                <c:pt idx="0">
                  <c:v>8.6050000000000004</c:v>
                </c:pt>
                <c:pt idx="1">
                  <c:v>8.61</c:v>
                </c:pt>
                <c:pt idx="2">
                  <c:v>8.6419999999999995</c:v>
                </c:pt>
                <c:pt idx="3">
                  <c:v>8.6389999999999993</c:v>
                </c:pt>
                <c:pt idx="4">
                  <c:v>8.6349999999999998</c:v>
                </c:pt>
                <c:pt idx="5">
                  <c:v>8.67</c:v>
                </c:pt>
                <c:pt idx="6">
                  <c:v>8.6210000000000004</c:v>
                </c:pt>
                <c:pt idx="7">
                  <c:v>8.6050000000000004</c:v>
                </c:pt>
                <c:pt idx="8">
                  <c:v>8.59</c:v>
                </c:pt>
                <c:pt idx="9">
                  <c:v>8.6039999999999992</c:v>
                </c:pt>
                <c:pt idx="10">
                  <c:v>8.5969999999999995</c:v>
                </c:pt>
                <c:pt idx="11">
                  <c:v>8.6289999999999996</c:v>
                </c:pt>
                <c:pt idx="12">
                  <c:v>8.6264760000000003</c:v>
                </c:pt>
                <c:pt idx="13">
                  <c:v>8.636355</c:v>
                </c:pt>
                <c:pt idx="14">
                  <c:v>8.6437650000000001</c:v>
                </c:pt>
                <c:pt idx="15">
                  <c:v>8.6690000000000005</c:v>
                </c:pt>
                <c:pt idx="16">
                  <c:v>8.7550000000000008</c:v>
                </c:pt>
                <c:pt idx="17">
                  <c:v>8.7959999999999994</c:v>
                </c:pt>
                <c:pt idx="18">
                  <c:v>8.8219999999999992</c:v>
                </c:pt>
                <c:pt idx="19">
                  <c:v>8.8309999999999995</c:v>
                </c:pt>
                <c:pt idx="20">
                  <c:v>8.843</c:v>
                </c:pt>
                <c:pt idx="21">
                  <c:v>8.8960000000000008</c:v>
                </c:pt>
                <c:pt idx="22">
                  <c:v>8.9149999999999991</c:v>
                </c:pt>
                <c:pt idx="23">
                  <c:v>8.9870000000000001</c:v>
                </c:pt>
                <c:pt idx="24">
                  <c:v>9.0310000000000006</c:v>
                </c:pt>
                <c:pt idx="25">
                  <c:v>9.0555649999999996</c:v>
                </c:pt>
                <c:pt idx="26">
                  <c:v>9.0842139999999993</c:v>
                </c:pt>
                <c:pt idx="27">
                  <c:v>9.1143780000000003</c:v>
                </c:pt>
                <c:pt idx="28">
                  <c:v>9.1059999999999999</c:v>
                </c:pt>
                <c:pt idx="29">
                  <c:v>9.1370000000000005</c:v>
                </c:pt>
                <c:pt idx="30">
                  <c:v>9.1780000000000008</c:v>
                </c:pt>
                <c:pt idx="31">
                  <c:v>9.2170000000000005</c:v>
                </c:pt>
                <c:pt idx="32">
                  <c:v>9.2629999999999999</c:v>
                </c:pt>
                <c:pt idx="33">
                  <c:v>9.2880000000000003</c:v>
                </c:pt>
                <c:pt idx="34">
                  <c:v>9.298</c:v>
                </c:pt>
                <c:pt idx="35">
                  <c:v>9.373151</c:v>
                </c:pt>
                <c:pt idx="36">
                  <c:v>9.4209999999999994</c:v>
                </c:pt>
                <c:pt idx="37">
                  <c:v>9.5150000000000006</c:v>
                </c:pt>
                <c:pt idx="38">
                  <c:v>9.5660000000000007</c:v>
                </c:pt>
                <c:pt idx="39">
                  <c:v>9.5939999999999994</c:v>
                </c:pt>
                <c:pt idx="40">
                  <c:v>9.6340000000000003</c:v>
                </c:pt>
                <c:pt idx="41">
                  <c:v>9.6869999999999994</c:v>
                </c:pt>
                <c:pt idx="42">
                  <c:v>9.718</c:v>
                </c:pt>
                <c:pt idx="43">
                  <c:v>9.7629999999999999</c:v>
                </c:pt>
                <c:pt idx="44">
                  <c:v>9.7824939999999998</c:v>
                </c:pt>
                <c:pt idx="45">
                  <c:v>9.8469999999999995</c:v>
                </c:pt>
                <c:pt idx="46">
                  <c:v>9.875</c:v>
                </c:pt>
                <c:pt idx="47">
                  <c:v>9.9550000000000001</c:v>
                </c:pt>
                <c:pt idx="48">
                  <c:v>10.105</c:v>
                </c:pt>
                <c:pt idx="49">
                  <c:v>10.167</c:v>
                </c:pt>
                <c:pt idx="50">
                  <c:v>10.217000000000001</c:v>
                </c:pt>
                <c:pt idx="51">
                  <c:v>10.295999999999999</c:v>
                </c:pt>
                <c:pt idx="52">
                  <c:v>10.340999999999999</c:v>
                </c:pt>
                <c:pt idx="53">
                  <c:v>10.391</c:v>
                </c:pt>
                <c:pt idx="54">
                  <c:v>10.474</c:v>
                </c:pt>
                <c:pt idx="55">
                  <c:v>10.547000000000001</c:v>
                </c:pt>
                <c:pt idx="56">
                  <c:v>10.612</c:v>
                </c:pt>
                <c:pt idx="57">
                  <c:v>10.661</c:v>
                </c:pt>
                <c:pt idx="58">
                  <c:v>10.72</c:v>
                </c:pt>
                <c:pt idx="59">
                  <c:v>10.804</c:v>
                </c:pt>
                <c:pt idx="60">
                  <c:v>10.941129999999999</c:v>
                </c:pt>
                <c:pt idx="61">
                  <c:v>11.007695</c:v>
                </c:pt>
                <c:pt idx="62">
                  <c:v>10.819725</c:v>
                </c:pt>
                <c:pt idx="63">
                  <c:v>10.889227</c:v>
                </c:pt>
                <c:pt idx="64">
                  <c:v>10.915190000000001</c:v>
                </c:pt>
                <c:pt idx="65">
                  <c:v>10.987965000000001</c:v>
                </c:pt>
                <c:pt idx="66">
                  <c:v>10.998704</c:v>
                </c:pt>
                <c:pt idx="67">
                  <c:v>11.069706</c:v>
                </c:pt>
                <c:pt idx="68">
                  <c:v>11.155711999999999</c:v>
                </c:pt>
                <c:pt idx="69" formatCode="General">
                  <c:v>11.256</c:v>
                </c:pt>
                <c:pt idx="70" formatCode="General">
                  <c:v>11.291</c:v>
                </c:pt>
                <c:pt idx="71" formatCode="General">
                  <c:v>11.436</c:v>
                </c:pt>
                <c:pt idx="72" formatCode="General">
                  <c:v>11.586</c:v>
                </c:pt>
                <c:pt idx="73" formatCode="General">
                  <c:v>11.683999999999999</c:v>
                </c:pt>
                <c:pt idx="74">
                  <c:v>11.778</c:v>
                </c:pt>
                <c:pt idx="75">
                  <c:v>11.84</c:v>
                </c:pt>
                <c:pt idx="76">
                  <c:v>12.006</c:v>
                </c:pt>
                <c:pt idx="77">
                  <c:v>12.118</c:v>
                </c:pt>
                <c:pt idx="78">
                  <c:v>12.221</c:v>
                </c:pt>
                <c:pt idx="79">
                  <c:v>12.275</c:v>
                </c:pt>
                <c:pt idx="80">
                  <c:v>12.321999999999999</c:v>
                </c:pt>
                <c:pt idx="81">
                  <c:v>12.417999999999999</c:v>
                </c:pt>
                <c:pt idx="82">
                  <c:v>12.554</c:v>
                </c:pt>
                <c:pt idx="83">
                  <c:v>12.736000000000001</c:v>
                </c:pt>
                <c:pt idx="84">
                  <c:v>12.88</c:v>
                </c:pt>
                <c:pt idx="85">
                  <c:v>12.94</c:v>
                </c:pt>
                <c:pt idx="86">
                  <c:v>12.803000000000001</c:v>
                </c:pt>
                <c:pt idx="87">
                  <c:v>12.930524</c:v>
                </c:pt>
                <c:pt idx="88">
                  <c:v>12.987158000000001</c:v>
                </c:pt>
                <c:pt idx="89">
                  <c:v>13.180187999999999</c:v>
                </c:pt>
                <c:pt idx="90">
                  <c:v>13.3729</c:v>
                </c:pt>
                <c:pt idx="91">
                  <c:v>13.474511</c:v>
                </c:pt>
                <c:pt idx="92">
                  <c:v>13.526999999999999</c:v>
                </c:pt>
                <c:pt idx="93" formatCode="General">
                  <c:v>13.566000000000001</c:v>
                </c:pt>
                <c:pt idx="94">
                  <c:v>13.62</c:v>
                </c:pt>
                <c:pt idx="95" formatCode="General">
                  <c:v>13.715</c:v>
                </c:pt>
                <c:pt idx="96" formatCode="General">
                  <c:v>13.788</c:v>
                </c:pt>
                <c:pt idx="97" formatCode="General">
                  <c:v>13.925000000000001</c:v>
                </c:pt>
                <c:pt idx="98" formatCode="General">
                  <c:v>13.834</c:v>
                </c:pt>
                <c:pt idx="99" formatCode="General">
                  <c:v>13.847</c:v>
                </c:pt>
                <c:pt idx="100">
                  <c:v>13.9</c:v>
                </c:pt>
                <c:pt idx="101">
                  <c:v>13.92</c:v>
                </c:pt>
                <c:pt idx="102">
                  <c:v>13.978</c:v>
                </c:pt>
                <c:pt idx="103">
                  <c:v>14.022053</c:v>
                </c:pt>
                <c:pt idx="104">
                  <c:v>14.126598</c:v>
                </c:pt>
                <c:pt idx="105">
                  <c:v>14.152494000000001</c:v>
                </c:pt>
                <c:pt idx="106">
                  <c:v>14.246537</c:v>
                </c:pt>
                <c:pt idx="107">
                  <c:v>14.416103999999999</c:v>
                </c:pt>
                <c:pt idx="108">
                  <c:v>14.650832000000001</c:v>
                </c:pt>
                <c:pt idx="109">
                  <c:v>14.690485000000001</c:v>
                </c:pt>
                <c:pt idx="110">
                  <c:v>14.813583000000001</c:v>
                </c:pt>
                <c:pt idx="111">
                  <c:v>14.858000000000001</c:v>
                </c:pt>
                <c:pt idx="112">
                  <c:v>14.903</c:v>
                </c:pt>
                <c:pt idx="113">
                  <c:v>14.974</c:v>
                </c:pt>
                <c:pt idx="114">
                  <c:v>15.051</c:v>
                </c:pt>
                <c:pt idx="115">
                  <c:v>15.108000000000001</c:v>
                </c:pt>
                <c:pt idx="116">
                  <c:v>15.118232000000001</c:v>
                </c:pt>
                <c:pt idx="117">
                  <c:v>15.170664</c:v>
                </c:pt>
                <c:pt idx="118">
                  <c:v>15.2461</c:v>
                </c:pt>
                <c:pt idx="119">
                  <c:v>15.390445</c:v>
                </c:pt>
                <c:pt idx="120">
                  <c:v>15.472897000000001</c:v>
                </c:pt>
                <c:pt idx="121">
                  <c:v>15.610384</c:v>
                </c:pt>
                <c:pt idx="122">
                  <c:v>15.604084</c:v>
                </c:pt>
                <c:pt idx="123" formatCode="General">
                  <c:v>15.613</c:v>
                </c:pt>
                <c:pt idx="124" formatCode="General">
                  <c:v>15.682</c:v>
                </c:pt>
                <c:pt idx="125" formatCode="General">
                  <c:v>15.702999999999999</c:v>
                </c:pt>
                <c:pt idx="126" formatCode="General">
                  <c:v>15.802</c:v>
                </c:pt>
              </c:numCache>
            </c:numRef>
          </c:val>
          <c:smooth val="0"/>
          <c:extLst>
            <c:ext xmlns:c16="http://schemas.microsoft.com/office/drawing/2014/chart" uri="{C3380CC4-5D6E-409C-BE32-E72D297353CC}">
              <c16:uniqueId val="{00000001-7662-4736-B99A-C1B8320D2466}"/>
            </c:ext>
          </c:extLst>
        </c:ser>
        <c:ser>
          <c:idx val="2"/>
          <c:order val="2"/>
          <c:tx>
            <c:strRef>
              <c:f>'Stednja i rezerve'!$W$2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2.2924743555378331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662-4736-B99A-C1B8320D2466}"/>
                </c:ext>
              </c:extLst>
            </c:dLbl>
            <c:dLbl>
              <c:idx val="12"/>
              <c:layout>
                <c:manualLayout>
                  <c:x val="-2.2924743555378352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62-4736-B99A-C1B8320D2466}"/>
                </c:ext>
              </c:extLst>
            </c:dLbl>
            <c:dLbl>
              <c:idx val="24"/>
              <c:layout>
                <c:manualLayout>
                  <c:x val="-2.2931977252843436E-2"/>
                  <c:y val="2.802308360257591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662-4736-B99A-C1B8320D2466}"/>
                </c:ext>
              </c:extLst>
            </c:dLbl>
            <c:dLbl>
              <c:idx val="36"/>
              <c:layout>
                <c:manualLayout>
                  <c:x val="-2.4774210326358969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662-4736-B99A-C1B8320D2466}"/>
                </c:ext>
              </c:extLst>
            </c:dLbl>
            <c:dLbl>
              <c:idx val="48"/>
              <c:layout>
                <c:manualLayout>
                  <c:x val="-2.2561533270425312E-2"/>
                  <c:y val="2.802255844831594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662-4736-B99A-C1B8320D2466}"/>
                </c:ext>
              </c:extLst>
            </c:dLbl>
            <c:dLbl>
              <c:idx val="60"/>
              <c:layout>
                <c:manualLayout>
                  <c:x val="-2.1332429666144369E-2"/>
                  <c:y val="2.873409829006154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662-4736-B99A-C1B8320D2466}"/>
                </c:ext>
              </c:extLst>
            </c:dLbl>
            <c:dLbl>
              <c:idx val="72"/>
              <c:layout>
                <c:manualLayout>
                  <c:x val="-2.0649957540717773E-2"/>
                  <c:y val="2.85344858521881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662-4736-B99A-C1B8320D2466}"/>
                </c:ext>
              </c:extLst>
            </c:dLbl>
            <c:dLbl>
              <c:idx val="84"/>
              <c:layout>
                <c:manualLayout>
                  <c:x val="-2.7507730930915394E-2"/>
                  <c:y val="2.876886225396084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662-4736-B99A-C1B8320D2466}"/>
                </c:ext>
              </c:extLst>
            </c:dLbl>
            <c:dLbl>
              <c:idx val="96"/>
              <c:layout>
                <c:manualLayout>
                  <c:x val="-3.4935112277631963E-2"/>
                  <c:y val="2.869444444444431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662-4736-B99A-C1B8320D2466}"/>
                </c:ext>
              </c:extLst>
            </c:dLbl>
            <c:dLbl>
              <c:idx val="108"/>
              <c:layout>
                <c:manualLayout>
                  <c:x val="-3.3026027996500437E-2"/>
                  <c:y val="2.876944444444431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662-4736-B99A-C1B8320D2466}"/>
                </c:ext>
              </c:extLst>
            </c:dLbl>
            <c:dLbl>
              <c:idx val="120"/>
              <c:layout>
                <c:manualLayout>
                  <c:x val="-1.9850174978127733E-2"/>
                  <c:y val="2.876944444444431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662-4736-B99A-C1B8320D2466}"/>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'Stednja i rezerve'!$Q$39:$Q$167</c:f>
              <c:numCache>
                <c:formatCode>yyyy</c:formatCode>
                <c:ptCount val="12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c:v>45658</c:v>
                </c:pt>
                <c:pt idx="121">
                  <c:v>45689</c:v>
                </c:pt>
                <c:pt idx="122">
                  <c:v>45717</c:v>
                </c:pt>
                <c:pt idx="123">
                  <c:v>45748</c:v>
                </c:pt>
                <c:pt idx="124">
                  <c:v>45778</c:v>
                </c:pt>
                <c:pt idx="125">
                  <c:v>45809</c:v>
                </c:pt>
                <c:pt idx="126">
                  <c:v>45839</c:v>
                </c:pt>
                <c:pt idx="127">
                  <c:v>45870</c:v>
                </c:pt>
                <c:pt idx="128">
                  <c:v>45901</c:v>
                </c:pt>
              </c:numCache>
            </c:numRef>
          </c:cat>
          <c:val>
            <c:numRef>
              <c:f>'Stednja i rezerve'!$W$39:$W$167</c:f>
              <c:numCache>
                <c:formatCode>General</c:formatCode>
                <c:ptCount val="129"/>
                <c:pt idx="0">
                  <c:v>7</c:v>
                </c:pt>
                <c:pt idx="12">
                  <c:v>7</c:v>
                </c:pt>
                <c:pt idx="24">
                  <c:v>7</c:v>
                </c:pt>
                <c:pt idx="36">
                  <c:v>7</c:v>
                </c:pt>
                <c:pt idx="48">
                  <c:v>7</c:v>
                </c:pt>
                <c:pt idx="60">
                  <c:v>7</c:v>
                </c:pt>
                <c:pt idx="72">
                  <c:v>7</c:v>
                </c:pt>
                <c:pt idx="84">
                  <c:v>7</c:v>
                </c:pt>
                <c:pt idx="96">
                  <c:v>7</c:v>
                </c:pt>
                <c:pt idx="108">
                  <c:v>7</c:v>
                </c:pt>
                <c:pt idx="120">
                  <c:v>7</c:v>
                </c:pt>
              </c:numCache>
            </c:numRef>
          </c:val>
          <c:smooth val="0"/>
          <c:extLst>
            <c:ext xmlns:c16="http://schemas.microsoft.com/office/drawing/2014/chart" uri="{C3380CC4-5D6E-409C-BE32-E72D297353CC}">
              <c16:uniqueId val="{0000000D-7662-4736-B99A-C1B8320D2466}"/>
            </c:ext>
          </c:extLst>
        </c:ser>
        <c:dLbls>
          <c:showLegendKey val="0"/>
          <c:showVal val="0"/>
          <c:showCatName val="0"/>
          <c:showSerName val="0"/>
          <c:showPercent val="0"/>
          <c:showBubbleSize val="0"/>
        </c:dLbls>
        <c:marker val="1"/>
        <c:smooth val="0"/>
        <c:axId val="2067915440"/>
        <c:axId val="2067938832"/>
      </c:lineChart>
      <c:catAx>
        <c:axId val="206791544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8832"/>
        <c:crosses val="autoZero"/>
        <c:auto val="0"/>
        <c:lblAlgn val="ctr"/>
        <c:lblOffset val="100"/>
        <c:tickLblSkip val="12"/>
        <c:noMultiLvlLbl val="1"/>
      </c:catAx>
      <c:valAx>
        <c:axId val="2067938832"/>
        <c:scaling>
          <c:orientation val="minMax"/>
          <c:max val="29"/>
          <c:min val="7"/>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15440"/>
        <c:crosses val="autoZero"/>
        <c:crossBetween val="midCat"/>
        <c:majorUnit val="2"/>
      </c:valAx>
      <c:spPr>
        <a:noFill/>
        <a:ln>
          <a:noFill/>
        </a:ln>
        <a:effectLst/>
      </c:spPr>
    </c:plotArea>
    <c:legend>
      <c:legendPos val="b"/>
      <c:legendEntry>
        <c:idx val="2"/>
        <c:delete val="1"/>
      </c:legendEntry>
      <c:layout>
        <c:manualLayout>
          <c:xMode val="edge"/>
          <c:yMode val="edge"/>
          <c:x val="5.2835374744823561E-2"/>
          <c:y val="0.81213222222222226"/>
          <c:w val="0.91284740449110524"/>
          <c:h val="0.1455344444444444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6188914802072E-2"/>
          <c:y val="5.633805593782408E-2"/>
          <c:w val="0.86437336615075899"/>
          <c:h val="0.57778791801968155"/>
        </c:manualLayout>
      </c:layout>
      <c:lineChart>
        <c:grouping val="standard"/>
        <c:varyColors val="0"/>
        <c:ser>
          <c:idx val="1"/>
          <c:order val="0"/>
          <c:tx>
            <c:strRef>
              <c:f>'Projekcija inflacije'!$C$7</c:f>
              <c:strCache>
                <c:ptCount val="1"/>
                <c:pt idx="0">
                  <c:v>Инфлација, просек периода</c:v>
                </c:pt>
              </c:strCache>
            </c:strRef>
          </c:tx>
          <c:spPr>
            <a:ln w="22225" cap="rnd">
              <a:solidFill>
                <a:srgbClr val="EC008C"/>
              </a:solidFill>
              <a:round/>
            </a:ln>
            <a:effectLst/>
          </c:spPr>
          <c:marker>
            <c:symbol val="none"/>
          </c:marker>
          <c:cat>
            <c:numRef>
              <c:f>'Projekcija inflacije'!$I$5:$X$5</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'Projekcija inflacije'!$I$7:$X$7</c:f>
              <c:numCache>
                <c:formatCode>0.0</c:formatCode>
                <c:ptCount val="16"/>
                <c:pt idx="0">
                  <c:v>7.8</c:v>
                </c:pt>
                <c:pt idx="1">
                  <c:v>2.9</c:v>
                </c:pt>
                <c:pt idx="2">
                  <c:v>1.9</c:v>
                </c:pt>
                <c:pt idx="3">
                  <c:v>1.2</c:v>
                </c:pt>
                <c:pt idx="4">
                  <c:v>3</c:v>
                </c:pt>
                <c:pt idx="5">
                  <c:v>2</c:v>
                </c:pt>
                <c:pt idx="6">
                  <c:v>1.7</c:v>
                </c:pt>
                <c:pt idx="7">
                  <c:v>1.6</c:v>
                </c:pt>
                <c:pt idx="8">
                  <c:v>4</c:v>
                </c:pt>
                <c:pt idx="9">
                  <c:v>11.9</c:v>
                </c:pt>
                <c:pt idx="10">
                  <c:v>12.1</c:v>
                </c:pt>
                <c:pt idx="11">
                  <c:v>4.5999999999999996</c:v>
                </c:pt>
                <c:pt idx="12">
                  <c:v>3.9</c:v>
                </c:pt>
                <c:pt idx="13">
                  <c:v>3.7</c:v>
                </c:pt>
                <c:pt idx="14">
                  <c:v>3.5</c:v>
                </c:pt>
                <c:pt idx="15">
                  <c:v>3</c:v>
                </c:pt>
              </c:numCache>
            </c:numRef>
          </c:val>
          <c:smooth val="0"/>
          <c:extLst>
            <c:ext xmlns:c16="http://schemas.microsoft.com/office/drawing/2014/chart" uri="{C3380CC4-5D6E-409C-BE32-E72D297353CC}">
              <c16:uniqueId val="{00000000-33DF-494C-BBD3-1AFDA4F76F93}"/>
            </c:ext>
          </c:extLst>
        </c:ser>
        <c:ser>
          <c:idx val="2"/>
          <c:order val="1"/>
          <c:tx>
            <c:strRef>
              <c:f>'Projekcija inflacije'!$C$8</c:f>
              <c:strCache>
                <c:ptCount val="1"/>
                <c:pt idx="0">
                  <c:v>Дефлатор БДП</c:v>
                </c:pt>
              </c:strCache>
            </c:strRef>
          </c:tx>
          <c:spPr>
            <a:ln w="22225" cap="rnd">
              <a:solidFill>
                <a:srgbClr val="7F3F98"/>
              </a:solidFill>
              <a:round/>
            </a:ln>
            <a:effectLst/>
          </c:spPr>
          <c:marker>
            <c:symbol val="none"/>
          </c:marker>
          <c:cat>
            <c:numRef>
              <c:f>'Projekcija inflacije'!$I$5:$X$5</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'Projekcija inflacije'!$I$8:$X$8</c:f>
              <c:numCache>
                <c:formatCode>0.0</c:formatCode>
                <c:ptCount val="16"/>
                <c:pt idx="0">
                  <c:v>7.8010857182483164</c:v>
                </c:pt>
                <c:pt idx="1">
                  <c:v>2.9094071508476844</c:v>
                </c:pt>
                <c:pt idx="2">
                  <c:v>2.1691202965357519</c:v>
                </c:pt>
                <c:pt idx="3">
                  <c:v>1.5438276198060095</c:v>
                </c:pt>
                <c:pt idx="4">
                  <c:v>2.9973541130636789</c:v>
                </c:pt>
                <c:pt idx="5">
                  <c:v>1.9999999999999858</c:v>
                </c:pt>
                <c:pt idx="6">
                  <c:v>2.3478309782552174</c:v>
                </c:pt>
                <c:pt idx="7">
                  <c:v>2.6493590865047878</c:v>
                </c:pt>
                <c:pt idx="8">
                  <c:v>5.6840498037999083</c:v>
                </c:pt>
                <c:pt idx="9">
                  <c:v>10.515922698594053</c:v>
                </c:pt>
                <c:pt idx="10">
                  <c:v>13.84023015272895</c:v>
                </c:pt>
                <c:pt idx="11">
                  <c:v>5.2</c:v>
                </c:pt>
                <c:pt idx="12">
                  <c:v>4.0999999999999996</c:v>
                </c:pt>
                <c:pt idx="13">
                  <c:v>3.7</c:v>
                </c:pt>
                <c:pt idx="14">
                  <c:v>3.4</c:v>
                </c:pt>
                <c:pt idx="15">
                  <c:v>2.9</c:v>
                </c:pt>
              </c:numCache>
            </c:numRef>
          </c:val>
          <c:smooth val="0"/>
          <c:extLst>
            <c:ext xmlns:c16="http://schemas.microsoft.com/office/drawing/2014/chart" uri="{C3380CC4-5D6E-409C-BE32-E72D297353CC}">
              <c16:uniqueId val="{00000001-33DF-494C-BBD3-1AFDA4F76F93}"/>
            </c:ext>
          </c:extLst>
        </c:ser>
        <c:ser>
          <c:idx val="3"/>
          <c:order val="2"/>
          <c:tx>
            <c:strRef>
              <c:f>'Projekcija inflacije'!$C$9</c:f>
              <c:strCache>
                <c:ptCount val="1"/>
              </c:strCache>
            </c:strRef>
          </c:tx>
          <c:spPr>
            <a:ln w="28575" cap="rnd">
              <a:noFill/>
              <a:round/>
            </a:ln>
            <a:effectLst/>
          </c:spPr>
          <c:marker>
            <c:symbol val="square"/>
            <c:size val="2"/>
            <c:spPr>
              <a:solidFill>
                <a:schemeClr val="bg1"/>
              </a:solidFill>
              <a:ln w="9525">
                <a:noFill/>
              </a:ln>
              <a:effectLst/>
            </c:spPr>
          </c:marker>
          <c:dLbls>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'Projekcija inflacije'!$I$5:$X$5</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'Projekcija inflacije'!$I$9:$X$9</c:f>
              <c:numCache>
                <c:formatCode>General</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smooth val="0"/>
          <c:extLst>
            <c:ext xmlns:c16="http://schemas.microsoft.com/office/drawing/2014/chart" uri="{C3380CC4-5D6E-409C-BE32-E72D297353CC}">
              <c16:uniqueId val="{00000002-33DF-494C-BBD3-1AFDA4F76F93}"/>
            </c:ext>
          </c:extLst>
        </c:ser>
        <c:dLbls>
          <c:showLegendKey val="0"/>
          <c:showVal val="0"/>
          <c:showCatName val="0"/>
          <c:showSerName val="0"/>
          <c:showPercent val="0"/>
          <c:showBubbleSize val="0"/>
        </c:dLbls>
        <c:smooth val="0"/>
        <c:axId val="2067937200"/>
        <c:axId val="2067931760"/>
      </c:lineChart>
      <c:catAx>
        <c:axId val="206793720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1760"/>
        <c:crosses val="autoZero"/>
        <c:auto val="1"/>
        <c:lblAlgn val="ctr"/>
        <c:lblOffset val="100"/>
        <c:noMultiLvlLbl val="0"/>
      </c:catAx>
      <c:valAx>
        <c:axId val="2067931760"/>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7200"/>
        <c:crosses val="autoZero"/>
        <c:crossBetween val="midCat"/>
        <c:majorUnit val="2"/>
      </c:valAx>
      <c:spPr>
        <a:noFill/>
        <a:ln>
          <a:noFill/>
        </a:ln>
        <a:effectLst/>
      </c:spPr>
    </c:plotArea>
    <c:legend>
      <c:legendPos val="b"/>
      <c:legendEntry>
        <c:idx val="2"/>
        <c:delete val="1"/>
      </c:legendEntry>
      <c:layout>
        <c:manualLayout>
          <c:xMode val="edge"/>
          <c:yMode val="edge"/>
          <c:x val="2.5218401951955399E-3"/>
          <c:y val="0.81351522231044981"/>
          <c:w val="0.99380576517352959"/>
          <c:h val="0.1864847776895502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7.2092777777777783E-2"/>
          <c:w val="0.85158573928258963"/>
          <c:h val="0.61694696969696972"/>
        </c:manualLayout>
      </c:layout>
      <c:barChart>
        <c:barDir val="col"/>
        <c:grouping val="stacked"/>
        <c:varyColors val="0"/>
        <c:ser>
          <c:idx val="5"/>
          <c:order val="1"/>
          <c:tx>
            <c:strRef>
              <c:f>'Uvoz_ek. namena'!$B$7</c:f>
              <c:strCache>
                <c:ptCount val="1"/>
                <c:pt idx="0">
                  <c:v>Средства за рад</c:v>
                </c:pt>
              </c:strCache>
            </c:strRef>
          </c:tx>
          <c:spPr>
            <a:solidFill>
              <a:srgbClr val="10103C"/>
            </a:solidFill>
            <a:ln>
              <a:noFill/>
            </a:ln>
            <a:effectLst/>
          </c:spPr>
          <c:invertIfNegative val="0"/>
          <c:cat>
            <c:strRef>
              <c:f>'Uvoz_ek. namena'!$G$5:$K$5</c:f>
              <c:strCache>
                <c:ptCount val="5"/>
                <c:pt idx="0">
                  <c:v>2021</c:v>
                </c:pt>
                <c:pt idx="1">
                  <c:v>2022</c:v>
                </c:pt>
                <c:pt idx="2">
                  <c:v>2023</c:v>
                </c:pt>
                <c:pt idx="3">
                  <c:v>2024</c:v>
                </c:pt>
                <c:pt idx="4">
                  <c:v>I-VIII 2025</c:v>
                </c:pt>
              </c:strCache>
            </c:strRef>
          </c:cat>
          <c:val>
            <c:numRef>
              <c:f>'Uvoz_ek. namena'!$G$7:$K$7</c:f>
              <c:numCache>
                <c:formatCode>0.0</c:formatCode>
                <c:ptCount val="5"/>
                <c:pt idx="0">
                  <c:v>2.461678365167193</c:v>
                </c:pt>
                <c:pt idx="1">
                  <c:v>2.6973397488304194</c:v>
                </c:pt>
                <c:pt idx="2">
                  <c:v>-0.65569822538220568</c:v>
                </c:pt>
                <c:pt idx="3">
                  <c:v>1.2346449344561174</c:v>
                </c:pt>
                <c:pt idx="4">
                  <c:v>-0.52453043532884924</c:v>
                </c:pt>
              </c:numCache>
            </c:numRef>
          </c:val>
          <c:extLst>
            <c:ext xmlns:c16="http://schemas.microsoft.com/office/drawing/2014/chart" uri="{C3380CC4-5D6E-409C-BE32-E72D297353CC}">
              <c16:uniqueId val="{00000000-0A8A-4721-8BE0-6C2B3E124EF8}"/>
            </c:ext>
          </c:extLst>
        </c:ser>
        <c:ser>
          <c:idx val="0"/>
          <c:order val="2"/>
          <c:tx>
            <c:strRef>
              <c:f>'Uvoz_ek. namena'!$B$8</c:f>
              <c:strCache>
                <c:ptCount val="1"/>
                <c:pt idx="0">
                  <c:v>Репродукција</c:v>
                </c:pt>
              </c:strCache>
            </c:strRef>
          </c:tx>
          <c:spPr>
            <a:solidFill>
              <a:srgbClr val="2183C4"/>
            </a:solidFill>
            <a:ln>
              <a:noFill/>
            </a:ln>
            <a:effectLst/>
          </c:spPr>
          <c:invertIfNegative val="0"/>
          <c:cat>
            <c:strRef>
              <c:f>'Uvoz_ek. namena'!$G$5:$K$5</c:f>
              <c:strCache>
                <c:ptCount val="5"/>
                <c:pt idx="0">
                  <c:v>2021</c:v>
                </c:pt>
                <c:pt idx="1">
                  <c:v>2022</c:v>
                </c:pt>
                <c:pt idx="2">
                  <c:v>2023</c:v>
                </c:pt>
                <c:pt idx="3">
                  <c:v>2024</c:v>
                </c:pt>
                <c:pt idx="4">
                  <c:v>I-VIII 2025</c:v>
                </c:pt>
              </c:strCache>
            </c:strRef>
          </c:cat>
          <c:val>
            <c:numRef>
              <c:f>'Uvoz_ek. namena'!$G$8:$K$8</c:f>
              <c:numCache>
                <c:formatCode>0.0</c:formatCode>
                <c:ptCount val="5"/>
                <c:pt idx="0">
                  <c:v>18.498792219135041</c:v>
                </c:pt>
                <c:pt idx="1">
                  <c:v>24.176152563085061</c:v>
                </c:pt>
                <c:pt idx="2">
                  <c:v>-6.3759659249070815</c:v>
                </c:pt>
                <c:pt idx="3">
                  <c:v>1.9142286656827872</c:v>
                </c:pt>
                <c:pt idx="4">
                  <c:v>2.8295590175262251</c:v>
                </c:pt>
              </c:numCache>
            </c:numRef>
          </c:val>
          <c:extLst>
            <c:ext xmlns:c16="http://schemas.microsoft.com/office/drawing/2014/chart" uri="{C3380CC4-5D6E-409C-BE32-E72D297353CC}">
              <c16:uniqueId val="{00000001-0A8A-4721-8BE0-6C2B3E124EF8}"/>
            </c:ext>
          </c:extLst>
        </c:ser>
        <c:ser>
          <c:idx val="1"/>
          <c:order val="3"/>
          <c:tx>
            <c:strRef>
              <c:f>'Uvoz_ek. namena'!$B$9</c:f>
              <c:strCache>
                <c:ptCount val="1"/>
                <c:pt idx="0">
                  <c:v>Потрошна роба</c:v>
                </c:pt>
              </c:strCache>
            </c:strRef>
          </c:tx>
          <c:spPr>
            <a:solidFill>
              <a:srgbClr val="51BBE7"/>
            </a:solidFill>
            <a:ln>
              <a:noFill/>
            </a:ln>
            <a:effectLst/>
          </c:spPr>
          <c:invertIfNegative val="0"/>
          <c:cat>
            <c:strRef>
              <c:f>'Uvoz_ek. namena'!$G$5:$K$5</c:f>
              <c:strCache>
                <c:ptCount val="5"/>
                <c:pt idx="0">
                  <c:v>2021</c:v>
                </c:pt>
                <c:pt idx="1">
                  <c:v>2022</c:v>
                </c:pt>
                <c:pt idx="2">
                  <c:v>2023</c:v>
                </c:pt>
                <c:pt idx="3">
                  <c:v>2024</c:v>
                </c:pt>
                <c:pt idx="4">
                  <c:v>I-VIII 2025</c:v>
                </c:pt>
              </c:strCache>
            </c:strRef>
          </c:cat>
          <c:val>
            <c:numRef>
              <c:f>'Uvoz_ek. namena'!$G$9:$K$9</c:f>
              <c:numCache>
                <c:formatCode>0.0</c:formatCode>
                <c:ptCount val="5"/>
                <c:pt idx="0">
                  <c:v>2.7891658051606432</c:v>
                </c:pt>
                <c:pt idx="1">
                  <c:v>4.4716517496473056</c:v>
                </c:pt>
                <c:pt idx="2">
                  <c:v>1.0271441508230912</c:v>
                </c:pt>
                <c:pt idx="3">
                  <c:v>2.113627485024741</c:v>
                </c:pt>
                <c:pt idx="4">
                  <c:v>2.4412651548464099</c:v>
                </c:pt>
              </c:numCache>
            </c:numRef>
          </c:val>
          <c:extLst>
            <c:ext xmlns:c16="http://schemas.microsoft.com/office/drawing/2014/chart" uri="{C3380CC4-5D6E-409C-BE32-E72D297353CC}">
              <c16:uniqueId val="{00000002-0A8A-4721-8BE0-6C2B3E124EF8}"/>
            </c:ext>
          </c:extLst>
        </c:ser>
        <c:ser>
          <c:idx val="2"/>
          <c:order val="4"/>
          <c:tx>
            <c:strRef>
              <c:f>'Uvoz_ek. namena'!$B$10</c:f>
              <c:strCache>
                <c:ptCount val="1"/>
                <c:pt idx="0">
                  <c:v>Некласификовано</c:v>
                </c:pt>
              </c:strCache>
            </c:strRef>
          </c:tx>
          <c:spPr>
            <a:solidFill>
              <a:srgbClr val="C9E4EB"/>
            </a:solidFill>
            <a:ln>
              <a:noFill/>
            </a:ln>
            <a:effectLst/>
          </c:spPr>
          <c:invertIfNegative val="0"/>
          <c:cat>
            <c:strRef>
              <c:f>'Uvoz_ek. namena'!$G$5:$K$5</c:f>
              <c:strCache>
                <c:ptCount val="5"/>
                <c:pt idx="0">
                  <c:v>2021</c:v>
                </c:pt>
                <c:pt idx="1">
                  <c:v>2022</c:v>
                </c:pt>
                <c:pt idx="2">
                  <c:v>2023</c:v>
                </c:pt>
                <c:pt idx="3">
                  <c:v>2024</c:v>
                </c:pt>
                <c:pt idx="4">
                  <c:v>I-VIII 2025</c:v>
                </c:pt>
              </c:strCache>
            </c:strRef>
          </c:cat>
          <c:val>
            <c:numRef>
              <c:f>'Uvoz_ek. namena'!$G$10:$K$10</c:f>
              <c:numCache>
                <c:formatCode>0.0</c:formatCode>
                <c:ptCount val="5"/>
                <c:pt idx="0">
                  <c:v>2.2887251432423157</c:v>
                </c:pt>
                <c:pt idx="1">
                  <c:v>3.4880375049444221</c:v>
                </c:pt>
                <c:pt idx="2">
                  <c:v>0.48440198136402879</c:v>
                </c:pt>
                <c:pt idx="3">
                  <c:v>0.66086465839048292</c:v>
                </c:pt>
                <c:pt idx="4">
                  <c:v>3.2806708964130906</c:v>
                </c:pt>
              </c:numCache>
            </c:numRef>
          </c:val>
          <c:extLst>
            <c:ext xmlns:c16="http://schemas.microsoft.com/office/drawing/2014/chart" uri="{C3380CC4-5D6E-409C-BE32-E72D297353CC}">
              <c16:uniqueId val="{00000003-0A8A-4721-8BE0-6C2B3E124EF8}"/>
            </c:ext>
          </c:extLst>
        </c:ser>
        <c:dLbls>
          <c:showLegendKey val="0"/>
          <c:showVal val="0"/>
          <c:showCatName val="0"/>
          <c:showSerName val="0"/>
          <c:showPercent val="0"/>
          <c:showBubbleSize val="0"/>
        </c:dLbls>
        <c:gapWidth val="70"/>
        <c:overlap val="100"/>
        <c:axId val="1839193360"/>
        <c:axId val="1839196080"/>
      </c:barChart>
      <c:lineChart>
        <c:grouping val="standard"/>
        <c:varyColors val="0"/>
        <c:ser>
          <c:idx val="3"/>
          <c:order val="0"/>
          <c:tx>
            <c:strRef>
              <c:f>'Uvoz_ek. namena'!$B$6</c:f>
              <c:strCache>
                <c:ptCount val="1"/>
                <c:pt idx="0">
                  <c:v>Укупно</c:v>
                </c:pt>
              </c:strCache>
            </c:strRef>
          </c:tx>
          <c:spPr>
            <a:ln w="28575" cap="rnd">
              <a:solidFill>
                <a:srgbClr val="FF0000"/>
              </a:solidFill>
              <a:round/>
            </a:ln>
            <a:effectLst/>
          </c:spPr>
          <c:marker>
            <c:symbol val="none"/>
          </c:marker>
          <c:dLbls>
            <c:dLbl>
              <c:idx val="2"/>
              <c:layout>
                <c:manualLayout>
                  <c:x val="-6.6933894048841341E-2"/>
                  <c:y val="-0.106330303030303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A8A-4721-8BE0-6C2B3E124EF8}"/>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namena'!$G$5:$K$5</c:f>
              <c:strCache>
                <c:ptCount val="5"/>
                <c:pt idx="0">
                  <c:v>2021</c:v>
                </c:pt>
                <c:pt idx="1">
                  <c:v>2022</c:v>
                </c:pt>
                <c:pt idx="2">
                  <c:v>2023</c:v>
                </c:pt>
                <c:pt idx="3">
                  <c:v>2024</c:v>
                </c:pt>
                <c:pt idx="4">
                  <c:v>I-VIII 2025</c:v>
                </c:pt>
              </c:strCache>
            </c:strRef>
          </c:cat>
          <c:val>
            <c:numRef>
              <c:f>'Uvoz_ek. namena'!$G$6:$K$6</c:f>
              <c:numCache>
                <c:formatCode>0.0</c:formatCode>
                <c:ptCount val="5"/>
                <c:pt idx="0">
                  <c:v>26.038357176843505</c:v>
                </c:pt>
                <c:pt idx="1">
                  <c:v>34.833181566506909</c:v>
                </c:pt>
                <c:pt idx="2">
                  <c:v>-5.5201180181020675</c:v>
                </c:pt>
                <c:pt idx="3">
                  <c:v>5.9233657435541147</c:v>
                </c:pt>
                <c:pt idx="4">
                  <c:v>8.0269646334568705</c:v>
                </c:pt>
              </c:numCache>
            </c:numRef>
          </c:val>
          <c:smooth val="0"/>
          <c:extLst>
            <c:ext xmlns:c16="http://schemas.microsoft.com/office/drawing/2014/chart" uri="{C3380CC4-5D6E-409C-BE32-E72D297353CC}">
              <c16:uniqueId val="{00000005-0A8A-4721-8BE0-6C2B3E124EF8}"/>
            </c:ext>
          </c:extLst>
        </c:ser>
        <c:dLbls>
          <c:showLegendKey val="0"/>
          <c:showVal val="0"/>
          <c:showCatName val="0"/>
          <c:showSerName val="0"/>
          <c:showPercent val="0"/>
          <c:showBubbleSize val="0"/>
        </c:dLbls>
        <c:marker val="1"/>
        <c:smooth val="0"/>
        <c:axId val="1839193360"/>
        <c:axId val="1839196080"/>
      </c:lineChart>
      <c:catAx>
        <c:axId val="183919336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6080"/>
        <c:crosses val="autoZero"/>
        <c:auto val="1"/>
        <c:lblAlgn val="ctr"/>
        <c:lblOffset val="100"/>
        <c:noMultiLvlLbl val="0"/>
      </c:catAx>
      <c:valAx>
        <c:axId val="1839196080"/>
        <c:scaling>
          <c:orientation val="minMax"/>
          <c:max val="50"/>
          <c:min val="-6"/>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3360"/>
        <c:crosses val="autoZero"/>
        <c:crossBetween val="between"/>
        <c:majorUnit val="6"/>
      </c:valAx>
      <c:spPr>
        <a:noFill/>
        <a:ln>
          <a:noFill/>
        </a:ln>
        <a:effectLst/>
      </c:spPr>
    </c:plotArea>
    <c:legend>
      <c:legendPos val="b"/>
      <c:layout>
        <c:manualLayout>
          <c:xMode val="edge"/>
          <c:yMode val="edge"/>
          <c:x val="1.2789078448527259E-2"/>
          <c:y val="0.80912929292929292"/>
          <c:w val="0.91940033537474486"/>
          <c:h val="0.1908707070707071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80796150481189"/>
          <c:y val="4.6989720998531569E-2"/>
          <c:w val="0.86246828521434815"/>
          <c:h val="0.81779689433093983"/>
        </c:manualLayout>
      </c:layout>
      <c:areaChart>
        <c:grouping val="standard"/>
        <c:varyColors val="0"/>
        <c:ser>
          <c:idx val="1"/>
          <c:order val="0"/>
          <c:tx>
            <c:strRef>
              <c:f>'Izvoz, uvoz (Q)'!$A$7</c:f>
              <c:strCache>
                <c:ptCount val="1"/>
                <c:pt idx="0">
                  <c:v>Увоз</c:v>
                </c:pt>
              </c:strCache>
            </c:strRef>
          </c:tx>
          <c:spPr>
            <a:solidFill>
              <a:srgbClr val="51BBE7"/>
            </a:solidFill>
            <a:ln>
              <a:noFill/>
            </a:ln>
            <a:effectLst/>
          </c:spPr>
          <c:dLbls>
            <c:dLbl>
              <c:idx val="0"/>
              <c:layout>
                <c:manualLayout>
                  <c:x val="6.9444444444444448E-2"/>
                  <c:y val="-0.20808323329331729"/>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EEF4-44C3-BF8E-866AC020E080}"/>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(Q)'!$AA$3:$BD$4</c:f>
              <c:multiLvlStrCache>
                <c:ptCount val="30"/>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lvl>
                <c:lvl>
                  <c:pt idx="0">
                    <c:v>2018</c:v>
                  </c:pt>
                  <c:pt idx="4">
                    <c:v>2019</c:v>
                  </c:pt>
                  <c:pt idx="8">
                    <c:v>2020</c:v>
                  </c:pt>
                  <c:pt idx="12">
                    <c:v>2021</c:v>
                  </c:pt>
                  <c:pt idx="16">
                    <c:v>2022</c:v>
                  </c:pt>
                  <c:pt idx="20">
                    <c:v>2023</c:v>
                  </c:pt>
                  <c:pt idx="24">
                    <c:v>2024</c:v>
                  </c:pt>
                  <c:pt idx="28">
                    <c:v>2025</c:v>
                  </c:pt>
                </c:lvl>
              </c:multiLvlStrCache>
            </c:multiLvlStrRef>
          </c:cat>
          <c:val>
            <c:numRef>
              <c:f>'Izvoz, uvoz (Q)'!$AA$7:$BD$7</c:f>
              <c:numCache>
                <c:formatCode>#,##0.0</c:formatCode>
                <c:ptCount val="30"/>
                <c:pt idx="0">
                  <c:v>5112.1000000000004</c:v>
                </c:pt>
                <c:pt idx="1">
                  <c:v>5477.6</c:v>
                </c:pt>
                <c:pt idx="2">
                  <c:v>5457</c:v>
                </c:pt>
                <c:pt idx="3">
                  <c:v>6008.9999999999991</c:v>
                </c:pt>
                <c:pt idx="4">
                  <c:v>5634.8</c:v>
                </c:pt>
                <c:pt idx="5">
                  <c:v>5968.6</c:v>
                </c:pt>
                <c:pt idx="6">
                  <c:v>5882.2999999999993</c:v>
                </c:pt>
                <c:pt idx="7">
                  <c:v>6575.2999999999993</c:v>
                </c:pt>
                <c:pt idx="8">
                  <c:v>6031.2999999999993</c:v>
                </c:pt>
                <c:pt idx="9">
                  <c:v>4763.3999999999996</c:v>
                </c:pt>
                <c:pt idx="10">
                  <c:v>5814.2</c:v>
                </c:pt>
                <c:pt idx="11">
                  <c:v>6469</c:v>
                </c:pt>
                <c:pt idx="12">
                  <c:v>6057.9</c:v>
                </c:pt>
                <c:pt idx="13">
                  <c:v>7124.6</c:v>
                </c:pt>
                <c:pt idx="14">
                  <c:v>7372.2</c:v>
                </c:pt>
                <c:pt idx="15">
                  <c:v>8380.5999999999985</c:v>
                </c:pt>
                <c:pt idx="16">
                  <c:v>9350.1</c:v>
                </c:pt>
                <c:pt idx="17">
                  <c:v>10242.900000000001</c:v>
                </c:pt>
                <c:pt idx="18">
                  <c:v>9380.6</c:v>
                </c:pt>
                <c:pt idx="19">
                  <c:v>10041</c:v>
                </c:pt>
                <c:pt idx="20">
                  <c:v>9440</c:v>
                </c:pt>
                <c:pt idx="21">
                  <c:v>9206.6</c:v>
                </c:pt>
                <c:pt idx="22">
                  <c:v>8567.9000000000015</c:v>
                </c:pt>
                <c:pt idx="23">
                  <c:v>9646.2000000000007</c:v>
                </c:pt>
                <c:pt idx="24">
                  <c:v>9124.0999999999985</c:v>
                </c:pt>
                <c:pt idx="25">
                  <c:v>9752.2999999999993</c:v>
                </c:pt>
                <c:pt idx="26">
                  <c:v>9809.7999999999993</c:v>
                </c:pt>
                <c:pt idx="27">
                  <c:v>10358</c:v>
                </c:pt>
                <c:pt idx="28">
                  <c:v>10259.200000000001</c:v>
                </c:pt>
                <c:pt idx="29">
                  <c:v>10617.8</c:v>
                </c:pt>
              </c:numCache>
            </c:numRef>
          </c:val>
          <c:extLst>
            <c:ext xmlns:c16="http://schemas.microsoft.com/office/drawing/2014/chart" uri="{C3380CC4-5D6E-409C-BE32-E72D297353CC}">
              <c16:uniqueId val="{00000001-EEF4-44C3-BF8E-866AC020E080}"/>
            </c:ext>
          </c:extLst>
        </c:ser>
        <c:ser>
          <c:idx val="0"/>
          <c:order val="1"/>
          <c:tx>
            <c:strRef>
              <c:f>'Izvoz, uvoz (Q)'!$A$8</c:f>
              <c:strCache>
                <c:ptCount val="1"/>
                <c:pt idx="0">
                  <c:v>Извоз</c:v>
                </c:pt>
              </c:strCache>
            </c:strRef>
          </c:tx>
          <c:spPr>
            <a:solidFill>
              <a:srgbClr val="29489A"/>
            </a:solidFill>
            <a:ln>
              <a:noFill/>
            </a:ln>
            <a:effectLst/>
          </c:spPr>
          <c:dLbls>
            <c:dLbl>
              <c:idx val="0"/>
              <c:layout>
                <c:manualLayout>
                  <c:x val="6.9444444444444448E-2"/>
                  <c:y val="0"/>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EEF4-44C3-BF8E-866AC020E080}"/>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(Q)'!$AA$3:$BD$4</c:f>
              <c:multiLvlStrCache>
                <c:ptCount val="30"/>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lvl>
                <c:lvl>
                  <c:pt idx="0">
                    <c:v>2018</c:v>
                  </c:pt>
                  <c:pt idx="4">
                    <c:v>2019</c:v>
                  </c:pt>
                  <c:pt idx="8">
                    <c:v>2020</c:v>
                  </c:pt>
                  <c:pt idx="12">
                    <c:v>2021</c:v>
                  </c:pt>
                  <c:pt idx="16">
                    <c:v>2022</c:v>
                  </c:pt>
                  <c:pt idx="20">
                    <c:v>2023</c:v>
                  </c:pt>
                  <c:pt idx="24">
                    <c:v>2024</c:v>
                  </c:pt>
                  <c:pt idx="28">
                    <c:v>2025</c:v>
                  </c:pt>
                </c:lvl>
              </c:multiLvlStrCache>
            </c:multiLvlStrRef>
          </c:cat>
          <c:val>
            <c:numRef>
              <c:f>'Izvoz, uvoz (Q)'!$AA$8:$BD$8</c:f>
              <c:numCache>
                <c:formatCode>#,##0.0</c:formatCode>
                <c:ptCount val="30"/>
                <c:pt idx="0">
                  <c:v>3854.2</c:v>
                </c:pt>
                <c:pt idx="1">
                  <c:v>4239.2</c:v>
                </c:pt>
                <c:pt idx="2">
                  <c:v>4120.8999999999996</c:v>
                </c:pt>
                <c:pt idx="3">
                  <c:v>4175.5</c:v>
                </c:pt>
                <c:pt idx="4">
                  <c:v>4113</c:v>
                </c:pt>
                <c:pt idx="5">
                  <c:v>4540.2999999999993</c:v>
                </c:pt>
                <c:pt idx="6">
                  <c:v>4438.7000000000007</c:v>
                </c:pt>
                <c:pt idx="7">
                  <c:v>4561.7999999999993</c:v>
                </c:pt>
                <c:pt idx="8">
                  <c:v>4258.2</c:v>
                </c:pt>
                <c:pt idx="9">
                  <c:v>3617</c:v>
                </c:pt>
                <c:pt idx="10">
                  <c:v>4381.0999999999995</c:v>
                </c:pt>
                <c:pt idx="11">
                  <c:v>4880.9000000000005</c:v>
                </c:pt>
                <c:pt idx="12">
                  <c:v>4888.5</c:v>
                </c:pt>
                <c:pt idx="13">
                  <c:v>5290.7</c:v>
                </c:pt>
                <c:pt idx="14">
                  <c:v>5615.6</c:v>
                </c:pt>
                <c:pt idx="15">
                  <c:v>6063.4</c:v>
                </c:pt>
                <c:pt idx="16">
                  <c:v>6315</c:v>
                </c:pt>
                <c:pt idx="17">
                  <c:v>7022.1</c:v>
                </c:pt>
                <c:pt idx="18">
                  <c:v>7019.4</c:v>
                </c:pt>
                <c:pt idx="19">
                  <c:v>7249.4</c:v>
                </c:pt>
                <c:pt idx="20">
                  <c:v>7299</c:v>
                </c:pt>
                <c:pt idx="21">
                  <c:v>7294.6</c:v>
                </c:pt>
                <c:pt idx="22">
                  <c:v>6932</c:v>
                </c:pt>
                <c:pt idx="23">
                  <c:v>7109.7</c:v>
                </c:pt>
                <c:pt idx="24">
                  <c:v>7299.8</c:v>
                </c:pt>
                <c:pt idx="25">
                  <c:v>7706.4</c:v>
                </c:pt>
                <c:pt idx="26">
                  <c:v>7630.1</c:v>
                </c:pt>
                <c:pt idx="27">
                  <c:v>7867.1</c:v>
                </c:pt>
                <c:pt idx="28">
                  <c:v>8133.1999999999989</c:v>
                </c:pt>
                <c:pt idx="29">
                  <c:v>8451.1</c:v>
                </c:pt>
              </c:numCache>
            </c:numRef>
          </c:val>
          <c:extLst>
            <c:ext xmlns:c16="http://schemas.microsoft.com/office/drawing/2014/chart" uri="{C3380CC4-5D6E-409C-BE32-E72D297353CC}">
              <c16:uniqueId val="{00000003-EEF4-44C3-BF8E-866AC020E080}"/>
            </c:ext>
          </c:extLst>
        </c:ser>
        <c:ser>
          <c:idx val="2"/>
          <c:order val="2"/>
          <c:tx>
            <c:strRef>
              <c:f>'Izvoz, uvoz (Q)'!$A$9</c:f>
              <c:strCache>
                <c:ptCount val="1"/>
                <c:pt idx="0">
                  <c:v>Дефицит</c:v>
                </c:pt>
              </c:strCache>
            </c:strRef>
          </c:tx>
          <c:spPr>
            <a:solidFill>
              <a:srgbClr val="ED1C24"/>
            </a:solidFill>
            <a:ln>
              <a:noFill/>
            </a:ln>
            <a:effectLst/>
          </c:spPr>
          <c:dLbls>
            <c:dLbl>
              <c:idx val="0"/>
              <c:layout>
                <c:manualLayout>
                  <c:x val="6.4814814814814811E-2"/>
                  <c:y val="-1.6006402561024483E-2"/>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EEF4-44C3-BF8E-866AC020E080}"/>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(Q)'!$AA$3:$BD$4</c:f>
              <c:multiLvlStrCache>
                <c:ptCount val="30"/>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lvl>
                <c:lvl>
                  <c:pt idx="0">
                    <c:v>2018</c:v>
                  </c:pt>
                  <c:pt idx="4">
                    <c:v>2019</c:v>
                  </c:pt>
                  <c:pt idx="8">
                    <c:v>2020</c:v>
                  </c:pt>
                  <c:pt idx="12">
                    <c:v>2021</c:v>
                  </c:pt>
                  <c:pt idx="16">
                    <c:v>2022</c:v>
                  </c:pt>
                  <c:pt idx="20">
                    <c:v>2023</c:v>
                  </c:pt>
                  <c:pt idx="24">
                    <c:v>2024</c:v>
                  </c:pt>
                  <c:pt idx="28">
                    <c:v>2025</c:v>
                  </c:pt>
                </c:lvl>
              </c:multiLvlStrCache>
            </c:multiLvlStrRef>
          </c:cat>
          <c:val>
            <c:numRef>
              <c:f>'Izvoz, uvoz (Q)'!$AA$9:$BD$9</c:f>
              <c:numCache>
                <c:formatCode>#,##0.0</c:formatCode>
                <c:ptCount val="30"/>
                <c:pt idx="0">
                  <c:v>-1257.9000000000005</c:v>
                </c:pt>
                <c:pt idx="1">
                  <c:v>-1238.4000000000005</c:v>
                </c:pt>
                <c:pt idx="2">
                  <c:v>-1336.1000000000004</c:v>
                </c:pt>
                <c:pt idx="3">
                  <c:v>-1833.4999999999991</c:v>
                </c:pt>
                <c:pt idx="4">
                  <c:v>-1521.8000000000002</c:v>
                </c:pt>
                <c:pt idx="5">
                  <c:v>-1428.3000000000011</c:v>
                </c:pt>
                <c:pt idx="6">
                  <c:v>-1443.5999999999985</c:v>
                </c:pt>
                <c:pt idx="7">
                  <c:v>-2013.5</c:v>
                </c:pt>
                <c:pt idx="8">
                  <c:v>-1773.0999999999995</c:v>
                </c:pt>
                <c:pt idx="9">
                  <c:v>-1146.3999999999996</c:v>
                </c:pt>
                <c:pt idx="10">
                  <c:v>-1433.1000000000004</c:v>
                </c:pt>
                <c:pt idx="11">
                  <c:v>-1588.0999999999995</c:v>
                </c:pt>
                <c:pt idx="12">
                  <c:v>-1169.3999999999996</c:v>
                </c:pt>
                <c:pt idx="13">
                  <c:v>-1833.9000000000005</c:v>
                </c:pt>
                <c:pt idx="14">
                  <c:v>-1756.5999999999995</c:v>
                </c:pt>
                <c:pt idx="15">
                  <c:v>-2317.1999999999989</c:v>
                </c:pt>
                <c:pt idx="16">
                  <c:v>-3035.1000000000004</c:v>
                </c:pt>
                <c:pt idx="17">
                  <c:v>-3220.8000000000011</c:v>
                </c:pt>
                <c:pt idx="18">
                  <c:v>-2361.2000000000007</c:v>
                </c:pt>
                <c:pt idx="19">
                  <c:v>-2791.6000000000004</c:v>
                </c:pt>
                <c:pt idx="20">
                  <c:v>-2141</c:v>
                </c:pt>
                <c:pt idx="21">
                  <c:v>-1912</c:v>
                </c:pt>
                <c:pt idx="22">
                  <c:v>-1635.9000000000015</c:v>
                </c:pt>
                <c:pt idx="23">
                  <c:v>-2536.5000000000009</c:v>
                </c:pt>
                <c:pt idx="24">
                  <c:v>-1824.2999999999984</c:v>
                </c:pt>
                <c:pt idx="25">
                  <c:v>-2045.8999999999996</c:v>
                </c:pt>
                <c:pt idx="26">
                  <c:v>-2179.6999999999989</c:v>
                </c:pt>
                <c:pt idx="27">
                  <c:v>-2490.8999999999996</c:v>
                </c:pt>
                <c:pt idx="28">
                  <c:v>-2126.0000000000018</c:v>
                </c:pt>
                <c:pt idx="29">
                  <c:v>-2166.6999999999989</c:v>
                </c:pt>
              </c:numCache>
            </c:numRef>
          </c:val>
          <c:extLst>
            <c:ext xmlns:c16="http://schemas.microsoft.com/office/drawing/2014/chart" uri="{C3380CC4-5D6E-409C-BE32-E72D297353CC}">
              <c16:uniqueId val="{00000005-EEF4-44C3-BF8E-866AC020E080}"/>
            </c:ext>
          </c:extLst>
        </c:ser>
        <c:dLbls>
          <c:showLegendKey val="0"/>
          <c:showVal val="0"/>
          <c:showCatName val="0"/>
          <c:showSerName val="0"/>
          <c:showPercent val="0"/>
          <c:showBubbleSize val="0"/>
        </c:dLbls>
        <c:axId val="1839202064"/>
        <c:axId val="1839196624"/>
      </c:areaChart>
      <c:catAx>
        <c:axId val="18392020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5400000" spcFirstLastPara="1" vertOverflow="ellipsis" wrap="square" anchor="ctr" anchorCtr="1"/>
          <a:lstStyle/>
          <a:p>
            <a:pPr>
              <a:defRPr sz="600" b="0" i="0" u="none" strike="noStrike" kern="1200" baseline="0">
                <a:solidFill>
                  <a:schemeClr val="tx2"/>
                </a:solidFill>
                <a:latin typeface="+mn-lt"/>
                <a:ea typeface="+mn-ea"/>
                <a:cs typeface="+mn-cs"/>
              </a:defRPr>
            </a:pPr>
            <a:endParaRPr lang="en-US"/>
          </a:p>
        </c:txPr>
        <c:crossAx val="1839196624"/>
        <c:crosses val="autoZero"/>
        <c:auto val="1"/>
        <c:lblAlgn val="ctr"/>
        <c:lblOffset val="0"/>
        <c:tickLblSkip val="1"/>
        <c:noMultiLvlLbl val="0"/>
      </c:catAx>
      <c:valAx>
        <c:axId val="183919662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202064"/>
        <c:crosses val="autoZero"/>
        <c:crossBetween val="between"/>
        <c:majorUnit val="1500"/>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39150826485673E-2"/>
          <c:y val="3.2258064516129031E-2"/>
          <c:w val="0.90409995360749396"/>
          <c:h val="0.75972906612479885"/>
        </c:manualLayout>
      </c:layout>
      <c:barChart>
        <c:barDir val="col"/>
        <c:grouping val="stacked"/>
        <c:varyColors val="0"/>
        <c:ser>
          <c:idx val="0"/>
          <c:order val="1"/>
          <c:tx>
            <c:strRef>
              <c:f>'Struktura CA i FA'!$B$10</c:f>
              <c:strCache>
                <c:ptCount val="1"/>
                <c:pt idx="0">
                  <c:v>Салдо робне размене </c:v>
                </c:pt>
              </c:strCache>
            </c:strRef>
          </c:tx>
          <c:spPr>
            <a:solidFill>
              <a:srgbClr val="10103C"/>
            </a:solidFill>
            <a:ln>
              <a:noFill/>
            </a:ln>
            <a:effectLst/>
          </c:spPr>
          <c:invertIfNegative val="0"/>
          <c:cat>
            <c:strRef>
              <c:f>'Struktura CA i FA'!$J$8:$P$8</c:f>
              <c:strCache>
                <c:ptCount val="7"/>
                <c:pt idx="0">
                  <c:v>2022</c:v>
                </c:pt>
                <c:pt idx="1">
                  <c:v>2023</c:v>
                </c:pt>
                <c:pt idx="2">
                  <c:v>2024</c:v>
                </c:pt>
                <c:pt idx="3">
                  <c:v>2025*</c:v>
                </c:pt>
                <c:pt idx="4">
                  <c:v>2026</c:v>
                </c:pt>
                <c:pt idx="5">
                  <c:v>2027</c:v>
                </c:pt>
                <c:pt idx="6">
                  <c:v>2028</c:v>
                </c:pt>
              </c:strCache>
            </c:strRef>
          </c:cat>
          <c:val>
            <c:numRef>
              <c:f>'Struktura CA i FA'!$J$10:$P$10</c:f>
              <c:numCache>
                <c:formatCode>0.0</c:formatCode>
                <c:ptCount val="7"/>
                <c:pt idx="0">
                  <c:v>-14.74374678812748</c:v>
                </c:pt>
                <c:pt idx="1">
                  <c:v>-8.8138248378462922</c:v>
                </c:pt>
                <c:pt idx="2">
                  <c:v>-8.1309661614029238</c:v>
                </c:pt>
                <c:pt idx="3">
                  <c:v>-8.3136131799153823</c:v>
                </c:pt>
                <c:pt idx="4">
                  <c:v>-10.004727315204766</c:v>
                </c:pt>
                <c:pt idx="5">
                  <c:v>-10.291419537794548</c:v>
                </c:pt>
                <c:pt idx="6">
                  <c:v>-9.748206044481833</c:v>
                </c:pt>
              </c:numCache>
            </c:numRef>
          </c:val>
          <c:extLst>
            <c:ext xmlns:c16="http://schemas.microsoft.com/office/drawing/2014/chart" uri="{C3380CC4-5D6E-409C-BE32-E72D297353CC}">
              <c16:uniqueId val="{00000000-E5E1-4465-9181-08AA75369EBB}"/>
            </c:ext>
          </c:extLst>
        </c:ser>
        <c:ser>
          <c:idx val="1"/>
          <c:order val="2"/>
          <c:tx>
            <c:strRef>
              <c:f>'Struktura CA i FA'!$B$11</c:f>
              <c:strCache>
                <c:ptCount val="1"/>
                <c:pt idx="0">
                  <c:v>Салдо услугa</c:v>
                </c:pt>
              </c:strCache>
            </c:strRef>
          </c:tx>
          <c:spPr>
            <a:solidFill>
              <a:srgbClr val="29489A"/>
            </a:solidFill>
            <a:ln>
              <a:noFill/>
            </a:ln>
            <a:effectLst/>
          </c:spPr>
          <c:invertIfNegative val="0"/>
          <c:cat>
            <c:strRef>
              <c:f>'Struktura CA i FA'!$J$8:$P$8</c:f>
              <c:strCache>
                <c:ptCount val="7"/>
                <c:pt idx="0">
                  <c:v>2022</c:v>
                </c:pt>
                <c:pt idx="1">
                  <c:v>2023</c:v>
                </c:pt>
                <c:pt idx="2">
                  <c:v>2024</c:v>
                </c:pt>
                <c:pt idx="3">
                  <c:v>2025*</c:v>
                </c:pt>
                <c:pt idx="4">
                  <c:v>2026</c:v>
                </c:pt>
                <c:pt idx="5">
                  <c:v>2027</c:v>
                </c:pt>
                <c:pt idx="6">
                  <c:v>2028</c:v>
                </c:pt>
              </c:strCache>
            </c:strRef>
          </c:cat>
          <c:val>
            <c:numRef>
              <c:f>'Struktura CA i FA'!$J$11:$P$11</c:f>
              <c:numCache>
                <c:formatCode>0.0</c:formatCode>
                <c:ptCount val="7"/>
                <c:pt idx="0">
                  <c:v>3.6437872920146996</c:v>
                </c:pt>
                <c:pt idx="1">
                  <c:v>4.1269349393273336</c:v>
                </c:pt>
                <c:pt idx="2">
                  <c:v>3.3870371365928063</c:v>
                </c:pt>
                <c:pt idx="3">
                  <c:v>3.2288342770807539</c:v>
                </c:pt>
                <c:pt idx="4">
                  <c:v>3.663092134642449</c:v>
                </c:pt>
                <c:pt idx="5">
                  <c:v>5.2091814670885199</c:v>
                </c:pt>
                <c:pt idx="6">
                  <c:v>4.6216748015703057</c:v>
                </c:pt>
              </c:numCache>
            </c:numRef>
          </c:val>
          <c:extLst>
            <c:ext xmlns:c16="http://schemas.microsoft.com/office/drawing/2014/chart" uri="{C3380CC4-5D6E-409C-BE32-E72D297353CC}">
              <c16:uniqueId val="{00000001-E5E1-4465-9181-08AA75369EBB}"/>
            </c:ext>
          </c:extLst>
        </c:ser>
        <c:ser>
          <c:idx val="2"/>
          <c:order val="3"/>
          <c:tx>
            <c:strRef>
              <c:f>'Struktura CA i FA'!$B$12</c:f>
              <c:strCache>
                <c:ptCount val="1"/>
                <c:pt idx="0">
                  <c:v>Салдо дохотка           </c:v>
                </c:pt>
              </c:strCache>
            </c:strRef>
          </c:tx>
          <c:spPr>
            <a:solidFill>
              <a:srgbClr val="2183C4"/>
            </a:solidFill>
            <a:ln>
              <a:noFill/>
            </a:ln>
            <a:effectLst/>
          </c:spPr>
          <c:invertIfNegative val="0"/>
          <c:cat>
            <c:strRef>
              <c:f>'Struktura CA i FA'!$J$8:$P$8</c:f>
              <c:strCache>
                <c:ptCount val="7"/>
                <c:pt idx="0">
                  <c:v>2022</c:v>
                </c:pt>
                <c:pt idx="1">
                  <c:v>2023</c:v>
                </c:pt>
                <c:pt idx="2">
                  <c:v>2024</c:v>
                </c:pt>
                <c:pt idx="3">
                  <c:v>2025*</c:v>
                </c:pt>
                <c:pt idx="4">
                  <c:v>2026</c:v>
                </c:pt>
                <c:pt idx="5">
                  <c:v>2027</c:v>
                </c:pt>
                <c:pt idx="6">
                  <c:v>2028</c:v>
                </c:pt>
              </c:strCache>
            </c:strRef>
          </c:cat>
          <c:val>
            <c:numRef>
              <c:f>'Struktura CA i FA'!$J$12:$P$12</c:f>
              <c:numCache>
                <c:formatCode>0.0</c:formatCode>
                <c:ptCount val="7"/>
                <c:pt idx="0">
                  <c:v>-4.7251512291908506</c:v>
                </c:pt>
                <c:pt idx="1">
                  <c:v>-5.2090928950121098</c:v>
                </c:pt>
                <c:pt idx="2">
                  <c:v>-6.2690686790263905</c:v>
                </c:pt>
                <c:pt idx="3">
                  <c:v>-5.7595217550295361</c:v>
                </c:pt>
                <c:pt idx="4">
                  <c:v>-5.1383727253712967</c:v>
                </c:pt>
                <c:pt idx="5">
                  <c:v>-4.7914895067875429</c:v>
                </c:pt>
                <c:pt idx="6">
                  <c:v>-4.8043127451720942</c:v>
                </c:pt>
              </c:numCache>
            </c:numRef>
          </c:val>
          <c:extLst>
            <c:ext xmlns:c16="http://schemas.microsoft.com/office/drawing/2014/chart" uri="{C3380CC4-5D6E-409C-BE32-E72D297353CC}">
              <c16:uniqueId val="{00000002-E5E1-4465-9181-08AA75369EBB}"/>
            </c:ext>
          </c:extLst>
        </c:ser>
        <c:ser>
          <c:idx val="3"/>
          <c:order val="4"/>
          <c:tx>
            <c:strRef>
              <c:f>'Struktura CA i FA'!$B$13</c:f>
              <c:strCache>
                <c:ptCount val="1"/>
                <c:pt idx="0">
                  <c:v>Салдо текућих трансфера</c:v>
                </c:pt>
              </c:strCache>
            </c:strRef>
          </c:tx>
          <c:spPr>
            <a:solidFill>
              <a:srgbClr val="51BBE7"/>
            </a:solidFill>
            <a:ln>
              <a:noFill/>
            </a:ln>
            <a:effectLst/>
          </c:spPr>
          <c:invertIfNegative val="0"/>
          <c:cat>
            <c:strRef>
              <c:f>'Struktura CA i FA'!$J$8:$P$8</c:f>
              <c:strCache>
                <c:ptCount val="7"/>
                <c:pt idx="0">
                  <c:v>2022</c:v>
                </c:pt>
                <c:pt idx="1">
                  <c:v>2023</c:v>
                </c:pt>
                <c:pt idx="2">
                  <c:v>2024</c:v>
                </c:pt>
                <c:pt idx="3">
                  <c:v>2025*</c:v>
                </c:pt>
                <c:pt idx="4">
                  <c:v>2026</c:v>
                </c:pt>
                <c:pt idx="5">
                  <c:v>2027</c:v>
                </c:pt>
                <c:pt idx="6">
                  <c:v>2028</c:v>
                </c:pt>
              </c:strCache>
            </c:strRef>
          </c:cat>
          <c:val>
            <c:numRef>
              <c:f>'Struktura CA i FA'!$J$13:$P$13</c:f>
              <c:numCache>
                <c:formatCode>0.0</c:formatCode>
                <c:ptCount val="7"/>
                <c:pt idx="0">
                  <c:v>9.2717428978726986</c:v>
                </c:pt>
                <c:pt idx="1">
                  <c:v>7.497571139463945</c:v>
                </c:pt>
                <c:pt idx="2">
                  <c:v>6.4638221604672434</c:v>
                </c:pt>
                <c:pt idx="3">
                  <c:v>5.567537696528551</c:v>
                </c:pt>
                <c:pt idx="4">
                  <c:v>5.4344106601663507</c:v>
                </c:pt>
                <c:pt idx="5">
                  <c:v>5.0057431026195074</c:v>
                </c:pt>
                <c:pt idx="6">
                  <c:v>4.8500681046499245</c:v>
                </c:pt>
              </c:numCache>
            </c:numRef>
          </c:val>
          <c:extLst>
            <c:ext xmlns:c16="http://schemas.microsoft.com/office/drawing/2014/chart" uri="{C3380CC4-5D6E-409C-BE32-E72D297353CC}">
              <c16:uniqueId val="{00000003-E5E1-4465-9181-08AA75369EBB}"/>
            </c:ext>
          </c:extLst>
        </c:ser>
        <c:dLbls>
          <c:showLegendKey val="0"/>
          <c:showVal val="0"/>
          <c:showCatName val="0"/>
          <c:showSerName val="0"/>
          <c:showPercent val="0"/>
          <c:showBubbleSize val="0"/>
        </c:dLbls>
        <c:gapWidth val="50"/>
        <c:overlap val="100"/>
        <c:axId val="1763590384"/>
        <c:axId val="1763611056"/>
      </c:barChart>
      <c:lineChart>
        <c:grouping val="standard"/>
        <c:varyColors val="0"/>
        <c:ser>
          <c:idx val="4"/>
          <c:order val="0"/>
          <c:tx>
            <c:strRef>
              <c:f>'Struktura CA i FA'!$B$9</c:f>
              <c:strCache>
                <c:ptCount val="1"/>
                <c:pt idx="0">
                  <c:v>Дефицит текућег рачуна</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'Struktura CA i FA'!$J$8:$P$8</c:f>
              <c:strCache>
                <c:ptCount val="7"/>
                <c:pt idx="0">
                  <c:v>2022</c:v>
                </c:pt>
                <c:pt idx="1">
                  <c:v>2023</c:v>
                </c:pt>
                <c:pt idx="2">
                  <c:v>2024</c:v>
                </c:pt>
                <c:pt idx="3">
                  <c:v>2025*</c:v>
                </c:pt>
                <c:pt idx="4">
                  <c:v>2026</c:v>
                </c:pt>
                <c:pt idx="5">
                  <c:v>2027</c:v>
                </c:pt>
                <c:pt idx="6">
                  <c:v>2028</c:v>
                </c:pt>
              </c:strCache>
            </c:strRef>
          </c:cat>
          <c:val>
            <c:numRef>
              <c:f>'Struktura CA i FA'!$J$9:$P$9</c:f>
              <c:numCache>
                <c:formatCode>0.0</c:formatCode>
                <c:ptCount val="7"/>
                <c:pt idx="0">
                  <c:v>-6.5533678274309324</c:v>
                </c:pt>
                <c:pt idx="1">
                  <c:v>-2.3984116540671243</c:v>
                </c:pt>
                <c:pt idx="2">
                  <c:v>-4.5491755433692669</c:v>
                </c:pt>
                <c:pt idx="3">
                  <c:v>-5.2767629613356108</c:v>
                </c:pt>
                <c:pt idx="4">
                  <c:v>-6.0455972457672642</c:v>
                </c:pt>
                <c:pt idx="5">
                  <c:v>-4.8679844748740635</c:v>
                </c:pt>
                <c:pt idx="6">
                  <c:v>-5.0807758834336969</c:v>
                </c:pt>
              </c:numCache>
            </c:numRef>
          </c:val>
          <c:smooth val="0"/>
          <c:extLst>
            <c:ext xmlns:c16="http://schemas.microsoft.com/office/drawing/2014/chart" uri="{C3380CC4-5D6E-409C-BE32-E72D297353CC}">
              <c16:uniqueId val="{00000004-E5E1-4465-9181-08AA75369EBB}"/>
            </c:ext>
          </c:extLst>
        </c:ser>
        <c:dLbls>
          <c:showLegendKey val="0"/>
          <c:showVal val="0"/>
          <c:showCatName val="0"/>
          <c:showSerName val="0"/>
          <c:showPercent val="0"/>
          <c:showBubbleSize val="0"/>
        </c:dLbls>
        <c:marker val="1"/>
        <c:smooth val="0"/>
        <c:axId val="1763590384"/>
        <c:axId val="1763611056"/>
      </c:lineChart>
      <c:catAx>
        <c:axId val="1763590384"/>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bg1"/>
                </a:solidFill>
                <a:latin typeface="+mn-lt"/>
                <a:ea typeface="+mn-ea"/>
                <a:cs typeface="+mn-cs"/>
              </a:defRPr>
            </a:pPr>
            <a:endParaRPr lang="en-US"/>
          </a:p>
        </c:txPr>
        <c:crossAx val="1763611056"/>
        <c:crosses val="autoZero"/>
        <c:auto val="1"/>
        <c:lblAlgn val="ctr"/>
        <c:lblOffset val="100"/>
        <c:noMultiLvlLbl val="0"/>
      </c:catAx>
      <c:valAx>
        <c:axId val="1763611056"/>
        <c:scaling>
          <c:orientation val="minMax"/>
          <c:max val="15"/>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3590384"/>
        <c:crosses val="autoZero"/>
        <c:crossBetween val="between"/>
        <c:majorUnit val="5"/>
      </c:valAx>
      <c:spPr>
        <a:noFill/>
        <a:ln>
          <a:noFill/>
        </a:ln>
        <a:effectLst/>
      </c:spPr>
    </c:plotArea>
    <c:legend>
      <c:legendPos val="b"/>
      <c:layout>
        <c:manualLayout>
          <c:xMode val="edge"/>
          <c:yMode val="edge"/>
          <c:x val="1.14209682123068E-3"/>
          <c:y val="0.85112691558716447"/>
          <c:w val="0.99885790317876932"/>
          <c:h val="0.148873084412835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r>
              <a:rPr lang="sr-Cyrl-RS" sz="900" b="1">
                <a:solidFill>
                  <a:srgbClr val="002060"/>
                </a:solidFill>
              </a:rPr>
              <a:t>Стопа</a:t>
            </a:r>
            <a:r>
              <a:rPr lang="sr-Cyrl-RS" sz="900" b="1" baseline="0">
                <a:solidFill>
                  <a:srgbClr val="002060"/>
                </a:solidFill>
              </a:rPr>
              <a:t> раста БДП Италије</a:t>
            </a:r>
            <a:r>
              <a:rPr lang="sr-Cyrl-RS" sz="900" b="1">
                <a:solidFill>
                  <a:srgbClr val="002060"/>
                </a:solidFill>
              </a:rPr>
              <a:t>, %</a:t>
            </a:r>
          </a:p>
        </c:rich>
      </c:tx>
      <c:layout>
        <c:manualLayout>
          <c:xMode val="edge"/>
          <c:yMode val="edge"/>
          <c:x val="0.2803415718868475"/>
          <c:y val="2.8877057291508572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857688888888889"/>
          <c:w val="0.88876071125802292"/>
          <c:h val="0.69037815916803769"/>
        </c:manualLayout>
      </c:layout>
      <c:lineChart>
        <c:grouping val="standard"/>
        <c:varyColors val="0"/>
        <c:ser>
          <c:idx val="0"/>
          <c:order val="0"/>
          <c:tx>
            <c:strRef>
              <c:f>'Nemacka, Italija, realni rast'!$A$20</c:f>
              <c:strCache>
                <c:ptCount val="1"/>
                <c:pt idx="0">
                  <c:v>окт. 2024.</c:v>
                </c:pt>
              </c:strCache>
            </c:strRef>
          </c:tx>
          <c:spPr>
            <a:ln w="25400" cap="rnd">
              <a:solidFill>
                <a:schemeClr val="accent4"/>
              </a:solidFill>
              <a:prstDash val="sysDot"/>
              <a:round/>
            </a:ln>
            <a:effectLst/>
          </c:spPr>
          <c:marker>
            <c:symbol val="none"/>
          </c:marker>
          <c:dLbls>
            <c:dLbl>
              <c:idx val="0"/>
              <c:layout>
                <c:manualLayout>
                  <c:x val="2.2848662962408225E-2"/>
                  <c:y val="-5.85341108987078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9AB-4D22-9796-E1870D519415}"/>
                </c:ext>
              </c:extLst>
            </c:dLbl>
            <c:dLbl>
              <c:idx val="1"/>
              <c:layout>
                <c:manualLayout>
                  <c:x val="-7.3645403292534134E-2"/>
                  <c:y val="-6.37284396916695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9AB-4D22-9796-E1870D519415}"/>
                </c:ext>
              </c:extLst>
            </c:dLbl>
            <c:dLbl>
              <c:idx val="2"/>
              <c:layout>
                <c:manualLayout>
                  <c:x val="-2.73904027617617E-2"/>
                  <c:y val="2.09679938304860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AB-4D22-9796-E1870D519415}"/>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rast'!$E$19:$I$19</c:f>
              <c:numCache>
                <c:formatCode>General</c:formatCode>
                <c:ptCount val="3"/>
                <c:pt idx="0">
                  <c:v>2024</c:v>
                </c:pt>
                <c:pt idx="1">
                  <c:v>2025</c:v>
                </c:pt>
                <c:pt idx="2">
                  <c:v>2026</c:v>
                </c:pt>
              </c:numCache>
            </c:numRef>
          </c:cat>
          <c:val>
            <c:numRef>
              <c:f>'Nemacka, Italija, realni rast'!$E$20:$I$20</c:f>
              <c:numCache>
                <c:formatCode>0.0</c:formatCode>
                <c:ptCount val="3"/>
                <c:pt idx="0">
                  <c:v>0.67200000000000004</c:v>
                </c:pt>
                <c:pt idx="1">
                  <c:v>0.76200000000000001</c:v>
                </c:pt>
                <c:pt idx="2">
                  <c:v>0.7</c:v>
                </c:pt>
              </c:numCache>
            </c:numRef>
          </c:val>
          <c:smooth val="0"/>
          <c:extLst>
            <c:ext xmlns:c16="http://schemas.microsoft.com/office/drawing/2014/chart" uri="{C3380CC4-5D6E-409C-BE32-E72D297353CC}">
              <c16:uniqueId val="{00000003-49AB-4D22-9796-E1870D519415}"/>
            </c:ext>
          </c:extLst>
        </c:ser>
        <c:ser>
          <c:idx val="1"/>
          <c:order val="1"/>
          <c:tx>
            <c:strRef>
              <c:f>'Nemacka, Italija, realni rast'!$A$21</c:f>
              <c:strCache>
                <c:ptCount val="1"/>
                <c:pt idx="0">
                  <c:v>апр. 2025.</c:v>
                </c:pt>
              </c:strCache>
            </c:strRef>
          </c:tx>
          <c:spPr>
            <a:ln w="22225" cap="rnd">
              <a:solidFill>
                <a:srgbClr val="002060"/>
              </a:solidFill>
              <a:prstDash val="sysDash"/>
              <a:round/>
            </a:ln>
            <a:effectLst/>
          </c:spPr>
          <c:marker>
            <c:symbol val="none"/>
          </c:marker>
          <c:dLbls>
            <c:dLbl>
              <c:idx val="0"/>
              <c:layout>
                <c:manualLayout>
                  <c:x val="-0.14296173930493533"/>
                  <c:y val="1.72349294246831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9AB-4D22-9796-E1870D519415}"/>
                </c:ext>
              </c:extLst>
            </c:dLbl>
            <c:dLbl>
              <c:idx val="1"/>
              <c:layout>
                <c:manualLayout>
                  <c:x val="-4.2065533673512423E-3"/>
                  <c:y val="1.91689558194521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9AB-4D22-9796-E1870D519415}"/>
                </c:ext>
              </c:extLst>
            </c:dLbl>
            <c:dLbl>
              <c:idx val="2"/>
              <c:layout>
                <c:manualLayout>
                  <c:x val="3.1155615208884401E-4"/>
                  <c:y val="4.82211194471650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9AB-4D22-9796-E1870D519415}"/>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rast'!$E$19:$I$19</c:f>
              <c:numCache>
                <c:formatCode>General</c:formatCode>
                <c:ptCount val="3"/>
                <c:pt idx="0">
                  <c:v>2024</c:v>
                </c:pt>
                <c:pt idx="1">
                  <c:v>2025</c:v>
                </c:pt>
                <c:pt idx="2">
                  <c:v>2026</c:v>
                </c:pt>
              </c:numCache>
            </c:numRef>
          </c:cat>
          <c:val>
            <c:numRef>
              <c:f>'Nemacka, Italija, realni rast'!$E$21:$I$21</c:f>
              <c:numCache>
                <c:formatCode>0.0</c:formatCode>
                <c:ptCount val="3"/>
                <c:pt idx="0">
                  <c:v>0.72599999999999998</c:v>
                </c:pt>
                <c:pt idx="1">
                  <c:v>0.44</c:v>
                </c:pt>
                <c:pt idx="2">
                  <c:v>0.83499999999999996</c:v>
                </c:pt>
              </c:numCache>
            </c:numRef>
          </c:val>
          <c:smooth val="0"/>
          <c:extLst>
            <c:ext xmlns:c16="http://schemas.microsoft.com/office/drawing/2014/chart" uri="{C3380CC4-5D6E-409C-BE32-E72D297353CC}">
              <c16:uniqueId val="{00000007-49AB-4D22-9796-E1870D519415}"/>
            </c:ext>
          </c:extLst>
        </c:ser>
        <c:ser>
          <c:idx val="2"/>
          <c:order val="2"/>
          <c:tx>
            <c:strRef>
              <c:f>'Nemacka, Italija, realni rast'!$A$22</c:f>
              <c:strCache>
                <c:ptCount val="1"/>
                <c:pt idx="0">
                  <c:v>окт. 2025.</c:v>
                </c:pt>
              </c:strCache>
            </c:strRef>
          </c:tx>
          <c:spPr>
            <a:ln w="28575" cap="rnd">
              <a:solidFill>
                <a:srgbClr val="FF0000"/>
              </a:solidFill>
              <a:round/>
            </a:ln>
            <a:effectLst/>
          </c:spPr>
          <c:marker>
            <c:symbol val="none"/>
          </c:marker>
          <c:dLbls>
            <c:dLbl>
              <c:idx val="0"/>
              <c:layout>
                <c:manualLayout>
                  <c:x val="-8.290554710600008E-2"/>
                  <c:y val="-1.5375055841607185E-2"/>
                </c:manualLayout>
              </c:layout>
              <c:tx>
                <c:rich>
                  <a:bodyPr/>
                  <a:lstStyle/>
                  <a:p>
                    <a:fld id="{9CEB5E0B-8836-412F-8C36-DD0943CEE504}" type="VALUE">
                      <a:rPr lang="en-US" sz="700">
                        <a:solidFill>
                          <a:schemeClr val="bg1"/>
                        </a:solidFill>
                      </a:rPr>
                      <a:pPr/>
                      <a:t>[VALUE]</a:t>
                    </a:fld>
                    <a:endParaRPr lang="sr-Latn-RS"/>
                  </a:p>
                </c:rich>
              </c:tx>
              <c:dLblPos val="r"/>
              <c:showLegendKey val="0"/>
              <c:showVal val="1"/>
              <c:showCatName val="0"/>
              <c:showSerName val="0"/>
              <c:showPercent val="0"/>
              <c:showBubbleSize val="0"/>
              <c:extLst>
                <c:ext xmlns:c15="http://schemas.microsoft.com/office/drawing/2012/chart" uri="{CE6537A1-D6FC-4f65-9D91-7224C49458BB}">
                  <c15:layout>
                    <c:manualLayout>
                      <c:w val="0.10227948586327593"/>
                      <c:h val="0.11361239810798343"/>
                    </c:manualLayout>
                  </c15:layout>
                  <c15:dlblFieldTable/>
                  <c15:showDataLabelsRange val="0"/>
                </c:ext>
                <c:ext xmlns:c16="http://schemas.microsoft.com/office/drawing/2014/chart" uri="{C3380CC4-5D6E-409C-BE32-E72D297353CC}">
                  <c16:uniqueId val="{00000008-49AB-4D22-9796-E1870D519415}"/>
                </c:ext>
              </c:extLst>
            </c:dLbl>
            <c:dLbl>
              <c:idx val="1"/>
              <c:tx>
                <c:rich>
                  <a:bodyPr/>
                  <a:lstStyle/>
                  <a:p>
                    <a:fld id="{C6CF2CDC-FE80-4EAD-A08D-EAA0E190F4C6}"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49AB-4D22-9796-E1870D519415}"/>
                </c:ext>
              </c:extLst>
            </c:dLbl>
            <c:dLbl>
              <c:idx val="2"/>
              <c:tx>
                <c:rich>
                  <a:bodyPr/>
                  <a:lstStyle/>
                  <a:p>
                    <a:fld id="{59AEC806-C090-4EBD-AF96-B4F75B005E31}"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49AB-4D22-9796-E1870D519415}"/>
                </c:ext>
              </c:extLst>
            </c:dLbl>
            <c:spPr>
              <a:solidFill>
                <a:srgbClr val="ED1C24"/>
              </a:solidFill>
              <a:ln>
                <a:solidFill>
                  <a:srgbClr val="ED1C24"/>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'Nemacka, Italija, realni rast'!$E$19:$I$19</c:f>
              <c:numCache>
                <c:formatCode>General</c:formatCode>
                <c:ptCount val="3"/>
                <c:pt idx="0">
                  <c:v>2024</c:v>
                </c:pt>
                <c:pt idx="1">
                  <c:v>2025</c:v>
                </c:pt>
                <c:pt idx="2">
                  <c:v>2026</c:v>
                </c:pt>
              </c:numCache>
            </c:numRef>
          </c:cat>
          <c:val>
            <c:numRef>
              <c:f>'Nemacka, Italija, realni rast'!$E$22:$I$22</c:f>
              <c:numCache>
                <c:formatCode>0.0</c:formatCode>
                <c:ptCount val="3"/>
                <c:pt idx="0">
                  <c:v>0.72599999999999998</c:v>
                </c:pt>
                <c:pt idx="1">
                  <c:v>0.5</c:v>
                </c:pt>
                <c:pt idx="2">
                  <c:v>0.83499999999999996</c:v>
                </c:pt>
              </c:numCache>
            </c:numRef>
          </c:val>
          <c:smooth val="0"/>
          <c:extLst>
            <c:ext xmlns:c16="http://schemas.microsoft.com/office/drawing/2014/chart" uri="{C3380CC4-5D6E-409C-BE32-E72D297353CC}">
              <c16:uniqueId val="{0000000B-49AB-4D22-9796-E1870D519415}"/>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937445319335081E-2"/>
          <c:y val="5.0925925925925923E-2"/>
          <c:w val="0.92150699912510936"/>
          <c:h val="0.70304067460317465"/>
        </c:manualLayout>
      </c:layout>
      <c:barChart>
        <c:barDir val="col"/>
        <c:grouping val="clustered"/>
        <c:varyColors val="0"/>
        <c:ser>
          <c:idx val="0"/>
          <c:order val="0"/>
          <c:tx>
            <c:strRef>
              <c:f>'Def. tek. racuna i SDI'!$B$8</c:f>
              <c:strCache>
                <c:ptCount val="1"/>
                <c:pt idx="0">
                  <c:v>Дефицит текућег рачуна, % БДП</c:v>
                </c:pt>
              </c:strCache>
            </c:strRef>
          </c:tx>
          <c:spPr>
            <a:solidFill>
              <a:srgbClr val="29489A"/>
            </a:solidFill>
            <a:ln>
              <a:noFill/>
            </a:ln>
            <a:effectLst/>
          </c:spPr>
          <c:invertIfNegative val="0"/>
          <c:cat>
            <c:strRef>
              <c:f>'Def. tek. racuna i SDI'!$I$7:$P$7</c:f>
              <c:strCache>
                <c:ptCount val="8"/>
                <c:pt idx="0">
                  <c:v>2021</c:v>
                </c:pt>
                <c:pt idx="1">
                  <c:v>2022</c:v>
                </c:pt>
                <c:pt idx="2">
                  <c:v>2023</c:v>
                </c:pt>
                <c:pt idx="3">
                  <c:v>2024</c:v>
                </c:pt>
                <c:pt idx="4">
                  <c:v>2025*</c:v>
                </c:pt>
                <c:pt idx="5">
                  <c:v>2026</c:v>
                </c:pt>
                <c:pt idx="6">
                  <c:v>2027</c:v>
                </c:pt>
                <c:pt idx="7">
                  <c:v>2028</c:v>
                </c:pt>
              </c:strCache>
            </c:strRef>
          </c:cat>
          <c:val>
            <c:numRef>
              <c:f>'Def. tek. racuna i SDI'!$I$8:$P$8</c:f>
              <c:numCache>
                <c:formatCode>0.0</c:formatCode>
                <c:ptCount val="8"/>
                <c:pt idx="0">
                  <c:v>4.0507175713207104</c:v>
                </c:pt>
                <c:pt idx="1">
                  <c:v>6.5533678274309324</c:v>
                </c:pt>
                <c:pt idx="2">
                  <c:v>2.3984116540671243</c:v>
                </c:pt>
                <c:pt idx="3">
                  <c:v>4.5491755433692669</c:v>
                </c:pt>
                <c:pt idx="4">
                  <c:v>5.2767629613356108</c:v>
                </c:pt>
                <c:pt idx="5">
                  <c:v>6.0455972457672642</c:v>
                </c:pt>
                <c:pt idx="6">
                  <c:v>4.8679844748740635</c:v>
                </c:pt>
                <c:pt idx="7">
                  <c:v>5.0807758834336969</c:v>
                </c:pt>
              </c:numCache>
            </c:numRef>
          </c:val>
          <c:extLst>
            <c:ext xmlns:c16="http://schemas.microsoft.com/office/drawing/2014/chart" uri="{C3380CC4-5D6E-409C-BE32-E72D297353CC}">
              <c16:uniqueId val="{00000000-D514-4D99-80EA-E827BF144DD8}"/>
            </c:ext>
          </c:extLst>
        </c:ser>
        <c:ser>
          <c:idx val="1"/>
          <c:order val="1"/>
          <c:tx>
            <c:strRef>
              <c:f>'Def. tek. racuna i SDI'!$B$9</c:f>
              <c:strCache>
                <c:ptCount val="1"/>
                <c:pt idx="0">
                  <c:v>Стране директне инвестиције, нето, % БДП</c:v>
                </c:pt>
              </c:strCache>
            </c:strRef>
          </c:tx>
          <c:spPr>
            <a:solidFill>
              <a:srgbClr val="51BBE7"/>
            </a:solidFill>
            <a:ln>
              <a:noFill/>
            </a:ln>
            <a:effectLst/>
          </c:spPr>
          <c:invertIfNegative val="0"/>
          <c:cat>
            <c:strRef>
              <c:f>'Def. tek. racuna i SDI'!$I$7:$P$7</c:f>
              <c:strCache>
                <c:ptCount val="8"/>
                <c:pt idx="0">
                  <c:v>2021</c:v>
                </c:pt>
                <c:pt idx="1">
                  <c:v>2022</c:v>
                </c:pt>
                <c:pt idx="2">
                  <c:v>2023</c:v>
                </c:pt>
                <c:pt idx="3">
                  <c:v>2024</c:v>
                </c:pt>
                <c:pt idx="4">
                  <c:v>2025*</c:v>
                </c:pt>
                <c:pt idx="5">
                  <c:v>2026</c:v>
                </c:pt>
                <c:pt idx="6">
                  <c:v>2027</c:v>
                </c:pt>
                <c:pt idx="7">
                  <c:v>2028</c:v>
                </c:pt>
              </c:strCache>
            </c:strRef>
          </c:cat>
          <c:val>
            <c:numRef>
              <c:f>'Def. tek. racuna i SDI'!$I$9:$P$9</c:f>
              <c:numCache>
                <c:formatCode>0.0</c:formatCode>
                <c:ptCount val="8"/>
                <c:pt idx="0">
                  <c:v>6.5382162780165736</c:v>
                </c:pt>
                <c:pt idx="1">
                  <c:v>6.8147061719302586</c:v>
                </c:pt>
                <c:pt idx="2">
                  <c:v>5.6666361080420993</c:v>
                </c:pt>
                <c:pt idx="3">
                  <c:v>5.5520235872597432</c:v>
                </c:pt>
                <c:pt idx="4">
                  <c:v>3.4444198731058986</c:v>
                </c:pt>
                <c:pt idx="5">
                  <c:v>4.1233855203596823</c:v>
                </c:pt>
                <c:pt idx="6">
                  <c:v>3.9929079223229538</c:v>
                </c:pt>
                <c:pt idx="7">
                  <c:v>3.9715652026755977</c:v>
                </c:pt>
              </c:numCache>
            </c:numRef>
          </c:val>
          <c:extLst>
            <c:ext xmlns:c16="http://schemas.microsoft.com/office/drawing/2014/chart" uri="{C3380CC4-5D6E-409C-BE32-E72D297353CC}">
              <c16:uniqueId val="{00000001-D514-4D99-80EA-E827BF144DD8}"/>
            </c:ext>
          </c:extLst>
        </c:ser>
        <c:dLbls>
          <c:showLegendKey val="0"/>
          <c:showVal val="0"/>
          <c:showCatName val="0"/>
          <c:showSerName val="0"/>
          <c:showPercent val="0"/>
          <c:showBubbleSize val="0"/>
        </c:dLbls>
        <c:gapWidth val="80"/>
        <c:overlap val="-11"/>
        <c:axId val="1839176496"/>
        <c:axId val="1839185744"/>
      </c:barChart>
      <c:catAx>
        <c:axId val="183917649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5744"/>
        <c:crosses val="autoZero"/>
        <c:auto val="1"/>
        <c:lblAlgn val="ctr"/>
        <c:lblOffset val="100"/>
        <c:noMultiLvlLbl val="0"/>
      </c:catAx>
      <c:valAx>
        <c:axId val="183918574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76496"/>
        <c:crosses val="autoZero"/>
        <c:crossBetween val="between"/>
      </c:valAx>
      <c:spPr>
        <a:noFill/>
        <a:ln>
          <a:noFill/>
        </a:ln>
        <a:effectLst/>
      </c:spPr>
    </c:plotArea>
    <c:legend>
      <c:legendPos val="b"/>
      <c:layout>
        <c:manualLayout>
          <c:xMode val="edge"/>
          <c:yMode val="edge"/>
          <c:x val="1.0742927967337418E-2"/>
          <c:y val="0.86493849206349194"/>
          <c:w val="0.97274511918886852"/>
          <c:h val="0.1224620951507275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3">
    <c:autoUpdate val="0"/>
  </c:externalData>
  <c:userShapes r:id="rId4"/>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078156897054534"/>
          <c:y val="6.842047204008643E-2"/>
          <c:w val="0.86098607465733445"/>
          <c:h val="0.89994549266247381"/>
        </c:manualLayout>
      </c:layout>
      <c:barChart>
        <c:barDir val="col"/>
        <c:grouping val="clustered"/>
        <c:varyColors val="0"/>
        <c:ser>
          <c:idx val="0"/>
          <c:order val="0"/>
          <c:tx>
            <c:v>Фискални резултат</c:v>
          </c:tx>
          <c:spPr>
            <a:solidFill>
              <a:schemeClr val="accent1">
                <a:shade val="76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Yearly'!$CU$7:$DB$8,'Quaterly, Yearly'!$DC$7:$DC$8,'Quaterly, Yearly'!$DD$7:$DD$8,'Quaterly, Yearly'!$DE$7:$DE$8)</c:f>
              <c:strCache>
                <c:ptCount val="11"/>
                <c:pt idx="0">
                  <c:v>2015</c:v>
                </c:pt>
                <c:pt idx="1">
                  <c:v>2016</c:v>
                </c:pt>
                <c:pt idx="2">
                  <c:v>2017</c:v>
                </c:pt>
                <c:pt idx="3">
                  <c:v>2018</c:v>
                </c:pt>
                <c:pt idx="4">
                  <c:v>2019</c:v>
                </c:pt>
                <c:pt idx="5">
                  <c:v>2020</c:v>
                </c:pt>
                <c:pt idx="6">
                  <c:v>2021</c:v>
                </c:pt>
                <c:pt idx="7">
                  <c:v>2022</c:v>
                </c:pt>
                <c:pt idx="8">
                  <c:v>2023</c:v>
                </c:pt>
                <c:pt idx="9">
                  <c:v>2024</c:v>
                </c:pt>
                <c:pt idx="10">
                  <c:v>2025</c:v>
                </c:pt>
              </c:strCache>
            </c:strRef>
          </c:cat>
          <c:val>
            <c:numRef>
              <c:f>('Quaterly, Yearly'!$CU$78:$DA$78,'Quaterly, Yearly'!$DB$78,'Quaterly, Yearly'!$DC$78,'Quaterly, Yearly'!$DD$78,'Quaterly, Yearly'!$DE$78)</c:f>
              <c:numCache>
                <c:formatCode>#,##0.00</c:formatCode>
                <c:ptCount val="11"/>
                <c:pt idx="0">
                  <c:v>-3.3187939284991961</c:v>
                </c:pt>
                <c:pt idx="1">
                  <c:v>-1.149397976075984</c:v>
                </c:pt>
                <c:pt idx="2">
                  <c:v>1.0557686096933128</c:v>
                </c:pt>
                <c:pt idx="3">
                  <c:v>0.60940162463875103</c:v>
                </c:pt>
                <c:pt idx="4">
                  <c:v>-0.196032233371843</c:v>
                </c:pt>
                <c:pt idx="5">
                  <c:v>-7.6817157912618725</c:v>
                </c:pt>
                <c:pt idx="6">
                  <c:v>-3.944488655583605</c:v>
                </c:pt>
                <c:pt idx="7">
                  <c:v>-3.013953130357899</c:v>
                </c:pt>
                <c:pt idx="8">
                  <c:v>-2.0537122321791341</c:v>
                </c:pt>
                <c:pt idx="9">
                  <c:v>-1.9681419656425732</c:v>
                </c:pt>
                <c:pt idx="10">
                  <c:v>-3</c:v>
                </c:pt>
              </c:numCache>
            </c:numRef>
          </c:val>
          <c:extLst>
            <c:ext xmlns:c16="http://schemas.microsoft.com/office/drawing/2014/chart" uri="{C3380CC4-5D6E-409C-BE32-E72D297353CC}">
              <c16:uniqueId val="{00000000-27FD-4FC0-AE81-7FC384B452F0}"/>
            </c:ext>
          </c:extLst>
        </c:ser>
        <c:ser>
          <c:idx val="1"/>
          <c:order val="1"/>
          <c:tx>
            <c:v>Примарни фискални резултат</c:v>
          </c:tx>
          <c:spPr>
            <a:solidFill>
              <a:schemeClr val="accent1">
                <a:tint val="77000"/>
              </a:schemeClr>
            </a:solidFill>
            <a:ln>
              <a:noFill/>
            </a:ln>
            <a:effectLst/>
          </c:spPr>
          <c:invertIfNegative val="0"/>
          <c:dLbls>
            <c:dLbl>
              <c:idx val="0"/>
              <c:layout>
                <c:manualLayout>
                  <c:x val="1.132097084431951E-2"/>
                  <c:y val="-2.7233807789914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FD-4FC0-AE81-7FC384B452F0}"/>
                </c:ext>
              </c:extLst>
            </c:dLbl>
            <c:dLbl>
              <c:idx val="1"/>
              <c:layout>
                <c:manualLayout>
                  <c:x val="-3.2073297015369011E-3"/>
                  <c:y val="-1.41424978807239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7FD-4FC0-AE81-7FC384B452F0}"/>
                </c:ext>
              </c:extLst>
            </c:dLbl>
            <c:dLbl>
              <c:idx val="2"/>
              <c:layout>
                <c:manualLayout>
                  <c:x val="-2.4176209155354405E-3"/>
                  <c:y val="-6.6515202784357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7FD-4FC0-AE81-7FC384B452F0}"/>
                </c:ext>
              </c:extLst>
            </c:dLbl>
            <c:dLbl>
              <c:idx val="3"/>
              <c:layout>
                <c:manualLayout>
                  <c:x val="2.6858041798127055E-3"/>
                  <c:y val="3.62947391256674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7FD-4FC0-AE81-7FC384B452F0}"/>
                </c:ext>
              </c:extLst>
            </c:dLbl>
            <c:dLbl>
              <c:idx val="4"/>
              <c:layout>
                <c:manualLayout>
                  <c:x val="-3.9217883120591336E-3"/>
                  <c:y val="-1.08980896450816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7FD-4FC0-AE81-7FC384B452F0}"/>
                </c:ext>
              </c:extLst>
            </c:dLbl>
            <c:dLbl>
              <c:idx val="5"/>
              <c:layout>
                <c:manualLayout>
                  <c:x val="1.8183368791494724E-3"/>
                  <c:y val="-1.3434844974070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7FD-4FC0-AE81-7FC384B452F0}"/>
                </c:ext>
              </c:extLst>
            </c:dLbl>
            <c:dLbl>
              <c:idx val="6"/>
              <c:layout>
                <c:manualLayout>
                  <c:x val="1.3735038279346209E-2"/>
                  <c:y val="-1.31188348229063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7FD-4FC0-AE81-7FC384B452F0}"/>
                </c:ext>
              </c:extLst>
            </c:dLbl>
            <c:dLbl>
              <c:idx val="7"/>
              <c:layout>
                <c:manualLayout>
                  <c:x val="1.9834639029877463E-2"/>
                  <c:y val="-8.47013624652181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7FD-4FC0-AE81-7FC384B452F0}"/>
                </c:ext>
              </c:extLst>
            </c:dLbl>
            <c:dLbl>
              <c:idx val="8"/>
              <c:layout>
                <c:manualLayout>
                  <c:x val="5.4635722476333764E-3"/>
                  <c:y val="8.776520461182104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7FD-4FC0-AE81-7FC384B452F0}"/>
                </c:ext>
              </c:extLst>
            </c:dLbl>
            <c:dLbl>
              <c:idx val="9"/>
              <c:layout>
                <c:manualLayout>
                  <c:x val="4.366405527357735E-3"/>
                  <c:y val="6.303013988298956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7FD-4FC0-AE81-7FC384B452F0}"/>
                </c:ext>
              </c:extLst>
            </c:dLbl>
            <c:dLbl>
              <c:idx val="10"/>
              <c:layout>
                <c:manualLayout>
                  <c:x val="1.0966025080198309E-2"/>
                  <c:y val="2.0060197144853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7FD-4FC0-AE81-7FC384B452F0}"/>
                </c:ext>
              </c:extLst>
            </c:dLbl>
            <c:dLbl>
              <c:idx val="11"/>
              <c:layout>
                <c:manualLayout>
                  <c:x val="-4.746385337205393E-2"/>
                  <c:y val="-2.50967707767667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7FD-4FC0-AE81-7FC384B452F0}"/>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Yearly'!$CU$7:$DB$8,'Quaterly, Yearly'!$DC$7:$DC$8,'Quaterly, Yearly'!$DD$7:$DD$8,'Quaterly, Yearly'!$DE$7:$DE$8)</c:f>
              <c:strCache>
                <c:ptCount val="11"/>
                <c:pt idx="0">
                  <c:v>2015</c:v>
                </c:pt>
                <c:pt idx="1">
                  <c:v>2016</c:v>
                </c:pt>
                <c:pt idx="2">
                  <c:v>2017</c:v>
                </c:pt>
                <c:pt idx="3">
                  <c:v>2018</c:v>
                </c:pt>
                <c:pt idx="4">
                  <c:v>2019</c:v>
                </c:pt>
                <c:pt idx="5">
                  <c:v>2020</c:v>
                </c:pt>
                <c:pt idx="6">
                  <c:v>2021</c:v>
                </c:pt>
                <c:pt idx="7">
                  <c:v>2022</c:v>
                </c:pt>
                <c:pt idx="8">
                  <c:v>2023</c:v>
                </c:pt>
                <c:pt idx="9">
                  <c:v>2024</c:v>
                </c:pt>
                <c:pt idx="10">
                  <c:v>2025</c:v>
                </c:pt>
              </c:strCache>
            </c:strRef>
          </c:cat>
          <c:val>
            <c:numRef>
              <c:f>('Quaterly, Yearly'!$CU$79:$DA$79,'Quaterly, Yearly'!$DB$79,'Quaterly, Yearly'!$DC$79,'Quaterly, Yearly'!$DD$79,'Quaterly, Yearly'!$DE$79)</c:f>
              <c:numCache>
                <c:formatCode>#,##0.00</c:formatCode>
                <c:ptCount val="11"/>
                <c:pt idx="0">
                  <c:v>-0.4519075558326654</c:v>
                </c:pt>
                <c:pt idx="1">
                  <c:v>1.6426873720543391</c:v>
                </c:pt>
                <c:pt idx="2">
                  <c:v>3.4929502757705762</c:v>
                </c:pt>
                <c:pt idx="3">
                  <c:v>2.6358109426223959</c:v>
                </c:pt>
                <c:pt idx="4">
                  <c:v>1.7134410602148162</c:v>
                </c:pt>
                <c:pt idx="5">
                  <c:v>-5.7757245286308958</c:v>
                </c:pt>
                <c:pt idx="6">
                  <c:v>-2.297416110879996</c:v>
                </c:pt>
                <c:pt idx="7">
                  <c:v>-1.5931271448800142</c:v>
                </c:pt>
                <c:pt idx="8">
                  <c:v>-0.49872563756731275</c:v>
                </c:pt>
                <c:pt idx="9">
                  <c:v>-0.25996869226310537</c:v>
                </c:pt>
                <c:pt idx="10">
                  <c:v>-1.2</c:v>
                </c:pt>
              </c:numCache>
            </c:numRef>
          </c:val>
          <c:extLst>
            <c:ext xmlns:c16="http://schemas.microsoft.com/office/drawing/2014/chart" uri="{C3380CC4-5D6E-409C-BE32-E72D297353CC}">
              <c16:uniqueId val="{0000000D-27FD-4FC0-AE81-7FC384B452F0}"/>
            </c:ext>
          </c:extLst>
        </c:ser>
        <c:dLbls>
          <c:showLegendKey val="0"/>
          <c:showVal val="0"/>
          <c:showCatName val="0"/>
          <c:showSerName val="0"/>
          <c:showPercent val="0"/>
          <c:showBubbleSize val="0"/>
        </c:dLbls>
        <c:gapWidth val="150"/>
        <c:axId val="522006368"/>
        <c:axId val="522006928"/>
      </c:barChart>
      <c:catAx>
        <c:axId val="522006368"/>
        <c:scaling>
          <c:orientation val="minMax"/>
        </c:scaling>
        <c:delete val="0"/>
        <c:axPos val="b"/>
        <c:numFmt formatCode="General" sourceLinked="1"/>
        <c:majorTickMark val="out"/>
        <c:minorTickMark val="none"/>
        <c:tickLblPos val="high"/>
        <c:spPr>
          <a:noFill/>
          <a:ln w="12700" cap="flat" cmpd="sng" algn="ctr">
            <a:solidFill>
              <a:schemeClr val="tx1">
                <a:lumMod val="50000"/>
                <a:lumOff val="50000"/>
              </a:schemeClr>
            </a:solidFill>
            <a:prstDash val="sysDash"/>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522006928"/>
        <c:crosses val="autoZero"/>
        <c:auto val="1"/>
        <c:lblAlgn val="ctr"/>
        <c:lblOffset val="100"/>
        <c:noMultiLvlLbl val="0"/>
      </c:catAx>
      <c:valAx>
        <c:axId val="522006928"/>
        <c:scaling>
          <c:orientation val="minMax"/>
          <c:max val="5"/>
          <c:min val="-1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latin typeface="+mn-lt"/>
                  </a:rPr>
                  <a:t>% </a:t>
                </a:r>
                <a:r>
                  <a:rPr lang="sr-Cyrl-RS" sz="800">
                    <a:latin typeface="+mn-lt"/>
                  </a:rPr>
                  <a:t>БДП</a:t>
                </a:r>
                <a:endParaRPr lang="en-US" sz="800">
                  <a:latin typeface="+mn-lt"/>
                </a:endParaRPr>
              </a:p>
            </c:rich>
          </c:tx>
          <c:layout>
            <c:manualLayout>
              <c:xMode val="edge"/>
              <c:yMode val="edge"/>
              <c:x val="1.4466593066470506E-2"/>
              <c:y val="0.48371051118893538"/>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22006368"/>
        <c:crosses val="autoZero"/>
        <c:crossBetween val="between"/>
      </c:valAx>
      <c:spPr>
        <a:noFill/>
        <a:ln>
          <a:noFill/>
        </a:ln>
        <a:effectLst/>
      </c:spPr>
    </c:plotArea>
    <c:legend>
      <c:legendPos val="b"/>
      <c:layout>
        <c:manualLayout>
          <c:xMode val="edge"/>
          <c:yMode val="edge"/>
          <c:x val="9.7233814947361621E-2"/>
          <c:y val="0.87644528463017846"/>
          <c:w val="0.51810891150797223"/>
          <c:h val="0.1152205361251488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latin typeface="Georgia" panose="02040502050405020303" pitchFamily="18" charset="0"/>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j-lt"/>
                <a:ea typeface="+mn-ea"/>
                <a:cs typeface="+mn-cs"/>
              </a:defRPr>
            </a:pPr>
            <a:r>
              <a:rPr lang="sr-Cyrl-RS" sz="800" b="1" i="0" u="none" strike="noStrike" baseline="0">
                <a:solidFill>
                  <a:schemeClr val="tx1">
                    <a:lumMod val="65000"/>
                    <a:lumOff val="35000"/>
                  </a:schemeClr>
                </a:solidFill>
                <a:effectLst/>
                <a:latin typeface="+mj-lt"/>
              </a:rPr>
              <a:t>Фискални подиндекс и подиндекс макро-финансијске конкурентности за земље ЕУ и Србију за  20</a:t>
            </a:r>
            <a:r>
              <a:rPr lang="sr-Latn-RS" sz="800" b="1" i="0" u="none" strike="noStrike" baseline="0">
                <a:solidFill>
                  <a:schemeClr val="tx1">
                    <a:lumMod val="65000"/>
                    <a:lumOff val="35000"/>
                  </a:schemeClr>
                </a:solidFill>
                <a:effectLst/>
                <a:latin typeface="+mj-lt"/>
              </a:rPr>
              <a:t>24.</a:t>
            </a:r>
            <a:r>
              <a:rPr lang="sr-Cyrl-RS" sz="800" b="1" i="0" u="none" strike="noStrike" baseline="0">
                <a:solidFill>
                  <a:schemeClr val="tx1">
                    <a:lumMod val="65000"/>
                    <a:lumOff val="35000"/>
                  </a:schemeClr>
                </a:solidFill>
                <a:effectLst/>
                <a:latin typeface="+mj-lt"/>
              </a:rPr>
              <a:t> годину</a:t>
            </a:r>
            <a:endParaRPr lang="en-US" sz="800" b="1">
              <a:solidFill>
                <a:schemeClr val="tx1">
                  <a:lumMod val="65000"/>
                  <a:lumOff val="35000"/>
                </a:schemeClr>
              </a:solidFill>
              <a:latin typeface="+mj-lt"/>
            </a:endParaRPr>
          </a:p>
        </c:rich>
      </c:tx>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manualLayout>
          <c:layoutTarget val="inner"/>
          <c:xMode val="edge"/>
          <c:yMode val="edge"/>
          <c:x val="0.1184447596224385"/>
          <c:y val="8.2473495136371477E-2"/>
          <c:w val="0.82637941996380893"/>
          <c:h val="0.81333285058353966"/>
        </c:manualLayout>
      </c:layout>
      <c:scatterChart>
        <c:scatterStyle val="smoothMarker"/>
        <c:varyColors val="0"/>
        <c:ser>
          <c:idx val="1"/>
          <c:order val="1"/>
          <c:tx>
            <c:v>Prag fiskalnog podindeksa</c:v>
          </c:tx>
          <c:spPr>
            <a:ln w="12700" cap="rnd">
              <a:solidFill>
                <a:srgbClr val="7030A0"/>
              </a:solidFill>
              <a:round/>
            </a:ln>
            <a:effectLst/>
          </c:spPr>
          <c:marker>
            <c:symbol val="none"/>
          </c:marker>
          <c:xVal>
            <c:numRef>
              <c:f>'2024'!$F$4:$F$31</c:f>
              <c:numCache>
                <c:formatCode>0.00</c:formatCode>
                <c:ptCount val="28"/>
                <c:pt idx="0">
                  <c:v>0.36</c:v>
                </c:pt>
                <c:pt idx="1">
                  <c:v>0.36</c:v>
                </c:pt>
                <c:pt idx="2">
                  <c:v>0.36</c:v>
                </c:pt>
                <c:pt idx="3">
                  <c:v>0.36</c:v>
                </c:pt>
                <c:pt idx="4">
                  <c:v>0.36</c:v>
                </c:pt>
                <c:pt idx="5">
                  <c:v>0.36</c:v>
                </c:pt>
                <c:pt idx="6">
                  <c:v>0.36</c:v>
                </c:pt>
                <c:pt idx="7">
                  <c:v>0.36</c:v>
                </c:pt>
                <c:pt idx="8">
                  <c:v>0.36</c:v>
                </c:pt>
                <c:pt idx="9">
                  <c:v>0.36</c:v>
                </c:pt>
                <c:pt idx="10">
                  <c:v>0.36</c:v>
                </c:pt>
                <c:pt idx="11">
                  <c:v>0.36</c:v>
                </c:pt>
                <c:pt idx="12">
                  <c:v>0.36</c:v>
                </c:pt>
                <c:pt idx="13">
                  <c:v>0.36</c:v>
                </c:pt>
                <c:pt idx="14">
                  <c:v>0.36</c:v>
                </c:pt>
                <c:pt idx="15">
                  <c:v>0.36</c:v>
                </c:pt>
                <c:pt idx="16">
                  <c:v>0.36</c:v>
                </c:pt>
                <c:pt idx="17">
                  <c:v>0.36</c:v>
                </c:pt>
                <c:pt idx="18">
                  <c:v>0.36</c:v>
                </c:pt>
                <c:pt idx="19">
                  <c:v>0.36</c:v>
                </c:pt>
                <c:pt idx="20">
                  <c:v>0.36</c:v>
                </c:pt>
                <c:pt idx="21">
                  <c:v>0.36</c:v>
                </c:pt>
                <c:pt idx="22">
                  <c:v>0.36</c:v>
                </c:pt>
                <c:pt idx="23">
                  <c:v>0.36</c:v>
                </c:pt>
                <c:pt idx="24">
                  <c:v>0.36</c:v>
                </c:pt>
                <c:pt idx="25">
                  <c:v>0.36</c:v>
                </c:pt>
                <c:pt idx="26">
                  <c:v>0.36</c:v>
                </c:pt>
                <c:pt idx="27">
                  <c:v>0.36</c:v>
                </c:pt>
              </c:numCache>
            </c:numRef>
          </c:xVal>
          <c:yVal>
            <c:numRef>
              <c:f>'2024'!$G$4:$G$31</c:f>
              <c:numCache>
                <c:formatCode>0.00</c:formatCode>
                <c:ptCount val="28"/>
                <c:pt idx="0">
                  <c:v>0</c:v>
                </c:pt>
                <c:pt idx="1">
                  <c:v>2.2222222222222223E-2</c:v>
                </c:pt>
                <c:pt idx="2">
                  <c:v>4.4444444444444446E-2</c:v>
                </c:pt>
                <c:pt idx="3">
                  <c:v>6.6666666666666666E-2</c:v>
                </c:pt>
                <c:pt idx="4">
                  <c:v>8.8888888888888892E-2</c:v>
                </c:pt>
                <c:pt idx="5">
                  <c:v>0.11111111111111112</c:v>
                </c:pt>
                <c:pt idx="6">
                  <c:v>0.13333333333333333</c:v>
                </c:pt>
                <c:pt idx="7">
                  <c:v>0.15555555555555556</c:v>
                </c:pt>
                <c:pt idx="8">
                  <c:v>0.17777777777777778</c:v>
                </c:pt>
                <c:pt idx="9">
                  <c:v>0.2</c:v>
                </c:pt>
                <c:pt idx="10">
                  <c:v>0.22222222222222224</c:v>
                </c:pt>
                <c:pt idx="11">
                  <c:v>0.24444444444444446</c:v>
                </c:pt>
                <c:pt idx="12">
                  <c:v>0.26666666666666666</c:v>
                </c:pt>
                <c:pt idx="13">
                  <c:v>0.28888888888888886</c:v>
                </c:pt>
                <c:pt idx="14">
                  <c:v>0.31111111111111106</c:v>
                </c:pt>
                <c:pt idx="15">
                  <c:v>0.33333333333333326</c:v>
                </c:pt>
                <c:pt idx="16">
                  <c:v>0.35555555555555546</c:v>
                </c:pt>
                <c:pt idx="17">
                  <c:v>0.37777777777777766</c:v>
                </c:pt>
                <c:pt idx="18">
                  <c:v>0.39999999999999986</c:v>
                </c:pt>
                <c:pt idx="19">
                  <c:v>0.42222222222222205</c:v>
                </c:pt>
                <c:pt idx="20">
                  <c:v>0.44444444444444425</c:v>
                </c:pt>
                <c:pt idx="21">
                  <c:v>0.46666666666666645</c:v>
                </c:pt>
                <c:pt idx="22">
                  <c:v>0.48888888888888865</c:v>
                </c:pt>
                <c:pt idx="23">
                  <c:v>0.51111111111111085</c:v>
                </c:pt>
                <c:pt idx="24">
                  <c:v>0.5333333333333331</c:v>
                </c:pt>
                <c:pt idx="25">
                  <c:v>0.55555555555555536</c:v>
                </c:pt>
                <c:pt idx="26">
                  <c:v>0.57777777777777761</c:v>
                </c:pt>
                <c:pt idx="27">
                  <c:v>0.59999999999999987</c:v>
                </c:pt>
              </c:numCache>
            </c:numRef>
          </c:yVal>
          <c:smooth val="1"/>
          <c:extLst>
            <c:ext xmlns:c16="http://schemas.microsoft.com/office/drawing/2014/chart" uri="{C3380CC4-5D6E-409C-BE32-E72D297353CC}">
              <c16:uniqueId val="{00000000-C71A-4F76-A000-1653526EAE67}"/>
            </c:ext>
          </c:extLst>
        </c:ser>
        <c:ser>
          <c:idx val="2"/>
          <c:order val="2"/>
          <c:tx>
            <c:v>Prag finansijskog podindeksa</c:v>
          </c:tx>
          <c:spPr>
            <a:ln w="12700" cap="rnd">
              <a:solidFill>
                <a:srgbClr val="7030A0"/>
              </a:solidFill>
              <a:round/>
            </a:ln>
            <a:effectLst/>
          </c:spPr>
          <c:marker>
            <c:symbol val="none"/>
          </c:marker>
          <c:xVal>
            <c:numRef>
              <c:f>'2024'!$H$4:$H$31</c:f>
              <c:numCache>
                <c:formatCode>0.00</c:formatCode>
                <c:ptCount val="28"/>
                <c:pt idx="0">
                  <c:v>0</c:v>
                </c:pt>
                <c:pt idx="1">
                  <c:v>2.9629629629629631E-2</c:v>
                </c:pt>
                <c:pt idx="2">
                  <c:v>5.9259259259259262E-2</c:v>
                </c:pt>
                <c:pt idx="3">
                  <c:v>8.8888888888888892E-2</c:v>
                </c:pt>
                <c:pt idx="4">
                  <c:v>0.11851851851851852</c:v>
                </c:pt>
                <c:pt idx="5">
                  <c:v>0.14814814814814814</c:v>
                </c:pt>
                <c:pt idx="6">
                  <c:v>0.17777777777777776</c:v>
                </c:pt>
                <c:pt idx="7">
                  <c:v>0.20740740740740737</c:v>
                </c:pt>
                <c:pt idx="8">
                  <c:v>0.23703703703703699</c:v>
                </c:pt>
                <c:pt idx="9">
                  <c:v>0.26666666666666661</c:v>
                </c:pt>
                <c:pt idx="10">
                  <c:v>0.29629629629629622</c:v>
                </c:pt>
                <c:pt idx="11">
                  <c:v>0.32592592592592584</c:v>
                </c:pt>
                <c:pt idx="12">
                  <c:v>0.35555555555555546</c:v>
                </c:pt>
                <c:pt idx="13">
                  <c:v>0.38518518518518507</c:v>
                </c:pt>
                <c:pt idx="14">
                  <c:v>0.41481481481481469</c:v>
                </c:pt>
                <c:pt idx="15">
                  <c:v>0.44444444444444431</c:v>
                </c:pt>
                <c:pt idx="16">
                  <c:v>0.47407407407407393</c:v>
                </c:pt>
                <c:pt idx="17">
                  <c:v>0.50370370370370354</c:v>
                </c:pt>
                <c:pt idx="18">
                  <c:v>0.53333333333333321</c:v>
                </c:pt>
                <c:pt idx="19">
                  <c:v>0.56296296296296289</c:v>
                </c:pt>
                <c:pt idx="20">
                  <c:v>0.59259259259259256</c:v>
                </c:pt>
                <c:pt idx="21">
                  <c:v>0.62222222222222223</c:v>
                </c:pt>
                <c:pt idx="22">
                  <c:v>0.6518518518518519</c:v>
                </c:pt>
                <c:pt idx="23">
                  <c:v>0.68148148148148158</c:v>
                </c:pt>
                <c:pt idx="24">
                  <c:v>0.71111111111111125</c:v>
                </c:pt>
                <c:pt idx="25">
                  <c:v>0.74074074074074092</c:v>
                </c:pt>
                <c:pt idx="26">
                  <c:v>0.77037037037037059</c:v>
                </c:pt>
                <c:pt idx="27">
                  <c:v>0.80000000000000027</c:v>
                </c:pt>
              </c:numCache>
            </c:numRef>
          </c:xVal>
          <c:yVal>
            <c:numRef>
              <c:f>'2024'!$I$4:$I$31</c:f>
              <c:numCache>
                <c:formatCode>0.00</c:formatCode>
                <c:ptCount val="28"/>
                <c:pt idx="0">
                  <c:v>0.49</c:v>
                </c:pt>
                <c:pt idx="1">
                  <c:v>0.49</c:v>
                </c:pt>
                <c:pt idx="2">
                  <c:v>0.49</c:v>
                </c:pt>
                <c:pt idx="3">
                  <c:v>0.49</c:v>
                </c:pt>
                <c:pt idx="4">
                  <c:v>0.49</c:v>
                </c:pt>
                <c:pt idx="5">
                  <c:v>0.49</c:v>
                </c:pt>
                <c:pt idx="6">
                  <c:v>0.49</c:v>
                </c:pt>
                <c:pt idx="7">
                  <c:v>0.49</c:v>
                </c:pt>
                <c:pt idx="8">
                  <c:v>0.49</c:v>
                </c:pt>
                <c:pt idx="9">
                  <c:v>0.49</c:v>
                </c:pt>
                <c:pt idx="10">
                  <c:v>0.49</c:v>
                </c:pt>
                <c:pt idx="11">
                  <c:v>0.49</c:v>
                </c:pt>
                <c:pt idx="12">
                  <c:v>0.49</c:v>
                </c:pt>
                <c:pt idx="13">
                  <c:v>0.49</c:v>
                </c:pt>
                <c:pt idx="14">
                  <c:v>0.49</c:v>
                </c:pt>
                <c:pt idx="15">
                  <c:v>0.49</c:v>
                </c:pt>
                <c:pt idx="16">
                  <c:v>0.49</c:v>
                </c:pt>
                <c:pt idx="17">
                  <c:v>0.49</c:v>
                </c:pt>
                <c:pt idx="18">
                  <c:v>0.49</c:v>
                </c:pt>
                <c:pt idx="19">
                  <c:v>0.49</c:v>
                </c:pt>
                <c:pt idx="20">
                  <c:v>0.49</c:v>
                </c:pt>
                <c:pt idx="21">
                  <c:v>0.49</c:v>
                </c:pt>
                <c:pt idx="22">
                  <c:v>0.49</c:v>
                </c:pt>
                <c:pt idx="23">
                  <c:v>0.49</c:v>
                </c:pt>
                <c:pt idx="24">
                  <c:v>0.49</c:v>
                </c:pt>
                <c:pt idx="25">
                  <c:v>0.49</c:v>
                </c:pt>
                <c:pt idx="26">
                  <c:v>0.49</c:v>
                </c:pt>
                <c:pt idx="27">
                  <c:v>0.49</c:v>
                </c:pt>
              </c:numCache>
            </c:numRef>
          </c:yVal>
          <c:smooth val="1"/>
          <c:extLst>
            <c:ext xmlns:c16="http://schemas.microsoft.com/office/drawing/2014/chart" uri="{C3380CC4-5D6E-409C-BE32-E72D297353CC}">
              <c16:uniqueId val="{00000001-C71A-4F76-A000-1653526EAE67}"/>
            </c:ext>
          </c:extLst>
        </c:ser>
        <c:dLbls>
          <c:showLegendKey val="0"/>
          <c:showVal val="0"/>
          <c:showCatName val="0"/>
          <c:showSerName val="0"/>
          <c:showPercent val="0"/>
          <c:showBubbleSize val="0"/>
        </c:dLbls>
        <c:axId val="-262788736"/>
        <c:axId val="-262793088"/>
      </c:scatterChart>
      <c:scatterChart>
        <c:scatterStyle val="lineMarker"/>
        <c:varyColors val="0"/>
        <c:ser>
          <c:idx val="0"/>
          <c:order val="0"/>
          <c:spPr>
            <a:ln w="25400" cap="rnd">
              <a:noFill/>
              <a:round/>
            </a:ln>
            <a:effectLst/>
          </c:spPr>
          <c:marker>
            <c:symbol val="circle"/>
            <c:size val="5"/>
            <c:spPr>
              <a:solidFill>
                <a:srgbClr val="5297AC"/>
              </a:solidFill>
              <a:ln w="9525">
                <a:noFill/>
              </a:ln>
              <a:effectLst/>
            </c:spPr>
          </c:marker>
          <c:dLbls>
            <c:dLbl>
              <c:idx val="0"/>
              <c:layout>
                <c:manualLayout>
                  <c:x val="-3.5948417288263687E-2"/>
                  <c:y val="3.2900160952131545E-2"/>
                </c:manualLayout>
              </c:layout>
              <c:tx>
                <c:rich>
                  <a:bodyPr/>
                  <a:lstStyle/>
                  <a:p>
                    <a:fld id="{0829ADA8-0845-4F30-BE79-6D17A8A760C7}"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C71A-4F76-A000-1653526EAE67}"/>
                </c:ext>
              </c:extLst>
            </c:dLbl>
            <c:dLbl>
              <c:idx val="1"/>
              <c:layout>
                <c:manualLayout>
                  <c:x val="3.5938394891456365E-3"/>
                  <c:y val="3.0580750586474564E-2"/>
                </c:manualLayout>
              </c:layout>
              <c:tx>
                <c:rich>
                  <a:bodyPr/>
                  <a:lstStyle/>
                  <a:p>
                    <a:fld id="{1884F11C-5597-4BBC-B326-BD0282A38F91}"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C71A-4F76-A000-1653526EAE67}"/>
                </c:ext>
              </c:extLst>
            </c:dLbl>
            <c:dLbl>
              <c:idx val="2"/>
              <c:layout>
                <c:manualLayout>
                  <c:x val="-5.5443178298364877E-2"/>
                  <c:y val="3.1048912237992679E-2"/>
                </c:manualLayout>
              </c:layout>
              <c:tx>
                <c:rich>
                  <a:bodyPr/>
                  <a:lstStyle/>
                  <a:p>
                    <a:fld id="{DB611478-E70E-4D8C-859E-ADAE351B2F06}"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C71A-4F76-A000-1653526EAE67}"/>
                </c:ext>
              </c:extLst>
            </c:dLbl>
            <c:dLbl>
              <c:idx val="3"/>
              <c:layout>
                <c:manualLayout>
                  <c:x val="6.3333549712019637E-3"/>
                  <c:y val="1.2874617493600062E-2"/>
                </c:manualLayout>
              </c:layout>
              <c:tx>
                <c:rich>
                  <a:bodyPr/>
                  <a:lstStyle/>
                  <a:p>
                    <a:fld id="{BD228FD7-06ED-43FE-93BC-243AC85449B3}"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C71A-4F76-A000-1653526EAE67}"/>
                </c:ext>
              </c:extLst>
            </c:dLbl>
            <c:dLbl>
              <c:idx val="4"/>
              <c:layout>
                <c:manualLayout>
                  <c:x val="-0.10213005982947787"/>
                  <c:y val="-1.5757281441141444E-2"/>
                </c:manualLayout>
              </c:layout>
              <c:tx>
                <c:rich>
                  <a:bodyPr/>
                  <a:lstStyle/>
                  <a:p>
                    <a:fld id="{D04F2B39-C3B3-4C3E-AD6E-43E42362C909}"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C71A-4F76-A000-1653526EAE67}"/>
                </c:ext>
              </c:extLst>
            </c:dLbl>
            <c:dLbl>
              <c:idx val="5"/>
              <c:layout>
                <c:manualLayout>
                  <c:x val="5.4451824356610617E-3"/>
                  <c:y val="-4.5827264302856024E-2"/>
                </c:manualLayout>
              </c:layout>
              <c:tx>
                <c:rich>
                  <a:bodyPr/>
                  <a:lstStyle/>
                  <a:p>
                    <a:fld id="{447F1A16-7BF7-431A-A901-8C9311AF4FDB}"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C71A-4F76-A000-1653526EAE67}"/>
                </c:ext>
              </c:extLst>
            </c:dLbl>
            <c:dLbl>
              <c:idx val="6"/>
              <c:layout>
                <c:manualLayout>
                  <c:x val="-6.256464321120353E-2"/>
                  <c:y val="3.5897483649366055E-2"/>
                </c:manualLayout>
              </c:layout>
              <c:tx>
                <c:rich>
                  <a:bodyPr/>
                  <a:lstStyle/>
                  <a:p>
                    <a:fld id="{5EDAA3BD-F77B-46B1-874E-1245F4202C0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C71A-4F76-A000-1653526EAE67}"/>
                </c:ext>
              </c:extLst>
            </c:dLbl>
            <c:dLbl>
              <c:idx val="7"/>
              <c:layout>
                <c:manualLayout>
                  <c:x val="-7.9589466800439032E-2"/>
                  <c:y val="2.3287019631624301E-2"/>
                </c:manualLayout>
              </c:layout>
              <c:tx>
                <c:rich>
                  <a:bodyPr/>
                  <a:lstStyle/>
                  <a:p>
                    <a:fld id="{46FA9162-0627-48EF-8BBF-DD3385C3A44B}"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C71A-4F76-A000-1653526EAE67}"/>
                </c:ext>
              </c:extLst>
            </c:dLbl>
            <c:dLbl>
              <c:idx val="8"/>
              <c:layout>
                <c:manualLayout>
                  <c:x val="1.2825027306369313E-2"/>
                  <c:y val="4.5339446706126095E-3"/>
                </c:manualLayout>
              </c:layout>
              <c:tx>
                <c:rich>
                  <a:bodyPr/>
                  <a:lstStyle/>
                  <a:p>
                    <a:fld id="{671E2E54-EE55-486B-9837-F1D41A6E7D04}"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C71A-4F76-A000-1653526EAE67}"/>
                </c:ext>
              </c:extLst>
            </c:dLbl>
            <c:dLbl>
              <c:idx val="9"/>
              <c:layout>
                <c:manualLayout>
                  <c:x val="1.995639888890369E-2"/>
                  <c:y val="1.2672324895787668E-2"/>
                </c:manualLayout>
              </c:layout>
              <c:tx>
                <c:rich>
                  <a:bodyPr/>
                  <a:lstStyle/>
                  <a:p>
                    <a:fld id="{46D78CAD-6B7D-4E61-BAD1-F27EF59D0057}"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C71A-4F76-A000-1653526EAE67}"/>
                </c:ext>
              </c:extLst>
            </c:dLbl>
            <c:dLbl>
              <c:idx val="10"/>
              <c:layout>
                <c:manualLayout>
                  <c:x val="-5.4975684173499408E-4"/>
                  <c:y val="7.6139518196170208E-2"/>
                </c:manualLayout>
              </c:layout>
              <c:tx>
                <c:rich>
                  <a:bodyPr/>
                  <a:lstStyle/>
                  <a:p>
                    <a:fld id="{F08242D6-83A1-4814-9B5F-74F0D0EA14C8}"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C71A-4F76-A000-1653526EAE67}"/>
                </c:ext>
              </c:extLst>
            </c:dLbl>
            <c:dLbl>
              <c:idx val="11"/>
              <c:layout>
                <c:manualLayout>
                  <c:x val="2.4016558870739307E-3"/>
                  <c:y val="3.6893194836719295E-2"/>
                </c:manualLayout>
              </c:layout>
              <c:tx>
                <c:rich>
                  <a:bodyPr/>
                  <a:lstStyle/>
                  <a:p>
                    <a:fld id="{E75C2FF2-3B7F-4617-A327-8D35B053C2D0}"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C71A-4F76-A000-1653526EAE67}"/>
                </c:ext>
              </c:extLst>
            </c:dLbl>
            <c:dLbl>
              <c:idx val="12"/>
              <c:layout>
                <c:manualLayout>
                  <c:x val="-5.2233905544415642E-2"/>
                  <c:y val="1.7694093804954372E-2"/>
                </c:manualLayout>
              </c:layout>
              <c:tx>
                <c:rich>
                  <a:bodyPr/>
                  <a:lstStyle/>
                  <a:p>
                    <a:fld id="{9D3B9787-1EED-4F68-846A-EDDF4648C5C7}"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C71A-4F76-A000-1653526EAE67}"/>
                </c:ext>
              </c:extLst>
            </c:dLbl>
            <c:dLbl>
              <c:idx val="13"/>
              <c:layout>
                <c:manualLayout>
                  <c:x val="-5.5722925938605519E-2"/>
                  <c:y val="5.4271319809493179E-2"/>
                </c:manualLayout>
              </c:layout>
              <c:tx>
                <c:rich>
                  <a:bodyPr/>
                  <a:lstStyle/>
                  <a:p>
                    <a:fld id="{8AEDF687-CA40-4789-A370-5141DA87A9C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C71A-4F76-A000-1653526EAE67}"/>
                </c:ext>
              </c:extLst>
            </c:dLbl>
            <c:dLbl>
              <c:idx val="14"/>
              <c:layout>
                <c:manualLayout>
                  <c:x val="-4.7869125055020299E-2"/>
                  <c:y val="-3.5534294696943421E-2"/>
                </c:manualLayout>
              </c:layout>
              <c:tx>
                <c:rich>
                  <a:bodyPr/>
                  <a:lstStyle/>
                  <a:p>
                    <a:fld id="{4E082FE6-44DF-403E-B888-FCA4B4CD8C88}"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C71A-4F76-A000-1653526EAE67}"/>
                </c:ext>
              </c:extLst>
            </c:dLbl>
            <c:dLbl>
              <c:idx val="15"/>
              <c:layout>
                <c:manualLayout>
                  <c:x val="-4.3539196066473641E-2"/>
                  <c:y val="2.5331503598749604E-2"/>
                </c:manualLayout>
              </c:layout>
              <c:tx>
                <c:rich>
                  <a:bodyPr/>
                  <a:lstStyle/>
                  <a:p>
                    <a:fld id="{C99ED8AC-87B5-452C-A6C9-E70C0F881FD8}"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C71A-4F76-A000-1653526EAE67}"/>
                </c:ext>
              </c:extLst>
            </c:dLbl>
            <c:dLbl>
              <c:idx val="16"/>
              <c:layout>
                <c:manualLayout>
                  <c:x val="-2.6519293783929181E-2"/>
                  <c:y val="-1.0229808578693381E-2"/>
                </c:manualLayout>
              </c:layout>
              <c:tx>
                <c:rich>
                  <a:bodyPr/>
                  <a:lstStyle/>
                  <a:p>
                    <a:fld id="{9C08B7FC-896C-447E-8FD2-38462EC50DD2}"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C71A-4F76-A000-1653526EAE67}"/>
                </c:ext>
              </c:extLst>
            </c:dLbl>
            <c:dLbl>
              <c:idx val="17"/>
              <c:layout>
                <c:manualLayout>
                  <c:x val="-1.4894442542508273E-2"/>
                  <c:y val="3.1851975651621893E-2"/>
                </c:manualLayout>
              </c:layout>
              <c:tx>
                <c:rich>
                  <a:bodyPr/>
                  <a:lstStyle/>
                  <a:p>
                    <a:fld id="{881D3C24-6443-4AF3-AE5B-D76CED27D3BC}"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C71A-4F76-A000-1653526EAE67}"/>
                </c:ext>
              </c:extLst>
            </c:dLbl>
            <c:dLbl>
              <c:idx val="18"/>
              <c:layout>
                <c:manualLayout>
                  <c:x val="-3.4070660879404011E-2"/>
                  <c:y val="-3.139376035675949E-2"/>
                </c:manualLayout>
              </c:layout>
              <c:tx>
                <c:rich>
                  <a:bodyPr/>
                  <a:lstStyle/>
                  <a:p>
                    <a:fld id="{668D2095-123F-48F0-9495-F5A352442D50}"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C71A-4F76-A000-1653526EAE67}"/>
                </c:ext>
              </c:extLst>
            </c:dLbl>
            <c:dLbl>
              <c:idx val="19"/>
              <c:layout>
                <c:manualLayout>
                  <c:x val="2.6365399977176764E-2"/>
                  <c:y val="3.8523918991503715E-3"/>
                </c:manualLayout>
              </c:layout>
              <c:tx>
                <c:rich>
                  <a:bodyPr/>
                  <a:lstStyle/>
                  <a:p>
                    <a:fld id="{D20850FD-F433-4C07-A495-1AA6C2EF06EA}"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C71A-4F76-A000-1653526EAE67}"/>
                </c:ext>
              </c:extLst>
            </c:dLbl>
            <c:dLbl>
              <c:idx val="20"/>
              <c:layout>
                <c:manualLayout>
                  <c:x val="1.758140756302521E-2"/>
                  <c:y val="6.2059072984831237E-3"/>
                </c:manualLayout>
              </c:layout>
              <c:tx>
                <c:rich>
                  <a:bodyPr/>
                  <a:lstStyle/>
                  <a:p>
                    <a:fld id="{D759B8B7-EA64-47E8-A0E1-1F7AD856D1F8}"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C71A-4F76-A000-1653526EAE67}"/>
                </c:ext>
              </c:extLst>
            </c:dLbl>
            <c:dLbl>
              <c:idx val="21"/>
              <c:layout>
                <c:manualLayout>
                  <c:x val="-4.5538664904163979E-2"/>
                  <c:y val="-3.5392385611100745E-2"/>
                </c:manualLayout>
              </c:layout>
              <c:tx>
                <c:rich>
                  <a:bodyPr/>
                  <a:lstStyle/>
                  <a:p>
                    <a:fld id="{AB11C73B-DD17-4AE3-9FCF-641EB7445275}"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C71A-4F76-A000-1653526EAE67}"/>
                </c:ext>
              </c:extLst>
            </c:dLbl>
            <c:dLbl>
              <c:idx val="22"/>
              <c:layout>
                <c:manualLayout>
                  <c:x val="-0.11300824402794826"/>
                  <c:y val="-2.3395618242742926E-2"/>
                </c:manualLayout>
              </c:layout>
              <c:tx>
                <c:rich>
                  <a:bodyPr/>
                  <a:lstStyle/>
                  <a:p>
                    <a:fld id="{01AA4F0E-F632-4A99-9AFE-F3573492C6BB}" type="CELLRANGE">
                      <a:rPr lang="sr-Cyrl-CS">
                        <a:solidFill>
                          <a:schemeClr val="tx1">
                            <a:lumMod val="50000"/>
                            <a:lumOff val="50000"/>
                          </a:schemeClr>
                        </a:solidFill>
                      </a:rPr>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C71A-4F76-A000-1653526EAE67}"/>
                </c:ext>
              </c:extLst>
            </c:dLbl>
            <c:dLbl>
              <c:idx val="23"/>
              <c:layout>
                <c:manualLayout>
                  <c:x val="-1.0724311634958711E-2"/>
                  <c:y val="-4.1862518486751078E-2"/>
                </c:manualLayout>
              </c:layout>
              <c:tx>
                <c:rich>
                  <a:bodyPr/>
                  <a:lstStyle/>
                  <a:p>
                    <a:fld id="{9E754691-3CF2-4FE7-BA9A-1C76531E36EE}" type="CELLRANGE">
                      <a:rPr lang="sr-Cyrl-CS">
                        <a:solidFill>
                          <a:schemeClr val="tx1">
                            <a:lumMod val="50000"/>
                            <a:lumOff val="50000"/>
                          </a:schemeClr>
                        </a:solidFill>
                      </a:rPr>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C71A-4F76-A000-1653526EAE67}"/>
                </c:ext>
              </c:extLst>
            </c:dLbl>
            <c:dLbl>
              <c:idx val="24"/>
              <c:layout>
                <c:manualLayout>
                  <c:x val="-2.3251088821911785E-2"/>
                  <c:y val="-3.2920403308564204E-3"/>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lumMod val="50000"/>
                            <a:lumOff val="50000"/>
                          </a:schemeClr>
                        </a:solidFill>
                        <a:latin typeface="+mn-lt"/>
                        <a:ea typeface="+mn-ea"/>
                        <a:cs typeface="+mn-cs"/>
                      </a:defRPr>
                    </a:pPr>
                    <a:r>
                      <a:rPr lang="sr-Cyrl-CS" sz="800">
                        <a:solidFill>
                          <a:schemeClr val="tx1">
                            <a:lumMod val="50000"/>
                            <a:lumOff val="50000"/>
                          </a:schemeClr>
                        </a:solidFill>
                      </a:rPr>
                      <a:t>Кипар</a:t>
                    </a:r>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50000"/>
                          <a:lumOff val="50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layout>
                    <c:manualLayout>
                      <c:w val="0.13100275293998009"/>
                      <c:h val="3.706857368218909E-2"/>
                    </c:manualLayout>
                  </c15:layout>
                  <c15:showDataLabelsRange val="0"/>
                </c:ext>
                <c:ext xmlns:c16="http://schemas.microsoft.com/office/drawing/2014/chart" uri="{C3380CC4-5D6E-409C-BE32-E72D297353CC}">
                  <c16:uniqueId val="{0000001A-C71A-4F76-A000-1653526EAE67}"/>
                </c:ext>
              </c:extLst>
            </c:dLbl>
            <c:dLbl>
              <c:idx val="25"/>
              <c:layout>
                <c:manualLayout>
                  <c:x val="-5.4336818997261824E-2"/>
                  <c:y val="2.7688775146707936E-2"/>
                </c:manualLayout>
              </c:layout>
              <c:tx>
                <c:rich>
                  <a:bodyPr/>
                  <a:lstStyle/>
                  <a:p>
                    <a:r>
                      <a:rPr lang="sr-Cyrl-CS"/>
                      <a:t>Грчка</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C71A-4F76-A000-1653526EAE67}"/>
                </c:ext>
              </c:extLst>
            </c:dLbl>
            <c:dLbl>
              <c:idx val="26"/>
              <c:layout>
                <c:manualLayout>
                  <c:x val="-7.1712231623221004E-2"/>
                  <c:y val="2.6158634455835144E-2"/>
                </c:manualLayout>
              </c:layout>
              <c:tx>
                <c:rich>
                  <a:bodyPr/>
                  <a:lstStyle/>
                  <a:p>
                    <a:r>
                      <a:rPr lang="sr-Cyrl-CS" baseline="0"/>
                      <a:t>Португал </a:t>
                    </a:r>
                    <a:endParaRPr lang="sr-Cyrl-C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C71A-4F76-A000-1653526EAE67}"/>
                </c:ext>
              </c:extLst>
            </c:dLbl>
            <c:dLbl>
              <c:idx val="27"/>
              <c:layout>
                <c:manualLayout>
                  <c:x val="-4.1407867494824393E-3"/>
                  <c:y val="-2.6677682510351983E-3"/>
                </c:manualLayout>
              </c:layout>
              <c:tx>
                <c:rich>
                  <a:bodyPr rot="0" spcFirstLastPara="1" vertOverflow="ellipsis" vert="horz" wrap="square" lIns="38100" tIns="19050" rIns="38100" bIns="19050" anchor="ctr" anchorCtr="1">
                    <a:spAutoFit/>
                  </a:bodyPr>
                  <a:lstStyle/>
                  <a:p>
                    <a:pPr>
                      <a:defRPr sz="800" b="0" i="0" u="none" strike="noStrike" kern="1200" baseline="0">
                        <a:solidFill>
                          <a:srgbClr val="FF0000"/>
                        </a:solidFill>
                        <a:latin typeface="+mn-lt"/>
                        <a:ea typeface="+mn-ea"/>
                        <a:cs typeface="+mn-cs"/>
                      </a:defRPr>
                    </a:pPr>
                    <a:r>
                      <a:rPr lang="sr-Cyrl-CS">
                        <a:solidFill>
                          <a:srgbClr val="FF0000"/>
                        </a:solidFill>
                      </a:rPr>
                      <a:t>Србија</a:t>
                    </a:r>
                  </a:p>
                </c:rich>
              </c:tx>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C71A-4F76-A000-1653526EAE67}"/>
                </c:ext>
              </c:extLst>
            </c:dLbl>
            <c:dLbl>
              <c:idx val="2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C71A-4F76-A000-1653526EAE67}"/>
                </c:ext>
              </c:extLst>
            </c:dLbl>
            <c:dLbl>
              <c:idx val="29"/>
              <c:layout>
                <c:manualLayout>
                  <c:x val="0.27121180204981443"/>
                  <c:y val="-0.10981647825182873"/>
                </c:manualLayout>
              </c:layout>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layout>
                    <c:manualLayout>
                      <c:w val="6.4583536111454121E-2"/>
                      <c:h val="3.6566409796610792E-2"/>
                    </c:manualLayout>
                  </c15:layout>
                  <c15:showDataLabelsRange val="0"/>
                </c:ext>
                <c:ext xmlns:c16="http://schemas.microsoft.com/office/drawing/2014/chart" uri="{C3380CC4-5D6E-409C-BE32-E72D297353CC}">
                  <c16:uniqueId val="{0000001F-C71A-4F76-A000-1653526EAE6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'2024'!$D$4:$D$31</c:f>
              <c:numCache>
                <c:formatCode>0.00</c:formatCode>
                <c:ptCount val="28"/>
                <c:pt idx="0">
                  <c:v>0.56999999999999995</c:v>
                </c:pt>
                <c:pt idx="1">
                  <c:v>0.56999999999999995</c:v>
                </c:pt>
                <c:pt idx="2">
                  <c:v>0.26</c:v>
                </c:pt>
                <c:pt idx="3">
                  <c:v>0.12</c:v>
                </c:pt>
                <c:pt idx="4">
                  <c:v>0.26</c:v>
                </c:pt>
                <c:pt idx="5">
                  <c:v>0.04</c:v>
                </c:pt>
                <c:pt idx="6">
                  <c:v>0.12</c:v>
                </c:pt>
                <c:pt idx="7">
                  <c:v>0.31</c:v>
                </c:pt>
                <c:pt idx="8">
                  <c:v>0.56999999999999995</c:v>
                </c:pt>
                <c:pt idx="9">
                  <c:v>0.41</c:v>
                </c:pt>
                <c:pt idx="10">
                  <c:v>0</c:v>
                </c:pt>
                <c:pt idx="11">
                  <c:v>0.69</c:v>
                </c:pt>
                <c:pt idx="12">
                  <c:v>0.32</c:v>
                </c:pt>
                <c:pt idx="13">
                  <c:v>0.08</c:v>
                </c:pt>
                <c:pt idx="14">
                  <c:v>0.18</c:v>
                </c:pt>
                <c:pt idx="15">
                  <c:v>0.08</c:v>
                </c:pt>
                <c:pt idx="16">
                  <c:v>0.26</c:v>
                </c:pt>
                <c:pt idx="17">
                  <c:v>0</c:v>
                </c:pt>
                <c:pt idx="18">
                  <c:v>0.32</c:v>
                </c:pt>
                <c:pt idx="19">
                  <c:v>0.32</c:v>
                </c:pt>
                <c:pt idx="20">
                  <c:v>0.22</c:v>
                </c:pt>
                <c:pt idx="21">
                  <c:v>0.26</c:v>
                </c:pt>
                <c:pt idx="22">
                  <c:v>0.41</c:v>
                </c:pt>
                <c:pt idx="23">
                  <c:v>0.08</c:v>
                </c:pt>
                <c:pt idx="24">
                  <c:v>0</c:v>
                </c:pt>
                <c:pt idx="25">
                  <c:v>0.08</c:v>
                </c:pt>
                <c:pt idx="26">
                  <c:v>0.31</c:v>
                </c:pt>
                <c:pt idx="27">
                  <c:v>0.11976047904191615</c:v>
                </c:pt>
              </c:numCache>
            </c:numRef>
          </c:xVal>
          <c:yVal>
            <c:numRef>
              <c:f>'2024'!$E$4:$E$31</c:f>
              <c:numCache>
                <c:formatCode>0.00</c:formatCode>
                <c:ptCount val="28"/>
                <c:pt idx="0">
                  <c:v>0.18</c:v>
                </c:pt>
                <c:pt idx="1">
                  <c:v>0.24</c:v>
                </c:pt>
                <c:pt idx="2">
                  <c:v>0.17</c:v>
                </c:pt>
                <c:pt idx="3">
                  <c:v>0.25</c:v>
                </c:pt>
                <c:pt idx="4">
                  <c:v>0.45</c:v>
                </c:pt>
                <c:pt idx="5">
                  <c:v>0.41</c:v>
                </c:pt>
                <c:pt idx="6">
                  <c:v>0.59</c:v>
                </c:pt>
                <c:pt idx="7">
                  <c:v>0.35</c:v>
                </c:pt>
                <c:pt idx="8">
                  <c:v>0.33</c:v>
                </c:pt>
                <c:pt idx="9">
                  <c:v>0.45</c:v>
                </c:pt>
                <c:pt idx="10">
                  <c:v>0.33</c:v>
                </c:pt>
                <c:pt idx="11">
                  <c:v>0.3</c:v>
                </c:pt>
                <c:pt idx="12">
                  <c:v>0.56000000000000005</c:v>
                </c:pt>
                <c:pt idx="13">
                  <c:v>0.24</c:v>
                </c:pt>
                <c:pt idx="14">
                  <c:v>0.35</c:v>
                </c:pt>
                <c:pt idx="15">
                  <c:v>0.3</c:v>
                </c:pt>
                <c:pt idx="16">
                  <c:v>0.18</c:v>
                </c:pt>
                <c:pt idx="17">
                  <c:v>0.37</c:v>
                </c:pt>
                <c:pt idx="18">
                  <c:v>0.38</c:v>
                </c:pt>
                <c:pt idx="19">
                  <c:v>0.57999999999999996</c:v>
                </c:pt>
                <c:pt idx="20">
                  <c:v>0.63</c:v>
                </c:pt>
                <c:pt idx="21">
                  <c:v>0.25</c:v>
                </c:pt>
                <c:pt idx="22">
                  <c:v>0.34</c:v>
                </c:pt>
                <c:pt idx="23">
                  <c:v>0.37</c:v>
                </c:pt>
                <c:pt idx="24">
                  <c:v>0.38</c:v>
                </c:pt>
                <c:pt idx="25">
                  <c:v>0.53</c:v>
                </c:pt>
                <c:pt idx="26">
                  <c:v>0.45</c:v>
                </c:pt>
                <c:pt idx="27">
                  <c:v>0.30769230769230771</c:v>
                </c:pt>
              </c:numCache>
            </c:numRef>
          </c:yVal>
          <c:smooth val="0"/>
          <c:extLst>
            <c:ext xmlns:c15="http://schemas.microsoft.com/office/drawing/2012/chart" uri="{02D57815-91ED-43cb-92C2-25804820EDAC}">
              <c15:datalabelsRange>
                <c15:f>'2024'!$B$4:$B$34</c15:f>
                <c15:dlblRangeCache>
                  <c:ptCount val="31"/>
                  <c:pt idx="0">
                    <c:v>Аустрија</c:v>
                  </c:pt>
                  <c:pt idx="1">
                    <c:v>Белгија</c:v>
                  </c:pt>
                  <c:pt idx="2">
                    <c:v>Бугарска</c:v>
                  </c:pt>
                  <c:pt idx="3">
                    <c:v>Чешка</c:v>
                  </c:pt>
                  <c:pt idx="4">
                    <c:v>Хрватска</c:v>
                  </c:pt>
                  <c:pt idx="5">
                    <c:v>Данска</c:v>
                  </c:pt>
                  <c:pt idx="6">
                    <c:v>Естонија</c:v>
                  </c:pt>
                  <c:pt idx="7">
                    <c:v>Финска</c:v>
                  </c:pt>
                  <c:pt idx="8">
                    <c:v>Француска</c:v>
                  </c:pt>
                  <c:pt idx="9">
                    <c:v>Мађарска</c:v>
                  </c:pt>
                  <c:pt idx="10">
                    <c:v>Ирска</c:v>
                  </c:pt>
                  <c:pt idx="11">
                    <c:v>Италија</c:v>
                  </c:pt>
                  <c:pt idx="12">
                    <c:v>Летонија</c:v>
                  </c:pt>
                  <c:pt idx="13">
                    <c:v>Немачка</c:v>
                  </c:pt>
                  <c:pt idx="14">
                    <c:v>Литванија</c:v>
                  </c:pt>
                  <c:pt idx="15">
                    <c:v>Луксембург</c:v>
                  </c:pt>
                  <c:pt idx="16">
                    <c:v>Малта</c:v>
                  </c:pt>
                  <c:pt idx="17">
                    <c:v>Холандија</c:v>
                  </c:pt>
                  <c:pt idx="18">
                    <c:v>Пољска</c:v>
                  </c:pt>
                  <c:pt idx="19">
                    <c:v>Румунија</c:v>
                  </c:pt>
                  <c:pt idx="20">
                    <c:v>Словачка</c:v>
                  </c:pt>
                  <c:pt idx="21">
                    <c:v>Словенија</c:v>
                  </c:pt>
                  <c:pt idx="22">
                    <c:v>Шпанија</c:v>
                  </c:pt>
                  <c:pt idx="23">
                    <c:v>Шведска</c:v>
                  </c:pt>
                  <c:pt idx="24">
                    <c:v>Кипар</c:v>
                  </c:pt>
                  <c:pt idx="25">
                    <c:v>Грчка</c:v>
                  </c:pt>
                  <c:pt idx="26">
                    <c:v>Португал</c:v>
                  </c:pt>
                  <c:pt idx="27">
                    <c:v>Србија</c:v>
                  </c:pt>
                  <c:pt idx="29">
                    <c:v>Србија 2020</c:v>
                  </c:pt>
                  <c:pt idx="30">
                    <c:v>Србија 2019,2018,2017</c:v>
                  </c:pt>
                </c15:dlblRangeCache>
              </c15:datalabelsRange>
            </c:ext>
            <c:ext xmlns:c16="http://schemas.microsoft.com/office/drawing/2014/chart" uri="{C3380CC4-5D6E-409C-BE32-E72D297353CC}">
              <c16:uniqueId val="{00000020-C71A-4F76-A000-1653526EAE67}"/>
            </c:ext>
          </c:extLst>
        </c:ser>
        <c:dLbls>
          <c:showLegendKey val="0"/>
          <c:showVal val="0"/>
          <c:showCatName val="0"/>
          <c:showSerName val="0"/>
          <c:showPercent val="0"/>
          <c:showBubbleSize val="0"/>
        </c:dLbls>
        <c:axId val="2099147520"/>
        <c:axId val="2099146272"/>
      </c:scatterChart>
      <c:valAx>
        <c:axId val="-262788736"/>
        <c:scaling>
          <c:orientation val="minMax"/>
          <c:max val="0.8"/>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r>
                  <a:rPr lang="sr-Cyrl-RS" sz="800">
                    <a:latin typeface="+mj-lt"/>
                  </a:rPr>
                  <a:t>Фискални подиндекс</a:t>
                </a:r>
                <a:endParaRPr lang="en-US" sz="800">
                  <a:latin typeface="+mj-lt"/>
                </a:endParaRPr>
              </a:p>
            </c:rich>
          </c:tx>
          <c:layout>
            <c:manualLayout>
              <c:xMode val="edge"/>
              <c:yMode val="edge"/>
              <c:x val="0.32836641954038248"/>
              <c:y val="0.9471674575118627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endParaRPr lang="en-US"/>
            </a:p>
          </c:txPr>
        </c:title>
        <c:numFmt formatCode="0.00" sourceLinked="1"/>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eorgia" panose="02040502050405020303" pitchFamily="18" charset="0"/>
                <a:ea typeface="+mn-ea"/>
                <a:cs typeface="+mn-cs"/>
              </a:defRPr>
            </a:pPr>
            <a:endParaRPr lang="en-US"/>
          </a:p>
        </c:txPr>
        <c:crossAx val="-262793088"/>
        <c:crosses val="autoZero"/>
        <c:crossBetween val="midCat"/>
      </c:valAx>
      <c:valAx>
        <c:axId val="-262793088"/>
        <c:scaling>
          <c:orientation val="minMax"/>
          <c:max val="0.65000000000000013"/>
          <c:min val="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r>
                  <a:rPr lang="sr-Cyrl-RS" sz="800">
                    <a:latin typeface="+mj-lt"/>
                  </a:rPr>
                  <a:t>Подиндекс макро-финансијске конкурентности</a:t>
                </a:r>
                <a:endParaRPr lang="en-US" sz="800">
                  <a:latin typeface="+mj-lt"/>
                </a:endParaRPr>
              </a:p>
            </c:rich>
          </c:tx>
          <c:layout>
            <c:manualLayout>
              <c:xMode val="edge"/>
              <c:yMode val="edge"/>
              <c:x val="7.5251868585250346E-3"/>
              <c:y val="0.15476829195481337"/>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endParaRPr lang="en-US"/>
            </a:p>
          </c:txPr>
        </c:title>
        <c:numFmt formatCode="0.0" sourceLinked="0"/>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eorgia" panose="02040502050405020303" pitchFamily="18" charset="0"/>
                <a:ea typeface="+mn-ea"/>
                <a:cs typeface="+mn-cs"/>
              </a:defRPr>
            </a:pPr>
            <a:endParaRPr lang="en-US"/>
          </a:p>
        </c:txPr>
        <c:crossAx val="-262788736"/>
        <c:crosses val="autoZero"/>
        <c:crossBetween val="midCat"/>
      </c:valAx>
      <c:valAx>
        <c:axId val="2099146272"/>
        <c:scaling>
          <c:orientation val="minMax"/>
        </c:scaling>
        <c:delete val="1"/>
        <c:axPos val="r"/>
        <c:numFmt formatCode="0.00" sourceLinked="1"/>
        <c:majorTickMark val="out"/>
        <c:minorTickMark val="none"/>
        <c:tickLblPos val="nextTo"/>
        <c:crossAx val="2099147520"/>
        <c:crosses val="max"/>
        <c:crossBetween val="midCat"/>
      </c:valAx>
      <c:valAx>
        <c:axId val="2099147520"/>
        <c:scaling>
          <c:orientation val="minMax"/>
        </c:scaling>
        <c:delete val="1"/>
        <c:axPos val="t"/>
        <c:numFmt formatCode="0.00" sourceLinked="1"/>
        <c:majorTickMark val="out"/>
        <c:minorTickMark val="none"/>
        <c:tickLblPos val="nextTo"/>
        <c:crossAx val="2099146272"/>
        <c:crosses val="max"/>
        <c:crossBetween val="midCat"/>
      </c:valAx>
      <c:spPr>
        <a:noFill/>
        <a:ln>
          <a:noFill/>
        </a:ln>
        <a:effectLst/>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1" i="0" u="none" strike="noStrike" kern="1200" spc="0" baseline="0">
                <a:solidFill>
                  <a:srgbClr val="002060"/>
                </a:solidFill>
                <a:latin typeface="+mn-lt"/>
                <a:ea typeface="+mn-ea"/>
                <a:cs typeface="+mn-cs"/>
              </a:defRPr>
            </a:pPr>
            <a:r>
              <a:rPr lang="en-US" b="1">
                <a:solidFill>
                  <a:srgbClr val="002060"/>
                </a:solidFill>
              </a:rPr>
              <a:t>S0 </a:t>
            </a:r>
            <a:r>
              <a:rPr lang="sr-Cyrl-RS" b="1">
                <a:solidFill>
                  <a:srgbClr val="002060"/>
                </a:solidFill>
              </a:rPr>
              <a:t>земље ЕУ и Србија</a:t>
            </a:r>
          </a:p>
        </c:rich>
      </c:tx>
      <c:overlay val="0"/>
      <c:spPr>
        <a:noFill/>
        <a:ln>
          <a:noFill/>
        </a:ln>
        <a:effectLst/>
      </c:spPr>
      <c:txPr>
        <a:bodyPr rot="0" spcFirstLastPara="1" vertOverflow="ellipsis" vert="horz" wrap="square" anchor="ctr" anchorCtr="1"/>
        <a:lstStyle/>
        <a:p>
          <a:pPr>
            <a:defRPr sz="1080" b="1" i="0" u="none" strike="noStrike" kern="1200" spc="0" baseline="0">
              <a:solidFill>
                <a:srgbClr val="002060"/>
              </a:solidFill>
              <a:latin typeface="+mn-lt"/>
              <a:ea typeface="+mn-ea"/>
              <a:cs typeface="+mn-cs"/>
            </a:defRPr>
          </a:pPr>
          <a:endParaRPr lang="en-US"/>
        </a:p>
      </c:txPr>
    </c:title>
    <c:autoTitleDeleted val="0"/>
    <c:plotArea>
      <c:layout>
        <c:manualLayout>
          <c:layoutTarget val="inner"/>
          <c:xMode val="edge"/>
          <c:yMode val="edge"/>
          <c:x val="7.0140553174856415E-2"/>
          <c:y val="0.13775301764159703"/>
          <c:w val="0.89795062064282105"/>
          <c:h val="0.4716665570007092"/>
        </c:manualLayout>
      </c:layout>
      <c:barChart>
        <c:barDir val="col"/>
        <c:grouping val="clustered"/>
        <c:varyColors val="0"/>
        <c:ser>
          <c:idx val="3"/>
          <c:order val="1"/>
          <c:tx>
            <c:strRef>
              <c:f>'S0 EU Serbia'!$F$2</c:f>
              <c:strCache>
                <c:ptCount val="1"/>
                <c:pt idx="0">
                  <c:v>S0
2014</c:v>
                </c:pt>
              </c:strCache>
            </c:strRef>
          </c:tx>
          <c:spPr>
            <a:solidFill>
              <a:schemeClr val="tx1"/>
            </a:solidFill>
            <a:ln w="6350">
              <a:solidFill>
                <a:schemeClr val="tx1"/>
              </a:solidFill>
            </a:ln>
            <a:effectLst/>
          </c:spPr>
          <c:invertIfNegative val="0"/>
          <c:cat>
            <c:strRef>
              <c:f>'S0 EU Serbia'!$A$3:$A$32</c:f>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f>'S0 EU Serbia'!$F$3:$F$32</c:f>
            </c:numRef>
          </c:val>
          <c:extLst>
            <c:ext xmlns:c16="http://schemas.microsoft.com/office/drawing/2014/chart" uri="{C3380CC4-5D6E-409C-BE32-E72D297353CC}">
              <c16:uniqueId val="{00000000-2356-4B2F-8640-391FB4624800}"/>
            </c:ext>
          </c:extLst>
        </c:ser>
        <c:dLbls>
          <c:showLegendKey val="0"/>
          <c:showVal val="0"/>
          <c:showCatName val="0"/>
          <c:showSerName val="0"/>
          <c:showPercent val="0"/>
          <c:showBubbleSize val="0"/>
        </c:dLbls>
        <c:gapWidth val="150"/>
        <c:axId val="-486950096"/>
        <c:axId val="-486949552"/>
      </c:barChart>
      <c:barChart>
        <c:barDir val="col"/>
        <c:grouping val="clustered"/>
        <c:varyColors val="0"/>
        <c:ser>
          <c:idx val="5"/>
          <c:order val="7"/>
          <c:tx>
            <c:strRef>
              <c:f>'S0 EU Serbia'!$AG$2</c:f>
              <c:strCache>
                <c:ptCount val="1"/>
                <c:pt idx="0">
                  <c:v>S0 2023</c:v>
                </c:pt>
              </c:strCache>
            </c:strRef>
          </c:tx>
          <c:spPr>
            <a:solidFill>
              <a:srgbClr val="7030A0"/>
            </a:solidFill>
            <a:ln>
              <a:noFill/>
            </a:ln>
            <a:effectLst/>
          </c:spPr>
          <c:invertIfNegative val="0"/>
          <c:val>
            <c:numRef>
              <c:f>'S0 EU Serbia'!$AG$3:$AG$30</c:f>
              <c:numCache>
                <c:formatCode>0.00</c:formatCode>
                <c:ptCount val="28"/>
                <c:pt idx="0">
                  <c:v>0.09</c:v>
                </c:pt>
                <c:pt idx="1">
                  <c:v>0.27</c:v>
                </c:pt>
                <c:pt idx="2">
                  <c:v>0.21</c:v>
                </c:pt>
                <c:pt idx="3">
                  <c:v>0.24</c:v>
                </c:pt>
                <c:pt idx="4">
                  <c:v>0.21</c:v>
                </c:pt>
                <c:pt idx="5">
                  <c:v>0.32</c:v>
                </c:pt>
                <c:pt idx="6">
                  <c:v>0.27</c:v>
                </c:pt>
                <c:pt idx="7">
                  <c:v>0.3</c:v>
                </c:pt>
                <c:pt idx="8">
                  <c:v>0.2</c:v>
                </c:pt>
                <c:pt idx="9">
                  <c:v>0.38</c:v>
                </c:pt>
                <c:pt idx="10">
                  <c:v>0.31</c:v>
                </c:pt>
                <c:pt idx="11">
                  <c:v>0.16</c:v>
                </c:pt>
                <c:pt idx="12">
                  <c:v>0.46</c:v>
                </c:pt>
                <c:pt idx="13">
                  <c:v>0.13</c:v>
                </c:pt>
                <c:pt idx="14">
                  <c:v>0.35</c:v>
                </c:pt>
                <c:pt idx="15">
                  <c:v>0.31</c:v>
                </c:pt>
                <c:pt idx="16">
                  <c:v>0.27</c:v>
                </c:pt>
                <c:pt idx="17">
                  <c:v>0.19</c:v>
                </c:pt>
                <c:pt idx="18">
                  <c:v>0.17</c:v>
                </c:pt>
                <c:pt idx="19">
                  <c:v>0.12</c:v>
                </c:pt>
                <c:pt idx="20">
                  <c:v>0.39</c:v>
                </c:pt>
                <c:pt idx="21">
                  <c:v>0.32</c:v>
                </c:pt>
                <c:pt idx="22">
                  <c:v>0.31</c:v>
                </c:pt>
                <c:pt idx="23">
                  <c:v>0.20459290187891443</c:v>
                </c:pt>
                <c:pt idx="24">
                  <c:v>0.38</c:v>
                </c:pt>
                <c:pt idx="25">
                  <c:v>0.2</c:v>
                </c:pt>
                <c:pt idx="26">
                  <c:v>0.41</c:v>
                </c:pt>
                <c:pt idx="27">
                  <c:v>0.12</c:v>
                </c:pt>
              </c:numCache>
            </c:numRef>
          </c:val>
          <c:extLst>
            <c:ext xmlns:c16="http://schemas.microsoft.com/office/drawing/2014/chart" uri="{C3380CC4-5D6E-409C-BE32-E72D297353CC}">
              <c16:uniqueId val="{00000001-2356-4B2F-8640-391FB4624800}"/>
            </c:ext>
          </c:extLst>
        </c:ser>
        <c:ser>
          <c:idx val="7"/>
          <c:order val="8"/>
          <c:tx>
            <c:strRef>
              <c:f>'S0 EU Serbia'!$AJ$2</c:f>
              <c:strCache>
                <c:ptCount val="1"/>
                <c:pt idx="0">
                  <c:v>S0 2024</c:v>
                </c:pt>
              </c:strCache>
            </c:strRef>
          </c:tx>
          <c:spPr>
            <a:solidFill>
              <a:srgbClr val="00B0F0"/>
            </a:solidFill>
            <a:ln>
              <a:noFill/>
            </a:ln>
            <a:effectLst/>
          </c:spPr>
          <c:invertIfNegative val="0"/>
          <c:val>
            <c:numRef>
              <c:f>'S0 EU Serbia'!$AJ$3:$AJ$30</c:f>
              <c:numCache>
                <c:formatCode>0.00</c:formatCode>
                <c:ptCount val="28"/>
                <c:pt idx="0">
                  <c:v>0.31</c:v>
                </c:pt>
                <c:pt idx="1">
                  <c:v>0.35</c:v>
                </c:pt>
                <c:pt idx="2">
                  <c:v>0.2</c:v>
                </c:pt>
                <c:pt idx="3">
                  <c:v>0.2</c:v>
                </c:pt>
                <c:pt idx="4">
                  <c:v>0.41</c:v>
                </c:pt>
                <c:pt idx="5">
                  <c:v>0.25</c:v>
                </c:pt>
                <c:pt idx="6">
                  <c:v>0.28000000000000003</c:v>
                </c:pt>
                <c:pt idx="7">
                  <c:v>0.43</c:v>
                </c:pt>
                <c:pt idx="8">
                  <c:v>0.34</c:v>
                </c:pt>
                <c:pt idx="9">
                  <c:v>0.38</c:v>
                </c:pt>
                <c:pt idx="10">
                  <c:v>0.39</c:v>
                </c:pt>
                <c:pt idx="11">
                  <c:v>0.18</c:v>
                </c:pt>
                <c:pt idx="12">
                  <c:v>0.44</c:v>
                </c:pt>
                <c:pt idx="13">
                  <c:v>0.22</c:v>
                </c:pt>
                <c:pt idx="14">
                  <c:v>0.43</c:v>
                </c:pt>
                <c:pt idx="15">
                  <c:v>0.48</c:v>
                </c:pt>
                <c:pt idx="16">
                  <c:v>0.28999999999999998</c:v>
                </c:pt>
                <c:pt idx="17">
                  <c:v>0.22</c:v>
                </c:pt>
                <c:pt idx="18">
                  <c:v>0.21</c:v>
                </c:pt>
                <c:pt idx="19">
                  <c:v>0.24</c:v>
                </c:pt>
                <c:pt idx="20">
                  <c:v>0.36</c:v>
                </c:pt>
                <c:pt idx="21">
                  <c:v>0.4</c:v>
                </c:pt>
                <c:pt idx="22">
                  <c:v>0.49</c:v>
                </c:pt>
                <c:pt idx="23">
                  <c:v>0.24217118997912318</c:v>
                </c:pt>
                <c:pt idx="24">
                  <c:v>0.48</c:v>
                </c:pt>
                <c:pt idx="25">
                  <c:v>0.25</c:v>
                </c:pt>
                <c:pt idx="26">
                  <c:v>0.37</c:v>
                </c:pt>
                <c:pt idx="27">
                  <c:v>0.27</c:v>
                </c:pt>
              </c:numCache>
            </c:numRef>
          </c:val>
          <c:extLst>
            <c:ext xmlns:c16="http://schemas.microsoft.com/office/drawing/2014/chart" uri="{C3380CC4-5D6E-409C-BE32-E72D297353CC}">
              <c16:uniqueId val="{00000002-2356-4B2F-8640-391FB4624800}"/>
            </c:ext>
          </c:extLst>
        </c:ser>
        <c:dLbls>
          <c:showLegendKey val="0"/>
          <c:showVal val="0"/>
          <c:showCatName val="0"/>
          <c:showSerName val="0"/>
          <c:showPercent val="0"/>
          <c:showBubbleSize val="0"/>
        </c:dLbls>
        <c:gapWidth val="150"/>
        <c:axId val="-486950096"/>
        <c:axId val="-486949552"/>
        <c:extLst>
          <c:ext xmlns:c15="http://schemas.microsoft.com/office/drawing/2012/chart" uri="{02D57815-91ED-43cb-92C2-25804820EDAC}">
            <c15:filteredBarSeries>
              <c15:ser>
                <c:idx val="6"/>
                <c:order val="2"/>
                <c:tx>
                  <c:strRef>
                    <c:extLst>
                      <c:ext uri="{02D57815-91ED-43cb-92C2-25804820EDAC}">
                        <c15:formulaRef>
                          <c15:sqref>'S0 EU Serbia'!$I$2</c15:sqref>
                        </c15:formulaRef>
                      </c:ext>
                    </c:extLst>
                    <c:strCache>
                      <c:ptCount val="1"/>
                      <c:pt idx="0">
                        <c:v>S0
2015</c:v>
                      </c:pt>
                    </c:strCache>
                  </c:strRef>
                </c:tx>
                <c:spPr>
                  <a:solidFill>
                    <a:schemeClr val="accent2"/>
                  </a:solidFill>
                  <a:ln>
                    <a:noFill/>
                  </a:ln>
                  <a:effectLst/>
                </c:spPr>
                <c:invertIfNegative val="0"/>
                <c:cat>
                  <c:strRef>
                    <c:extLst>
                      <c:ext uri="{02D57815-91ED-43cb-92C2-25804820EDAC}">
                        <c15:formulaRef>
                          <c15:sqref>'S0 EU Serbia'!$A$3:$A$32</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extLst>
                      <c:ext uri="{02D57815-91ED-43cb-92C2-25804820EDAC}">
                        <c15:formulaRef>
                          <c15:sqref>'S0 EU Serbia'!$I$3:$I$32</c15:sqref>
                        </c15:formulaRef>
                      </c:ext>
                    </c:extLst>
                    <c:numCache>
                      <c:formatCode>0.00</c:formatCode>
                      <c:ptCount val="30"/>
                      <c:pt idx="0">
                        <c:v>7.0000000000000007E-2</c:v>
                      </c:pt>
                      <c:pt idx="1">
                        <c:v>0.1</c:v>
                      </c:pt>
                      <c:pt idx="2">
                        <c:v>0.21</c:v>
                      </c:pt>
                      <c:pt idx="3">
                        <c:v>0.11</c:v>
                      </c:pt>
                      <c:pt idx="4">
                        <c:v>0.26</c:v>
                      </c:pt>
                      <c:pt idx="6">
                        <c:v>0.25</c:v>
                      </c:pt>
                      <c:pt idx="7">
                        <c:v>0.19</c:v>
                      </c:pt>
                      <c:pt idx="8">
                        <c:v>0.22</c:v>
                      </c:pt>
                      <c:pt idx="9">
                        <c:v>0.17</c:v>
                      </c:pt>
                      <c:pt idx="11">
                        <c:v>0.02</c:v>
                      </c:pt>
                      <c:pt idx="12">
                        <c:v>0.16</c:v>
                      </c:pt>
                      <c:pt idx="13">
                        <c:v>0.38</c:v>
                      </c:pt>
                      <c:pt idx="14">
                        <c:v>0.21</c:v>
                      </c:pt>
                      <c:pt idx="15">
                        <c:v>0.34</c:v>
                      </c:pt>
                      <c:pt idx="16">
                        <c:v>0.18</c:v>
                      </c:pt>
                      <c:pt idx="17">
                        <c:v>0.09</c:v>
                      </c:pt>
                      <c:pt idx="18">
                        <c:v>0.13</c:v>
                      </c:pt>
                      <c:pt idx="19">
                        <c:v>0.19</c:v>
                      </c:pt>
                      <c:pt idx="20">
                        <c:v>0.27</c:v>
                      </c:pt>
                      <c:pt idx="21">
                        <c:v>0.24</c:v>
                      </c:pt>
                      <c:pt idx="22">
                        <c:v>0.14000000000000001</c:v>
                      </c:pt>
                      <c:pt idx="23">
                        <c:v>0.36</c:v>
                      </c:pt>
                      <c:pt idx="24">
                        <c:v>0.21</c:v>
                      </c:pt>
                      <c:pt idx="25">
                        <c:v>0.08</c:v>
                      </c:pt>
                      <c:pt idx="26">
                        <c:v>0.21</c:v>
                      </c:pt>
                      <c:pt idx="27">
                        <c:v>0.15</c:v>
                      </c:pt>
                    </c:numCache>
                  </c:numRef>
                </c:val>
                <c:extLst>
                  <c:ext xmlns:c16="http://schemas.microsoft.com/office/drawing/2014/chart" uri="{C3380CC4-5D6E-409C-BE32-E72D297353CC}">
                    <c16:uniqueId val="{00000005-2356-4B2F-8640-391FB4624800}"/>
                  </c:ext>
                </c:extLst>
              </c15:ser>
            </c15:filteredBarSeries>
            <c15:filteredBarSeries>
              <c15:ser>
                <c:idx val="9"/>
                <c:order val="3"/>
                <c:tx>
                  <c:strRef>
                    <c:extLst xmlns:c15="http://schemas.microsoft.com/office/drawing/2012/chart">
                      <c:ext xmlns:c15="http://schemas.microsoft.com/office/drawing/2012/chart" uri="{02D57815-91ED-43cb-92C2-25804820EDAC}">
                        <c15:formulaRef>
                          <c15:sqref>'S0 EU Serbia'!$L$2</c15:sqref>
                        </c15:formulaRef>
                      </c:ext>
                    </c:extLst>
                    <c:strCache>
                      <c:ptCount val="1"/>
                      <c:pt idx="0">
                        <c:v>S0
 2016</c:v>
                      </c:pt>
                    </c:strCache>
                  </c:strRef>
                </c:tx>
                <c:spPr>
                  <a:solidFill>
                    <a:srgbClr val="7030A0"/>
                  </a:solidFill>
                  <a:ln>
                    <a:noFill/>
                  </a:ln>
                  <a:effectLst/>
                </c:spPr>
                <c:invertIfNegative val="0"/>
                <c:dPt>
                  <c:idx val="16"/>
                  <c:invertIfNegative val="0"/>
                  <c:bubble3D val="0"/>
                  <c:spPr>
                    <a:solidFill>
                      <a:srgbClr val="7F7F7F"/>
                    </a:solidFill>
                    <a:ln>
                      <a:noFill/>
                    </a:ln>
                    <a:effectLst/>
                  </c:spPr>
                  <c:extLst xmlns:c15="http://schemas.microsoft.com/office/drawing/2012/chart">
                    <c:ext xmlns:c16="http://schemas.microsoft.com/office/drawing/2014/chart" uri="{C3380CC4-5D6E-409C-BE32-E72D297353CC}">
                      <c16:uniqueId val="{00000007-2356-4B2F-8640-391FB4624800}"/>
                    </c:ext>
                  </c:extLst>
                </c:dPt>
                <c:cat>
                  <c:strRef>
                    <c:extLst xmlns:c15="http://schemas.microsoft.com/office/drawing/2012/chart">
                      <c:ext xmlns:c15="http://schemas.microsoft.com/office/drawing/2012/chart" uri="{02D57815-91ED-43cb-92C2-25804820EDAC}">
                        <c15:formulaRef>
                          <c15:sqref>'S0 EU Serbia'!$A$3:$A$32</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extLst xmlns:c15="http://schemas.microsoft.com/office/drawing/2012/chart">
                      <c:ext xmlns:c15="http://schemas.microsoft.com/office/drawing/2012/chart" uri="{02D57815-91ED-43cb-92C2-25804820EDAC}">
                        <c15:formulaRef>
                          <c15:sqref>'S0 EU Serbia'!$L$3:$L$32</c15:sqref>
                        </c15:formulaRef>
                      </c:ext>
                    </c:extLst>
                    <c:numCache>
                      <c:formatCode>0.00</c:formatCode>
                      <c:ptCount val="30"/>
                      <c:pt idx="0">
                        <c:v>0.15</c:v>
                      </c:pt>
                      <c:pt idx="1">
                        <c:v>0.42</c:v>
                      </c:pt>
                      <c:pt idx="2">
                        <c:v>0.28000000000000003</c:v>
                      </c:pt>
                      <c:pt idx="3">
                        <c:v>0.19</c:v>
                      </c:pt>
                      <c:pt idx="4">
                        <c:v>0.18</c:v>
                      </c:pt>
                      <c:pt idx="5">
                        <c:v>0.41</c:v>
                      </c:pt>
                      <c:pt idx="6">
                        <c:v>0.19</c:v>
                      </c:pt>
                      <c:pt idx="7">
                        <c:v>0.25</c:v>
                      </c:pt>
                      <c:pt idx="8">
                        <c:v>0.22</c:v>
                      </c:pt>
                      <c:pt idx="9">
                        <c:v>0.31</c:v>
                      </c:pt>
                      <c:pt idx="11">
                        <c:v>0.08</c:v>
                      </c:pt>
                      <c:pt idx="12">
                        <c:v>0.31</c:v>
                      </c:pt>
                      <c:pt idx="13">
                        <c:v>0.28000000000000003</c:v>
                      </c:pt>
                      <c:pt idx="14">
                        <c:v>0.42</c:v>
                      </c:pt>
                      <c:pt idx="15">
                        <c:v>0.28999999999999998</c:v>
                      </c:pt>
                      <c:pt idx="16">
                        <c:v>0.21</c:v>
                      </c:pt>
                      <c:pt idx="17">
                        <c:v>0.28999999999999998</c:v>
                      </c:pt>
                      <c:pt idx="18">
                        <c:v>0.15</c:v>
                      </c:pt>
                      <c:pt idx="19">
                        <c:v>0.2</c:v>
                      </c:pt>
                      <c:pt idx="20">
                        <c:v>0.28999999999999998</c:v>
                      </c:pt>
                      <c:pt idx="21">
                        <c:v>0.41</c:v>
                      </c:pt>
                      <c:pt idx="22">
                        <c:v>0.26</c:v>
                      </c:pt>
                      <c:pt idx="23">
                        <c:v>0.19161676646706588</c:v>
                      </c:pt>
                      <c:pt idx="24">
                        <c:v>0.34</c:v>
                      </c:pt>
                      <c:pt idx="25">
                        <c:v>0.14000000000000001</c:v>
                      </c:pt>
                      <c:pt idx="26">
                        <c:v>0.37</c:v>
                      </c:pt>
                      <c:pt idx="27">
                        <c:v>0.12</c:v>
                      </c:pt>
                    </c:numCache>
                  </c:numRef>
                </c:val>
                <c:extLst xmlns:c15="http://schemas.microsoft.com/office/drawing/2012/chart">
                  <c:ext xmlns:c16="http://schemas.microsoft.com/office/drawing/2014/chart" uri="{C3380CC4-5D6E-409C-BE32-E72D297353CC}">
                    <c16:uniqueId val="{00000008-2356-4B2F-8640-391FB4624800}"/>
                  </c:ext>
                </c:extLst>
              </c15:ser>
            </c15:filteredBarSeries>
            <c15:filteredBarSeries>
              <c15:ser>
                <c:idx val="0"/>
                <c:order val="4"/>
                <c:tx>
                  <c:strRef>
                    <c:extLst xmlns:c15="http://schemas.microsoft.com/office/drawing/2012/chart">
                      <c:ext xmlns:c15="http://schemas.microsoft.com/office/drawing/2012/chart" uri="{02D57815-91ED-43cb-92C2-25804820EDAC}">
                        <c15:formulaRef>
                          <c15:sqref>'S0 EU Serbia'!$O$2</c15:sqref>
                        </c15:formulaRef>
                      </c:ext>
                    </c:extLst>
                    <c:strCache>
                      <c:ptCount val="1"/>
                      <c:pt idx="0">
                        <c:v>S0 2017</c:v>
                      </c:pt>
                    </c:strCache>
                  </c:strRef>
                </c:tx>
                <c:spPr>
                  <a:solidFill>
                    <a:schemeClr val="accent1"/>
                  </a:solidFill>
                  <a:ln>
                    <a:noFill/>
                  </a:ln>
                  <a:effectLst/>
                </c:spPr>
                <c:invertIfNegative val="0"/>
                <c:cat>
                  <c:strRef>
                    <c:extLst xmlns:c15="http://schemas.microsoft.com/office/drawing/2012/chart">
                      <c:ext xmlns:c15="http://schemas.microsoft.com/office/drawing/2012/char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extLst xmlns:c15="http://schemas.microsoft.com/office/drawing/2012/chart">
                      <c:ext xmlns:c15="http://schemas.microsoft.com/office/drawing/2012/chart" uri="{02D57815-91ED-43cb-92C2-25804820EDAC}">
                        <c15:formulaRef>
                          <c15:sqref>'S0 EU Serbia'!$O$3:$O$31</c15:sqref>
                        </c15:formulaRef>
                      </c:ext>
                    </c:extLst>
                    <c:numCache>
                      <c:formatCode>0.00</c:formatCode>
                      <c:ptCount val="29"/>
                      <c:pt idx="0">
                        <c:v>7.0000000000000007E-2</c:v>
                      </c:pt>
                      <c:pt idx="1">
                        <c:v>0.35</c:v>
                      </c:pt>
                      <c:pt idx="2">
                        <c:v>0.25</c:v>
                      </c:pt>
                      <c:pt idx="3">
                        <c:v>0.19</c:v>
                      </c:pt>
                      <c:pt idx="4">
                        <c:v>0.2</c:v>
                      </c:pt>
                      <c:pt idx="5">
                        <c:v>0.44</c:v>
                      </c:pt>
                      <c:pt idx="6">
                        <c:v>0.3</c:v>
                      </c:pt>
                      <c:pt idx="7">
                        <c:v>0.2</c:v>
                      </c:pt>
                      <c:pt idx="8">
                        <c:v>0.1</c:v>
                      </c:pt>
                      <c:pt idx="9">
                        <c:v>0.24</c:v>
                      </c:pt>
                      <c:pt idx="11">
                        <c:v>0.08</c:v>
                      </c:pt>
                      <c:pt idx="12">
                        <c:v>0.39</c:v>
                      </c:pt>
                      <c:pt idx="13">
                        <c:v>0.28000000000000003</c:v>
                      </c:pt>
                      <c:pt idx="14">
                        <c:v>0.36</c:v>
                      </c:pt>
                      <c:pt idx="15">
                        <c:v>0.24</c:v>
                      </c:pt>
                      <c:pt idx="16">
                        <c:v>0.21</c:v>
                      </c:pt>
                      <c:pt idx="17">
                        <c:v>0.12</c:v>
                      </c:pt>
                      <c:pt idx="18">
                        <c:v>0.05</c:v>
                      </c:pt>
                      <c:pt idx="19">
                        <c:v>0.2</c:v>
                      </c:pt>
                      <c:pt idx="20">
                        <c:v>0.25</c:v>
                      </c:pt>
                      <c:pt idx="21">
                        <c:v>0.36</c:v>
                      </c:pt>
                      <c:pt idx="22">
                        <c:v>0.2</c:v>
                      </c:pt>
                      <c:pt idx="23">
                        <c:v>0.17745302713987476</c:v>
                      </c:pt>
                      <c:pt idx="24">
                        <c:v>0.3</c:v>
                      </c:pt>
                      <c:pt idx="25">
                        <c:v>0.13</c:v>
                      </c:pt>
                      <c:pt idx="26">
                        <c:v>0.37</c:v>
                      </c:pt>
                      <c:pt idx="27">
                        <c:v>0.12</c:v>
                      </c:pt>
                    </c:numCache>
                  </c:numRef>
                </c:val>
                <c:extLst xmlns:c15="http://schemas.microsoft.com/office/drawing/2012/chart">
                  <c:ext xmlns:c16="http://schemas.microsoft.com/office/drawing/2014/chart" uri="{C3380CC4-5D6E-409C-BE32-E72D297353CC}">
                    <c16:uniqueId val="{00000009-2356-4B2F-8640-391FB4624800}"/>
                  </c:ext>
                </c:extLst>
              </c15:ser>
            </c15:filteredBarSeries>
            <c15:filteredBarSeries>
              <c15:ser>
                <c:idx val="1"/>
                <c:order val="5"/>
                <c:tx>
                  <c:strRef>
                    <c:extLst xmlns:c15="http://schemas.microsoft.com/office/drawing/2012/chart">
                      <c:ext xmlns:c15="http://schemas.microsoft.com/office/drawing/2012/chart" uri="{02D57815-91ED-43cb-92C2-25804820EDAC}">
                        <c15:formulaRef>
                          <c15:sqref>'S0 EU Serbia'!$R$2</c15:sqref>
                        </c15:formulaRef>
                      </c:ext>
                    </c:extLst>
                    <c:strCache>
                      <c:ptCount val="1"/>
                      <c:pt idx="0">
                        <c:v>S0 2018</c:v>
                      </c:pt>
                    </c:strCache>
                  </c:strRef>
                </c:tx>
                <c:spPr>
                  <a:solidFill>
                    <a:srgbClr val="7030A0"/>
                  </a:solidFill>
                  <a:ln>
                    <a:noFill/>
                  </a:ln>
                  <a:effectLst/>
                </c:spPr>
                <c:invertIfNegative val="0"/>
                <c:cat>
                  <c:strRef>
                    <c:extLst xmlns:c15="http://schemas.microsoft.com/office/drawing/2012/chart">
                      <c:ext xmlns:c15="http://schemas.microsoft.com/office/drawing/2012/char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extLst xmlns:c15="http://schemas.microsoft.com/office/drawing/2012/chart">
                      <c:ext xmlns:c15="http://schemas.microsoft.com/office/drawing/2012/chart" uri="{02D57815-91ED-43cb-92C2-25804820EDAC}">
                        <c15:formulaRef>
                          <c15:sqref>'S0 EU Serbia'!$R$3:$R$31</c15:sqref>
                        </c15:formulaRef>
                      </c:ext>
                    </c:extLst>
                    <c:numCache>
                      <c:formatCode>0.00</c:formatCode>
                      <c:ptCount val="29"/>
                      <c:pt idx="0">
                        <c:v>0.03</c:v>
                      </c:pt>
                      <c:pt idx="1">
                        <c:v>0.22</c:v>
                      </c:pt>
                      <c:pt idx="2">
                        <c:v>0.19</c:v>
                      </c:pt>
                      <c:pt idx="3">
                        <c:v>0.18</c:v>
                      </c:pt>
                      <c:pt idx="4">
                        <c:v>0.24</c:v>
                      </c:pt>
                      <c:pt idx="5">
                        <c:v>0.46</c:v>
                      </c:pt>
                      <c:pt idx="6">
                        <c:v>0.12</c:v>
                      </c:pt>
                      <c:pt idx="7">
                        <c:v>0.17</c:v>
                      </c:pt>
                      <c:pt idx="8">
                        <c:v>0.14000000000000001</c:v>
                      </c:pt>
                      <c:pt idx="9">
                        <c:v>0.28999999999999998</c:v>
                      </c:pt>
                      <c:pt idx="11">
                        <c:v>0</c:v>
                      </c:pt>
                      <c:pt idx="12">
                        <c:v>0.34</c:v>
                      </c:pt>
                      <c:pt idx="13">
                        <c:v>0.21</c:v>
                      </c:pt>
                      <c:pt idx="14">
                        <c:v>0.36</c:v>
                      </c:pt>
                      <c:pt idx="15">
                        <c:v>0.24</c:v>
                      </c:pt>
                      <c:pt idx="16">
                        <c:v>0.21</c:v>
                      </c:pt>
                      <c:pt idx="17">
                        <c:v>0.12</c:v>
                      </c:pt>
                      <c:pt idx="18">
                        <c:v>0.06</c:v>
                      </c:pt>
                      <c:pt idx="19">
                        <c:v>0.08</c:v>
                      </c:pt>
                      <c:pt idx="20">
                        <c:v>0.18</c:v>
                      </c:pt>
                      <c:pt idx="21">
                        <c:v>0.33</c:v>
                      </c:pt>
                      <c:pt idx="22">
                        <c:v>0.3</c:v>
                      </c:pt>
                      <c:pt idx="23">
                        <c:v>0.17745302713987476</c:v>
                      </c:pt>
                      <c:pt idx="24">
                        <c:v>0.27</c:v>
                      </c:pt>
                      <c:pt idx="25">
                        <c:v>0.13</c:v>
                      </c:pt>
                      <c:pt idx="26">
                        <c:v>0.37</c:v>
                      </c:pt>
                      <c:pt idx="27">
                        <c:v>0.2</c:v>
                      </c:pt>
                    </c:numCache>
                  </c:numRef>
                </c:val>
                <c:extLst xmlns:c15="http://schemas.microsoft.com/office/drawing/2012/chart">
                  <c:ext xmlns:c16="http://schemas.microsoft.com/office/drawing/2014/chart" uri="{C3380CC4-5D6E-409C-BE32-E72D297353CC}">
                    <c16:uniqueId val="{0000000A-2356-4B2F-8640-391FB4624800}"/>
                  </c:ext>
                </c:extLst>
              </c15:ser>
            </c15:filteredBarSeries>
            <c15:filteredBarSeries>
              <c15:ser>
                <c:idx val="4"/>
                <c:order val="6"/>
                <c:tx>
                  <c:strRef>
                    <c:extLst xmlns:c15="http://schemas.microsoft.com/office/drawing/2012/chart">
                      <c:ext xmlns:c15="http://schemas.microsoft.com/office/drawing/2012/chart" uri="{02D57815-91ED-43cb-92C2-25804820EDAC}">
                        <c15:formulaRef>
                          <c15:sqref>'S0 EU Serbia'!$U$2</c15:sqref>
                        </c15:formulaRef>
                      </c:ext>
                    </c:extLst>
                    <c:strCache>
                      <c:ptCount val="1"/>
                      <c:pt idx="0">
                        <c:v>S0 2019</c:v>
                      </c:pt>
                    </c:strCache>
                  </c:strRef>
                </c:tx>
                <c:spPr>
                  <a:solidFill>
                    <a:schemeClr val="accent5"/>
                  </a:solidFill>
                  <a:ln>
                    <a:noFill/>
                  </a:ln>
                  <a:effectLst/>
                </c:spPr>
                <c:invertIfNegative val="0"/>
                <c:val>
                  <c:numRef>
                    <c:extLst xmlns:c15="http://schemas.microsoft.com/office/drawing/2012/chart">
                      <c:ext xmlns:c15="http://schemas.microsoft.com/office/drawing/2012/chart" uri="{02D57815-91ED-43cb-92C2-25804820EDAC}">
                        <c15:formulaRef>
                          <c15:sqref>'S0 EU Serbia'!$U$3:$U$30</c15:sqref>
                        </c15:formulaRef>
                      </c:ext>
                    </c:extLst>
                    <c:numCache>
                      <c:formatCode>0.00</c:formatCode>
                      <c:ptCount val="28"/>
                      <c:pt idx="0">
                        <c:v>0.1</c:v>
                      </c:pt>
                      <c:pt idx="1">
                        <c:v>0.17</c:v>
                      </c:pt>
                      <c:pt idx="2">
                        <c:v>0.21</c:v>
                      </c:pt>
                      <c:pt idx="3">
                        <c:v>0.22</c:v>
                      </c:pt>
                      <c:pt idx="4">
                        <c:v>0.24</c:v>
                      </c:pt>
                      <c:pt idx="5">
                        <c:v>0.45</c:v>
                      </c:pt>
                      <c:pt idx="6">
                        <c:v>0.2</c:v>
                      </c:pt>
                      <c:pt idx="7">
                        <c:v>0.2</c:v>
                      </c:pt>
                      <c:pt idx="8">
                        <c:v>0.26</c:v>
                      </c:pt>
                      <c:pt idx="9">
                        <c:v>0.36</c:v>
                      </c:pt>
                      <c:pt idx="11">
                        <c:v>0.08</c:v>
                      </c:pt>
                      <c:pt idx="12">
                        <c:v>0.28999999999999998</c:v>
                      </c:pt>
                      <c:pt idx="13">
                        <c:v>0.14000000000000001</c:v>
                      </c:pt>
                      <c:pt idx="14">
                        <c:v>0.33</c:v>
                      </c:pt>
                      <c:pt idx="15">
                        <c:v>0.24</c:v>
                      </c:pt>
                      <c:pt idx="16">
                        <c:v>0.21</c:v>
                      </c:pt>
                      <c:pt idx="17">
                        <c:v>0.19</c:v>
                      </c:pt>
                      <c:pt idx="18">
                        <c:v>0.06</c:v>
                      </c:pt>
                      <c:pt idx="19">
                        <c:v>0.16</c:v>
                      </c:pt>
                      <c:pt idx="20">
                        <c:v>0.26</c:v>
                      </c:pt>
                      <c:pt idx="21">
                        <c:v>0.33</c:v>
                      </c:pt>
                      <c:pt idx="22">
                        <c:v>0.37</c:v>
                      </c:pt>
                      <c:pt idx="23">
                        <c:v>0.17745302713987476</c:v>
                      </c:pt>
                      <c:pt idx="24">
                        <c:v>0.27</c:v>
                      </c:pt>
                      <c:pt idx="25">
                        <c:v>0.05</c:v>
                      </c:pt>
                      <c:pt idx="26">
                        <c:v>0.37</c:v>
                      </c:pt>
                      <c:pt idx="27">
                        <c:v>0.24</c:v>
                      </c:pt>
                    </c:numCache>
                  </c:numRef>
                </c:val>
                <c:extLst xmlns:c15="http://schemas.microsoft.com/office/drawing/2012/chart">
                  <c:ext xmlns:c16="http://schemas.microsoft.com/office/drawing/2014/chart" uri="{C3380CC4-5D6E-409C-BE32-E72D297353CC}">
                    <c16:uniqueId val="{0000000B-2356-4B2F-8640-391FB4624800}"/>
                  </c:ext>
                </c:extLst>
              </c15:ser>
            </c15:filteredBarSeries>
          </c:ext>
        </c:extLst>
      </c:barChart>
      <c:lineChart>
        <c:grouping val="standard"/>
        <c:varyColors val="0"/>
        <c:ser>
          <c:idx val="2"/>
          <c:order val="0"/>
          <c:tx>
            <c:strRef>
              <c:f>'S0 EU Serbia'!$E$1</c:f>
              <c:strCache>
                <c:ptCount val="1"/>
                <c:pt idx="0">
                  <c:v>S0 праг</c:v>
                </c:pt>
              </c:strCache>
            </c:strRef>
          </c:tx>
          <c:spPr>
            <a:ln w="22225" cap="rnd">
              <a:solidFill>
                <a:schemeClr val="tx1"/>
              </a:solidFill>
              <a:prstDash val="dash"/>
              <a:round/>
            </a:ln>
            <a:effectLst/>
          </c:spPr>
          <c:marker>
            <c:symbol val="none"/>
          </c:marker>
          <c:dLbls>
            <c:dLbl>
              <c:idx val="15"/>
              <c:layout>
                <c:manualLayout>
                  <c:x val="-2.5343339842620423E-3"/>
                  <c:y val="-9.6564531104921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356-4B2F-8640-391FB4624800}"/>
                </c:ext>
              </c:extLst>
            </c:dLbl>
            <c:spPr>
              <a:noFill/>
              <a:ln>
                <a:noFill/>
              </a:ln>
              <a:effectLst/>
            </c:spPr>
            <c:txPr>
              <a:bodyPr rot="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'S0 EU Serbia'!$A$3:$A$31</c:f>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f>'S0 EU Serbia'!$E$3:$E$30</c:f>
              <c:numCache>
                <c:formatCode>0.00</c:formatCode>
                <c:ptCount val="28"/>
                <c:pt idx="0">
                  <c:v>0.46</c:v>
                </c:pt>
                <c:pt idx="1">
                  <c:v>0.46</c:v>
                </c:pt>
                <c:pt idx="2">
                  <c:v>0.46</c:v>
                </c:pt>
                <c:pt idx="3">
                  <c:v>0.46</c:v>
                </c:pt>
                <c:pt idx="4">
                  <c:v>0.46</c:v>
                </c:pt>
                <c:pt idx="5">
                  <c:v>0.46</c:v>
                </c:pt>
                <c:pt idx="6">
                  <c:v>0.46</c:v>
                </c:pt>
                <c:pt idx="7">
                  <c:v>0.46</c:v>
                </c:pt>
                <c:pt idx="8">
                  <c:v>0.46</c:v>
                </c:pt>
                <c:pt idx="9">
                  <c:v>0.46</c:v>
                </c:pt>
                <c:pt idx="10">
                  <c:v>0.46</c:v>
                </c:pt>
                <c:pt idx="11">
                  <c:v>0.46</c:v>
                </c:pt>
                <c:pt idx="12">
                  <c:v>0.46</c:v>
                </c:pt>
                <c:pt idx="13">
                  <c:v>0.46</c:v>
                </c:pt>
                <c:pt idx="14">
                  <c:v>0.46</c:v>
                </c:pt>
                <c:pt idx="15">
                  <c:v>0.46</c:v>
                </c:pt>
                <c:pt idx="16">
                  <c:v>0.46</c:v>
                </c:pt>
                <c:pt idx="17">
                  <c:v>0.46</c:v>
                </c:pt>
                <c:pt idx="18">
                  <c:v>0.46</c:v>
                </c:pt>
                <c:pt idx="19">
                  <c:v>0.46</c:v>
                </c:pt>
                <c:pt idx="20">
                  <c:v>0.46</c:v>
                </c:pt>
                <c:pt idx="21">
                  <c:v>0.46</c:v>
                </c:pt>
                <c:pt idx="22">
                  <c:v>0.46</c:v>
                </c:pt>
                <c:pt idx="23">
                  <c:v>0.46</c:v>
                </c:pt>
                <c:pt idx="24">
                  <c:v>0.46</c:v>
                </c:pt>
                <c:pt idx="25">
                  <c:v>0.46</c:v>
                </c:pt>
                <c:pt idx="26">
                  <c:v>0.46</c:v>
                </c:pt>
                <c:pt idx="27">
                  <c:v>0.46</c:v>
                </c:pt>
              </c:numCache>
            </c:numRef>
          </c:val>
          <c:smooth val="0"/>
          <c:extLst>
            <c:ext xmlns:c16="http://schemas.microsoft.com/office/drawing/2014/chart" uri="{C3380CC4-5D6E-409C-BE32-E72D297353CC}">
              <c16:uniqueId val="{00000004-2356-4B2F-8640-391FB4624800}"/>
            </c:ext>
          </c:extLst>
        </c:ser>
        <c:dLbls>
          <c:showLegendKey val="0"/>
          <c:showVal val="0"/>
          <c:showCatName val="0"/>
          <c:showSerName val="0"/>
          <c:showPercent val="0"/>
          <c:showBubbleSize val="0"/>
        </c:dLbls>
        <c:marker val="1"/>
        <c:smooth val="0"/>
        <c:axId val="-486950096"/>
        <c:axId val="-486949552"/>
      </c:lineChart>
      <c:catAx>
        <c:axId val="-486950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crossAx val="-486949552"/>
        <c:crosses val="autoZero"/>
        <c:auto val="1"/>
        <c:lblAlgn val="ctr"/>
        <c:lblOffset val="100"/>
        <c:noMultiLvlLbl val="0"/>
      </c:catAx>
      <c:valAx>
        <c:axId val="-486949552"/>
        <c:scaling>
          <c:orientation val="minMax"/>
          <c:max val="0.9"/>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crossAx val="-486950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sz="900">
          <a:latin typeface="+mn-lt"/>
        </a:defRPr>
      </a:pPr>
      <a:endParaRPr lang="en-US"/>
    </a:p>
  </c:txPr>
  <c:externalData r:id="rId3">
    <c:autoUpdate val="0"/>
  </c:externalData>
  <c:userShapes r:id="rId4"/>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080" b="0" i="0" u="none" strike="noStrike" kern="1200" spc="0" baseline="0">
                <a:solidFill>
                  <a:schemeClr val="tx1">
                    <a:lumMod val="65000"/>
                    <a:lumOff val="35000"/>
                  </a:schemeClr>
                </a:solidFill>
                <a:latin typeface="+mn-lt"/>
                <a:ea typeface="+mn-ea"/>
                <a:cs typeface="+mn-cs"/>
              </a:defRPr>
            </a:pPr>
            <a:r>
              <a:rPr lang="en-US" b="1">
                <a:solidFill>
                  <a:srgbClr val="002060"/>
                </a:solidFill>
              </a:rPr>
              <a:t>S0 </a:t>
            </a:r>
            <a:r>
              <a:rPr lang="sr-Cyrl-RS" b="1">
                <a:solidFill>
                  <a:srgbClr val="002060"/>
                </a:solidFill>
              </a:rPr>
              <a:t>индикатор са фискалним подиндексом и подиндексом финансијске конкурентности за Србију за период 2015-20</a:t>
            </a:r>
            <a:r>
              <a:rPr lang="sr-Latn-RS" b="1">
                <a:solidFill>
                  <a:srgbClr val="002060"/>
                </a:solidFill>
              </a:rPr>
              <a:t>24</a:t>
            </a:r>
            <a:r>
              <a:rPr lang="sr-Cyrl-RS" b="1">
                <a:solidFill>
                  <a:srgbClr val="002060"/>
                </a:solidFill>
              </a:rPr>
              <a:t>. године </a:t>
            </a:r>
            <a:endParaRPr lang="en-US" b="1">
              <a:solidFill>
                <a:srgbClr val="002060"/>
              </a:solidFill>
            </a:endParaRPr>
          </a:p>
        </c:rich>
      </c:tx>
      <c:layout>
        <c:manualLayout>
          <c:xMode val="edge"/>
          <c:yMode val="edge"/>
          <c:x val="0.10814122740566154"/>
          <c:y val="1.282051282051282E-2"/>
        </c:manualLayout>
      </c:layout>
      <c:overlay val="0"/>
      <c:spPr>
        <a:noFill/>
        <a:ln>
          <a:noFill/>
        </a:ln>
        <a:effectLst/>
      </c:spPr>
      <c:txPr>
        <a:bodyPr rot="0" spcFirstLastPara="1" vertOverflow="ellipsis" vert="horz" wrap="square" anchor="ctr" anchorCtr="1"/>
        <a:lstStyle/>
        <a:p>
          <a:pPr algn="ctr" rtl="0">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3415222230767468E-2"/>
          <c:y val="3.6774925403545759E-2"/>
          <c:w val="0.89818784226795878"/>
          <c:h val="0.77017238980982072"/>
        </c:manualLayout>
      </c:layout>
      <c:barChart>
        <c:barDir val="col"/>
        <c:grouping val="clustered"/>
        <c:varyColors val="0"/>
        <c:ser>
          <c:idx val="0"/>
          <c:order val="0"/>
          <c:tx>
            <c:strRef>
              <c:f>'S0 EU Serbia'!$AM$39</c:f>
              <c:strCache>
                <c:ptCount val="1"/>
                <c:pt idx="0">
                  <c:v>Фискални подиндекс</c:v>
                </c:pt>
              </c:strCache>
            </c:strRef>
          </c:tx>
          <c:spPr>
            <a:solidFill>
              <a:srgbClr val="7030A0"/>
            </a:solidFill>
            <a:ln w="9525">
              <a:noFill/>
            </a:ln>
            <a:effectLst/>
          </c:spPr>
          <c:invertIfNegative val="0"/>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Serbia'!$AM$41:$AM$52</c:f>
              <c:numCache>
                <c:formatCode>0.00</c:formatCode>
                <c:ptCount val="10"/>
                <c:pt idx="0">
                  <c:v>0.40718562874251496</c:v>
                </c:pt>
                <c:pt idx="1">
                  <c:v>0.19161676646706588</c:v>
                </c:pt>
                <c:pt idx="2">
                  <c:v>0</c:v>
                </c:pt>
                <c:pt idx="3">
                  <c:v>0</c:v>
                </c:pt>
                <c:pt idx="4">
                  <c:v>0</c:v>
                </c:pt>
                <c:pt idx="5">
                  <c:v>0.47904191616766456</c:v>
                </c:pt>
                <c:pt idx="6">
                  <c:v>0.21560000000000001</c:v>
                </c:pt>
                <c:pt idx="7">
                  <c:v>0.21556886227544908</c:v>
                </c:pt>
                <c:pt idx="8">
                  <c:v>7.7844311377245498E-2</c:v>
                </c:pt>
                <c:pt idx="9">
                  <c:v>0.11976047904191615</c:v>
                </c:pt>
              </c:numCache>
            </c:numRef>
          </c:val>
          <c:extLst>
            <c:ext xmlns:c16="http://schemas.microsoft.com/office/drawing/2014/chart" uri="{C3380CC4-5D6E-409C-BE32-E72D297353CC}">
              <c16:uniqueId val="{00000000-9ABB-4FF5-89F5-B5AD6910A012}"/>
            </c:ext>
          </c:extLst>
        </c:ser>
        <c:ser>
          <c:idx val="1"/>
          <c:order val="1"/>
          <c:tx>
            <c:strRef>
              <c:f>'S0 EU Serbia'!$AN$39</c:f>
              <c:strCache>
                <c:ptCount val="1"/>
                <c:pt idx="0">
                  <c:v>Подиндекс макро-финансијске конкурентности</c:v>
                </c:pt>
              </c:strCache>
            </c:strRef>
          </c:tx>
          <c:spPr>
            <a:solidFill>
              <a:srgbClr val="5297AC"/>
            </a:solidFill>
            <a:ln w="9525">
              <a:noFill/>
            </a:ln>
            <a:effectLst/>
          </c:spPr>
          <c:invertIfNegative val="0"/>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Serbia'!$AN$41:$AN$52</c:f>
              <c:numCache>
                <c:formatCode>0.00</c:formatCode>
                <c:ptCount val="10"/>
                <c:pt idx="0">
                  <c:v>0.27243589743589747</c:v>
                </c:pt>
                <c:pt idx="1">
                  <c:v>0.27243589743589747</c:v>
                </c:pt>
                <c:pt idx="2">
                  <c:v>0.27243589743589747</c:v>
                </c:pt>
                <c:pt idx="3">
                  <c:v>0.27243589743589747</c:v>
                </c:pt>
                <c:pt idx="4">
                  <c:v>0.27243589743589747</c:v>
                </c:pt>
                <c:pt idx="5">
                  <c:v>0.42307692307692302</c:v>
                </c:pt>
                <c:pt idx="6">
                  <c:v>0.27239999999999998</c:v>
                </c:pt>
                <c:pt idx="7">
                  <c:v>0.27243589743589747</c:v>
                </c:pt>
                <c:pt idx="8">
                  <c:v>0.27243589743589747</c:v>
                </c:pt>
                <c:pt idx="9">
                  <c:v>0.30769230769230771</c:v>
                </c:pt>
              </c:numCache>
            </c:numRef>
          </c:val>
          <c:extLst>
            <c:ext xmlns:c16="http://schemas.microsoft.com/office/drawing/2014/chart" uri="{C3380CC4-5D6E-409C-BE32-E72D297353CC}">
              <c16:uniqueId val="{00000001-9ABB-4FF5-89F5-B5AD6910A012}"/>
            </c:ext>
          </c:extLst>
        </c:ser>
        <c:dLbls>
          <c:showLegendKey val="0"/>
          <c:showVal val="0"/>
          <c:showCatName val="0"/>
          <c:showSerName val="0"/>
          <c:showPercent val="0"/>
          <c:showBubbleSize val="0"/>
        </c:dLbls>
        <c:gapWidth val="150"/>
        <c:axId val="-486944112"/>
        <c:axId val="-486944656"/>
      </c:barChart>
      <c:lineChart>
        <c:grouping val="standard"/>
        <c:varyColors val="0"/>
        <c:ser>
          <c:idx val="2"/>
          <c:order val="2"/>
          <c:tx>
            <c:strRef>
              <c:f>'S0 EU Serbia'!$AO$39</c:f>
              <c:strCache>
                <c:ptCount val="1"/>
                <c:pt idx="0">
                  <c:v>S0 индикатор</c:v>
                </c:pt>
              </c:strCache>
            </c:strRef>
          </c:tx>
          <c:spPr>
            <a:ln w="22225" cap="rnd">
              <a:noFill/>
              <a:prstDash val="solid"/>
              <a:round/>
            </a:ln>
            <a:effectLst/>
          </c:spPr>
          <c:marker>
            <c:symbol val="triangle"/>
            <c:size val="16"/>
            <c:spPr>
              <a:solidFill>
                <a:schemeClr val="tx1"/>
              </a:solidFill>
              <a:ln w="9525">
                <a:noFill/>
              </a:ln>
              <a:effectLst/>
            </c:spPr>
          </c:marker>
          <c:dPt>
            <c:idx val="0"/>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3-9ABB-4FF5-89F5-B5AD6910A012}"/>
              </c:ext>
            </c:extLst>
          </c:dPt>
          <c:dPt>
            <c:idx val="1"/>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5-9ABB-4FF5-89F5-B5AD6910A012}"/>
              </c:ext>
            </c:extLst>
          </c:dPt>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Serbia'!$AO$41:$AO$52</c:f>
              <c:numCache>
                <c:formatCode>0.00</c:formatCode>
                <c:ptCount val="10"/>
                <c:pt idx="0">
                  <c:v>0.31941544885177453</c:v>
                </c:pt>
                <c:pt idx="1">
                  <c:v>0.24425887265135704</c:v>
                </c:pt>
                <c:pt idx="2">
                  <c:v>0.17745302713987476</c:v>
                </c:pt>
                <c:pt idx="3">
                  <c:v>0.17745302713987476</c:v>
                </c:pt>
                <c:pt idx="4">
                  <c:v>0.17745302713987476</c:v>
                </c:pt>
                <c:pt idx="5">
                  <c:v>0.4425887265135699</c:v>
                </c:pt>
                <c:pt idx="6">
                  <c:v>0.25259999999999999</c:v>
                </c:pt>
                <c:pt idx="7">
                  <c:v>0.25260960334029231</c:v>
                </c:pt>
                <c:pt idx="8">
                  <c:v>0.20459290187891443</c:v>
                </c:pt>
                <c:pt idx="9">
                  <c:v>0.24217118997912318</c:v>
                </c:pt>
              </c:numCache>
            </c:numRef>
          </c:val>
          <c:smooth val="0"/>
          <c:extLst>
            <c:ext xmlns:c16="http://schemas.microsoft.com/office/drawing/2014/chart" uri="{C3380CC4-5D6E-409C-BE32-E72D297353CC}">
              <c16:uniqueId val="{00000006-9ABB-4FF5-89F5-B5AD6910A012}"/>
            </c:ext>
          </c:extLst>
        </c:ser>
        <c:ser>
          <c:idx val="3"/>
          <c:order val="3"/>
          <c:tx>
            <c:strRef>
              <c:f>'S0 EU Serbia'!$AP$39</c:f>
              <c:strCache>
                <c:ptCount val="1"/>
                <c:pt idx="0">
                  <c:v>Праг фискалног подиндекса</c:v>
                </c:pt>
              </c:strCache>
            </c:strRef>
          </c:tx>
          <c:spPr>
            <a:ln w="22225" cap="rnd">
              <a:solidFill>
                <a:srgbClr val="7030A0"/>
              </a:solidFill>
              <a:prstDash val="dash"/>
              <a:round/>
            </a:ln>
            <a:effectLst/>
          </c:spPr>
          <c:marker>
            <c:symbol val="none"/>
          </c:marker>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Serbia'!$AP$41:$AP$52</c:f>
              <c:numCache>
                <c:formatCode>General</c:formatCode>
                <c:ptCount val="10"/>
                <c:pt idx="0">
                  <c:v>0.36</c:v>
                </c:pt>
                <c:pt idx="1">
                  <c:v>0.36</c:v>
                </c:pt>
                <c:pt idx="2">
                  <c:v>0.36</c:v>
                </c:pt>
                <c:pt idx="3">
                  <c:v>0.36</c:v>
                </c:pt>
                <c:pt idx="4">
                  <c:v>0.36</c:v>
                </c:pt>
                <c:pt idx="5">
                  <c:v>0.36</c:v>
                </c:pt>
                <c:pt idx="6">
                  <c:v>0.36</c:v>
                </c:pt>
                <c:pt idx="7">
                  <c:v>0.36</c:v>
                </c:pt>
                <c:pt idx="8">
                  <c:v>0.36</c:v>
                </c:pt>
                <c:pt idx="9">
                  <c:v>0.36</c:v>
                </c:pt>
              </c:numCache>
            </c:numRef>
          </c:val>
          <c:smooth val="0"/>
          <c:extLst>
            <c:ext xmlns:c16="http://schemas.microsoft.com/office/drawing/2014/chart" uri="{C3380CC4-5D6E-409C-BE32-E72D297353CC}">
              <c16:uniqueId val="{00000007-9ABB-4FF5-89F5-B5AD6910A012}"/>
            </c:ext>
          </c:extLst>
        </c:ser>
        <c:ser>
          <c:idx val="4"/>
          <c:order val="4"/>
          <c:tx>
            <c:strRef>
              <c:f>'S0 EU Serbia'!$AQ$39</c:f>
              <c:strCache>
                <c:ptCount val="1"/>
                <c:pt idx="0">
                  <c:v>Праг финансијског подиндекса</c:v>
                </c:pt>
              </c:strCache>
            </c:strRef>
          </c:tx>
          <c:spPr>
            <a:ln w="22225" cap="rnd">
              <a:solidFill>
                <a:srgbClr val="5297AC"/>
              </a:solidFill>
              <a:prstDash val="dash"/>
              <a:round/>
            </a:ln>
            <a:effectLst/>
          </c:spPr>
          <c:marker>
            <c:symbol val="none"/>
          </c:marker>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Serbia'!$AQ$41:$AQ$52</c:f>
              <c:numCache>
                <c:formatCode>General</c:formatCode>
                <c:ptCount val="10"/>
                <c:pt idx="0">
                  <c:v>0.49</c:v>
                </c:pt>
                <c:pt idx="1">
                  <c:v>0.49</c:v>
                </c:pt>
                <c:pt idx="2">
                  <c:v>0.49</c:v>
                </c:pt>
                <c:pt idx="3">
                  <c:v>0.49</c:v>
                </c:pt>
                <c:pt idx="4">
                  <c:v>0.49</c:v>
                </c:pt>
                <c:pt idx="5">
                  <c:v>0.49</c:v>
                </c:pt>
                <c:pt idx="6">
                  <c:v>0.49</c:v>
                </c:pt>
                <c:pt idx="7">
                  <c:v>0.49</c:v>
                </c:pt>
                <c:pt idx="8">
                  <c:v>0.49</c:v>
                </c:pt>
                <c:pt idx="9">
                  <c:v>0.49</c:v>
                </c:pt>
              </c:numCache>
            </c:numRef>
          </c:val>
          <c:smooth val="0"/>
          <c:extLst>
            <c:ext xmlns:c16="http://schemas.microsoft.com/office/drawing/2014/chart" uri="{C3380CC4-5D6E-409C-BE32-E72D297353CC}">
              <c16:uniqueId val="{00000008-9ABB-4FF5-89F5-B5AD6910A012}"/>
            </c:ext>
          </c:extLst>
        </c:ser>
        <c:ser>
          <c:idx val="5"/>
          <c:order val="5"/>
          <c:tx>
            <c:strRef>
              <c:f>'S0 EU Serbia'!$AR$39</c:f>
              <c:strCache>
                <c:ptCount val="1"/>
                <c:pt idx="0">
                  <c:v>S0 праг</c:v>
                </c:pt>
              </c:strCache>
            </c:strRef>
          </c:tx>
          <c:spPr>
            <a:ln w="22225" cap="rnd">
              <a:solidFill>
                <a:schemeClr val="tx1"/>
              </a:solidFill>
              <a:prstDash val="dash"/>
              <a:round/>
            </a:ln>
            <a:effectLst/>
          </c:spPr>
          <c:marker>
            <c:symbol val="none"/>
          </c:marker>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Serbia'!$AR$41:$AR$52</c:f>
              <c:numCache>
                <c:formatCode>General</c:formatCode>
                <c:ptCount val="10"/>
                <c:pt idx="0">
                  <c:v>0.46</c:v>
                </c:pt>
                <c:pt idx="1">
                  <c:v>0.46</c:v>
                </c:pt>
                <c:pt idx="2">
                  <c:v>0.46</c:v>
                </c:pt>
                <c:pt idx="3">
                  <c:v>0.46</c:v>
                </c:pt>
                <c:pt idx="4">
                  <c:v>0.46</c:v>
                </c:pt>
                <c:pt idx="5">
                  <c:v>0.46</c:v>
                </c:pt>
                <c:pt idx="6">
                  <c:v>0.46</c:v>
                </c:pt>
                <c:pt idx="7">
                  <c:v>0.46</c:v>
                </c:pt>
                <c:pt idx="8">
                  <c:v>0.46</c:v>
                </c:pt>
                <c:pt idx="9">
                  <c:v>0.46</c:v>
                </c:pt>
              </c:numCache>
            </c:numRef>
          </c:val>
          <c:smooth val="0"/>
          <c:extLst>
            <c:ext xmlns:c16="http://schemas.microsoft.com/office/drawing/2014/chart" uri="{C3380CC4-5D6E-409C-BE32-E72D297353CC}">
              <c16:uniqueId val="{00000009-9ABB-4FF5-89F5-B5AD6910A012}"/>
            </c:ext>
          </c:extLst>
        </c:ser>
        <c:dLbls>
          <c:showLegendKey val="0"/>
          <c:showVal val="0"/>
          <c:showCatName val="0"/>
          <c:showSerName val="0"/>
          <c:showPercent val="0"/>
          <c:showBubbleSize val="0"/>
        </c:dLbls>
        <c:marker val="1"/>
        <c:smooth val="0"/>
        <c:axId val="-486944112"/>
        <c:axId val="-486944656"/>
      </c:lineChart>
      <c:catAx>
        <c:axId val="-486944112"/>
        <c:scaling>
          <c:orientation val="minMax"/>
        </c:scaling>
        <c:delete val="0"/>
        <c:axPos val="b"/>
        <c:numFmt formatCode="General" sourceLinked="1"/>
        <c:majorTickMark val="none"/>
        <c:minorTickMark val="none"/>
        <c:tickLblPos val="nextTo"/>
        <c:spPr>
          <a:noFill/>
          <a:ln w="6350"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crossAx val="-486944656"/>
        <c:crosses val="autoZero"/>
        <c:auto val="1"/>
        <c:lblAlgn val="ctr"/>
        <c:lblOffset val="100"/>
        <c:noMultiLvlLbl val="0"/>
      </c:catAx>
      <c:valAx>
        <c:axId val="-486944656"/>
        <c:scaling>
          <c:orientation val="minMax"/>
          <c:max val="0.70000000000000007"/>
        </c:scaling>
        <c:delete val="0"/>
        <c:axPos val="l"/>
        <c:numFmt formatCode="#,##0.0" sourceLinked="0"/>
        <c:majorTickMark val="out"/>
        <c:minorTickMark val="none"/>
        <c:tickLblPos val="nextTo"/>
        <c:spPr>
          <a:noFill/>
          <a:ln w="6350">
            <a:noFill/>
          </a:ln>
          <a:effectLst/>
        </c:spPr>
        <c:txPr>
          <a:bodyPr rot="-6000000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crossAx val="-486944112"/>
        <c:crossesAt val="1"/>
        <c:crossBetween val="between"/>
      </c:valAx>
      <c:spPr>
        <a:noFill/>
        <a:ln>
          <a:noFill/>
        </a:ln>
        <a:effectLst/>
      </c:spPr>
    </c:plotArea>
    <c:legend>
      <c:legendPos val="b"/>
      <c:legendEntry>
        <c:idx val="3"/>
        <c:txPr>
          <a:bodyPr rot="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legendEntry>
      <c:layout>
        <c:manualLayout>
          <c:xMode val="edge"/>
          <c:yMode val="edge"/>
          <c:x val="2.930789712720251E-4"/>
          <c:y val="0.82705299433987767"/>
          <c:w val="0.99970692102872794"/>
          <c:h val="0.14497358021837217"/>
        </c:manualLayout>
      </c:layout>
      <c:overlay val="0"/>
      <c:spPr>
        <a:noFill/>
        <a:ln>
          <a:noFill/>
        </a:ln>
        <a:effectLst/>
      </c:spPr>
      <c:txPr>
        <a:bodyPr rot="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sz="900">
          <a:latin typeface="+mn-lt"/>
        </a:defRPr>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hart>
    <c:autoTitleDeleted val="1"/>
    <c:plotArea>
      <c:layout>
        <c:manualLayout>
          <c:layoutTarget val="inner"/>
          <c:xMode val="edge"/>
          <c:yMode val="edge"/>
          <c:x val="8.7820064158646849E-2"/>
          <c:y val="6.4934365243345601E-2"/>
          <c:w val="0.86085801063022016"/>
          <c:h val="0.62811532752726817"/>
        </c:manualLayout>
      </c:layout>
      <c:barChart>
        <c:barDir val="col"/>
        <c:grouping val="clustered"/>
        <c:varyColors val="0"/>
        <c:ser>
          <c:idx val="0"/>
          <c:order val="0"/>
          <c:tx>
            <c:strRef>
              <c:f>'мемо 2011-2016'!$D$50</c:f>
              <c:strCache>
                <c:ptCount val="1"/>
                <c:pt idx="0">
                  <c:v>дуг</c:v>
                </c:pt>
              </c:strCache>
            </c:strRef>
          </c:tx>
          <c:spPr>
            <a:solidFill>
              <a:schemeClr val="tx2"/>
            </a:solidFill>
          </c:spPr>
          <c:invertIfNegative val="0"/>
          <c:dLbls>
            <c:dLbl>
              <c:idx val="0"/>
              <c:layout>
                <c:manualLayout>
                  <c:x val="0"/>
                  <c:y val="0.1864759806153207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F7-41BC-BC33-07E4DA6C1D45}"/>
                </c:ext>
              </c:extLst>
            </c:dLbl>
            <c:dLbl>
              <c:idx val="1"/>
              <c:layout>
                <c:manualLayout>
                  <c:x val="0"/>
                  <c:y val="0.1701929578337432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F7-41BC-BC33-07E4DA6C1D45}"/>
                </c:ext>
              </c:extLst>
            </c:dLbl>
            <c:dLbl>
              <c:idx val="2"/>
              <c:layout>
                <c:manualLayout>
                  <c:x val="0"/>
                  <c:y val="0.2229976213630154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DF7-41BC-BC33-07E4DA6C1D45}"/>
                </c:ext>
              </c:extLst>
            </c:dLbl>
            <c:dLbl>
              <c:idx val="3"/>
              <c:layout>
                <c:manualLayout>
                  <c:x val="-4.2437781360066642E-17"/>
                  <c:y val="0.2127115653478655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DF7-41BC-BC33-07E4DA6C1D45}"/>
                </c:ext>
              </c:extLst>
            </c:dLbl>
            <c:dLbl>
              <c:idx val="4"/>
              <c:layout>
                <c:manualLayout>
                  <c:x val="-4.2437781360066642E-17"/>
                  <c:y val="0.197277632461525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DF7-41BC-BC33-07E4DA6C1D45}"/>
                </c:ext>
              </c:extLst>
            </c:dLbl>
            <c:dLbl>
              <c:idx val="5"/>
              <c:layout>
                <c:manualLayout>
                  <c:x val="0"/>
                  <c:y val="0.1261771289878535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DF7-41BC-BC33-07E4DA6C1D45}"/>
                </c:ext>
              </c:extLst>
            </c:dLbl>
            <c:dLbl>
              <c:idx val="6"/>
              <c:layout>
                <c:manualLayout>
                  <c:x val="0"/>
                  <c:y val="0.1118729813237936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DF7-41BC-BC33-07E4DA6C1D45}"/>
                </c:ext>
              </c:extLst>
            </c:dLbl>
            <c:dLbl>
              <c:idx val="7"/>
              <c:layout>
                <c:manualLayout>
                  <c:x val="-8.4875562720133283E-17"/>
                  <c:y val="9.16780031302108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DF7-41BC-BC33-07E4DA6C1D45}"/>
                </c:ext>
              </c:extLst>
            </c:dLbl>
            <c:dLbl>
              <c:idx val="8"/>
              <c:layout>
                <c:manualLayout>
                  <c:x val="0"/>
                  <c:y val="7.772027983330684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DF7-41BC-BC33-07E4DA6C1D45}"/>
                </c:ext>
              </c:extLst>
            </c:dLbl>
            <c:dLbl>
              <c:idx val="9"/>
              <c:layout>
                <c:manualLayout>
                  <c:x val="0"/>
                  <c:y val="8.17168209772615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DF7-41BC-BC33-07E4DA6C1D45}"/>
                </c:ext>
              </c:extLst>
            </c:dLbl>
            <c:dLbl>
              <c:idx val="10"/>
              <c:layout>
                <c:manualLayout>
                  <c:x val="0"/>
                  <c:y val="7.88705380352943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DF7-41BC-BC33-07E4DA6C1D45}"/>
                </c:ext>
              </c:extLst>
            </c:dLbl>
            <c:numFmt formatCode="#,##0.0" sourceLinked="0"/>
            <c:spPr>
              <a:noFill/>
              <a:ln>
                <a:noFill/>
              </a:ln>
              <a:effectLst/>
            </c:spPr>
            <c:txPr>
              <a:bodyPr/>
              <a:lstStyle/>
              <a:p>
                <a:pPr>
                  <a:defRPr sz="700" baseline="0">
                    <a:solidFill>
                      <a:schemeClr val="bg1"/>
                    </a:solidFill>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2011-2016'!$J$48:$W$48</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'мемо 2011-2016'!$J$50:$W$50</c:f>
              <c:numCache>
                <c:formatCode>0.0</c:formatCode>
                <c:ptCount val="11"/>
                <c:pt idx="0">
                  <c:v>52.142562046645665</c:v>
                </c:pt>
                <c:pt idx="1">
                  <c:v>50.517490084354399</c:v>
                </c:pt>
                <c:pt idx="2">
                  <c:v>55.189879391575488</c:v>
                </c:pt>
                <c:pt idx="3">
                  <c:v>54.46703770748725</c:v>
                </c:pt>
                <c:pt idx="4">
                  <c:v>52.901616882676905</c:v>
                </c:pt>
                <c:pt idx="5">
                  <c:v>48.386002589196323</c:v>
                </c:pt>
                <c:pt idx="6" formatCode="General">
                  <c:v>46.9</c:v>
                </c:pt>
                <c:pt idx="7">
                  <c:v>45</c:v>
                </c:pt>
                <c:pt idx="8" formatCode="General">
                  <c:v>44.5</c:v>
                </c:pt>
                <c:pt idx="9" formatCode="General">
                  <c:v>44.3</c:v>
                </c:pt>
                <c:pt idx="10" formatCode="General">
                  <c:v>44.1</c:v>
                </c:pt>
              </c:numCache>
            </c:numRef>
          </c:val>
          <c:extLst>
            <c:ext xmlns:c16="http://schemas.microsoft.com/office/drawing/2014/chart" uri="{C3380CC4-5D6E-409C-BE32-E72D297353CC}">
              <c16:uniqueId val="{0000000B-DDF7-41BC-BC33-07E4DA6C1D45}"/>
            </c:ext>
          </c:extLst>
        </c:ser>
        <c:dLbls>
          <c:showLegendKey val="0"/>
          <c:showVal val="0"/>
          <c:showCatName val="0"/>
          <c:showSerName val="0"/>
          <c:showPercent val="0"/>
          <c:showBubbleSize val="0"/>
        </c:dLbls>
        <c:gapWidth val="22"/>
        <c:overlap val="60"/>
        <c:axId val="452516800"/>
        <c:axId val="452516408"/>
      </c:barChart>
      <c:lineChart>
        <c:grouping val="standard"/>
        <c:varyColors val="0"/>
        <c:ser>
          <c:idx val="2"/>
          <c:order val="1"/>
          <c:tx>
            <c:strRef>
              <c:f>'мемо 2011-2016'!$D$49</c:f>
              <c:strCache>
                <c:ptCount val="1"/>
                <c:pt idx="0">
                  <c:v>резултат (десна скала)</c:v>
                </c:pt>
              </c:strCache>
            </c:strRef>
          </c:tx>
          <c:spPr>
            <a:ln>
              <a:solidFill>
                <a:srgbClr val="FF0000"/>
              </a:solidFill>
            </a:ln>
          </c:spPr>
          <c:marker>
            <c:symbol val="none"/>
          </c:marker>
          <c:dLbls>
            <c:dLbl>
              <c:idx val="0"/>
              <c:layout>
                <c:manualLayout>
                  <c:x val="-2.9741101802715976E-2"/>
                  <c:y val="-3.4801118610173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DF7-41BC-BC33-07E4DA6C1D45}"/>
                </c:ext>
              </c:extLst>
            </c:dLbl>
            <c:dLbl>
              <c:idx val="1"/>
              <c:layout>
                <c:manualLayout>
                  <c:x val="-1.4880067074948964E-2"/>
                  <c:y val="3.98404185108061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DF7-41BC-BC33-07E4DA6C1D45}"/>
                </c:ext>
              </c:extLst>
            </c:dLbl>
            <c:dLbl>
              <c:idx val="2"/>
              <c:layout>
                <c:manualLayout>
                  <c:x val="-5.9856736657917763E-2"/>
                  <c:y val="-0.1708621010126043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DF7-41BC-BC33-07E4DA6C1D45}"/>
                </c:ext>
              </c:extLst>
            </c:dLbl>
            <c:dLbl>
              <c:idx val="3"/>
              <c:layout>
                <c:manualLayout>
                  <c:x val="-4.8128609256022019E-2"/>
                  <c:y val="-0.1004409605049369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DF7-41BC-BC33-07E4DA6C1D45}"/>
                </c:ext>
              </c:extLst>
            </c:dLbl>
            <c:dLbl>
              <c:idx val="4"/>
              <c:layout>
                <c:manualLayout>
                  <c:x val="-3.5962383293181688E-2"/>
                  <c:y val="4.4721753530808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DF7-41BC-BC33-07E4DA6C1D45}"/>
                </c:ext>
              </c:extLst>
            </c:dLbl>
            <c:dLbl>
              <c:idx val="5"/>
              <c:layout>
                <c:manualLayout>
                  <c:x val="-7.0120297462817144E-2"/>
                  <c:y val="-4.7721438172948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DF7-41BC-BC33-07E4DA6C1D45}"/>
                </c:ext>
              </c:extLst>
            </c:dLbl>
            <c:dLbl>
              <c:idx val="6"/>
              <c:layout>
                <c:manualLayout>
                  <c:x val="-5.5883639545056867E-2"/>
                  <c:y val="-4.39571037198865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DF7-41BC-BC33-07E4DA6C1D45}"/>
                </c:ext>
              </c:extLst>
            </c:dLbl>
            <c:dLbl>
              <c:idx val="7"/>
              <c:layout>
                <c:manualLayout>
                  <c:x val="-5.4676837747560297E-2"/>
                  <c:y val="-4.46428571428571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DF7-41BC-BC33-07E4DA6C1D45}"/>
                </c:ext>
              </c:extLst>
            </c:dLbl>
            <c:dLbl>
              <c:idx val="8"/>
              <c:layout>
                <c:manualLayout>
                  <c:x val="-5.0327152912383467E-2"/>
                  <c:y val="-3.968253968253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DF7-41BC-BC33-07E4DA6C1D45}"/>
                </c:ext>
              </c:extLst>
            </c:dLbl>
            <c:dLbl>
              <c:idx val="9"/>
              <c:layout>
                <c:manualLayout>
                  <c:x val="-3.3551326917468649E-2"/>
                  <c:y val="-4.8406744230525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DF7-41BC-BC33-07E4DA6C1D45}"/>
                </c:ext>
              </c:extLst>
            </c:dLbl>
            <c:dLbl>
              <c:idx val="10"/>
              <c:layout>
                <c:manualLayout>
                  <c:x val="-4.5487062572051026E-2"/>
                  <c:y val="6.16197254283257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DF7-41BC-BC33-07E4DA6C1D45}"/>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Lit>
              <c:ptCount val="11"/>
              <c:pt idx="0">
                <c:v>4.0</c:v>
              </c:pt>
              <c:pt idx="1">
                <c:v>5.0</c:v>
              </c:pt>
              <c:pt idx="2">
                <c:v>6.0</c:v>
              </c:pt>
              <c:pt idx="3">
                <c:v>7.0</c:v>
              </c:pt>
              <c:pt idx="4">
                <c:v>8.0</c:v>
              </c:pt>
              <c:pt idx="5">
                <c:v>9.0</c:v>
              </c:pt>
              <c:pt idx="6">
                <c:v>10.0</c:v>
              </c:pt>
              <c:pt idx="7">
                <c:v>11.0</c:v>
              </c:pt>
              <c:pt idx="8">
                <c:v>12.0</c:v>
              </c:pt>
              <c:pt idx="9">
                <c:v>13.0</c:v>
              </c:pt>
              <c:pt idx="10">
                <c:v>14.0</c:v>
              </c:pt>
              <c:extLst>
                <c:ext xmlns:c15="http://schemas.microsoft.com/office/drawing/2012/chart" uri="{02D57815-91ED-43cb-92C2-25804820EDAC}">
                  <c15:autoCat val="1"/>
                </c:ext>
              </c:extLst>
            </c:strLit>
          </c:cat>
          <c:val>
            <c:numRef>
              <c:f>'мемо 2011-2016'!$J$49:$W$49</c:f>
              <c:numCache>
                <c:formatCode>#,##0.0</c:formatCode>
                <c:ptCount val="11"/>
                <c:pt idx="0" formatCode="0.0">
                  <c:v>0.60940162463873881</c:v>
                </c:pt>
                <c:pt idx="1">
                  <c:v>-0.19603223337184297</c:v>
                </c:pt>
                <c:pt idx="2">
                  <c:v>-7.6817157912618654</c:v>
                </c:pt>
                <c:pt idx="3">
                  <c:v>-3.944488655583605</c:v>
                </c:pt>
                <c:pt idx="4">
                  <c:v>-3.0145096000432612</c:v>
                </c:pt>
                <c:pt idx="5" formatCode="0.0">
                  <c:v>-2.0537459179069328</c:v>
                </c:pt>
                <c:pt idx="6" formatCode="0.0">
                  <c:v>-2</c:v>
                </c:pt>
                <c:pt idx="7" formatCode="0.0">
                  <c:v>-3</c:v>
                </c:pt>
                <c:pt idx="8" formatCode="0.0">
                  <c:v>-3</c:v>
                </c:pt>
                <c:pt idx="9" formatCode="0.0">
                  <c:v>-3</c:v>
                </c:pt>
                <c:pt idx="10" formatCode="General">
                  <c:v>-2.5</c:v>
                </c:pt>
              </c:numCache>
            </c:numRef>
          </c:val>
          <c:smooth val="1"/>
          <c:extLst>
            <c:ext xmlns:c16="http://schemas.microsoft.com/office/drawing/2014/chart" uri="{C3380CC4-5D6E-409C-BE32-E72D297353CC}">
              <c16:uniqueId val="{00000017-DDF7-41BC-BC33-07E4DA6C1D45}"/>
            </c:ext>
          </c:extLst>
        </c:ser>
        <c:ser>
          <c:idx val="1"/>
          <c:order val="2"/>
          <c:tx>
            <c:strRef>
              <c:f>'мемо 2011-2016'!$D$51</c:f>
              <c:strCache>
                <c:ptCount val="1"/>
                <c:pt idx="0">
                  <c:v>баланс</c:v>
                </c:pt>
              </c:strCache>
            </c:strRef>
          </c:tx>
          <c:spPr>
            <a:ln w="22225">
              <a:solidFill>
                <a:schemeClr val="tx1"/>
              </a:solidFill>
            </a:ln>
          </c:spPr>
          <c:marker>
            <c:symbol val="none"/>
          </c:marker>
          <c:cat>
            <c:strLit>
              <c:ptCount val="11"/>
              <c:pt idx="0">
                <c:v>4.0</c:v>
              </c:pt>
              <c:pt idx="1">
                <c:v>5.0</c:v>
              </c:pt>
              <c:pt idx="2">
                <c:v>6.0</c:v>
              </c:pt>
              <c:pt idx="3">
                <c:v>7.0</c:v>
              </c:pt>
              <c:pt idx="4">
                <c:v>8.0</c:v>
              </c:pt>
              <c:pt idx="5">
                <c:v>9.0</c:v>
              </c:pt>
              <c:pt idx="6">
                <c:v>10.0</c:v>
              </c:pt>
              <c:pt idx="7">
                <c:v>11.0</c:v>
              </c:pt>
              <c:pt idx="8">
                <c:v>12.0</c:v>
              </c:pt>
              <c:pt idx="9">
                <c:v>13.0</c:v>
              </c:pt>
              <c:pt idx="10">
                <c:v>14.0</c:v>
              </c:pt>
              <c:extLst>
                <c:ext xmlns:c15="http://schemas.microsoft.com/office/drawing/2012/chart" uri="{02D57815-91ED-43cb-92C2-25804820EDAC}">
                  <c15:autoCat val="1"/>
                </c:ext>
              </c:extLst>
            </c:strLit>
          </c:cat>
          <c:val>
            <c:numRef>
              <c:f>'мемо 2011-2016'!$J$51:$W$51</c:f>
              <c:numCache>
                <c:formatCode>#,##0.0</c:formatCode>
                <c:ptCount val="11"/>
                <c:pt idx="0">
                  <c:v>0</c:v>
                </c:pt>
                <c:pt idx="1">
                  <c:v>0</c:v>
                </c:pt>
                <c:pt idx="2">
                  <c:v>0</c:v>
                </c:pt>
                <c:pt idx="3">
                  <c:v>0</c:v>
                </c:pt>
                <c:pt idx="4">
                  <c:v>0</c:v>
                </c:pt>
                <c:pt idx="5" formatCode="General">
                  <c:v>0</c:v>
                </c:pt>
                <c:pt idx="6" formatCode="General">
                  <c:v>0</c:v>
                </c:pt>
                <c:pt idx="7" formatCode="General">
                  <c:v>0</c:v>
                </c:pt>
                <c:pt idx="8" formatCode="General">
                  <c:v>0</c:v>
                </c:pt>
                <c:pt idx="9" formatCode="General">
                  <c:v>0</c:v>
                </c:pt>
                <c:pt idx="10" formatCode="General">
                  <c:v>0</c:v>
                </c:pt>
              </c:numCache>
            </c:numRef>
          </c:val>
          <c:smooth val="0"/>
          <c:extLst>
            <c:ext xmlns:c16="http://schemas.microsoft.com/office/drawing/2014/chart" uri="{C3380CC4-5D6E-409C-BE32-E72D297353CC}">
              <c16:uniqueId val="{00000018-DDF7-41BC-BC33-07E4DA6C1D45}"/>
            </c:ext>
          </c:extLst>
        </c:ser>
        <c:dLbls>
          <c:showLegendKey val="0"/>
          <c:showVal val="0"/>
          <c:showCatName val="0"/>
          <c:showSerName val="0"/>
          <c:showPercent val="0"/>
          <c:showBubbleSize val="0"/>
        </c:dLbls>
        <c:marker val="1"/>
        <c:smooth val="0"/>
        <c:axId val="454873896"/>
        <c:axId val="454874680"/>
      </c:lineChart>
      <c:catAx>
        <c:axId val="452516800"/>
        <c:scaling>
          <c:orientation val="minMax"/>
        </c:scaling>
        <c:delete val="0"/>
        <c:axPos val="b"/>
        <c:numFmt formatCode="General" sourceLinked="1"/>
        <c:majorTickMark val="out"/>
        <c:minorTickMark val="none"/>
        <c:tickLblPos val="nextTo"/>
        <c:spPr>
          <a:ln>
            <a:noFill/>
          </a:ln>
        </c:spPr>
        <c:txPr>
          <a:bodyPr/>
          <a:lstStyle/>
          <a:p>
            <a:pPr>
              <a:defRPr sz="800" baseline="0"/>
            </a:pPr>
            <a:endParaRPr lang="en-US"/>
          </a:p>
        </c:txPr>
        <c:crossAx val="452516408"/>
        <c:crossesAt val="0"/>
        <c:auto val="1"/>
        <c:lblAlgn val="ctr"/>
        <c:lblOffset val="100"/>
        <c:noMultiLvlLbl val="0"/>
      </c:catAx>
      <c:valAx>
        <c:axId val="452516408"/>
        <c:scaling>
          <c:orientation val="minMax"/>
          <c:max val="80"/>
          <c:min val="40"/>
        </c:scaling>
        <c:delete val="0"/>
        <c:axPos val="l"/>
        <c:majorGridlines>
          <c:spPr>
            <a:ln>
              <a:noFill/>
            </a:ln>
          </c:spPr>
        </c:majorGridlines>
        <c:numFmt formatCode="#,##0" sourceLinked="0"/>
        <c:majorTickMark val="out"/>
        <c:minorTickMark val="none"/>
        <c:tickLblPos val="nextTo"/>
        <c:spPr>
          <a:ln>
            <a:noFill/>
          </a:ln>
        </c:spPr>
        <c:crossAx val="452516800"/>
        <c:crosses val="autoZero"/>
        <c:crossBetween val="between"/>
        <c:majorUnit val="5"/>
      </c:valAx>
      <c:valAx>
        <c:axId val="454874680"/>
        <c:scaling>
          <c:orientation val="minMax"/>
        </c:scaling>
        <c:delete val="0"/>
        <c:axPos val="r"/>
        <c:numFmt formatCode="#,##0" sourceLinked="0"/>
        <c:majorTickMark val="out"/>
        <c:minorTickMark val="none"/>
        <c:tickLblPos val="nextTo"/>
        <c:spPr>
          <a:ln>
            <a:noFill/>
          </a:ln>
        </c:spPr>
        <c:crossAx val="454873896"/>
        <c:crosses val="max"/>
        <c:crossBetween val="between"/>
      </c:valAx>
      <c:catAx>
        <c:axId val="454873896"/>
        <c:scaling>
          <c:orientation val="minMax"/>
        </c:scaling>
        <c:delete val="1"/>
        <c:axPos val="b"/>
        <c:numFmt formatCode="General" sourceLinked="1"/>
        <c:majorTickMark val="out"/>
        <c:minorTickMark val="none"/>
        <c:tickLblPos val="nextTo"/>
        <c:crossAx val="454874680"/>
        <c:crosses val="autoZero"/>
        <c:auto val="1"/>
        <c:lblAlgn val="ctr"/>
        <c:lblOffset val="100"/>
        <c:noMultiLvlLbl val="0"/>
      </c:catAx>
      <c:spPr>
        <a:noFill/>
        <a:ln>
          <a:noFill/>
        </a:ln>
      </c:spPr>
    </c:plotArea>
    <c:legend>
      <c:legendPos val="b"/>
      <c:layout>
        <c:manualLayout>
          <c:xMode val="edge"/>
          <c:yMode val="edge"/>
          <c:x val="9.0044473607465824E-3"/>
          <c:y val="0.787031444880543"/>
          <c:w val="0.97273148148148147"/>
          <c:h val="0.17191484317966926"/>
        </c:manualLayout>
      </c:layout>
      <c:overlay val="0"/>
    </c:legend>
    <c:plotVisOnly val="1"/>
    <c:dispBlanksAs val="gap"/>
    <c:showDLblsOverMax val="0"/>
  </c:chart>
  <c:spPr>
    <a:ln>
      <a:noFill/>
    </a:ln>
  </c:spPr>
  <c:txPr>
    <a:bodyPr/>
    <a:lstStyle/>
    <a:p>
      <a:pPr>
        <a:defRPr sz="900" baseline="0">
          <a:latin typeface="Calibri" panose="020F0502020204030204" pitchFamily="34" charset="0"/>
        </a:defRPr>
      </a:pPr>
      <a:endParaRPr lang="en-US"/>
    </a:p>
  </c:txPr>
  <c:externalData r:id="rId1">
    <c:autoUpdate val="0"/>
  </c:externalData>
  <c:userShapes r:id="rId2"/>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'[FS Q2 2025.xlsx]Гаранције'!$C$54</c:f>
              <c:strCache>
                <c:ptCount val="1"/>
                <c:pt idx="0">
                  <c:v>Укупна отплата по основу гаранција (главница + камата)</c:v>
                </c:pt>
              </c:strCache>
            </c:strRef>
          </c:tx>
          <c:spPr>
            <a:solidFill>
              <a:schemeClr val="accent5"/>
            </a:solidFill>
            <a:ln>
              <a:noFill/>
            </a:ln>
            <a:effectLst/>
          </c:spPr>
          <c:invertIfNegative val="0"/>
          <c:cat>
            <c:strRef>
              <c:f>'[FS Q2 2025.xlsx]Гаранције'!$B$55:$B$65</c:f>
              <c:strCache>
                <c:ptCount val="11"/>
                <c:pt idx="0">
                  <c:v>2015</c:v>
                </c:pt>
                <c:pt idx="1">
                  <c:v>2016</c:v>
                </c:pt>
                <c:pt idx="2">
                  <c:v>2017</c:v>
                </c:pt>
                <c:pt idx="3">
                  <c:v>2018</c:v>
                </c:pt>
                <c:pt idx="4">
                  <c:v>2019</c:v>
                </c:pt>
                <c:pt idx="5">
                  <c:v>2020</c:v>
                </c:pt>
                <c:pt idx="6">
                  <c:v>2021</c:v>
                </c:pt>
                <c:pt idx="7">
                  <c:v>2022</c:v>
                </c:pt>
                <c:pt idx="8">
                  <c:v>2023</c:v>
                </c:pt>
                <c:pt idx="9">
                  <c:v>2024</c:v>
                </c:pt>
                <c:pt idx="10">
                  <c:v>31.08.2025.</c:v>
                </c:pt>
              </c:strCache>
            </c:strRef>
          </c:cat>
          <c:val>
            <c:numRef>
              <c:f>'[FS Q2 2025.xlsx]Гаранције'!$C$55:$C$65</c:f>
              <c:numCache>
                <c:formatCode>#,##0.0</c:formatCode>
                <c:ptCount val="11"/>
                <c:pt idx="0">
                  <c:v>47.2</c:v>
                </c:pt>
                <c:pt idx="1">
                  <c:v>55.3</c:v>
                </c:pt>
                <c:pt idx="2">
                  <c:v>36.700000000000003</c:v>
                </c:pt>
                <c:pt idx="3">
                  <c:v>26</c:v>
                </c:pt>
                <c:pt idx="4">
                  <c:v>17.100000000000001</c:v>
                </c:pt>
                <c:pt idx="5">
                  <c:v>13.2</c:v>
                </c:pt>
                <c:pt idx="6">
                  <c:v>12.9</c:v>
                </c:pt>
                <c:pt idx="7">
                  <c:v>23.3</c:v>
                </c:pt>
                <c:pt idx="8" formatCode="0.0">
                  <c:v>33.74</c:v>
                </c:pt>
                <c:pt idx="9" formatCode="0.0">
                  <c:v>37.73414860466</c:v>
                </c:pt>
                <c:pt idx="10" formatCode="0.0">
                  <c:v>23.695383772790002</c:v>
                </c:pt>
              </c:numCache>
            </c:numRef>
          </c:val>
          <c:extLst>
            <c:ext xmlns:c16="http://schemas.microsoft.com/office/drawing/2014/chart" uri="{C3380CC4-5D6E-409C-BE32-E72D297353CC}">
              <c16:uniqueId val="{00000000-5600-4A8C-BF03-AA81A76AF7EA}"/>
            </c:ext>
          </c:extLst>
        </c:ser>
        <c:ser>
          <c:idx val="1"/>
          <c:order val="1"/>
          <c:tx>
            <c:strRef>
              <c:f>'[FS Q2 2025.xlsx]Гаранције'!$D$54</c:f>
              <c:strCache>
                <c:ptCount val="1"/>
                <c:pt idx="0">
                  <c:v>Отплата гаранција (главница) укључена у расходе (утиче на дефицит) </c:v>
                </c:pt>
              </c:strCache>
            </c:strRef>
          </c:tx>
          <c:spPr>
            <a:solidFill>
              <a:srgbClr val="FF0000"/>
            </a:solidFill>
            <a:ln>
              <a:noFill/>
            </a:ln>
            <a:effectLst/>
          </c:spPr>
          <c:invertIfNegative val="0"/>
          <c:cat>
            <c:strRef>
              <c:f>'[FS Q2 2025.xlsx]Гаранције'!$B$55:$B$65</c:f>
              <c:strCache>
                <c:ptCount val="11"/>
                <c:pt idx="0">
                  <c:v>2015</c:v>
                </c:pt>
                <c:pt idx="1">
                  <c:v>2016</c:v>
                </c:pt>
                <c:pt idx="2">
                  <c:v>2017</c:v>
                </c:pt>
                <c:pt idx="3">
                  <c:v>2018</c:v>
                </c:pt>
                <c:pt idx="4">
                  <c:v>2019</c:v>
                </c:pt>
                <c:pt idx="5">
                  <c:v>2020</c:v>
                </c:pt>
                <c:pt idx="6">
                  <c:v>2021</c:v>
                </c:pt>
                <c:pt idx="7">
                  <c:v>2022</c:v>
                </c:pt>
                <c:pt idx="8">
                  <c:v>2023</c:v>
                </c:pt>
                <c:pt idx="9">
                  <c:v>2024</c:v>
                </c:pt>
                <c:pt idx="10">
                  <c:v>31.08.2025.</c:v>
                </c:pt>
              </c:strCache>
            </c:strRef>
          </c:cat>
          <c:val>
            <c:numRef>
              <c:f>'[FS Q2 2025.xlsx]Гаранције'!$D$55:$D$65</c:f>
              <c:numCache>
                <c:formatCode>#,##0.0</c:formatCode>
                <c:ptCount val="11"/>
                <c:pt idx="0">
                  <c:v>30.099999999999998</c:v>
                </c:pt>
                <c:pt idx="1">
                  <c:v>39.116</c:v>
                </c:pt>
                <c:pt idx="2">
                  <c:v>28.8</c:v>
                </c:pt>
                <c:pt idx="3">
                  <c:v>19.727</c:v>
                </c:pt>
                <c:pt idx="4">
                  <c:v>10.8</c:v>
                </c:pt>
                <c:pt idx="5">
                  <c:v>7.5</c:v>
                </c:pt>
                <c:pt idx="6">
                  <c:v>7.7</c:v>
                </c:pt>
                <c:pt idx="7">
                  <c:v>17.744700000000002</c:v>
                </c:pt>
                <c:pt idx="8" formatCode="General">
                  <c:v>23.8</c:v>
                </c:pt>
                <c:pt idx="9" formatCode="0.0">
                  <c:v>27.933131454620003</c:v>
                </c:pt>
                <c:pt idx="10" formatCode="0.0">
                  <c:v>17.721204724650001</c:v>
                </c:pt>
              </c:numCache>
            </c:numRef>
          </c:val>
          <c:extLst>
            <c:ext xmlns:c16="http://schemas.microsoft.com/office/drawing/2014/chart" uri="{C3380CC4-5D6E-409C-BE32-E72D297353CC}">
              <c16:uniqueId val="{00000001-5600-4A8C-BF03-AA81A76AF7EA}"/>
            </c:ext>
          </c:extLst>
        </c:ser>
        <c:dLbls>
          <c:showLegendKey val="0"/>
          <c:showVal val="0"/>
          <c:showCatName val="0"/>
          <c:showSerName val="0"/>
          <c:showPercent val="0"/>
          <c:showBubbleSize val="0"/>
        </c:dLbls>
        <c:gapWidth val="100"/>
        <c:overlap val="-24"/>
        <c:axId val="499205263"/>
        <c:axId val="499199855"/>
        <c:extLst>
          <c:ext xmlns:c15="http://schemas.microsoft.com/office/drawing/2012/chart" uri="{02D57815-91ED-43cb-92C2-25804820EDAC}">
            <c15:filteredBarSeries>
              <c15:ser>
                <c:idx val="2"/>
                <c:order val="2"/>
                <c:tx>
                  <c:strRef>
                    <c:extLst>
                      <c:ext uri="{02D57815-91ED-43cb-92C2-25804820EDAC}">
                        <c15:formulaRef>
                          <c15:sqref>'[FS Q2 2025.xlsx]Гаранције'!$E$54</c15:sqref>
                        </c15:formulaRef>
                      </c:ext>
                    </c:extLst>
                    <c:strCache>
                      <c:ptCount val="1"/>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cat>
                  <c:strRef>
                    <c:extLst>
                      <c:ext uri="{02D57815-91ED-43cb-92C2-25804820EDAC}">
                        <c15:formulaRef>
                          <c15:sqref>'[FS Q2 2025.xlsx]Гаранције'!$B$55:$B$65</c15:sqref>
                        </c15:formulaRef>
                      </c:ext>
                    </c:extLst>
                    <c:strCache>
                      <c:ptCount val="11"/>
                      <c:pt idx="0">
                        <c:v>2015</c:v>
                      </c:pt>
                      <c:pt idx="1">
                        <c:v>2016</c:v>
                      </c:pt>
                      <c:pt idx="2">
                        <c:v>2017</c:v>
                      </c:pt>
                      <c:pt idx="3">
                        <c:v>2018</c:v>
                      </c:pt>
                      <c:pt idx="4">
                        <c:v>2019</c:v>
                      </c:pt>
                      <c:pt idx="5">
                        <c:v>2020</c:v>
                      </c:pt>
                      <c:pt idx="6">
                        <c:v>2021</c:v>
                      </c:pt>
                      <c:pt idx="7">
                        <c:v>2022</c:v>
                      </c:pt>
                      <c:pt idx="8">
                        <c:v>2023</c:v>
                      </c:pt>
                      <c:pt idx="9">
                        <c:v>2024</c:v>
                      </c:pt>
                      <c:pt idx="10">
                        <c:v>31.08.2025.</c:v>
                      </c:pt>
                    </c:strCache>
                  </c:strRef>
                </c:cat>
                <c:val>
                  <c:numRef>
                    <c:extLst>
                      <c:ext uri="{02D57815-91ED-43cb-92C2-25804820EDAC}">
                        <c15:formulaRef>
                          <c15:sqref>'[FS Q2 2025.xlsx]Гаранције'!$E$55:$E$63</c15:sqref>
                        </c15:formulaRef>
                      </c:ext>
                    </c:extLst>
                    <c:numCache>
                      <c:formatCode>General</c:formatCode>
                      <c:ptCount val="9"/>
                    </c:numCache>
                  </c:numRef>
                </c:val>
                <c:extLst>
                  <c:ext xmlns:c16="http://schemas.microsoft.com/office/drawing/2014/chart" uri="{C3380CC4-5D6E-409C-BE32-E72D297353CC}">
                    <c16:uniqueId val="{00000002-5600-4A8C-BF03-AA81A76AF7EA}"/>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'[FS Q2 2025.xlsx]Гаранције'!$F$54</c15:sqref>
                        </c15:formulaRef>
                      </c:ext>
                    </c:extLst>
                    <c:strCache>
                      <c:ptCount val="1"/>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strRef>
                    <c:extLst xmlns:c15="http://schemas.microsoft.com/office/drawing/2012/chart">
                      <c:ext xmlns:c15="http://schemas.microsoft.com/office/drawing/2012/chart" uri="{02D57815-91ED-43cb-92C2-25804820EDAC}">
                        <c15:formulaRef>
                          <c15:sqref>'[FS Q2 2025.xlsx]Гаранције'!$B$55:$B$65</c15:sqref>
                        </c15:formulaRef>
                      </c:ext>
                    </c:extLst>
                    <c:strCache>
                      <c:ptCount val="11"/>
                      <c:pt idx="0">
                        <c:v>2015</c:v>
                      </c:pt>
                      <c:pt idx="1">
                        <c:v>2016</c:v>
                      </c:pt>
                      <c:pt idx="2">
                        <c:v>2017</c:v>
                      </c:pt>
                      <c:pt idx="3">
                        <c:v>2018</c:v>
                      </c:pt>
                      <c:pt idx="4">
                        <c:v>2019</c:v>
                      </c:pt>
                      <c:pt idx="5">
                        <c:v>2020</c:v>
                      </c:pt>
                      <c:pt idx="6">
                        <c:v>2021</c:v>
                      </c:pt>
                      <c:pt idx="7">
                        <c:v>2022</c:v>
                      </c:pt>
                      <c:pt idx="8">
                        <c:v>2023</c:v>
                      </c:pt>
                      <c:pt idx="9">
                        <c:v>2024</c:v>
                      </c:pt>
                      <c:pt idx="10">
                        <c:v>31.08.2025.</c:v>
                      </c:pt>
                    </c:strCache>
                  </c:strRef>
                </c:cat>
                <c:val>
                  <c:numRef>
                    <c:extLst xmlns:c15="http://schemas.microsoft.com/office/drawing/2012/chart">
                      <c:ext xmlns:c15="http://schemas.microsoft.com/office/drawing/2012/chart" uri="{02D57815-91ED-43cb-92C2-25804820EDAC}">
                        <c15:formulaRef>
                          <c15:sqref>'[FS Q2 2025.xlsx]Гаранције'!$F$55:$F$63</c15:sqref>
                        </c15:formulaRef>
                      </c:ext>
                    </c:extLst>
                    <c:numCache>
                      <c:formatCode>General</c:formatCode>
                      <c:ptCount val="9"/>
                    </c:numCache>
                  </c:numRef>
                </c:val>
                <c:extLst xmlns:c15="http://schemas.microsoft.com/office/drawing/2012/chart">
                  <c:ext xmlns:c16="http://schemas.microsoft.com/office/drawing/2014/chart" uri="{C3380CC4-5D6E-409C-BE32-E72D297353CC}">
                    <c16:uniqueId val="{00000003-5600-4A8C-BF03-AA81A76AF7EA}"/>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'[FS Q2 2025.xlsx]Гаранције'!$G$54</c15:sqref>
                        </c15:formulaRef>
                      </c:ext>
                    </c:extLst>
                    <c:strCache>
                      <c:ptCount val="1"/>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cat>
                  <c:strRef>
                    <c:extLst xmlns:c15="http://schemas.microsoft.com/office/drawing/2012/chart">
                      <c:ext xmlns:c15="http://schemas.microsoft.com/office/drawing/2012/chart" uri="{02D57815-91ED-43cb-92C2-25804820EDAC}">
                        <c15:formulaRef>
                          <c15:sqref>'[FS Q2 2025.xlsx]Гаранције'!$B$55:$B$65</c15:sqref>
                        </c15:formulaRef>
                      </c:ext>
                    </c:extLst>
                    <c:strCache>
                      <c:ptCount val="11"/>
                      <c:pt idx="0">
                        <c:v>2015</c:v>
                      </c:pt>
                      <c:pt idx="1">
                        <c:v>2016</c:v>
                      </c:pt>
                      <c:pt idx="2">
                        <c:v>2017</c:v>
                      </c:pt>
                      <c:pt idx="3">
                        <c:v>2018</c:v>
                      </c:pt>
                      <c:pt idx="4">
                        <c:v>2019</c:v>
                      </c:pt>
                      <c:pt idx="5">
                        <c:v>2020</c:v>
                      </c:pt>
                      <c:pt idx="6">
                        <c:v>2021</c:v>
                      </c:pt>
                      <c:pt idx="7">
                        <c:v>2022</c:v>
                      </c:pt>
                      <c:pt idx="8">
                        <c:v>2023</c:v>
                      </c:pt>
                      <c:pt idx="9">
                        <c:v>2024</c:v>
                      </c:pt>
                      <c:pt idx="10">
                        <c:v>31.08.2025.</c:v>
                      </c:pt>
                    </c:strCache>
                  </c:strRef>
                </c:cat>
                <c:val>
                  <c:numRef>
                    <c:extLst xmlns:c15="http://schemas.microsoft.com/office/drawing/2012/chart">
                      <c:ext xmlns:c15="http://schemas.microsoft.com/office/drawing/2012/chart" uri="{02D57815-91ED-43cb-92C2-25804820EDAC}">
                        <c15:formulaRef>
                          <c15:sqref>'[FS Q2 2025.xlsx]Гаранције'!$G$55:$G$63</c15:sqref>
                        </c15:formulaRef>
                      </c:ext>
                    </c:extLst>
                    <c:numCache>
                      <c:formatCode>General</c:formatCode>
                      <c:ptCount val="9"/>
                    </c:numCache>
                  </c:numRef>
                </c:val>
                <c:extLst xmlns:c15="http://schemas.microsoft.com/office/drawing/2012/chart">
                  <c:ext xmlns:c16="http://schemas.microsoft.com/office/drawing/2014/chart" uri="{C3380CC4-5D6E-409C-BE32-E72D297353CC}">
                    <c16:uniqueId val="{00000004-5600-4A8C-BF03-AA81A76AF7EA}"/>
                  </c:ext>
                </c:extLst>
              </c15:ser>
            </c15:filteredBarSeries>
          </c:ext>
        </c:extLst>
      </c:barChart>
      <c:catAx>
        <c:axId val="499205263"/>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sr-Cyrl-RS"/>
                  <a:t>Година</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499199855"/>
        <c:crosses val="autoZero"/>
        <c:auto val="1"/>
        <c:lblAlgn val="ctr"/>
        <c:lblOffset val="100"/>
        <c:noMultiLvlLbl val="0"/>
      </c:catAx>
      <c:valAx>
        <c:axId val="499199855"/>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sr-Cyrl-RS"/>
                  <a:t>млрд</a:t>
                </a:r>
                <a:r>
                  <a:rPr lang="sr-Cyrl-RS" baseline="0"/>
                  <a:t>  динара</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4992052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accent1">
                    <a:lumMod val="50000"/>
                  </a:schemeClr>
                </a:solidFill>
                <a:latin typeface="+mn-lt"/>
                <a:ea typeface="+mn-ea"/>
                <a:cs typeface="+mn-cs"/>
              </a:defRPr>
            </a:pPr>
            <a:r>
              <a:rPr lang="sr-Cyrl-RS" sz="800">
                <a:solidFill>
                  <a:schemeClr val="accent1">
                    <a:lumMod val="50000"/>
                  </a:schemeClr>
                </a:solidFill>
              </a:rPr>
              <a:t>у</a:t>
            </a:r>
            <a:r>
              <a:rPr lang="sr-Cyrl-RS" sz="800" baseline="0">
                <a:solidFill>
                  <a:schemeClr val="accent1">
                    <a:lumMod val="50000"/>
                  </a:schemeClr>
                </a:solidFill>
              </a:rPr>
              <a:t> млрд динара</a:t>
            </a:r>
            <a:endParaRPr lang="en-US" sz="800">
              <a:solidFill>
                <a:schemeClr val="accent1">
                  <a:lumMod val="50000"/>
                </a:schemeClr>
              </a:solidFill>
            </a:endParaRPr>
          </a:p>
        </c:rich>
      </c:tx>
      <c:layout>
        <c:manualLayout>
          <c:xMode val="edge"/>
          <c:yMode val="edge"/>
          <c:x val="0.73650444736074661"/>
          <c:y val="1.6160094612679345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accent1">
                  <a:lumMod val="50000"/>
                </a:schemeClr>
              </a:solidFill>
              <a:latin typeface="+mn-lt"/>
              <a:ea typeface="+mn-ea"/>
              <a:cs typeface="+mn-cs"/>
            </a:defRPr>
          </a:pPr>
          <a:endParaRPr lang="en-US"/>
        </a:p>
      </c:txPr>
    </c:title>
    <c:autoTitleDeleted val="0"/>
    <c:plotArea>
      <c:layout>
        <c:manualLayout>
          <c:layoutTarget val="inner"/>
          <c:xMode val="edge"/>
          <c:yMode val="edge"/>
          <c:x val="0.12755030621172356"/>
          <c:y val="0.12100837197721824"/>
          <c:w val="0.82152376786235048"/>
          <c:h val="0.59542062182938604"/>
        </c:manualLayout>
      </c:layout>
      <c:barChart>
        <c:barDir val="col"/>
        <c:grouping val="clustered"/>
        <c:varyColors val="0"/>
        <c:ser>
          <c:idx val="0"/>
          <c:order val="0"/>
          <c:tx>
            <c:strRef>
              <c:f>'[Dijagrami i tabele za Fiskalnu Strategiju Oct 2025.xlsx]sudski postupci'!$C$4</c:f>
              <c:strCache>
                <c:ptCount val="1"/>
                <c:pt idx="0">
                  <c:v>План</c:v>
                </c:pt>
              </c:strCache>
            </c:strRef>
          </c:tx>
          <c:spPr>
            <a:solidFill>
              <a:srgbClr val="7030A0"/>
            </a:solidFill>
            <a:ln>
              <a:noFill/>
            </a:ln>
            <a:effectLst/>
          </c:spPr>
          <c:invertIfNegative val="0"/>
          <c:cat>
            <c:strRef>
              <c:f>'[Dijagrami i tabele za Fiskalnu Strategiju Oct 2025.xlsx]sudski postupci'!$B$5:$B$11</c:f>
              <c:strCache>
                <c:ptCount val="7"/>
                <c:pt idx="0">
                  <c:v>2019</c:v>
                </c:pt>
                <c:pt idx="1">
                  <c:v>2020</c:v>
                </c:pt>
                <c:pt idx="2">
                  <c:v>2021</c:v>
                </c:pt>
                <c:pt idx="3">
                  <c:v>2022</c:v>
                </c:pt>
                <c:pt idx="4">
                  <c:v>2023</c:v>
                </c:pt>
                <c:pt idx="5">
                  <c:v>2024</c:v>
                </c:pt>
                <c:pt idx="6">
                  <c:v>30. сеп. 2025.</c:v>
                </c:pt>
              </c:strCache>
            </c:strRef>
          </c:cat>
          <c:val>
            <c:numRef>
              <c:f>'[Dijagrami i tabele za Fiskalnu Strategiju Oct 2025.xlsx]sudski postupci'!$C$5:$C$11</c:f>
              <c:numCache>
                <c:formatCode>#,##0.0</c:formatCode>
                <c:ptCount val="7"/>
                <c:pt idx="0">
                  <c:v>18.47</c:v>
                </c:pt>
                <c:pt idx="1">
                  <c:v>23.456</c:v>
                </c:pt>
                <c:pt idx="2">
                  <c:v>13.148</c:v>
                </c:pt>
                <c:pt idx="3">
                  <c:v>34.113</c:v>
                </c:pt>
                <c:pt idx="4">
                  <c:v>29.020336</c:v>
                </c:pt>
                <c:pt idx="5">
                  <c:v>32.824126</c:v>
                </c:pt>
                <c:pt idx="6">
                  <c:v>35.463256000000001</c:v>
                </c:pt>
              </c:numCache>
            </c:numRef>
          </c:val>
          <c:extLst xmlns:c15="http://schemas.microsoft.com/office/drawing/2012/chart">
            <c:ext xmlns:c16="http://schemas.microsoft.com/office/drawing/2014/chart" uri="{C3380CC4-5D6E-409C-BE32-E72D297353CC}">
              <c16:uniqueId val="{00000000-8E1D-454D-83FB-917BEFA8241B}"/>
            </c:ext>
          </c:extLst>
        </c:ser>
        <c:ser>
          <c:idx val="1"/>
          <c:order val="1"/>
          <c:tx>
            <c:strRef>
              <c:f>'[Dijagrami i tabele za Fiskalnu Strategiju Oct 2025.xlsx]sudski postupci'!$D$4</c:f>
              <c:strCache>
                <c:ptCount val="1"/>
                <c:pt idx="0">
                  <c:v>Апропријација </c:v>
                </c:pt>
              </c:strCache>
            </c:strRef>
          </c:tx>
          <c:spPr>
            <a:solidFill>
              <a:srgbClr val="0070C0"/>
            </a:solidFill>
            <a:ln>
              <a:noFill/>
            </a:ln>
            <a:effectLst/>
          </c:spPr>
          <c:invertIfNegative val="0"/>
          <c:cat>
            <c:strRef>
              <c:f>'[Dijagrami i tabele za Fiskalnu Strategiju Oct 2025.xlsx]sudski postupci'!$B$5:$B$11</c:f>
              <c:strCache>
                <c:ptCount val="7"/>
                <c:pt idx="0">
                  <c:v>2019</c:v>
                </c:pt>
                <c:pt idx="1">
                  <c:v>2020</c:v>
                </c:pt>
                <c:pt idx="2">
                  <c:v>2021</c:v>
                </c:pt>
                <c:pt idx="3">
                  <c:v>2022</c:v>
                </c:pt>
                <c:pt idx="4">
                  <c:v>2023</c:v>
                </c:pt>
                <c:pt idx="5">
                  <c:v>2024</c:v>
                </c:pt>
                <c:pt idx="6">
                  <c:v>30. сеп. 2025.</c:v>
                </c:pt>
              </c:strCache>
            </c:strRef>
          </c:cat>
          <c:val>
            <c:numRef>
              <c:f>'[Dijagrami i tabele za Fiskalnu Strategiju Oct 2025.xlsx]sudski postupci'!$D$5:$D$11</c:f>
              <c:numCache>
                <c:formatCode>#,##0.0</c:formatCode>
                <c:ptCount val="7"/>
                <c:pt idx="0">
                  <c:v>18.47</c:v>
                </c:pt>
                <c:pt idx="1">
                  <c:v>23.797999999999998</c:v>
                </c:pt>
                <c:pt idx="2">
                  <c:v>17.23</c:v>
                </c:pt>
                <c:pt idx="3">
                  <c:v>31.17</c:v>
                </c:pt>
                <c:pt idx="4">
                  <c:v>26.257116639160003</c:v>
                </c:pt>
                <c:pt idx="5">
                  <c:v>27.149973120790001</c:v>
                </c:pt>
                <c:pt idx="6">
                  <c:v>36.786160595299997</c:v>
                </c:pt>
              </c:numCache>
            </c:numRef>
          </c:val>
          <c:extLst>
            <c:ext xmlns:c16="http://schemas.microsoft.com/office/drawing/2014/chart" uri="{C3380CC4-5D6E-409C-BE32-E72D297353CC}">
              <c16:uniqueId val="{00000001-8E1D-454D-83FB-917BEFA8241B}"/>
            </c:ext>
          </c:extLst>
        </c:ser>
        <c:ser>
          <c:idx val="2"/>
          <c:order val="2"/>
          <c:tx>
            <c:strRef>
              <c:f>'[Dijagrami i tabele za Fiskalnu Strategiju Oct 2025.xlsx]sudski postupci'!$E$4</c:f>
              <c:strCache>
                <c:ptCount val="1"/>
                <c:pt idx="0">
                  <c:v>Извршење</c:v>
                </c:pt>
              </c:strCache>
            </c:strRef>
          </c:tx>
          <c:spPr>
            <a:solidFill>
              <a:schemeClr val="accent6">
                <a:lumMod val="75000"/>
              </a:schemeClr>
            </a:solidFill>
            <a:ln>
              <a:noFill/>
            </a:ln>
            <a:effectLst/>
          </c:spPr>
          <c:invertIfNegative val="0"/>
          <c:cat>
            <c:strRef>
              <c:f>'[Dijagrami i tabele za Fiskalnu Strategiju Oct 2025.xlsx]sudski postupci'!$B$5:$B$11</c:f>
              <c:strCache>
                <c:ptCount val="7"/>
                <c:pt idx="0">
                  <c:v>2019</c:v>
                </c:pt>
                <c:pt idx="1">
                  <c:v>2020</c:v>
                </c:pt>
                <c:pt idx="2">
                  <c:v>2021</c:v>
                </c:pt>
                <c:pt idx="3">
                  <c:v>2022</c:v>
                </c:pt>
                <c:pt idx="4">
                  <c:v>2023</c:v>
                </c:pt>
                <c:pt idx="5">
                  <c:v>2024</c:v>
                </c:pt>
                <c:pt idx="6">
                  <c:v>30. сеп. 2025.</c:v>
                </c:pt>
              </c:strCache>
            </c:strRef>
          </c:cat>
          <c:val>
            <c:numRef>
              <c:f>'[Dijagrami i tabele za Fiskalnu Strategiju Oct 2025.xlsx]sudski postupci'!$E$5:$E$11</c:f>
              <c:numCache>
                <c:formatCode>#,##0.0</c:formatCode>
                <c:ptCount val="7"/>
                <c:pt idx="0">
                  <c:v>17.574999999999999</c:v>
                </c:pt>
                <c:pt idx="1">
                  <c:v>22.920999999999999</c:v>
                </c:pt>
                <c:pt idx="2">
                  <c:v>16.943000000000001</c:v>
                </c:pt>
                <c:pt idx="3">
                  <c:v>26.824000000000002</c:v>
                </c:pt>
                <c:pt idx="4">
                  <c:v>25.445243600919998</c:v>
                </c:pt>
                <c:pt idx="5">
                  <c:v>24.622740542919999</c:v>
                </c:pt>
                <c:pt idx="6">
                  <c:v>20.366675072620001</c:v>
                </c:pt>
              </c:numCache>
            </c:numRef>
          </c:val>
          <c:extLst>
            <c:ext xmlns:c16="http://schemas.microsoft.com/office/drawing/2014/chart" uri="{C3380CC4-5D6E-409C-BE32-E72D297353CC}">
              <c16:uniqueId val="{00000002-8E1D-454D-83FB-917BEFA8241B}"/>
            </c:ext>
          </c:extLst>
        </c:ser>
        <c:dLbls>
          <c:showLegendKey val="0"/>
          <c:showVal val="0"/>
          <c:showCatName val="0"/>
          <c:showSerName val="0"/>
          <c:showPercent val="0"/>
          <c:showBubbleSize val="0"/>
        </c:dLbls>
        <c:gapWidth val="219"/>
        <c:overlap val="-27"/>
        <c:axId val="2134917552"/>
        <c:axId val="2134912144"/>
        <c:extLst/>
      </c:barChart>
      <c:dateAx>
        <c:axId val="2134917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mn-cs"/>
              </a:defRPr>
            </a:pPr>
            <a:endParaRPr lang="en-US"/>
          </a:p>
        </c:txPr>
        <c:crossAx val="2134912144"/>
        <c:crosses val="autoZero"/>
        <c:auto val="0"/>
        <c:lblOffset val="100"/>
        <c:baseTimeUnit val="days"/>
      </c:dateAx>
      <c:valAx>
        <c:axId val="21349121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accent1">
                    <a:lumMod val="50000"/>
                  </a:schemeClr>
                </a:solidFill>
                <a:latin typeface="+mn-lt"/>
                <a:ea typeface="+mn-ea"/>
                <a:cs typeface="+mn-cs"/>
              </a:defRPr>
            </a:pPr>
            <a:endParaRPr lang="en-US"/>
          </a:p>
        </c:txPr>
        <c:crossAx val="2134917552"/>
        <c:crosses val="autoZero"/>
        <c:crossBetween val="between"/>
      </c:valAx>
      <c:spPr>
        <a:noFill/>
        <a:ln>
          <a:noFill/>
        </a:ln>
        <a:effectLst/>
      </c:spPr>
    </c:plotArea>
    <c:legend>
      <c:legendPos val="b"/>
      <c:layout>
        <c:manualLayout>
          <c:xMode val="edge"/>
          <c:yMode val="edge"/>
          <c:x val="8.1897783610382052E-2"/>
          <c:y val="0.88879711182347265"/>
          <c:w val="0.75148518359389227"/>
          <c:h val="7.7751888784291678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accent1">
                  <a:lumMod val="50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83943048038039"/>
          <c:y val="0.12748845244227644"/>
          <c:w val="0.84505904030619183"/>
          <c:h val="0.66068982760575845"/>
        </c:manualLayout>
      </c:layout>
      <c:lineChart>
        <c:grouping val="stacked"/>
        <c:varyColors val="0"/>
        <c:ser>
          <c:idx val="1"/>
          <c:order val="0"/>
          <c:spPr>
            <a:ln w="28575" cap="rnd">
              <a:solidFill>
                <a:srgbClr val="7030A0"/>
              </a:solidFill>
              <a:round/>
            </a:ln>
            <a:effectLst/>
          </c:spPr>
          <c:marker>
            <c:symbol val="none"/>
          </c:marker>
          <c:cat>
            <c:strRef>
              <c:f>'[Dijagrami i tabele za Fiskalnu Strategiju Oct 2025.xlsx]aktivni sudski sporovi DP'!$B$4:$B$10</c:f>
              <c:strCache>
                <c:ptCount val="7"/>
                <c:pt idx="0">
                  <c:v>2019</c:v>
                </c:pt>
                <c:pt idx="1">
                  <c:v>2020</c:v>
                </c:pt>
                <c:pt idx="2">
                  <c:v>2021</c:v>
                </c:pt>
                <c:pt idx="3">
                  <c:v>2022</c:v>
                </c:pt>
                <c:pt idx="4">
                  <c:v>2023</c:v>
                </c:pt>
                <c:pt idx="5">
                  <c:v>2024</c:v>
                </c:pt>
                <c:pt idx="6">
                  <c:v>30.септ.
2025.</c:v>
                </c:pt>
              </c:strCache>
            </c:strRef>
          </c:cat>
          <c:val>
            <c:numRef>
              <c:f>'[Dijagrami i tabele za Fiskalnu Strategiju Oct 2025.xlsx]aktivni sudski sporovi DP'!$G$4:$G$10</c:f>
              <c:numCache>
                <c:formatCode>#,##0</c:formatCode>
                <c:ptCount val="7"/>
                <c:pt idx="0">
                  <c:v>296980</c:v>
                </c:pt>
                <c:pt idx="1">
                  <c:v>324253</c:v>
                </c:pt>
                <c:pt idx="2">
                  <c:v>267502</c:v>
                </c:pt>
                <c:pt idx="3">
                  <c:v>306727</c:v>
                </c:pt>
                <c:pt idx="4">
                  <c:v>320860</c:v>
                </c:pt>
                <c:pt idx="5">
                  <c:v>306101</c:v>
                </c:pt>
                <c:pt idx="6">
                  <c:v>321430</c:v>
                </c:pt>
              </c:numCache>
            </c:numRef>
          </c:val>
          <c:smooth val="0"/>
          <c:extLst>
            <c:ext xmlns:c16="http://schemas.microsoft.com/office/drawing/2014/chart" uri="{C3380CC4-5D6E-409C-BE32-E72D297353CC}">
              <c16:uniqueId val="{00000000-5D6D-4308-8D99-1E693EA6DF1F}"/>
            </c:ext>
          </c:extLst>
        </c:ser>
        <c:dLbls>
          <c:showLegendKey val="0"/>
          <c:showVal val="0"/>
          <c:showCatName val="0"/>
          <c:showSerName val="0"/>
          <c:showPercent val="0"/>
          <c:showBubbleSize val="0"/>
        </c:dLbls>
        <c:smooth val="0"/>
        <c:axId val="771583600"/>
        <c:axId val="771589008"/>
      </c:lineChart>
      <c:catAx>
        <c:axId val="771583600"/>
        <c:scaling>
          <c:orientation val="minMax"/>
        </c:scaling>
        <c:delete val="0"/>
        <c:axPos val="b"/>
        <c:numFmt formatCode="0.00" sourceLinked="0"/>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2"/>
                </a:solidFill>
                <a:latin typeface="+mn-lt"/>
                <a:ea typeface="+mn-ea"/>
                <a:cs typeface="+mn-cs"/>
              </a:defRPr>
            </a:pPr>
            <a:endParaRPr lang="en-US"/>
          </a:p>
        </c:txPr>
        <c:crossAx val="771589008"/>
        <c:crosses val="autoZero"/>
        <c:auto val="1"/>
        <c:lblAlgn val="ctr"/>
        <c:lblOffset val="100"/>
        <c:noMultiLvlLbl val="0"/>
      </c:catAx>
      <c:valAx>
        <c:axId val="7715890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771583600"/>
        <c:crosses val="autoZero"/>
        <c:crossBetween val="midCat"/>
        <c:minorUnit val="100000"/>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85773149324077"/>
          <c:y val="8.8444518313838733E-2"/>
          <c:w val="0.85560104986876639"/>
          <c:h val="0.69831217667712375"/>
        </c:manualLayout>
      </c:layout>
      <c:barChart>
        <c:barDir val="col"/>
        <c:grouping val="clustered"/>
        <c:varyColors val="0"/>
        <c:ser>
          <c:idx val="0"/>
          <c:order val="0"/>
          <c:tx>
            <c:strRef>
              <c:f>'[Dijagrami i tabele za Fiskalnu Strategiju Oct 2025.xlsx]elementarne nepogode'!$C$4</c:f>
              <c:strCache>
                <c:ptCount val="1"/>
                <c:pt idx="0">
                  <c:v>План</c:v>
                </c:pt>
              </c:strCache>
            </c:strRef>
          </c:tx>
          <c:spPr>
            <a:solidFill>
              <a:srgbClr val="7030A0"/>
            </a:solidFill>
            <a:ln>
              <a:noFill/>
            </a:ln>
            <a:effectLst/>
          </c:spPr>
          <c:invertIfNegative val="0"/>
          <c:cat>
            <c:strRef>
              <c:f>'[Dijagrami i tabele za Fiskalnu Strategiju Oct 2025.xlsx]elementarne nepogode'!$B$5:$B$11</c:f>
              <c:strCache>
                <c:ptCount val="7"/>
                <c:pt idx="0">
                  <c:v>2019</c:v>
                </c:pt>
                <c:pt idx="1">
                  <c:v>2020</c:v>
                </c:pt>
                <c:pt idx="2">
                  <c:v>2021</c:v>
                </c:pt>
                <c:pt idx="3">
                  <c:v>2022</c:v>
                </c:pt>
                <c:pt idx="4">
                  <c:v>2023</c:v>
                </c:pt>
                <c:pt idx="5">
                  <c:v>2024</c:v>
                </c:pt>
                <c:pt idx="6">
                  <c:v>30. сеп 2025.</c:v>
                </c:pt>
              </c:strCache>
            </c:strRef>
          </c:cat>
          <c:val>
            <c:numRef>
              <c:f>'[Dijagrami i tabele za Fiskalnu Strategiju Oct 2025.xlsx]elementarne nepogode'!$C$5:$C$11</c:f>
              <c:numCache>
                <c:formatCode>#,##0.0</c:formatCode>
                <c:ptCount val="7"/>
                <c:pt idx="0">
                  <c:v>4104.5959999999995</c:v>
                </c:pt>
                <c:pt idx="1">
                  <c:v>2326.0419999999999</c:v>
                </c:pt>
                <c:pt idx="2">
                  <c:v>458.32499999999999</c:v>
                </c:pt>
                <c:pt idx="3">
                  <c:v>190.21780000000001</c:v>
                </c:pt>
                <c:pt idx="4">
                  <c:v>200.92</c:v>
                </c:pt>
                <c:pt idx="5">
                  <c:v>117.26</c:v>
                </c:pt>
                <c:pt idx="6">
                  <c:v>428.803</c:v>
                </c:pt>
              </c:numCache>
            </c:numRef>
          </c:val>
          <c:extLst>
            <c:ext xmlns:c16="http://schemas.microsoft.com/office/drawing/2014/chart" uri="{C3380CC4-5D6E-409C-BE32-E72D297353CC}">
              <c16:uniqueId val="{00000000-94C9-45C7-A79B-067606825F9E}"/>
            </c:ext>
          </c:extLst>
        </c:ser>
        <c:ser>
          <c:idx val="1"/>
          <c:order val="1"/>
          <c:tx>
            <c:strRef>
              <c:f>'[Dijagrami i tabele za Fiskalnu Strategiju Oct 2025.xlsx]elementarne nepogode'!$D$4</c:f>
              <c:strCache>
                <c:ptCount val="1"/>
                <c:pt idx="0">
                  <c:v>Апропријација </c:v>
                </c:pt>
              </c:strCache>
            </c:strRef>
          </c:tx>
          <c:spPr>
            <a:solidFill>
              <a:srgbClr val="0070C0"/>
            </a:solidFill>
            <a:ln>
              <a:noFill/>
            </a:ln>
            <a:effectLst/>
          </c:spPr>
          <c:invertIfNegative val="0"/>
          <c:cat>
            <c:strRef>
              <c:f>'[Dijagrami i tabele za Fiskalnu Strategiju Oct 2025.xlsx]elementarne nepogode'!$B$5:$B$11</c:f>
              <c:strCache>
                <c:ptCount val="7"/>
                <c:pt idx="0">
                  <c:v>2019</c:v>
                </c:pt>
                <c:pt idx="1">
                  <c:v>2020</c:v>
                </c:pt>
                <c:pt idx="2">
                  <c:v>2021</c:v>
                </c:pt>
                <c:pt idx="3">
                  <c:v>2022</c:v>
                </c:pt>
                <c:pt idx="4">
                  <c:v>2023</c:v>
                </c:pt>
                <c:pt idx="5">
                  <c:v>2024</c:v>
                </c:pt>
                <c:pt idx="6">
                  <c:v>30. сеп 2025.</c:v>
                </c:pt>
              </c:strCache>
            </c:strRef>
          </c:cat>
          <c:val>
            <c:numRef>
              <c:f>'[Dijagrami i tabele za Fiskalnu Strategiju Oct 2025.xlsx]elementarne nepogode'!$D$5:$D$11</c:f>
              <c:numCache>
                <c:formatCode>#,##0.0</c:formatCode>
                <c:ptCount val="7"/>
                <c:pt idx="0">
                  <c:v>4456.2374</c:v>
                </c:pt>
                <c:pt idx="1">
                  <c:v>3498.1120000000001</c:v>
                </c:pt>
                <c:pt idx="2">
                  <c:v>558.22500000000002</c:v>
                </c:pt>
                <c:pt idx="3">
                  <c:v>290.21780000000001</c:v>
                </c:pt>
                <c:pt idx="4">
                  <c:v>881.78</c:v>
                </c:pt>
                <c:pt idx="5">
                  <c:v>923.45299999999997</c:v>
                </c:pt>
                <c:pt idx="6">
                  <c:v>778.803</c:v>
                </c:pt>
              </c:numCache>
            </c:numRef>
          </c:val>
          <c:extLst>
            <c:ext xmlns:c16="http://schemas.microsoft.com/office/drawing/2014/chart" uri="{C3380CC4-5D6E-409C-BE32-E72D297353CC}">
              <c16:uniqueId val="{00000001-94C9-45C7-A79B-067606825F9E}"/>
            </c:ext>
          </c:extLst>
        </c:ser>
        <c:ser>
          <c:idx val="2"/>
          <c:order val="2"/>
          <c:tx>
            <c:strRef>
              <c:f>'[Dijagrami i tabele za Fiskalnu Strategiju Oct 2025.xlsx]elementarne nepogode'!$E$4</c:f>
              <c:strCache>
                <c:ptCount val="1"/>
                <c:pt idx="0">
                  <c:v>Извршење</c:v>
                </c:pt>
              </c:strCache>
            </c:strRef>
          </c:tx>
          <c:spPr>
            <a:solidFill>
              <a:schemeClr val="accent6">
                <a:lumMod val="75000"/>
              </a:schemeClr>
            </a:solidFill>
            <a:ln>
              <a:noFill/>
            </a:ln>
            <a:effectLst/>
          </c:spPr>
          <c:invertIfNegative val="0"/>
          <c:cat>
            <c:strRef>
              <c:f>'[Dijagrami i tabele za Fiskalnu Strategiju Oct 2025.xlsx]elementarne nepogode'!$B$5:$B$11</c:f>
              <c:strCache>
                <c:ptCount val="7"/>
                <c:pt idx="0">
                  <c:v>2019</c:v>
                </c:pt>
                <c:pt idx="1">
                  <c:v>2020</c:v>
                </c:pt>
                <c:pt idx="2">
                  <c:v>2021</c:v>
                </c:pt>
                <c:pt idx="3">
                  <c:v>2022</c:v>
                </c:pt>
                <c:pt idx="4">
                  <c:v>2023</c:v>
                </c:pt>
                <c:pt idx="5">
                  <c:v>2024</c:v>
                </c:pt>
                <c:pt idx="6">
                  <c:v>30. сеп 2025.</c:v>
                </c:pt>
              </c:strCache>
            </c:strRef>
          </c:cat>
          <c:val>
            <c:numRef>
              <c:f>'[Dijagrami i tabele za Fiskalnu Strategiju Oct 2025.xlsx]elementarne nepogode'!$E$5:$E$11</c:f>
              <c:numCache>
                <c:formatCode>#,##0.0</c:formatCode>
                <c:ptCount val="7"/>
                <c:pt idx="0">
                  <c:v>4220.9592285099998</c:v>
                </c:pt>
                <c:pt idx="1">
                  <c:v>2873.332101849991</c:v>
                </c:pt>
                <c:pt idx="2">
                  <c:v>520.34543778001</c:v>
                </c:pt>
                <c:pt idx="3">
                  <c:v>263.87826456999971</c:v>
                </c:pt>
                <c:pt idx="4">
                  <c:v>824.81</c:v>
                </c:pt>
                <c:pt idx="5">
                  <c:v>708.92884688000004</c:v>
                </c:pt>
                <c:pt idx="6">
                  <c:v>188.56700000000001</c:v>
                </c:pt>
              </c:numCache>
            </c:numRef>
          </c:val>
          <c:extLst>
            <c:ext xmlns:c16="http://schemas.microsoft.com/office/drawing/2014/chart" uri="{C3380CC4-5D6E-409C-BE32-E72D297353CC}">
              <c16:uniqueId val="{00000002-94C9-45C7-A79B-067606825F9E}"/>
            </c:ext>
          </c:extLst>
        </c:ser>
        <c:dLbls>
          <c:showLegendKey val="0"/>
          <c:showVal val="0"/>
          <c:showCatName val="0"/>
          <c:showSerName val="0"/>
          <c:showPercent val="0"/>
          <c:showBubbleSize val="0"/>
        </c:dLbls>
        <c:gapWidth val="219"/>
        <c:overlap val="-27"/>
        <c:axId val="2134917552"/>
        <c:axId val="2134912144"/>
      </c:barChart>
      <c:catAx>
        <c:axId val="2134917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2134912144"/>
        <c:crosses val="autoZero"/>
        <c:auto val="1"/>
        <c:lblAlgn val="r"/>
        <c:lblOffset val="100"/>
        <c:noMultiLvlLbl val="0"/>
      </c:catAx>
      <c:valAx>
        <c:axId val="21349121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2134917552"/>
        <c:crosses val="autoZero"/>
        <c:crossBetween val="between"/>
      </c:valAx>
      <c:spPr>
        <a:noFill/>
        <a:ln>
          <a:noFill/>
        </a:ln>
        <a:effectLst/>
      </c:spPr>
    </c:plotArea>
    <c:legend>
      <c:legendPos val="b"/>
      <c:layout>
        <c:manualLayout>
          <c:xMode val="edge"/>
          <c:yMode val="edge"/>
          <c:x val="0"/>
          <c:y val="0.9141251309103603"/>
          <c:w val="0.97590833403889032"/>
          <c:h val="6.185097552461114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2"/>
          </a:solidFill>
        </a:defRPr>
      </a:pPr>
      <a:endParaRPr lang="en-US"/>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r>
              <a:rPr lang="sr-Cyrl-RS" sz="900" b="1">
                <a:solidFill>
                  <a:srgbClr val="002060"/>
                </a:solidFill>
              </a:rPr>
              <a:t>Стопа раста БДП Кине, %</a:t>
            </a:r>
          </a:p>
        </c:rich>
      </c:tx>
      <c:layout>
        <c:manualLayout>
          <c:xMode val="edge"/>
          <c:yMode val="edge"/>
          <c:x val="0.3266378600823045"/>
          <c:y val="2.1166666666666667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857688888888889"/>
          <c:w val="0.88876071125802292"/>
          <c:h val="0.70557620623219974"/>
        </c:manualLayout>
      </c:layout>
      <c:lineChart>
        <c:grouping val="standard"/>
        <c:varyColors val="0"/>
        <c:ser>
          <c:idx val="0"/>
          <c:order val="0"/>
          <c:tx>
            <c:strRef>
              <c:f>'SAD,Kina,Rusija, realni rast'!$A$20</c:f>
              <c:strCache>
                <c:ptCount val="1"/>
                <c:pt idx="0">
                  <c:v>окт. 2024.</c:v>
                </c:pt>
              </c:strCache>
            </c:strRef>
          </c:tx>
          <c:spPr>
            <a:ln w="25400" cap="rnd">
              <a:solidFill>
                <a:schemeClr val="accent4"/>
              </a:solidFill>
              <a:prstDash val="sysDot"/>
              <a:round/>
            </a:ln>
            <a:effectLst/>
          </c:spPr>
          <c:marker>
            <c:symbol val="none"/>
          </c:marker>
          <c:dLbls>
            <c:dLbl>
              <c:idx val="0"/>
              <c:layout>
                <c:manualLayout>
                  <c:x val="-8.7959172692993956E-2"/>
                  <c:y val="4.90933986443050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0CD-46E8-A170-BF8593EE187C}"/>
                </c:ext>
              </c:extLst>
            </c:dLbl>
            <c:dLbl>
              <c:idx val="1"/>
              <c:layout>
                <c:manualLayout>
                  <c:x val="-0.11058134851100153"/>
                  <c:y val="6.69621076105603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0CD-46E8-A170-BF8593EE187C}"/>
                </c:ext>
              </c:extLst>
            </c:dLbl>
            <c:dLbl>
              <c:idx val="2"/>
              <c:layout>
                <c:manualLayout>
                  <c:x val="3.1155615208884401E-4"/>
                  <c:y val="3.634335233663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0CD-46E8-A170-BF8593EE187C}"/>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rast'!$E$19:$I$19</c:f>
              <c:numCache>
                <c:formatCode>General</c:formatCode>
                <c:ptCount val="3"/>
                <c:pt idx="0">
                  <c:v>2024</c:v>
                </c:pt>
                <c:pt idx="1">
                  <c:v>2025</c:v>
                </c:pt>
                <c:pt idx="2">
                  <c:v>2026</c:v>
                </c:pt>
              </c:numCache>
            </c:numRef>
          </c:cat>
          <c:val>
            <c:numRef>
              <c:f>'SAD,Kina,Rusija, realni rast'!$E$20:$I$20</c:f>
              <c:numCache>
                <c:formatCode>0.0</c:formatCode>
                <c:ptCount val="3"/>
                <c:pt idx="0">
                  <c:v>4.8</c:v>
                </c:pt>
                <c:pt idx="1">
                  <c:v>4.5</c:v>
                </c:pt>
                <c:pt idx="2">
                  <c:v>4.0999999999999996</c:v>
                </c:pt>
              </c:numCache>
            </c:numRef>
          </c:val>
          <c:smooth val="0"/>
          <c:extLst>
            <c:ext xmlns:c16="http://schemas.microsoft.com/office/drawing/2014/chart" uri="{C3380CC4-5D6E-409C-BE32-E72D297353CC}">
              <c16:uniqueId val="{00000003-50CD-46E8-A170-BF8593EE187C}"/>
            </c:ext>
          </c:extLst>
        </c:ser>
        <c:ser>
          <c:idx val="1"/>
          <c:order val="1"/>
          <c:tx>
            <c:strRef>
              <c:f>'SAD,Kina,Rusija, realni rast'!$A$21</c:f>
              <c:strCache>
                <c:ptCount val="1"/>
                <c:pt idx="0">
                  <c:v>апр. 2025.</c:v>
                </c:pt>
              </c:strCache>
            </c:strRef>
          </c:tx>
          <c:spPr>
            <a:ln w="22225" cap="rnd">
              <a:solidFill>
                <a:srgbClr val="002060"/>
              </a:solidFill>
              <a:prstDash val="sysDash"/>
              <a:round/>
            </a:ln>
            <a:effectLst/>
          </c:spPr>
          <c:marker>
            <c:symbol val="none"/>
          </c:marker>
          <c:dLbls>
            <c:dLbl>
              <c:idx val="0"/>
              <c:layout>
                <c:manualLayout>
                  <c:x val="-0.1429617393049353"/>
                  <c:y val="-1.3515787587606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0CD-46E8-A170-BF8593EE187C}"/>
                </c:ext>
              </c:extLst>
            </c:dLbl>
            <c:dLbl>
              <c:idx val="1"/>
              <c:layout>
                <c:manualLayout>
                  <c:x val="-4.1142498585818636E-2"/>
                  <c:y val="4.99196728317415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0CD-46E8-A170-BF8593EE187C}"/>
                </c:ext>
              </c:extLst>
            </c:dLbl>
            <c:dLbl>
              <c:idx val="2"/>
              <c:layout>
                <c:manualLayout>
                  <c:x val="-4.5858375370995394E-2"/>
                  <c:y val="7.8971836459454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0CD-46E8-A170-BF8593EE187C}"/>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rast'!$E$19:$I$19</c:f>
              <c:numCache>
                <c:formatCode>General</c:formatCode>
                <c:ptCount val="3"/>
                <c:pt idx="0">
                  <c:v>2024</c:v>
                </c:pt>
                <c:pt idx="1">
                  <c:v>2025</c:v>
                </c:pt>
                <c:pt idx="2">
                  <c:v>2026</c:v>
                </c:pt>
              </c:numCache>
            </c:numRef>
          </c:cat>
          <c:val>
            <c:numRef>
              <c:f>'SAD,Kina,Rusija, realni rast'!$E$21:$I$21</c:f>
              <c:numCache>
                <c:formatCode>0.0</c:formatCode>
                <c:ptCount val="3"/>
                <c:pt idx="0">
                  <c:v>5</c:v>
                </c:pt>
                <c:pt idx="1">
                  <c:v>4</c:v>
                </c:pt>
                <c:pt idx="2">
                  <c:v>4</c:v>
                </c:pt>
              </c:numCache>
            </c:numRef>
          </c:val>
          <c:smooth val="0"/>
          <c:extLst>
            <c:ext xmlns:c16="http://schemas.microsoft.com/office/drawing/2014/chart" uri="{C3380CC4-5D6E-409C-BE32-E72D297353CC}">
              <c16:uniqueId val="{00000007-50CD-46E8-A170-BF8593EE187C}"/>
            </c:ext>
          </c:extLst>
        </c:ser>
        <c:ser>
          <c:idx val="2"/>
          <c:order val="2"/>
          <c:tx>
            <c:strRef>
              <c:f>'SAD,Kina,Rusija, realni rast'!$A$22</c:f>
              <c:strCache>
                <c:ptCount val="1"/>
                <c:pt idx="0">
                  <c:v>окт. 2025.</c:v>
                </c:pt>
              </c:strCache>
            </c:strRef>
          </c:tx>
          <c:spPr>
            <a:ln w="28575" cap="rnd">
              <a:solidFill>
                <a:srgbClr val="FF0000"/>
              </a:solidFill>
              <a:round/>
            </a:ln>
            <a:effectLst/>
          </c:spPr>
          <c:marker>
            <c:symbol val="none"/>
          </c:marker>
          <c:dLbls>
            <c:dLbl>
              <c:idx val="0"/>
              <c:layout>
                <c:manualLayout>
                  <c:x val="-8.290554710600008E-2"/>
                  <c:y val="-1.5375055841607185E-2"/>
                </c:manualLayout>
              </c:layout>
              <c:tx>
                <c:rich>
                  <a:bodyPr/>
                  <a:lstStyle/>
                  <a:p>
                    <a:fld id="{9CEB5E0B-8836-412F-8C36-DD0943CEE504}" type="VALUE">
                      <a:rPr lang="en-US" sz="700">
                        <a:solidFill>
                          <a:schemeClr val="bg1"/>
                        </a:solidFill>
                      </a:rPr>
                      <a:pPr/>
                      <a:t>[VALUE]</a:t>
                    </a:fld>
                    <a:endParaRPr lang="sr-Latn-RS"/>
                  </a:p>
                </c:rich>
              </c:tx>
              <c:dLblPos val="r"/>
              <c:showLegendKey val="0"/>
              <c:showVal val="1"/>
              <c:showCatName val="0"/>
              <c:showSerName val="0"/>
              <c:showPercent val="0"/>
              <c:showBubbleSize val="0"/>
              <c:extLst>
                <c:ext xmlns:c15="http://schemas.microsoft.com/office/drawing/2012/chart" uri="{CE6537A1-D6FC-4f65-9D91-7224C49458BB}">
                  <c15:layout>
                    <c:manualLayout>
                      <c:w val="0.10227948586327593"/>
                      <c:h val="0.11361239810798343"/>
                    </c:manualLayout>
                  </c15:layout>
                  <c15:dlblFieldTable/>
                  <c15:showDataLabelsRange val="0"/>
                </c:ext>
                <c:ext xmlns:c16="http://schemas.microsoft.com/office/drawing/2014/chart" uri="{C3380CC4-5D6E-409C-BE32-E72D297353CC}">
                  <c16:uniqueId val="{00000008-50CD-46E8-A170-BF8593EE187C}"/>
                </c:ext>
              </c:extLst>
            </c:dLbl>
            <c:dLbl>
              <c:idx val="1"/>
              <c:tx>
                <c:rich>
                  <a:bodyPr/>
                  <a:lstStyle/>
                  <a:p>
                    <a:fld id="{C6CF2CDC-FE80-4EAD-A08D-EAA0E190F4C6}"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50CD-46E8-A170-BF8593EE187C}"/>
                </c:ext>
              </c:extLst>
            </c:dLbl>
            <c:dLbl>
              <c:idx val="2"/>
              <c:tx>
                <c:rich>
                  <a:bodyPr/>
                  <a:lstStyle/>
                  <a:p>
                    <a:fld id="{59AEC806-C090-4EBD-AF96-B4F75B005E31}"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50CD-46E8-A170-BF8593EE187C}"/>
                </c:ext>
              </c:extLst>
            </c:dLbl>
            <c:spPr>
              <a:solidFill>
                <a:srgbClr val="ED1C24"/>
              </a:solidFill>
              <a:ln>
                <a:solidFill>
                  <a:srgbClr val="ED1C24"/>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'SAD,Kina,Rusija, realni rast'!$E$19:$I$19</c:f>
              <c:numCache>
                <c:formatCode>General</c:formatCode>
                <c:ptCount val="3"/>
                <c:pt idx="0">
                  <c:v>2024</c:v>
                </c:pt>
                <c:pt idx="1">
                  <c:v>2025</c:v>
                </c:pt>
                <c:pt idx="2">
                  <c:v>2026</c:v>
                </c:pt>
              </c:numCache>
            </c:numRef>
          </c:cat>
          <c:val>
            <c:numRef>
              <c:f>'SAD,Kina,Rusija, realni rast'!$E$22:$I$22</c:f>
              <c:numCache>
                <c:formatCode>0.0</c:formatCode>
                <c:ptCount val="3"/>
                <c:pt idx="0">
                  <c:v>5.0030000000000001</c:v>
                </c:pt>
                <c:pt idx="1">
                  <c:v>4.7960000000000003</c:v>
                </c:pt>
                <c:pt idx="2">
                  <c:v>4.1630000000000003</c:v>
                </c:pt>
              </c:numCache>
            </c:numRef>
          </c:val>
          <c:smooth val="0"/>
          <c:extLst>
            <c:ext xmlns:c16="http://schemas.microsoft.com/office/drawing/2014/chart" uri="{C3380CC4-5D6E-409C-BE32-E72D297353CC}">
              <c16:uniqueId val="{0000000B-50CD-46E8-A170-BF8593EE187C}"/>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481080489938759"/>
          <c:y val="6.5943172525455854E-2"/>
          <c:w val="0.76426326917468645"/>
          <c:h val="0.61681084584815926"/>
        </c:manualLayout>
      </c:layout>
      <c:barChart>
        <c:barDir val="col"/>
        <c:grouping val="clustered"/>
        <c:varyColors val="0"/>
        <c:ser>
          <c:idx val="0"/>
          <c:order val="0"/>
          <c:tx>
            <c:strRef>
              <c:f>'[SRB_Fiscal risk MODEL 02.10.2025..xlsx]FRMD Report'!$B$21</c:f>
              <c:strCache>
                <c:ptCount val="1"/>
                <c:pt idx="0">
                  <c:v>Поплава</c:v>
                </c:pt>
              </c:strCache>
            </c:strRef>
          </c:tx>
          <c:spPr>
            <a:solidFill>
              <a:schemeClr val="accent1"/>
            </a:solidFill>
            <a:ln>
              <a:noFill/>
            </a:ln>
            <a:effectLst/>
          </c:spPr>
          <c:invertIfNegative val="0"/>
          <c:cat>
            <c:strRef>
              <c:f>'[SRB_Fiscal risk MODEL 02.10.2025..xlsx]FRMD Report'!$A$22:$A$27</c:f>
              <c:strCache>
                <c:ptCount val="6"/>
                <c:pt idx="0">
                  <c:v>Просечно годишње</c:v>
                </c:pt>
                <c:pt idx="1">
                  <c:v>1 у 2 године (50%)</c:v>
                </c:pt>
                <c:pt idx="2">
                  <c:v>1 у 10 година (10%)</c:v>
                </c:pt>
                <c:pt idx="3">
                  <c:v>1 у 50 година (2,0%)</c:v>
                </c:pt>
                <c:pt idx="4">
                  <c:v>1 у 100 година (1,0%)</c:v>
                </c:pt>
                <c:pt idx="5">
                  <c:v>1 у 250 година (0,4%)</c:v>
                </c:pt>
              </c:strCache>
            </c:strRef>
          </c:cat>
          <c:val>
            <c:numRef>
              <c:f>'[SRB_Fiscal risk MODEL 02.10.2025..xlsx]FRMD Report'!$B$22:$B$27</c:f>
              <c:numCache>
                <c:formatCode>#,##0</c:formatCode>
                <c:ptCount val="6"/>
                <c:pt idx="0">
                  <c:v>636.33839440124336</c:v>
                </c:pt>
                <c:pt idx="1">
                  <c:v>150.4557965785381</c:v>
                </c:pt>
                <c:pt idx="2">
                  <c:v>738.54917636080916</c:v>
                </c:pt>
                <c:pt idx="3">
                  <c:v>2459.9236702954836</c:v>
                </c:pt>
                <c:pt idx="4">
                  <c:v>4046.8604752721644</c:v>
                </c:pt>
                <c:pt idx="5">
                  <c:v>6394.6573922239522</c:v>
                </c:pt>
              </c:numCache>
            </c:numRef>
          </c:val>
          <c:extLst>
            <c:ext xmlns:c16="http://schemas.microsoft.com/office/drawing/2014/chart" uri="{C3380CC4-5D6E-409C-BE32-E72D297353CC}">
              <c16:uniqueId val="{00000000-0A7E-4E7B-95FE-606E73586547}"/>
            </c:ext>
          </c:extLst>
        </c:ser>
        <c:ser>
          <c:idx val="1"/>
          <c:order val="1"/>
          <c:tx>
            <c:strRef>
              <c:f>'[SRB_Fiscal risk MODEL 02.10.2025..xlsx]FRMD Report'!$C$21</c:f>
              <c:strCache>
                <c:ptCount val="1"/>
                <c:pt idx="0">
                  <c:v>Земљотрес</c:v>
                </c:pt>
              </c:strCache>
            </c:strRef>
          </c:tx>
          <c:spPr>
            <a:solidFill>
              <a:schemeClr val="accent2"/>
            </a:solidFill>
            <a:ln>
              <a:noFill/>
            </a:ln>
            <a:effectLst/>
          </c:spPr>
          <c:invertIfNegative val="0"/>
          <c:cat>
            <c:strRef>
              <c:f>'[SRB_Fiscal risk MODEL 02.10.2025..xlsx]FRMD Report'!$A$22:$A$27</c:f>
              <c:strCache>
                <c:ptCount val="6"/>
                <c:pt idx="0">
                  <c:v>Просечно годишње</c:v>
                </c:pt>
                <c:pt idx="1">
                  <c:v>1 у 2 године (50%)</c:v>
                </c:pt>
                <c:pt idx="2">
                  <c:v>1 у 10 година (10%)</c:v>
                </c:pt>
                <c:pt idx="3">
                  <c:v>1 у 50 година (2,0%)</c:v>
                </c:pt>
                <c:pt idx="4">
                  <c:v>1 у 100 година (1,0%)</c:v>
                </c:pt>
                <c:pt idx="5">
                  <c:v>1 у 250 година (0,4%)</c:v>
                </c:pt>
              </c:strCache>
            </c:strRef>
          </c:cat>
          <c:val>
            <c:numRef>
              <c:f>'[SRB_Fiscal risk MODEL 02.10.2025..xlsx]FRMD Report'!$C$22:$C$27</c:f>
              <c:numCache>
                <c:formatCode>#,##0</c:formatCode>
                <c:ptCount val="6"/>
                <c:pt idx="0">
                  <c:v>159.60900093312588</c:v>
                </c:pt>
                <c:pt idx="1">
                  <c:v>0</c:v>
                </c:pt>
                <c:pt idx="2">
                  <c:v>147.2140367029549</c:v>
                </c:pt>
                <c:pt idx="3">
                  <c:v>1350.4790258164842</c:v>
                </c:pt>
                <c:pt idx="4">
                  <c:v>2635.7414706065265</c:v>
                </c:pt>
                <c:pt idx="5">
                  <c:v>8471.481321928457</c:v>
                </c:pt>
              </c:numCache>
            </c:numRef>
          </c:val>
          <c:extLst>
            <c:ext xmlns:c16="http://schemas.microsoft.com/office/drawing/2014/chart" uri="{C3380CC4-5D6E-409C-BE32-E72D297353CC}">
              <c16:uniqueId val="{00000001-0A7E-4E7B-95FE-606E73586547}"/>
            </c:ext>
          </c:extLst>
        </c:ser>
        <c:dLbls>
          <c:showLegendKey val="0"/>
          <c:showVal val="0"/>
          <c:showCatName val="0"/>
          <c:showSerName val="0"/>
          <c:showPercent val="0"/>
          <c:showBubbleSize val="0"/>
        </c:dLbls>
        <c:gapWidth val="219"/>
        <c:overlap val="-27"/>
        <c:axId val="309525200"/>
        <c:axId val="309526448"/>
      </c:barChart>
      <c:catAx>
        <c:axId val="309525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crossAx val="309526448"/>
        <c:crosses val="autoZero"/>
        <c:auto val="1"/>
        <c:lblAlgn val="ctr"/>
        <c:lblOffset val="100"/>
        <c:noMultiLvlLbl val="0"/>
      </c:catAx>
      <c:valAx>
        <c:axId val="309526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309525200"/>
        <c:crosses val="autoZero"/>
        <c:crossBetween val="between"/>
      </c:valAx>
      <c:spPr>
        <a:noFill/>
        <a:ln>
          <a:noFill/>
        </a:ln>
        <a:effectLst/>
      </c:spPr>
    </c:plotArea>
    <c:legend>
      <c:legendPos val="b"/>
      <c:layout>
        <c:manualLayout>
          <c:xMode val="edge"/>
          <c:yMode val="edge"/>
          <c:x val="0.23568569553805774"/>
          <c:y val="0.86887726217272498"/>
          <c:w val="0.52862860892388452"/>
          <c:h val="0.11722902473245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8.5694913857576771E-2"/>
          <c:y val="0.12195169524878018"/>
          <c:w val="0.89742630688838176"/>
          <c:h val="0.72252618511373012"/>
        </c:manualLayout>
      </c:layout>
      <c:areaChart>
        <c:grouping val="stacked"/>
        <c:varyColors val="0"/>
        <c:ser>
          <c:idx val="2"/>
          <c:order val="2"/>
          <c:tx>
            <c:strRef>
              <c:f>'Grafikoni, CAB, Karakter'!$G$10</c:f>
              <c:strCache>
                <c:ptCount val="1"/>
                <c:pt idx="0">
                  <c:v>Производни јаз </c:v>
                </c:pt>
              </c:strCache>
            </c:strRef>
          </c:tx>
          <c:spPr>
            <a:solidFill>
              <a:srgbClr val="29489A"/>
            </a:solidFill>
            <a:ln w="9525" cap="rnd" cmpd="sng" algn="ctr">
              <a:solidFill>
                <a:srgbClr val="29489A"/>
              </a:solidFill>
              <a:prstDash val="solid"/>
              <a:round/>
            </a:ln>
            <a:effectLst/>
          </c:spPr>
          <c:cat>
            <c:numRef>
              <c:f>'Grafikoni, CAB, Karakter'!$F$11:$F$23</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('Grafikoni, CAB, Karakter'!$G$11:$G$29,'Grafikoni, CAB, Karakter'!$G$30,'Grafikoni, CAB, Karakter'!$G$31,'Grafikoni, CAB, Karakter'!$G$32,'Grafikoni, CAB, Karakter'!$G$33,'Grafikoni, CAB, Karakter'!$G$34)</c:f>
              <c:numCache>
                <c:formatCode>#,##0.0</c:formatCode>
                <c:ptCount val="24"/>
                <c:pt idx="0">
                  <c:v>3.4939700056136114E-2</c:v>
                </c:pt>
                <c:pt idx="1">
                  <c:v>-3.5217079908271129</c:v>
                </c:pt>
                <c:pt idx="2">
                  <c:v>1.1932327892653696</c:v>
                </c:pt>
                <c:pt idx="3">
                  <c:v>4.0965378566338515</c:v>
                </c:pt>
                <c:pt idx="4">
                  <c:v>-0.54105372671559238</c:v>
                </c:pt>
                <c:pt idx="5">
                  <c:v>0.40289807525243404</c:v>
                </c:pt>
                <c:pt idx="6">
                  <c:v>0.3014330037382022</c:v>
                </c:pt>
                <c:pt idx="7">
                  <c:v>-6.0525521927000531E-2</c:v>
                </c:pt>
                <c:pt idx="8">
                  <c:v>0.41039422140570492</c:v>
                </c:pt>
                <c:pt idx="9">
                  <c:v>-1.7460085776485106</c:v>
                </c:pt>
                <c:pt idx="10">
                  <c:v>-1.4930652876282089</c:v>
                </c:pt>
                <c:pt idx="11">
                  <c:v>-0.41527684062091835</c:v>
                </c:pt>
                <c:pt idx="12">
                  <c:v>-0.65079897397803466</c:v>
                </c:pt>
                <c:pt idx="13">
                  <c:v>0.78705197632453983</c:v>
                </c:pt>
                <c:pt idx="14">
                  <c:v>2.0350944379029965</c:v>
                </c:pt>
                <c:pt idx="15">
                  <c:v>-2.4845507588129903</c:v>
                </c:pt>
                <c:pt idx="16">
                  <c:v>1.4161994429154008</c:v>
                </c:pt>
                <c:pt idx="17">
                  <c:v>0.282533855978224</c:v>
                </c:pt>
                <c:pt idx="18">
                  <c:v>0.43864915241958552</c:v>
                </c:pt>
                <c:pt idx="19">
                  <c:v>0.7323666600844716</c:v>
                </c:pt>
                <c:pt idx="20">
                  <c:v>-0.41041698212489947</c:v>
                </c:pt>
                <c:pt idx="21">
                  <c:v>-1</c:v>
                </c:pt>
                <c:pt idx="22">
                  <c:v>0.29624114464401735</c:v>
                </c:pt>
                <c:pt idx="23">
                  <c:v>-6.8222143353295957E-3</c:v>
                </c:pt>
              </c:numCache>
            </c:numRef>
          </c:val>
          <c:extLst>
            <c:ext xmlns:c16="http://schemas.microsoft.com/office/drawing/2014/chart" uri="{C3380CC4-5D6E-409C-BE32-E72D297353CC}">
              <c16:uniqueId val="{00000000-3E68-4E5B-BDF6-BF0E7A5C095C}"/>
            </c:ext>
          </c:extLst>
        </c:ser>
        <c:dLbls>
          <c:showLegendKey val="0"/>
          <c:showVal val="0"/>
          <c:showCatName val="0"/>
          <c:showSerName val="0"/>
          <c:showPercent val="0"/>
          <c:showBubbleSize val="0"/>
        </c:dLbls>
        <c:axId val="342946768"/>
        <c:axId val="410610880"/>
      </c:areaChart>
      <c:lineChart>
        <c:grouping val="standard"/>
        <c:varyColors val="0"/>
        <c:ser>
          <c:idx val="0"/>
          <c:order val="0"/>
          <c:tx>
            <c:strRef>
              <c:f>'Grafikoni, CAB, Karakter'!$H$10</c:f>
              <c:strCache>
                <c:ptCount val="1"/>
                <c:pt idx="0">
                  <c:v>Фискални 
биланс</c:v>
                </c:pt>
              </c:strCache>
            </c:strRef>
          </c:tx>
          <c:spPr>
            <a:ln w="15875" cap="rnd" cmpd="sng" algn="ctr">
              <a:solidFill>
                <a:schemeClr val="accent3">
                  <a:shade val="53000"/>
                  <a:shade val="95000"/>
                  <a:satMod val="105000"/>
                </a:schemeClr>
              </a:solidFill>
              <a:prstDash val="solid"/>
              <a:round/>
            </a:ln>
            <a:effectLst/>
          </c:spPr>
          <c:marker>
            <c:symbol val="none"/>
          </c:marker>
          <c:cat>
            <c:numRef>
              <c:f>('Grafikoni, CAB, Karakter'!$F$11:$F$29,'Grafikoni, CAB, Karakter'!$F$30,'Grafikoni, CAB, Karakter'!$F$31,'Grafikoni, CAB, Karakter'!$F$32,'Grafikoni, CAB, Karakter'!$F$33,'Grafikoni, CAB, Karakter'!$F$34)</c:f>
              <c:numCache>
                <c:formatCode>General</c:formatCode>
                <c:ptCount val="2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numCache>
            </c:numRef>
          </c:cat>
          <c:val>
            <c:numRef>
              <c:f>('Grafikoni, CAB, Karakter'!$H$11:$H$29,'Grafikoni, CAB, Karakter'!$H$30,'Grafikoni, CAB, Karakter'!$H$31,'Grafikoni, CAB, Karakter'!$H$32,'Grafikoni, CAB, Karakter'!$H$33,'Grafikoni, CAB, Karakter'!$H$34)</c:f>
              <c:numCache>
                <c:formatCode>#,##0.0</c:formatCode>
                <c:ptCount val="24"/>
                <c:pt idx="0">
                  <c:v>1.097149537133171</c:v>
                </c:pt>
                <c:pt idx="1">
                  <c:v>-1.3625763034532159</c:v>
                </c:pt>
                <c:pt idx="2">
                  <c:v>-1.7163418836484468</c:v>
                </c:pt>
                <c:pt idx="3">
                  <c:v>-2.3843270097170652</c:v>
                </c:pt>
                <c:pt idx="4">
                  <c:v>-4.0064360419983007</c:v>
                </c:pt>
                <c:pt idx="5">
                  <c:v>-4.1670689119148951</c:v>
                </c:pt>
                <c:pt idx="6">
                  <c:v>-4.3498075491803787</c:v>
                </c:pt>
                <c:pt idx="7">
                  <c:v>-6.1793158693056833</c:v>
                </c:pt>
                <c:pt idx="8">
                  <c:v>-4.9362245543274472</c:v>
                </c:pt>
                <c:pt idx="9">
                  <c:v>-5.9449190577246052</c:v>
                </c:pt>
                <c:pt idx="10">
                  <c:v>-3.3187939284991961</c:v>
                </c:pt>
                <c:pt idx="11">
                  <c:v>-1.149397976075984</c:v>
                </c:pt>
                <c:pt idx="12">
                  <c:v>1.0557686096933128</c:v>
                </c:pt>
                <c:pt idx="13">
                  <c:v>0.60940162463875103</c:v>
                </c:pt>
                <c:pt idx="14">
                  <c:v>-0.196032233371843</c:v>
                </c:pt>
                <c:pt idx="15">
                  <c:v>-7.6817157912618725</c:v>
                </c:pt>
                <c:pt idx="16">
                  <c:v>-3.944488655583605</c:v>
                </c:pt>
                <c:pt idx="17">
                  <c:v>-3.0145095743510497</c:v>
                </c:pt>
                <c:pt idx="18">
                  <c:v>-2.0537459179069364</c:v>
                </c:pt>
                <c:pt idx="19">
                  <c:v>-2</c:v>
                </c:pt>
                <c:pt idx="20">
                  <c:v>-3</c:v>
                </c:pt>
                <c:pt idx="21">
                  <c:v>-3</c:v>
                </c:pt>
                <c:pt idx="22">
                  <c:v>-3</c:v>
                </c:pt>
                <c:pt idx="23">
                  <c:v>-2.5</c:v>
                </c:pt>
              </c:numCache>
            </c:numRef>
          </c:val>
          <c:smooth val="0"/>
          <c:extLst>
            <c:ext xmlns:c16="http://schemas.microsoft.com/office/drawing/2014/chart" uri="{C3380CC4-5D6E-409C-BE32-E72D297353CC}">
              <c16:uniqueId val="{00000001-3E68-4E5B-BDF6-BF0E7A5C095C}"/>
            </c:ext>
          </c:extLst>
        </c:ser>
        <c:ser>
          <c:idx val="1"/>
          <c:order val="1"/>
          <c:tx>
            <c:strRef>
              <c:f>'Grafikoni, CAB, Karakter'!$K$10</c:f>
              <c:strCache>
                <c:ptCount val="1"/>
                <c:pt idx="0">
                  <c:v>Циклично 
прилагођени  фискални биланс</c:v>
                </c:pt>
              </c:strCache>
            </c:strRef>
          </c:tx>
          <c:spPr>
            <a:ln w="15875" cap="rnd" cmpd="sng" algn="ctr">
              <a:solidFill>
                <a:schemeClr val="tx1"/>
              </a:solidFill>
              <a:prstDash val="solid"/>
              <a:round/>
            </a:ln>
            <a:effectLst/>
          </c:spPr>
          <c:marker>
            <c:symbol val="none"/>
          </c:marker>
          <c:cat>
            <c:numRef>
              <c:f>('Grafikoni, CAB, Karakter'!$F$11:$F$29,'Grafikoni, CAB, Karakter'!$F$30,'Grafikoni, CAB, Karakter'!$F$31,'Grafikoni, CAB, Karakter'!$F$32,'Grafikoni, CAB, Karakter'!$F$33,'Grafikoni, CAB, Karakter'!$F$34)</c:f>
              <c:numCache>
                <c:formatCode>General</c:formatCode>
                <c:ptCount val="2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numCache>
            </c:numRef>
          </c:cat>
          <c:val>
            <c:numRef>
              <c:f>('Grafikoni, CAB, Karakter'!$K$11:$K$29,'Grafikoni, CAB, Karakter'!$K$30,'Grafikoni, CAB, Karakter'!$K$31,'Grafikoni, CAB, Karakter'!$K$32,'Grafikoni, CAB, Karakter'!$K$33,'Grafikoni, CAB, Karakter'!$K$34)</c:f>
              <c:numCache>
                <c:formatCode>#,##0.0</c:formatCode>
                <c:ptCount val="24"/>
                <c:pt idx="0">
                  <c:v>1.0847517432934535</c:v>
                </c:pt>
                <c:pt idx="1">
                  <c:v>-0.11295453899010499</c:v>
                </c:pt>
                <c:pt idx="2">
                  <c:v>-2.1397414577814602</c:v>
                </c:pt>
                <c:pt idx="3">
                  <c:v>-3.8379179598839586</c:v>
                </c:pt>
                <c:pt idx="4">
                  <c:v>-3.8144517791324613</c:v>
                </c:pt>
                <c:pt idx="5">
                  <c:v>-4.3100308511236856</c:v>
                </c:pt>
                <c:pt idx="6">
                  <c:v>-4.4567662303032511</c:v>
                </c:pt>
                <c:pt idx="7">
                  <c:v>-6.1578393557212321</c:v>
                </c:pt>
                <c:pt idx="8">
                  <c:v>-5.0818463811268959</c:v>
                </c:pt>
                <c:pt idx="9">
                  <c:v>-5.3253758345920064</c:v>
                </c:pt>
                <c:pt idx="10">
                  <c:v>-2.7890035869818721</c:v>
                </c:pt>
                <c:pt idx="11">
                  <c:v>-1.0020436299266033</c:v>
                </c:pt>
                <c:pt idx="12">
                  <c:v>1.2866942185999763</c:v>
                </c:pt>
                <c:pt idx="13">
                  <c:v>0.33012881668857796</c:v>
                </c:pt>
                <c:pt idx="14">
                  <c:v>-0.91815295120686424</c:v>
                </c:pt>
                <c:pt idx="15">
                  <c:v>-6.8001126852653231</c:v>
                </c:pt>
                <c:pt idx="16">
                  <c:v>-4.4470043812761206</c:v>
                </c:pt>
                <c:pt idx="17">
                  <c:v>-3.1147621951099773</c:v>
                </c:pt>
                <c:pt idx="18">
                  <c:v>-2.2093935551484534</c:v>
                </c:pt>
                <c:pt idx="19">
                  <c:v>-2.2598685979622553</c:v>
                </c:pt>
                <c:pt idx="20">
                  <c:v>-2.8543700969233141</c:v>
                </c:pt>
                <c:pt idx="21">
                  <c:v>-2.6451659911276111</c:v>
                </c:pt>
                <c:pt idx="22">
                  <c:v>-3.105116432946982</c:v>
                </c:pt>
                <c:pt idx="23">
                  <c:v>-2.4975792463380082</c:v>
                </c:pt>
              </c:numCache>
            </c:numRef>
          </c:val>
          <c:smooth val="1"/>
          <c:extLst>
            <c:ext xmlns:c16="http://schemas.microsoft.com/office/drawing/2014/chart" uri="{C3380CC4-5D6E-409C-BE32-E72D297353CC}">
              <c16:uniqueId val="{00000002-3E68-4E5B-BDF6-BF0E7A5C095C}"/>
            </c:ext>
          </c:extLst>
        </c:ser>
        <c:ser>
          <c:idx val="4"/>
          <c:order val="3"/>
          <c:tx>
            <c:strRef>
              <c:f>'Grafikoni, CAB, Karakter'!$N$10</c:f>
              <c:strCache>
                <c:ptCount val="1"/>
                <c:pt idx="0">
                  <c:v>Структурни примарни фискални биланс</c:v>
                </c:pt>
              </c:strCache>
            </c:strRef>
          </c:tx>
          <c:spPr>
            <a:ln w="15875" cap="rnd" cmpd="sng" algn="ctr">
              <a:solidFill>
                <a:srgbClr val="FF0000"/>
              </a:solidFill>
              <a:prstDash val="solid"/>
              <a:round/>
            </a:ln>
            <a:effectLst/>
          </c:spPr>
          <c:marker>
            <c:symbol val="none"/>
          </c:marker>
          <c:cat>
            <c:numRef>
              <c:f>('Grafikoni, CAB, Karakter'!$F$11:$F$29,'Grafikoni, CAB, Karakter'!$F$30,'Grafikoni, CAB, Karakter'!$F$31,'Grafikoni, CAB, Karakter'!$F$32,'Grafikoni, CAB, Karakter'!$F$33,'Grafikoni, CAB, Karakter'!$F$34)</c:f>
              <c:numCache>
                <c:formatCode>General</c:formatCode>
                <c:ptCount val="2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numCache>
            </c:numRef>
          </c:cat>
          <c:val>
            <c:numRef>
              <c:f>('Grafikoni, CAB, Karakter'!$N$11:$N$29,'Grafikoni, CAB, Karakter'!$N$30,'Grafikoni, CAB, Karakter'!$N$31,'Grafikoni, CAB, Karakter'!$N$32,'Grafikoni, CAB, Karakter'!$N$33,'Grafikoni, CAB, Karakter'!$N$34)</c:f>
              <c:numCache>
                <c:formatCode>#,##0.0</c:formatCode>
                <c:ptCount val="24"/>
                <c:pt idx="0">
                  <c:v>2.1796124198770381</c:v>
                </c:pt>
                <c:pt idx="1">
                  <c:v>1.7616318299005722</c:v>
                </c:pt>
                <c:pt idx="2">
                  <c:v>-1.2912073423421659</c:v>
                </c:pt>
                <c:pt idx="3">
                  <c:v>-3.3749784765688804</c:v>
                </c:pt>
                <c:pt idx="4">
                  <c:v>-3.2994189711979804</c:v>
                </c:pt>
                <c:pt idx="5">
                  <c:v>-3.5035255319153964</c:v>
                </c:pt>
                <c:pt idx="6">
                  <c:v>-3.5499442729900572</c:v>
                </c:pt>
                <c:pt idx="7">
                  <c:v>-4.4729571306099052</c:v>
                </c:pt>
                <c:pt idx="8">
                  <c:v>-2.7194164919776229</c:v>
                </c:pt>
                <c:pt idx="9">
                  <c:v>-1.9386991445237336</c:v>
                </c:pt>
                <c:pt idx="10">
                  <c:v>0.87901681725319392</c:v>
                </c:pt>
                <c:pt idx="11">
                  <c:v>1.8645294166529678</c:v>
                </c:pt>
                <c:pt idx="12">
                  <c:v>3.5845939271944771</c:v>
                </c:pt>
                <c:pt idx="13">
                  <c:v>2.2147074078756592</c:v>
                </c:pt>
                <c:pt idx="14">
                  <c:v>0.8166936118180198</c:v>
                </c:pt>
                <c:pt idx="15">
                  <c:v>1.8354078947988608</c:v>
                </c:pt>
                <c:pt idx="16">
                  <c:v>1.08843597016488</c:v>
                </c:pt>
                <c:pt idx="17">
                  <c:v>1.5220838831118093</c:v>
                </c:pt>
                <c:pt idx="18">
                  <c:v>-7.9696304223025871E-3</c:v>
                </c:pt>
                <c:pt idx="19">
                  <c:v>-0.25417298605863231</c:v>
                </c:pt>
                <c:pt idx="20">
                  <c:v>-0.45791289850879191</c:v>
                </c:pt>
                <c:pt idx="21">
                  <c:v>0.37990566736728026</c:v>
                </c:pt>
                <c:pt idx="22">
                  <c:v>0.24046101138729203</c:v>
                </c:pt>
                <c:pt idx="23">
                  <c:v>8.3228935878478905E-2</c:v>
                </c:pt>
              </c:numCache>
            </c:numRef>
          </c:val>
          <c:smooth val="0"/>
          <c:extLst>
            <c:ext xmlns:c16="http://schemas.microsoft.com/office/drawing/2014/chart" uri="{C3380CC4-5D6E-409C-BE32-E72D297353CC}">
              <c16:uniqueId val="{00000003-3E68-4E5B-BDF6-BF0E7A5C095C}"/>
            </c:ext>
          </c:extLst>
        </c:ser>
        <c:ser>
          <c:idx val="3"/>
          <c:order val="4"/>
          <c:tx>
            <c:strRef>
              <c:f>'Grafikoni, CAB, Karakter'!$M$10</c:f>
              <c:strCache>
                <c:ptCount val="1"/>
                <c:pt idx="0">
                  <c:v>Структурни  фискални биланс</c:v>
                </c:pt>
              </c:strCache>
            </c:strRef>
          </c:tx>
          <c:spPr>
            <a:ln w="15875" cap="rnd" cmpd="sng" algn="ctr">
              <a:solidFill>
                <a:schemeClr val="accent6"/>
              </a:solidFill>
              <a:prstDash val="solid"/>
              <a:round/>
            </a:ln>
            <a:effectLst/>
          </c:spPr>
          <c:marker>
            <c:symbol val="none"/>
          </c:marker>
          <c:cat>
            <c:numRef>
              <c:f>('Grafikoni, CAB, Karakter'!$F$11:$F$29,'Grafikoni, CAB, Karakter'!$F$30,'Grafikoni, CAB, Karakter'!$F$31,'Grafikoni, CAB, Karakter'!$F$32,'Grafikoni, CAB, Karakter'!$F$33,'Grafikoni, CAB, Karakter'!$F$34)</c:f>
              <c:numCache>
                <c:formatCode>General</c:formatCode>
                <c:ptCount val="2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numCache>
            </c:numRef>
          </c:cat>
          <c:val>
            <c:numRef>
              <c:f>('Grafikoni, CAB, Karakter'!$M$11:$M$29,'Grafikoni, CAB, Karakter'!$M$30,'Grafikoni, CAB, Karakter'!$M$31,'Grafikoni, CAB, Karakter'!$M$32,'Grafikoni, CAB, Karakter'!$M$33,'Grafikoni, CAB, Karakter'!$M$34)</c:f>
              <c:numCache>
                <c:formatCode>#,##0.0</c:formatCode>
                <c:ptCount val="24"/>
                <c:pt idx="0">
                  <c:v>1.2963599412259406</c:v>
                </c:pt>
                <c:pt idx="1">
                  <c:v>0.54452098079790734</c:v>
                </c:pt>
                <c:pt idx="2">
                  <c:v>-1.8157915477772628</c:v>
                </c:pt>
                <c:pt idx="3">
                  <c:v>-3.8941839391121578</c:v>
                </c:pt>
                <c:pt idx="4">
                  <c:v>-3.8837799417386969</c:v>
                </c:pt>
                <c:pt idx="5">
                  <c:v>-4.4223221936271786</c:v>
                </c:pt>
                <c:pt idx="6">
                  <c:v>-4.658979005687403</c:v>
                </c:pt>
                <c:pt idx="7">
                  <c:v>-6.112475120316077</c:v>
                </c:pt>
                <c:pt idx="8">
                  <c:v>-4.8235108354132468</c:v>
                </c:pt>
                <c:pt idx="9">
                  <c:v>-4.4916522602790474</c:v>
                </c:pt>
                <c:pt idx="10">
                  <c:v>-1.9878695554133365</c:v>
                </c:pt>
                <c:pt idx="11">
                  <c:v>-0.92755593147735527</c:v>
                </c:pt>
                <c:pt idx="12">
                  <c:v>1.1474122611172137</c:v>
                </c:pt>
                <c:pt idx="13">
                  <c:v>0.18829808989201427</c:v>
                </c:pt>
                <c:pt idx="14">
                  <c:v>-1.0927796817686395</c:v>
                </c:pt>
                <c:pt idx="15">
                  <c:v>-7.058336783211594E-2</c:v>
                </c:pt>
                <c:pt idx="16">
                  <c:v>-0.55863657453872895</c:v>
                </c:pt>
                <c:pt idx="17">
                  <c:v>0.10099558098507933</c:v>
                </c:pt>
                <c:pt idx="18">
                  <c:v>-1.5629817304843721</c:v>
                </c:pt>
                <c:pt idx="19">
                  <c:v>-1.9541729860586323</c:v>
                </c:pt>
                <c:pt idx="20">
                  <c:v>-2.257912898508792</c:v>
                </c:pt>
                <c:pt idx="21">
                  <c:v>-1.4200943326327198</c:v>
                </c:pt>
                <c:pt idx="22">
                  <c:v>-1.5595389886127082</c:v>
                </c:pt>
                <c:pt idx="23">
                  <c:v>-1.716771064121521</c:v>
                </c:pt>
              </c:numCache>
            </c:numRef>
          </c:val>
          <c:smooth val="0"/>
          <c:extLst>
            <c:ext xmlns:c16="http://schemas.microsoft.com/office/drawing/2014/chart" uri="{C3380CC4-5D6E-409C-BE32-E72D297353CC}">
              <c16:uniqueId val="{00000004-3E68-4E5B-BDF6-BF0E7A5C095C}"/>
            </c:ext>
          </c:extLst>
        </c:ser>
        <c:dLbls>
          <c:showLegendKey val="0"/>
          <c:showVal val="0"/>
          <c:showCatName val="0"/>
          <c:showSerName val="0"/>
          <c:showPercent val="0"/>
          <c:showBubbleSize val="0"/>
        </c:dLbls>
        <c:marker val="1"/>
        <c:smooth val="0"/>
        <c:axId val="342946768"/>
        <c:axId val="410610880"/>
      </c:lineChart>
      <c:catAx>
        <c:axId val="342946768"/>
        <c:scaling>
          <c:orientation val="minMax"/>
        </c:scaling>
        <c:delete val="0"/>
        <c:axPos val="b"/>
        <c:majorGridlines>
          <c:spPr>
            <a:ln w="9525" cap="flat" cmpd="sng" algn="ctr">
              <a:noFill/>
              <a:prstDash val="sysDot"/>
              <a:round/>
            </a:ln>
            <a:effectLst/>
          </c:spPr>
        </c:majorGridlines>
        <c:numFmt formatCode="General" sourceLinked="1"/>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en-US"/>
          </a:p>
        </c:txPr>
        <c:crossAx val="410610880"/>
        <c:crosses val="autoZero"/>
        <c:auto val="1"/>
        <c:lblAlgn val="ctr"/>
        <c:lblOffset val="100"/>
        <c:noMultiLvlLbl val="0"/>
      </c:catAx>
      <c:valAx>
        <c:axId val="410610880"/>
        <c:scaling>
          <c:orientation val="minMax"/>
          <c:max val="5"/>
          <c:min val="-9"/>
        </c:scaling>
        <c:delete val="0"/>
        <c:axPos val="l"/>
        <c:majorGridlines>
          <c:spPr>
            <a:ln w="9525" cap="flat" cmpd="sng" algn="ctr">
              <a:noFill/>
              <a:prstDash val="sysDot"/>
              <a:round/>
            </a:ln>
            <a:effectLst/>
          </c:spPr>
        </c:majorGridlines>
        <c:title>
          <c:tx>
            <c:rich>
              <a:bodyPr rot="-5400000" spcFirstLastPara="1" vertOverflow="ellipsis" vert="horz" wrap="square" anchor="ctr" anchorCtr="1"/>
              <a:lstStyle/>
              <a:p>
                <a:pPr>
                  <a:defRPr sz="800" b="0" i="0" u="none" strike="noStrike" kern="1200" baseline="0">
                    <a:solidFill>
                      <a:srgbClr val="44546A"/>
                    </a:solidFill>
                    <a:latin typeface="+mn-lt"/>
                    <a:ea typeface="+mn-ea"/>
                    <a:cs typeface="+mn-cs"/>
                  </a:defRPr>
                </a:pPr>
                <a:r>
                  <a:rPr lang="sr-Cyrl-CS" sz="800" b="0">
                    <a:solidFill>
                      <a:srgbClr val="44546A"/>
                    </a:solidFill>
                    <a:latin typeface="+mn-lt"/>
                  </a:rPr>
                  <a:t>% БДП</a:t>
                </a:r>
              </a:p>
            </c:rich>
          </c:tx>
          <c:layout>
            <c:manualLayout>
              <c:xMode val="edge"/>
              <c:yMode val="edge"/>
              <c:x val="0.11355008784159866"/>
              <c:y val="0.12892369453592109"/>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rgbClr val="44546A"/>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rgbClr val="44546A"/>
                </a:solidFill>
                <a:latin typeface="+mj-lt"/>
                <a:ea typeface="+mn-ea"/>
                <a:cs typeface="+mn-cs"/>
              </a:defRPr>
            </a:pPr>
            <a:endParaRPr lang="en-US"/>
          </a:p>
        </c:txPr>
        <c:crossAx val="342946768"/>
        <c:crosses val="autoZero"/>
        <c:crossBetween val="between"/>
      </c:valAx>
      <c:spPr>
        <a:noFill/>
        <a:ln>
          <a:noFill/>
        </a:ln>
        <a:effectLst/>
      </c:spPr>
    </c:plotArea>
    <c:legend>
      <c:legendPos val="r"/>
      <c:layout>
        <c:manualLayout>
          <c:xMode val="edge"/>
          <c:yMode val="edge"/>
          <c:x val="0.10945412403178971"/>
          <c:y val="0.69951929498973231"/>
          <c:w val="0.71218877423026172"/>
          <c:h val="0.3004807050102678"/>
        </c:manualLayout>
      </c:layout>
      <c:overlay val="0"/>
      <c:spPr>
        <a:noFill/>
        <a:ln>
          <a:noFill/>
        </a:ln>
        <a:effectLst/>
      </c:spPr>
      <c:txPr>
        <a:bodyPr rot="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defRPr/>
      </a:pPr>
      <a:endParaRPr lang="en-US"/>
    </a:p>
  </c:txPr>
  <c:externalData r:id="rId3">
    <c:autoUpdate val="0"/>
  </c:externalData>
  <c:userShapes r:id="rId4"/>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7.3618440989179343E-2"/>
          <c:y val="5.7086964129483823E-2"/>
          <c:w val="0.91635877205946437"/>
          <c:h val="0.82967423338395085"/>
        </c:manualLayout>
      </c:layout>
      <c:barChart>
        <c:barDir val="col"/>
        <c:grouping val="clustered"/>
        <c:varyColors val="0"/>
        <c:ser>
          <c:idx val="0"/>
          <c:order val="0"/>
          <c:tx>
            <c:strRef>
              <c:f>'Grafikoni, CAB, Karakter'!$O$10</c:f>
              <c:strCache>
                <c:ptCount val="1"/>
                <c:pt idx="0">
                  <c:v>Фискални импулс</c:v>
                </c:pt>
              </c:strCache>
            </c:strRef>
          </c:tx>
          <c:spPr>
            <a:solidFill>
              <a:srgbClr val="29489A"/>
            </a:solidFill>
            <a:ln w="9525" cap="flat" cmpd="sng" algn="ctr">
              <a:solidFill>
                <a:schemeClr val="accent3">
                  <a:shade val="50000"/>
                  <a:shade val="95000"/>
                  <a:satMod val="105000"/>
                </a:schemeClr>
              </a:solidFill>
              <a:prstDash val="solid"/>
              <a:round/>
            </a:ln>
            <a:effectLst/>
          </c:spPr>
          <c:invertIfNegative val="0"/>
          <c:cat>
            <c:numRef>
              <c:f>'Grafikoni, CAB, Karakter'!$F$12:$F$34</c:f>
              <c:numCache>
                <c:formatCode>General</c:formatCode>
                <c:ptCount val="2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pt idx="20">
                  <c:v>2026</c:v>
                </c:pt>
                <c:pt idx="21">
                  <c:v>2027</c:v>
                </c:pt>
                <c:pt idx="22">
                  <c:v>2028</c:v>
                </c:pt>
              </c:numCache>
            </c:numRef>
          </c:cat>
          <c:val>
            <c:numRef>
              <c:f>'Grafikoni, CAB, Karakter'!$O$12:$O$34</c:f>
              <c:numCache>
                <c:formatCode>#,##0.0</c:formatCode>
                <c:ptCount val="23"/>
                <c:pt idx="0">
                  <c:v>0.86384791183199083</c:v>
                </c:pt>
                <c:pt idx="1">
                  <c:v>2.7193135624589235</c:v>
                </c:pt>
                <c:pt idx="2">
                  <c:v>1.7035552449943179</c:v>
                </c:pt>
                <c:pt idx="3">
                  <c:v>-8.8621688748936389E-2</c:v>
                </c:pt>
                <c:pt idx="4">
                  <c:v>0.161143380820159</c:v>
                </c:pt>
                <c:pt idx="5">
                  <c:v>-4.3502691805997973E-2</c:v>
                </c:pt>
                <c:pt idx="6">
                  <c:v>1.1705898684091545</c:v>
                </c:pt>
                <c:pt idx="7">
                  <c:v>-1.5405693283237878</c:v>
                </c:pt>
                <c:pt idx="8">
                  <c:v>-0.20532931885457995</c:v>
                </c:pt>
                <c:pt idx="9">
                  <c:v>-2.850305504521351</c:v>
                </c:pt>
                <c:pt idx="10">
                  <c:v>-1.7121589325190614</c:v>
                </c:pt>
                <c:pt idx="11">
                  <c:v>-1.9338341664735197</c:v>
                </c:pt>
                <c:pt idx="12">
                  <c:v>1.3673377500050168</c:v>
                </c:pt>
                <c:pt idx="13">
                  <c:v>1.3652177922924278</c:v>
                </c:pt>
                <c:pt idx="14">
                  <c:v>5.8854417650141411</c:v>
                </c:pt>
                <c:pt idx="15">
                  <c:v>-2.0941895860618347</c:v>
                </c:pt>
                <c:pt idx="16">
                  <c:v>-1.1062579435892643</c:v>
                </c:pt>
                <c:pt idx="17">
                  <c:v>-1.0392924378968633</c:v>
                </c:pt>
                <c:pt idx="18">
                  <c:v>-9.4512857124128602E-2</c:v>
                </c:pt>
                <c:pt idx="19">
                  <c:v>0.49450149896105899</c:v>
                </c:pt>
                <c:pt idx="20">
                  <c:v>-0.20920410579570325</c:v>
                </c:pt>
                <c:pt idx="21">
                  <c:v>0.45995044181937073</c:v>
                </c:pt>
                <c:pt idx="22">
                  <c:v>-0.60753718660897349</c:v>
                </c:pt>
              </c:numCache>
            </c:numRef>
          </c:val>
          <c:extLst>
            <c:ext xmlns:c16="http://schemas.microsoft.com/office/drawing/2014/chart" uri="{C3380CC4-5D6E-409C-BE32-E72D297353CC}">
              <c16:uniqueId val="{00000000-85A9-4C1C-BF53-0C683A54F72E}"/>
            </c:ext>
          </c:extLst>
        </c:ser>
        <c:dLbls>
          <c:showLegendKey val="0"/>
          <c:showVal val="0"/>
          <c:showCatName val="0"/>
          <c:showSerName val="0"/>
          <c:showPercent val="0"/>
          <c:showBubbleSize val="0"/>
        </c:dLbls>
        <c:gapWidth val="41"/>
        <c:overlap val="-12"/>
        <c:axId val="467546320"/>
        <c:axId val="467537360"/>
      </c:barChart>
      <c:lineChart>
        <c:grouping val="standard"/>
        <c:varyColors val="0"/>
        <c:ser>
          <c:idx val="1"/>
          <c:order val="1"/>
          <c:tx>
            <c:strRef>
              <c:f>'Grafikoni, CAB, Karakter'!$G$10</c:f>
              <c:strCache>
                <c:ptCount val="1"/>
                <c:pt idx="0">
                  <c:v>Производни јаз </c:v>
                </c:pt>
              </c:strCache>
            </c:strRef>
          </c:tx>
          <c:spPr>
            <a:ln w="15875" cap="rnd" cmpd="sng" algn="ctr">
              <a:solidFill>
                <a:srgbClr val="FF0000"/>
              </a:solidFill>
              <a:prstDash val="solid"/>
              <a:round/>
            </a:ln>
            <a:effectLst/>
          </c:spPr>
          <c:marker>
            <c:symbol val="none"/>
          </c:marker>
          <c:cat>
            <c:numRef>
              <c:f>'Grafikoni, CAB, Karakter'!$F$12:$F$34</c:f>
              <c:numCache>
                <c:formatCode>General</c:formatCode>
                <c:ptCount val="2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pt idx="20">
                  <c:v>2026</c:v>
                </c:pt>
                <c:pt idx="21">
                  <c:v>2027</c:v>
                </c:pt>
                <c:pt idx="22">
                  <c:v>2028</c:v>
                </c:pt>
              </c:numCache>
            </c:numRef>
          </c:cat>
          <c:val>
            <c:numRef>
              <c:f>'Grafikoni, CAB, Karakter'!$G$12:$G$34</c:f>
              <c:numCache>
                <c:formatCode>#,##0.0</c:formatCode>
                <c:ptCount val="23"/>
                <c:pt idx="0">
                  <c:v>-3.5217079908271129</c:v>
                </c:pt>
                <c:pt idx="1">
                  <c:v>1.1932327892653696</c:v>
                </c:pt>
                <c:pt idx="2">
                  <c:v>4.0965378566338515</c:v>
                </c:pt>
                <c:pt idx="3">
                  <c:v>-0.54105372671559238</c:v>
                </c:pt>
                <c:pt idx="4">
                  <c:v>0.40289807525243404</c:v>
                </c:pt>
                <c:pt idx="5">
                  <c:v>0.3014330037382022</c:v>
                </c:pt>
                <c:pt idx="6">
                  <c:v>-6.0525521927000531E-2</c:v>
                </c:pt>
                <c:pt idx="7">
                  <c:v>0.41039422140570492</c:v>
                </c:pt>
                <c:pt idx="8">
                  <c:v>-1.7460085776485106</c:v>
                </c:pt>
                <c:pt idx="9">
                  <c:v>-1.4930652876282089</c:v>
                </c:pt>
                <c:pt idx="10">
                  <c:v>-0.41527684062091835</c:v>
                </c:pt>
                <c:pt idx="11">
                  <c:v>-0.65079897397803466</c:v>
                </c:pt>
                <c:pt idx="12">
                  <c:v>0.78705197632453983</c:v>
                </c:pt>
                <c:pt idx="13">
                  <c:v>2.0350944379029965</c:v>
                </c:pt>
                <c:pt idx="14">
                  <c:v>-2.4845507588129903</c:v>
                </c:pt>
                <c:pt idx="15">
                  <c:v>1.4161994429154008</c:v>
                </c:pt>
                <c:pt idx="16">
                  <c:v>0.282533855978224</c:v>
                </c:pt>
                <c:pt idx="17">
                  <c:v>0.43864915241958552</c:v>
                </c:pt>
                <c:pt idx="18">
                  <c:v>0.7323666600844716</c:v>
                </c:pt>
                <c:pt idx="19">
                  <c:v>-0.41041698212489947</c:v>
                </c:pt>
                <c:pt idx="20">
                  <c:v>-1</c:v>
                </c:pt>
                <c:pt idx="21">
                  <c:v>0.29624114464401735</c:v>
                </c:pt>
                <c:pt idx="22">
                  <c:v>-6.8222143353295957E-3</c:v>
                </c:pt>
              </c:numCache>
            </c:numRef>
          </c:val>
          <c:smooth val="1"/>
          <c:extLst>
            <c:ext xmlns:c16="http://schemas.microsoft.com/office/drawing/2014/chart" uri="{C3380CC4-5D6E-409C-BE32-E72D297353CC}">
              <c16:uniqueId val="{00000001-85A9-4C1C-BF53-0C683A54F72E}"/>
            </c:ext>
          </c:extLst>
        </c:ser>
        <c:dLbls>
          <c:showLegendKey val="0"/>
          <c:showVal val="0"/>
          <c:showCatName val="0"/>
          <c:showSerName val="0"/>
          <c:showPercent val="0"/>
          <c:showBubbleSize val="0"/>
        </c:dLbls>
        <c:marker val="1"/>
        <c:smooth val="0"/>
        <c:axId val="467546320"/>
        <c:axId val="467537360"/>
      </c:lineChart>
      <c:catAx>
        <c:axId val="467546320"/>
        <c:scaling>
          <c:orientation val="minMax"/>
        </c:scaling>
        <c:delete val="0"/>
        <c:axPos val="b"/>
        <c:majorGridlines>
          <c:spPr>
            <a:ln w="9525" cap="flat" cmpd="sng" algn="ctr">
              <a:noFill/>
              <a:prstDash val="solid"/>
              <a:round/>
            </a:ln>
            <a:effectLst/>
          </c:spPr>
        </c:majorGridlines>
        <c:numFmt formatCode="General" sourceLinked="1"/>
        <c:majorTickMark val="out"/>
        <c:minorTickMark val="none"/>
        <c:tickLblPos val="low"/>
        <c:spPr>
          <a:noFill/>
          <a:ln w="6350" cap="flat" cmpd="sng" algn="ctr">
            <a:solidFill>
              <a:srgbClr val="898989"/>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en-US"/>
          </a:p>
        </c:txPr>
        <c:crossAx val="467537360"/>
        <c:crosses val="autoZero"/>
        <c:auto val="1"/>
        <c:lblAlgn val="ctr"/>
        <c:lblOffset val="100"/>
        <c:noMultiLvlLbl val="0"/>
      </c:catAx>
      <c:valAx>
        <c:axId val="467537360"/>
        <c:scaling>
          <c:orientation val="minMax"/>
          <c:min val="-9"/>
        </c:scaling>
        <c:delete val="0"/>
        <c:axPos val="l"/>
        <c:majorGridlines>
          <c:spPr>
            <a:ln w="9525" cap="flat" cmpd="sng" algn="ctr">
              <a:noFill/>
              <a:prstDash val="solid"/>
              <a:round/>
            </a:ln>
            <a:effectLst/>
          </c:spPr>
        </c:majorGridlines>
        <c:title>
          <c:tx>
            <c:rich>
              <a:bodyPr rot="-5400000" spcFirstLastPara="1" vertOverflow="ellipsis" vert="horz" wrap="square" anchor="ctr" anchorCtr="1"/>
              <a:lstStyle/>
              <a:p>
                <a:pPr>
                  <a:defRPr sz="750" b="1" i="0" u="none" strike="noStrike" kern="1200" baseline="0">
                    <a:solidFill>
                      <a:srgbClr val="44546A"/>
                    </a:solidFill>
                    <a:latin typeface="+mn-lt"/>
                    <a:ea typeface="+mn-ea"/>
                    <a:cs typeface="+mn-cs"/>
                  </a:defRPr>
                </a:pPr>
                <a:r>
                  <a:rPr lang="sr-Cyrl-CS" sz="750">
                    <a:solidFill>
                      <a:srgbClr val="44546A"/>
                    </a:solidFill>
                    <a:latin typeface="+mn-lt"/>
                  </a:rPr>
                  <a:t>% БДП</a:t>
                </a:r>
                <a:endParaRPr lang="en-US" sz="750">
                  <a:solidFill>
                    <a:srgbClr val="44546A"/>
                  </a:solidFill>
                  <a:latin typeface="+mn-lt"/>
                </a:endParaRPr>
              </a:p>
            </c:rich>
          </c:tx>
          <c:layout>
            <c:manualLayout>
              <c:xMode val="edge"/>
              <c:yMode val="edge"/>
              <c:x val="1.2042453333568038E-2"/>
              <c:y val="0.42920445410660629"/>
            </c:manualLayout>
          </c:layout>
          <c:overlay val="0"/>
          <c:spPr>
            <a:noFill/>
            <a:ln>
              <a:noFill/>
            </a:ln>
            <a:effectLst/>
          </c:spPr>
          <c:txPr>
            <a:bodyPr rot="-5400000" spcFirstLastPara="1" vertOverflow="ellipsis" vert="horz" wrap="square" anchor="ctr" anchorCtr="1"/>
            <a:lstStyle/>
            <a:p>
              <a:pPr>
                <a:defRPr sz="750" b="1" i="0" u="none" strike="noStrike" kern="1200" baseline="0">
                  <a:solidFill>
                    <a:srgbClr val="44546A"/>
                  </a:solidFill>
                  <a:latin typeface="+mn-lt"/>
                  <a:ea typeface="+mn-ea"/>
                  <a:cs typeface="+mn-cs"/>
                </a:defRPr>
              </a:pPr>
              <a:endParaRPr lang="en-US"/>
            </a:p>
          </c:txPr>
        </c:title>
        <c:numFmt formatCode="0" sourceLinked="0"/>
        <c:majorTickMark val="out"/>
        <c:minorTickMark val="none"/>
        <c:tickLblPos val="nextTo"/>
        <c:spPr>
          <a:noFill/>
          <a:ln w="3175" cap="flat" cmpd="sng" algn="ctr">
            <a:noFill/>
            <a:prstDash val="solid"/>
            <a:round/>
          </a:ln>
          <a:effectLst/>
        </c:spPr>
        <c:txPr>
          <a:bodyPr rot="-60000000" spcFirstLastPara="1" vertOverflow="ellipsis" vert="horz" wrap="square" anchor="ctr" anchorCtr="1"/>
          <a:lstStyle/>
          <a:p>
            <a:pPr>
              <a:defRPr sz="750" b="0" i="0" u="none" strike="noStrike" kern="1200" baseline="0">
                <a:solidFill>
                  <a:srgbClr val="44546A"/>
                </a:solidFill>
                <a:latin typeface="Cambria" pitchFamily="18" charset="0"/>
                <a:ea typeface="+mn-ea"/>
                <a:cs typeface="+mn-cs"/>
              </a:defRPr>
            </a:pPr>
            <a:endParaRPr lang="en-US"/>
          </a:p>
        </c:txPr>
        <c:crossAx val="467546320"/>
        <c:crosses val="autoZero"/>
        <c:crossBetween val="between"/>
      </c:valAx>
      <c:spPr>
        <a:noFill/>
        <a:ln>
          <a:noFill/>
        </a:ln>
        <a:effectLst/>
      </c:spPr>
    </c:plotArea>
    <c:legend>
      <c:legendPos val="r"/>
      <c:layout>
        <c:manualLayout>
          <c:xMode val="edge"/>
          <c:yMode val="edge"/>
          <c:x val="0.10575935617028157"/>
          <c:y val="0.82970027594333029"/>
          <c:w val="0.795961068391148"/>
          <c:h val="4.9573656234147202E-2"/>
        </c:manualLayout>
      </c:layout>
      <c:overlay val="0"/>
      <c:spPr>
        <a:noFill/>
        <a:ln>
          <a:noFill/>
        </a:ln>
        <a:effectLst/>
      </c:spPr>
      <c:txPr>
        <a:bodyPr rot="0" spcFirstLastPara="1" vertOverflow="ellipsis" vert="horz" wrap="square" anchor="ctr" anchorCtr="1"/>
        <a:lstStyle/>
        <a:p>
          <a:pPr>
            <a:defRPr sz="600" b="1" i="0" u="none" strike="noStrike" kern="1200" baseline="0">
              <a:solidFill>
                <a:srgbClr val="44546A"/>
              </a:solidFill>
              <a:latin typeface="+mn-lt"/>
              <a:ea typeface="+mn-ea"/>
              <a:cs typeface="+mn-cs"/>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defRPr sz="900" baseline="0">
          <a:latin typeface="Cambria" pitchFamily="18" charset="0"/>
        </a:defRPr>
      </a:pPr>
      <a:endParaRPr lang="en-US"/>
    </a:p>
  </c:txPr>
  <c:externalData r:id="rId3">
    <c:autoUpdate val="0"/>
  </c:externalData>
  <c:userShapes r:id="rId4"/>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616161716296222E-2"/>
          <c:y val="4.9007480657224968E-2"/>
          <c:w val="0.93476377952755907"/>
          <c:h val="0.9174795514193721"/>
        </c:manualLayout>
      </c:layout>
      <c:scatterChart>
        <c:scatterStyle val="smoothMarker"/>
        <c:varyColors val="0"/>
        <c:ser>
          <c:idx val="1"/>
          <c:order val="0"/>
          <c:spPr>
            <a:ln w="19050" cap="rnd">
              <a:solidFill>
                <a:srgbClr val="FF0000"/>
              </a:solidFill>
              <a:round/>
            </a:ln>
            <a:effectLst/>
          </c:spPr>
          <c:marker>
            <c:symbol val="circle"/>
            <c:size val="4"/>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3175" cap="rnd">
                <a:solidFill>
                  <a:sysClr val="windowText" lastClr="000000">
                    <a:lumMod val="50000"/>
                    <a:lumOff val="50000"/>
                  </a:sysClr>
                </a:solidFill>
                <a:round/>
              </a:ln>
              <a:effectLst/>
              <a:scene3d>
                <a:camera prst="orthographicFront">
                  <a:rot lat="0" lon="0" rev="0"/>
                </a:camera>
                <a:lightRig rig="threePt" dir="t">
                  <a:rot lat="0" lon="0" rev="1200000"/>
                </a:lightRig>
              </a:scene3d>
              <a:sp3d>
                <a:bevelT w="63500" h="25400"/>
              </a:sp3d>
            </c:spPr>
          </c:marker>
          <c:dLbls>
            <c:dLbl>
              <c:idx val="0"/>
              <c:layout>
                <c:manualLayout>
                  <c:x val="-6.9381423218486976E-2"/>
                  <c:y val="-4.1527671341031656E-2"/>
                </c:manualLayout>
              </c:layout>
              <c:tx>
                <c:rich>
                  <a:bodyPr/>
                  <a:lstStyle/>
                  <a:p>
                    <a:r>
                      <a:rPr lang="en-US"/>
                      <a:t>2006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2E2-4C45-B10D-D8C871E47A47}"/>
                </c:ext>
              </c:extLst>
            </c:dLbl>
            <c:dLbl>
              <c:idx val="1"/>
              <c:layout>
                <c:manualLayout>
                  <c:x val="-2.4016646498707127E-2"/>
                  <c:y val="-3.3977185642662298E-2"/>
                </c:manualLayout>
              </c:layout>
              <c:tx>
                <c:rich>
                  <a:bodyPr/>
                  <a:lstStyle/>
                  <a:p>
                    <a:r>
                      <a:rPr lang="en-US"/>
                      <a:t>2007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2E2-4C45-B10D-D8C871E47A47}"/>
                </c:ext>
              </c:extLst>
            </c:dLbl>
            <c:dLbl>
              <c:idx val="2"/>
              <c:layout>
                <c:manualLayout>
                  <c:x val="-5.0701809275048172E-2"/>
                  <c:y val="-6.3495592658862496E-2"/>
                </c:manualLayout>
              </c:layout>
              <c:tx>
                <c:rich>
                  <a:bodyPr/>
                  <a:lstStyle/>
                  <a:p>
                    <a:r>
                      <a:rPr lang="en-US"/>
                      <a:t>2008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2E2-4C45-B10D-D8C871E47A47}"/>
                </c:ext>
              </c:extLst>
            </c:dLbl>
            <c:dLbl>
              <c:idx val="3"/>
              <c:layout>
                <c:manualLayout>
                  <c:x val="-0.13454854074369876"/>
                  <c:y val="-3.2646747537246598E-2"/>
                </c:manualLayout>
              </c:layout>
              <c:tx>
                <c:rich>
                  <a:bodyPr/>
                  <a:lstStyle/>
                  <a:p>
                    <a:r>
                      <a:rPr lang="en-US"/>
                      <a:t>2009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2E2-4C45-B10D-D8C871E47A47}"/>
                </c:ext>
              </c:extLst>
            </c:dLbl>
            <c:dLbl>
              <c:idx val="4"/>
              <c:layout>
                <c:manualLayout>
                  <c:x val="-0.15266646933546832"/>
                  <c:y val="4.863580883951224E-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72E2-4C45-B10D-D8C871E47A47}"/>
                </c:ext>
              </c:extLst>
            </c:dLbl>
            <c:dLbl>
              <c:idx val="5"/>
              <c:layout>
                <c:manualLayout>
                  <c:x val="8.0055488329023438E-3"/>
                  <c:y val="-3.0523469547407887E-2"/>
                </c:manualLayout>
              </c:layout>
              <c:tx>
                <c:rich>
                  <a:bodyPr/>
                  <a:lstStyle/>
                  <a:p>
                    <a:r>
                      <a:rPr lang="en-US"/>
                      <a:t>2011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72E2-4C45-B10D-D8C871E47A47}"/>
                </c:ext>
              </c:extLst>
            </c:dLbl>
            <c:dLbl>
              <c:idx val="6"/>
              <c:layout>
                <c:manualLayout>
                  <c:x val="-0.11474523872131777"/>
                  <c:y val="-3.1313914333008237E-2"/>
                </c:manualLayout>
              </c:layout>
              <c:tx>
                <c:rich>
                  <a:bodyPr/>
                  <a:lstStyle/>
                  <a:p>
                    <a:r>
                      <a:rPr lang="en-US"/>
                      <a:t>2012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72E2-4C45-B10D-D8C871E47A47}"/>
                </c:ext>
              </c:extLst>
            </c:dLbl>
            <c:dLbl>
              <c:idx val="7"/>
              <c:layout>
                <c:manualLayout>
                  <c:x val="1.3486231330586023E-2"/>
                  <c:y val="-1.6118747633412688E-3"/>
                </c:manualLayout>
              </c:layout>
              <c:tx>
                <c:rich>
                  <a:bodyPr/>
                  <a:lstStyle/>
                  <a:p>
                    <a:r>
                      <a:rPr lang="en-US"/>
                      <a:t>2013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72E2-4C45-B10D-D8C871E47A47}"/>
                </c:ext>
              </c:extLst>
            </c:dLbl>
            <c:dLbl>
              <c:idx val="8"/>
              <c:layout>
                <c:manualLayout>
                  <c:x val="-0.10140361855009634"/>
                  <c:y val="7.1367693301288504E-2"/>
                </c:manualLayout>
              </c:layout>
              <c:tx>
                <c:rich>
                  <a:bodyPr/>
                  <a:lstStyle/>
                  <a:p>
                    <a:r>
                      <a:rPr lang="en-US"/>
                      <a:t>2014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72E2-4C45-B10D-D8C871E47A47}"/>
                </c:ext>
              </c:extLst>
            </c:dLbl>
            <c:dLbl>
              <c:idx val="9"/>
              <c:layout>
                <c:manualLayout>
                  <c:x val="-5.4327355684405977E-2"/>
                  <c:y val="3.8165916006571952E-2"/>
                </c:manualLayout>
              </c:layout>
              <c:tx>
                <c:rich>
                  <a:bodyPr/>
                  <a:lstStyle/>
                  <a:p>
                    <a:r>
                      <a:rPr lang="en-US"/>
                      <a:t>2015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72E2-4C45-B10D-D8C871E47A47}"/>
                </c:ext>
              </c:extLst>
            </c:dLbl>
            <c:dLbl>
              <c:idx val="10"/>
              <c:layout>
                <c:manualLayout>
                  <c:x val="-2.1348125735417816E-2"/>
                  <c:y val="7.0193690025747005E-2"/>
                </c:manualLayout>
              </c:layout>
              <c:tx>
                <c:rich>
                  <a:bodyPr/>
                  <a:lstStyle/>
                  <a:p>
                    <a:r>
                      <a:rPr lang="en-US"/>
                      <a:t>2016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72E2-4C45-B10D-D8C871E47A47}"/>
                </c:ext>
              </c:extLst>
            </c:dLbl>
            <c:dLbl>
              <c:idx val="11"/>
              <c:layout>
                <c:manualLayout>
                  <c:x val="-0.11359758938721193"/>
                  <c:y val="-4.8172679576615751E-2"/>
                </c:manualLayout>
              </c:layout>
              <c:tx>
                <c:rich>
                  <a:bodyPr/>
                  <a:lstStyle/>
                  <a:p>
                    <a:r>
                      <a:rPr lang="en-US"/>
                      <a:t>2017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72E2-4C45-B10D-D8C871E47A47}"/>
                </c:ext>
              </c:extLst>
            </c:dLbl>
            <c:dLbl>
              <c:idx val="12"/>
              <c:layout>
                <c:manualLayout>
                  <c:x val="-8.5392520884291667E-2"/>
                  <c:y val="-2.2410209173716247E-2"/>
                </c:manualLayout>
              </c:layout>
              <c:tx>
                <c:rich>
                  <a:bodyPr/>
                  <a:lstStyle/>
                  <a:p>
                    <a:r>
                      <a:rPr lang="en-US"/>
                      <a:t>2018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72E2-4C45-B10D-D8C871E47A47}"/>
                </c:ext>
              </c:extLst>
            </c:dLbl>
            <c:dLbl>
              <c:idx val="13"/>
              <c:layout>
                <c:manualLayout>
                  <c:x val="-4.2696260442145785E-2"/>
                  <c:y val="-7.0965662383434602E-2"/>
                </c:manualLayout>
              </c:layout>
              <c:tx>
                <c:rich>
                  <a:bodyPr/>
                  <a:lstStyle/>
                  <a:p>
                    <a:r>
                      <a:rPr lang="en-US"/>
                      <a:t>2019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72E2-4C45-B10D-D8C871E47A47}"/>
                </c:ext>
              </c:extLst>
            </c:dLbl>
            <c:dLbl>
              <c:idx val="14"/>
              <c:layout>
                <c:manualLayout>
                  <c:x val="-0.14609735180420724"/>
                  <c:y val="0.13710396962214039"/>
                </c:manualLayout>
              </c:layout>
              <c:tx>
                <c:rich>
                  <a:bodyPr rot="0" spcFirstLastPara="1" vertOverflow="ellipsis" vert="horz" wrap="square" lIns="38100" tIns="19050" rIns="38100" bIns="19050" anchor="ctr" anchorCtr="1">
                    <a:noAutofit/>
                  </a:bodyPr>
                  <a:lstStyle/>
                  <a:p>
                    <a:pPr>
                      <a:defRPr sz="600" b="0" i="0" u="none" strike="noStrike" kern="1200" baseline="0">
                        <a:solidFill>
                          <a:srgbClr val="44546A"/>
                        </a:solidFill>
                        <a:latin typeface="+mn-lt"/>
                        <a:ea typeface="+mn-ea"/>
                        <a:cs typeface="+mn-cs"/>
                      </a:defRPr>
                    </a:pPr>
                    <a:r>
                      <a:rPr lang="en-US" sz="600"/>
                      <a:t>2020</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2653956364134794"/>
                      <c:h val="7.9294600009318358E-2"/>
                    </c:manualLayout>
                  </c15:layout>
                  <c15:showDataLabelsRange val="0"/>
                </c:ext>
                <c:ext xmlns:c16="http://schemas.microsoft.com/office/drawing/2014/chart" uri="{C3380CC4-5D6E-409C-BE32-E72D297353CC}">
                  <c16:uniqueId val="{0000000E-72E2-4C45-B10D-D8C871E47A47}"/>
                </c:ext>
              </c:extLst>
            </c:dLbl>
            <c:dLbl>
              <c:idx val="15"/>
              <c:layout>
                <c:manualLayout>
                  <c:x val="1.0674062867708761E-2"/>
                  <c:y val="-3.2622739847777804E-2"/>
                </c:manualLayout>
              </c:layout>
              <c:tx>
                <c:rich>
                  <a:bodyPr/>
                  <a:lstStyle/>
                  <a:p>
                    <a:r>
                      <a:rPr lang="en-US"/>
                      <a:t>2021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72E2-4C45-B10D-D8C871E47A47}"/>
                </c:ext>
              </c:extLst>
            </c:dLbl>
            <c:dLbl>
              <c:idx val="16"/>
              <c:layout>
                <c:manualLayout>
                  <c:x val="-5.1434383504272506E-2"/>
                  <c:y val="6.5017585578993606E-2"/>
                </c:manualLayout>
              </c:layout>
              <c:tx>
                <c:rich>
                  <a:bodyPr rot="0" spcFirstLastPara="1" vertOverflow="ellipsis" vert="horz" wrap="square" lIns="38100" tIns="19050" rIns="38100" bIns="19050" anchor="ctr" anchorCtr="1">
                    <a:noAutofit/>
                  </a:bodyPr>
                  <a:lstStyle/>
                  <a:p>
                    <a:pPr>
                      <a:defRPr sz="600" b="0" i="0" u="none" strike="noStrike" kern="1200" baseline="0">
                        <a:solidFill>
                          <a:srgbClr val="44546A"/>
                        </a:solidFill>
                        <a:latin typeface="+mn-lt"/>
                        <a:ea typeface="+mn-ea"/>
                        <a:cs typeface="+mn-cs"/>
                      </a:defRPr>
                    </a:pPr>
                    <a:r>
                      <a:rPr lang="en-US" sz="600" b="0"/>
                      <a:t>2022</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10-72E2-4C45-B10D-D8C871E47A47}"/>
                </c:ext>
              </c:extLst>
            </c:dLbl>
            <c:dLbl>
              <c:idx val="17"/>
              <c:layout>
                <c:manualLayout>
                  <c:x val="-7.5879186526966189E-3"/>
                  <c:y val="-1.8404077526212075E-2"/>
                </c:manualLayout>
              </c:layout>
              <c:tx>
                <c:rich>
                  <a:bodyPr/>
                  <a:lstStyle/>
                  <a:p>
                    <a:r>
                      <a:rPr lang="en-US"/>
                      <a:t>2023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72E2-4C45-B10D-D8C871E47A47}"/>
                </c:ext>
              </c:extLst>
            </c:dLbl>
            <c:dLbl>
              <c:idx val="18"/>
              <c:layout>
                <c:manualLayout>
                  <c:x val="-5.9977669858269885E-3"/>
                  <c:y val="1.4377796284852282E-2"/>
                </c:manualLayout>
              </c:layout>
              <c:tx>
                <c:rich>
                  <a:bodyPr/>
                  <a:lstStyle/>
                  <a:p>
                    <a:r>
                      <a:rPr lang="en-US"/>
                      <a:t>2024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72E2-4C45-B10D-D8C871E47A47}"/>
                </c:ext>
              </c:extLst>
            </c:dLbl>
            <c:dLbl>
              <c:idx val="19"/>
              <c:layout>
                <c:manualLayout>
                  <c:x val="-5.0560313776511115E-2"/>
                  <c:y val="-2.8422689026967769E-2"/>
                </c:manualLayout>
              </c:layout>
              <c:tx>
                <c:rich>
                  <a:bodyPr/>
                  <a:lstStyle/>
                  <a:p>
                    <a:r>
                      <a:rPr lang="en-US"/>
                      <a:t>2025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72E2-4C45-B10D-D8C871E47A47}"/>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rgbClr val="44546A"/>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3175" cap="flat" cmpd="sng" algn="ctr">
                      <a:solidFill>
                        <a:sysClr val="windowText" lastClr="000000">
                          <a:lumMod val="35000"/>
                          <a:lumOff val="65000"/>
                        </a:sysClr>
                      </a:solidFill>
                      <a:round/>
                    </a:ln>
                    <a:effectLst/>
                  </c:spPr>
                </c15:leaderLines>
              </c:ext>
            </c:extLst>
          </c:dLbls>
          <c:xVal>
            <c:numRef>
              <c:f>'Grafikoni, CAB, Karakter'!$Z$12:$Z$31</c:f>
              <c:numCache>
                <c:formatCode>#,##0.0</c:formatCode>
                <c:ptCount val="20"/>
                <c:pt idx="0">
                  <c:v>-3.5217079908271129</c:v>
                </c:pt>
                <c:pt idx="1">
                  <c:v>1.1932327892653696</c:v>
                </c:pt>
                <c:pt idx="2">
                  <c:v>4.0965378566338515</c:v>
                </c:pt>
                <c:pt idx="3">
                  <c:v>-0.54105372671559238</c:v>
                </c:pt>
                <c:pt idx="4">
                  <c:v>0.40289807525243404</c:v>
                </c:pt>
                <c:pt idx="5">
                  <c:v>0.3014330037382022</c:v>
                </c:pt>
                <c:pt idx="6">
                  <c:v>-6.0525521927000531E-2</c:v>
                </c:pt>
                <c:pt idx="7">
                  <c:v>0.41039422140570492</c:v>
                </c:pt>
                <c:pt idx="8">
                  <c:v>-1.7460085776485106</c:v>
                </c:pt>
                <c:pt idx="9">
                  <c:v>-1.4930652876282089</c:v>
                </c:pt>
                <c:pt idx="10">
                  <c:v>-0.41527684062091835</c:v>
                </c:pt>
                <c:pt idx="11">
                  <c:v>-0.65079897397803466</c:v>
                </c:pt>
                <c:pt idx="12">
                  <c:v>0.78705197632453983</c:v>
                </c:pt>
                <c:pt idx="13">
                  <c:v>2.0350944379029965</c:v>
                </c:pt>
                <c:pt idx="14">
                  <c:v>-2.4845507588129903</c:v>
                </c:pt>
                <c:pt idx="15">
                  <c:v>1.4161994429154008</c:v>
                </c:pt>
                <c:pt idx="16">
                  <c:v>0.282533855978224</c:v>
                </c:pt>
                <c:pt idx="17">
                  <c:v>0.43864915241958552</c:v>
                </c:pt>
                <c:pt idx="18">
                  <c:v>0.7323666600844716</c:v>
                </c:pt>
                <c:pt idx="19">
                  <c:v>-0.41041698212489947</c:v>
                </c:pt>
              </c:numCache>
            </c:numRef>
          </c:xVal>
          <c:yVal>
            <c:numRef>
              <c:f>'Grafikoni, CAB, Karakter'!$AA$12:$AA$31</c:f>
              <c:numCache>
                <c:formatCode>#,##0.0</c:formatCode>
                <c:ptCount val="20"/>
                <c:pt idx="0">
                  <c:v>0.86384791183199083</c:v>
                </c:pt>
                <c:pt idx="1">
                  <c:v>2.7193135624589235</c:v>
                </c:pt>
                <c:pt idx="2">
                  <c:v>1.7035552449943179</c:v>
                </c:pt>
                <c:pt idx="3">
                  <c:v>-8.8621688748936389E-2</c:v>
                </c:pt>
                <c:pt idx="4">
                  <c:v>0.161143380820159</c:v>
                </c:pt>
                <c:pt idx="5">
                  <c:v>-4.3502691805997973E-2</c:v>
                </c:pt>
                <c:pt idx="6">
                  <c:v>1.1705898684091545</c:v>
                </c:pt>
                <c:pt idx="7">
                  <c:v>-1.5405693283237878</c:v>
                </c:pt>
                <c:pt idx="8">
                  <c:v>-0.20532931885457995</c:v>
                </c:pt>
                <c:pt idx="9">
                  <c:v>-2.850305504521351</c:v>
                </c:pt>
                <c:pt idx="10">
                  <c:v>-1.7121589325190614</c:v>
                </c:pt>
                <c:pt idx="11">
                  <c:v>-1.9338341664735197</c:v>
                </c:pt>
                <c:pt idx="12">
                  <c:v>1.3673377500050168</c:v>
                </c:pt>
                <c:pt idx="13">
                  <c:v>1.3652177922924278</c:v>
                </c:pt>
                <c:pt idx="14">
                  <c:v>5.8854417650141411</c:v>
                </c:pt>
                <c:pt idx="15">
                  <c:v>-2.0941895860618347</c:v>
                </c:pt>
                <c:pt idx="16">
                  <c:v>-1.1062579435892643</c:v>
                </c:pt>
                <c:pt idx="17">
                  <c:v>-1.0392924378968633</c:v>
                </c:pt>
                <c:pt idx="18">
                  <c:v>-9.4512857124128602E-2</c:v>
                </c:pt>
                <c:pt idx="19">
                  <c:v>0.49450149896105899</c:v>
                </c:pt>
              </c:numCache>
            </c:numRef>
          </c:yVal>
          <c:smooth val="1"/>
          <c:extLst>
            <c:ext xmlns:c16="http://schemas.microsoft.com/office/drawing/2014/chart" uri="{C3380CC4-5D6E-409C-BE32-E72D297353CC}">
              <c16:uniqueId val="{00000014-72E2-4C45-B10D-D8C871E47A47}"/>
            </c:ext>
          </c:extLst>
        </c:ser>
        <c:dLbls>
          <c:showLegendKey val="0"/>
          <c:showVal val="0"/>
          <c:showCatName val="0"/>
          <c:showSerName val="0"/>
          <c:showPercent val="0"/>
          <c:showBubbleSize val="0"/>
        </c:dLbls>
        <c:axId val="220401872"/>
        <c:axId val="343751600"/>
      </c:scatterChart>
      <c:valAx>
        <c:axId val="220401872"/>
        <c:scaling>
          <c:orientation val="minMax"/>
          <c:min val="-4"/>
        </c:scaling>
        <c:delete val="0"/>
        <c:axPos val="b"/>
        <c:majorGridlines>
          <c:spPr>
            <a:ln w="12700" cap="flat" cmpd="sng" algn="ctr">
              <a:noFill/>
              <a:round/>
            </a:ln>
            <a:effectLst/>
          </c:spPr>
        </c:majorGridlines>
        <c:title>
          <c:tx>
            <c:rich>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r>
                  <a:rPr lang="sr-Cyrl-CS" sz="700" b="0">
                    <a:solidFill>
                      <a:srgbClr val="44546A"/>
                    </a:solidFill>
                    <a:latin typeface="+mn-lt"/>
                  </a:rPr>
                  <a:t>Производни јаз</a:t>
                </a:r>
              </a:p>
            </c:rich>
          </c:tx>
          <c:layout>
            <c:manualLayout>
              <c:xMode val="edge"/>
              <c:yMode val="edge"/>
              <c:x val="0.82932193475815519"/>
              <c:y val="0.56597321446622073"/>
            </c:manualLayout>
          </c:layout>
          <c:overlay val="0"/>
          <c:spPr>
            <a:noFill/>
            <a:ln>
              <a:noFill/>
            </a:ln>
            <a:effectLst/>
          </c:spPr>
        </c:title>
        <c:numFmt formatCode="#,##0" sourceLinked="0"/>
        <c:majorTickMark val="none"/>
        <c:minorTickMark val="none"/>
        <c:tickLblPos val="nextTo"/>
        <c:spPr>
          <a:noFill/>
          <a:ln w="9525" cap="flat" cmpd="sng" algn="ctr">
            <a:solidFill>
              <a:srgbClr val="D9D9D9"/>
            </a:solidFill>
            <a:round/>
          </a:ln>
          <a:effectLst/>
        </c:spPr>
        <c:txPr>
          <a:bodyPr rot="-60000000" spcFirstLastPara="1" vertOverflow="ellipsis" vert="horz" wrap="square" anchor="ctr" anchorCtr="1"/>
          <a:lstStyle/>
          <a:p>
            <a:pPr>
              <a:defRPr sz="800" b="0" i="0" u="none" strike="noStrike" kern="1200" baseline="0">
                <a:solidFill>
                  <a:srgbClr val="44546A"/>
                </a:solidFill>
                <a:latin typeface="+mn-lt"/>
                <a:ea typeface="+mn-ea"/>
                <a:cs typeface="+mn-cs"/>
              </a:defRPr>
            </a:pPr>
            <a:endParaRPr lang="en-US"/>
          </a:p>
        </c:txPr>
        <c:crossAx val="343751600"/>
        <c:crosses val="autoZero"/>
        <c:crossBetween val="midCat"/>
      </c:valAx>
      <c:valAx>
        <c:axId val="343751600"/>
        <c:scaling>
          <c:orientation val="minMax"/>
          <c:max val="6.5"/>
          <c:min val="-4"/>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00" b="0" i="0" u="none" strike="noStrike" kern="1200" baseline="0">
                    <a:solidFill>
                      <a:srgbClr val="44546A"/>
                    </a:solidFill>
                    <a:latin typeface="+mn-lt"/>
                    <a:ea typeface="+mn-ea"/>
                    <a:cs typeface="+mn-cs"/>
                  </a:defRPr>
                </a:pPr>
                <a:r>
                  <a:rPr lang="sr-Cyrl-CS" sz="700" b="0">
                    <a:solidFill>
                      <a:srgbClr val="44546A"/>
                    </a:solidFill>
                    <a:latin typeface="+mn-lt"/>
                  </a:rPr>
                  <a:t>Фискални импулс</a:t>
                </a:r>
                <a:endParaRPr lang="en-GB" sz="700" b="0">
                  <a:solidFill>
                    <a:srgbClr val="44546A"/>
                  </a:solidFill>
                  <a:latin typeface="+mn-lt"/>
                </a:endParaRPr>
              </a:p>
            </c:rich>
          </c:tx>
          <c:layout>
            <c:manualLayout>
              <c:xMode val="edge"/>
              <c:yMode val="edge"/>
              <c:x val="7.1208812377634165E-3"/>
              <c:y val="0.27784850673251643"/>
            </c:manualLayout>
          </c:layout>
          <c:overlay val="0"/>
          <c:spPr>
            <a:noFill/>
            <a:ln>
              <a:noFill/>
            </a:ln>
            <a:effectLst/>
          </c:spPr>
        </c:title>
        <c:numFmt formatCode="#,##0" sourceLinked="0"/>
        <c:majorTickMark val="none"/>
        <c:minorTickMark val="none"/>
        <c:tickLblPos val="nextTo"/>
        <c:spPr>
          <a:noFill/>
          <a:ln w="9525">
            <a:solidFill>
              <a:srgbClr val="D9D9D9"/>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20401872"/>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aseline="0">
          <a:latin typeface="Cambria" panose="02040503050406030204" pitchFamily="18" charset="0"/>
        </a:defRPr>
      </a:pPr>
      <a:endParaRPr lang="en-US"/>
    </a:p>
  </c:txPr>
  <c:externalData r:id="rId2">
    <c:autoUpdate val="0"/>
  </c:externalData>
  <c:userShapes r:id="rId3"/>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09214420450111"/>
          <c:y val="4.2508416483893662E-2"/>
          <c:w val="0.86835241316508394"/>
          <c:h val="0.81374254200939145"/>
        </c:manualLayout>
      </c:layout>
      <c:barChart>
        <c:barDir val="col"/>
        <c:grouping val="clustered"/>
        <c:varyColors val="0"/>
        <c:ser>
          <c:idx val="0"/>
          <c:order val="0"/>
          <c:spPr>
            <a:solidFill>
              <a:schemeClr val="accent1"/>
            </a:solidFill>
            <a:ln w="25400">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'Сценарио 1'!$C$79:$C$96</c:f>
              <c:strCache>
                <c:ptCount val="18"/>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c:v>
                </c:pt>
              </c:strCache>
            </c:strRef>
          </c:cat>
          <c:val>
            <c:numRef>
              <c:f>'Сценарио 1'!$D$79:$D$96</c:f>
              <c:numCache>
                <c:formatCode>0.0</c:formatCode>
                <c:ptCount val="18"/>
                <c:pt idx="0">
                  <c:v>27.627377723026413</c:v>
                </c:pt>
                <c:pt idx="1">
                  <c:v>31.547478959485375</c:v>
                </c:pt>
                <c:pt idx="2">
                  <c:v>39.767112280129552</c:v>
                </c:pt>
                <c:pt idx="3">
                  <c:v>42.949713400904372</c:v>
                </c:pt>
                <c:pt idx="4">
                  <c:v>52.452431252049713</c:v>
                </c:pt>
                <c:pt idx="5">
                  <c:v>55.135306002228617</c:v>
                </c:pt>
                <c:pt idx="6">
                  <c:v>64.675004036690524</c:v>
                </c:pt>
                <c:pt idx="7">
                  <c:v>68.369824670854172</c:v>
                </c:pt>
                <c:pt idx="8">
                  <c:v>66.20461222909006</c:v>
                </c:pt>
                <c:pt idx="9">
                  <c:v>56.328463654534445</c:v>
                </c:pt>
                <c:pt idx="10">
                  <c:v>52.14256204665228</c:v>
                </c:pt>
                <c:pt idx="11">
                  <c:v>50.517490084333687</c:v>
                </c:pt>
                <c:pt idx="12">
                  <c:v>55.189879391575417</c:v>
                </c:pt>
                <c:pt idx="13">
                  <c:v>54.467037707518955</c:v>
                </c:pt>
                <c:pt idx="14">
                  <c:v>52.901616882538086</c:v>
                </c:pt>
                <c:pt idx="15">
                  <c:v>48.386002589188038</c:v>
                </c:pt>
                <c:pt idx="16">
                  <c:v>46.9</c:v>
                </c:pt>
                <c:pt idx="17">
                  <c:v>45</c:v>
                </c:pt>
              </c:numCache>
            </c:numRef>
          </c:val>
          <c:extLst>
            <c:ext xmlns:c16="http://schemas.microsoft.com/office/drawing/2014/chart" uri="{C3380CC4-5D6E-409C-BE32-E72D297353CC}">
              <c16:uniqueId val="{00000000-CDDE-4D79-A3D7-6F1E568CA1F7}"/>
            </c:ext>
          </c:extLst>
        </c:ser>
        <c:dLbls>
          <c:showLegendKey val="0"/>
          <c:showVal val="0"/>
          <c:showCatName val="0"/>
          <c:showSerName val="0"/>
          <c:showPercent val="0"/>
          <c:showBubbleSize val="0"/>
        </c:dLbls>
        <c:gapWidth val="57"/>
        <c:axId val="582077168"/>
        <c:axId val="582077584"/>
      </c:barChart>
      <c:catAx>
        <c:axId val="58207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582077584"/>
        <c:crosses val="autoZero"/>
        <c:auto val="1"/>
        <c:lblAlgn val="ctr"/>
        <c:lblOffset val="100"/>
        <c:noMultiLvlLbl val="0"/>
      </c:catAx>
      <c:valAx>
        <c:axId val="582077584"/>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sr-Cyrl-RS" sz="800"/>
                  <a:t>% БДП</a:t>
                </a:r>
              </a:p>
            </c:rich>
          </c:tx>
          <c:layout>
            <c:manualLayout>
              <c:xMode val="edge"/>
              <c:yMode val="edge"/>
              <c:x val="7.7822036003270714E-2"/>
              <c:y val="0.3478818877030583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820771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247473029496585E-2"/>
          <c:y val="5.0621986652026364E-2"/>
          <c:w val="0.90182166347717574"/>
          <c:h val="0.90664979271278157"/>
        </c:manualLayout>
      </c:layout>
      <c:lineChart>
        <c:grouping val="standard"/>
        <c:varyColors val="0"/>
        <c:ser>
          <c:idx val="0"/>
          <c:order val="0"/>
          <c:tx>
            <c:strRef>
              <c:f>'Quaterly, Yearly'!$DB$5</c:f>
              <c:strCache>
                <c:ptCount val="1"/>
                <c:pt idx="0">
                  <c:v>Примарни резултат који стабилизује учешће дуга у БДП</c:v>
                </c:pt>
              </c:strCache>
            </c:strRef>
          </c:tx>
          <c:spPr>
            <a:ln w="19050" cap="rnd">
              <a:solidFill>
                <a:schemeClr val="accent1"/>
              </a:solidFill>
              <a:round/>
            </a:ln>
            <a:effectLst/>
          </c:spPr>
          <c:marker>
            <c:symbol val="none"/>
          </c:marker>
          <c:cat>
            <c:strRef>
              <c:f>'Quaterly, Yearly'!$DQ$7:$ED$8</c:f>
              <c:strCach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strCache>
            </c:strRef>
          </c:cat>
          <c:val>
            <c:numRef>
              <c:f>'Quaterly, Yearly'!$DQ$5:$ED$5</c:f>
              <c:numCache>
                <c:formatCode>#,##0.00</c:formatCode>
                <c:ptCount val="14"/>
                <c:pt idx="0">
                  <c:v>0.4587574586282453</c:v>
                </c:pt>
                <c:pt idx="1">
                  <c:v>-0.2186815333287046</c:v>
                </c:pt>
                <c:pt idx="2">
                  <c:v>-0.68291556261695596</c:v>
                </c:pt>
                <c:pt idx="3">
                  <c:v>-1.478901408472483</c:v>
                </c:pt>
                <c:pt idx="4">
                  <c:v>-1.656478168925108</c:v>
                </c:pt>
                <c:pt idx="5">
                  <c:v>0.89009568408279172</c:v>
                </c:pt>
                <c:pt idx="6">
                  <c:v>-5.3449525773131006</c:v>
                </c:pt>
                <c:pt idx="7" formatCode="#,##0.0">
                  <c:v>-5.1503216635726217</c:v>
                </c:pt>
                <c:pt idx="8" formatCode="#,##0.0">
                  <c:v>-6.5797904465464958</c:v>
                </c:pt>
                <c:pt idx="9">
                  <c:v>-2.8902740959538344</c:v>
                </c:pt>
                <c:pt idx="10">
                  <c:v>-0.97979363166186317</c:v>
                </c:pt>
                <c:pt idx="11">
                  <c:v>-1.0468689658902675</c:v>
                </c:pt>
                <c:pt idx="12">
                  <c:v>-1.7700001923102</c:v>
                </c:pt>
                <c:pt idx="13">
                  <c:v>-0.8376421747724504</c:v>
                </c:pt>
              </c:numCache>
            </c:numRef>
          </c:val>
          <c:smooth val="0"/>
          <c:extLst>
            <c:ext xmlns:c16="http://schemas.microsoft.com/office/drawing/2014/chart" uri="{C3380CC4-5D6E-409C-BE32-E72D297353CC}">
              <c16:uniqueId val="{00000000-30CA-4ED7-854E-70809DEA7027}"/>
            </c:ext>
          </c:extLst>
        </c:ser>
        <c:ser>
          <c:idx val="1"/>
          <c:order val="1"/>
          <c:tx>
            <c:v>Остварени (пројектовани) примарни фискални резултат</c:v>
          </c:tx>
          <c:spPr>
            <a:ln w="19050" cap="rnd">
              <a:solidFill>
                <a:schemeClr val="accent2"/>
              </a:solidFill>
              <a:round/>
            </a:ln>
            <a:effectLst/>
          </c:spPr>
          <c:marker>
            <c:symbol val="none"/>
          </c:marker>
          <c:cat>
            <c:strRef>
              <c:f>'Quaterly, Yearly'!$DQ$7:$ED$8</c:f>
              <c:strCach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strCache>
            </c:strRef>
          </c:cat>
          <c:val>
            <c:numRef>
              <c:f>'Quaterly, Yearly'!$DQ$61:$ED$61</c:f>
              <c:numCache>
                <c:formatCode>#,##0.0</c:formatCode>
                <c:ptCount val="14"/>
                <c:pt idx="0">
                  <c:v>-0.4519075558326654</c:v>
                </c:pt>
                <c:pt idx="1">
                  <c:v>1.6426873720543391</c:v>
                </c:pt>
                <c:pt idx="2">
                  <c:v>3.4929502757705762</c:v>
                </c:pt>
                <c:pt idx="3">
                  <c:v>2.6358109426223959</c:v>
                </c:pt>
                <c:pt idx="4">
                  <c:v>1.7134410602148162</c:v>
                </c:pt>
                <c:pt idx="5">
                  <c:v>-5.7757245286308958</c:v>
                </c:pt>
                <c:pt idx="6">
                  <c:v>-2.297416110879996</c:v>
                </c:pt>
                <c:pt idx="7">
                  <c:v>-1.5931271448800142</c:v>
                </c:pt>
                <c:pt idx="8">
                  <c:v>-0.49872563756731275</c:v>
                </c:pt>
                <c:pt idx="9">
                  <c:v>-0.25996869226310537</c:v>
                </c:pt>
                <c:pt idx="10">
                  <c:v>-0.99095831054152717</c:v>
                </c:pt>
                <c:pt idx="11" formatCode="0.0">
                  <c:v>-1.029481839452367</c:v>
                </c:pt>
                <c:pt idx="12" formatCode="0.0">
                  <c:v>-1.1029520521424734</c:v>
                </c:pt>
                <c:pt idx="13" formatCode="0.0">
                  <c:v>-0.68956688523686949</c:v>
                </c:pt>
              </c:numCache>
            </c:numRef>
          </c:val>
          <c:smooth val="0"/>
          <c:extLst>
            <c:ext xmlns:c16="http://schemas.microsoft.com/office/drawing/2014/chart" uri="{C3380CC4-5D6E-409C-BE32-E72D297353CC}">
              <c16:uniqueId val="{00000001-30CA-4ED7-854E-70809DEA7027}"/>
            </c:ext>
          </c:extLst>
        </c:ser>
        <c:dLbls>
          <c:showLegendKey val="0"/>
          <c:showVal val="0"/>
          <c:showCatName val="0"/>
          <c:showSerName val="0"/>
          <c:showPercent val="0"/>
          <c:showBubbleSize val="0"/>
        </c:dLbls>
        <c:smooth val="0"/>
        <c:axId val="519226144"/>
        <c:axId val="519226704"/>
      </c:lineChart>
      <c:catAx>
        <c:axId val="51922614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519226704"/>
        <c:crosses val="autoZero"/>
        <c:auto val="1"/>
        <c:lblAlgn val="ctr"/>
        <c:lblOffset val="100"/>
        <c:noMultiLvlLbl val="0"/>
      </c:catAx>
      <c:valAx>
        <c:axId val="51922670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sr-Cyrl-RS" sz="800">
                    <a:latin typeface="+mn-lt"/>
                  </a:rPr>
                  <a:t>% БДП</a:t>
                </a:r>
                <a:endParaRPr lang="en-US" sz="800">
                  <a:latin typeface="+mn-lt"/>
                </a:endParaRPr>
              </a:p>
            </c:rich>
          </c:tx>
          <c:layout>
            <c:manualLayout>
              <c:xMode val="edge"/>
              <c:yMode val="edge"/>
              <c:x val="4.6947844390738284E-2"/>
              <c:y val="0.43417336975350396"/>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19226144"/>
        <c:crosses val="autoZero"/>
        <c:crossBetween val="between"/>
      </c:valAx>
      <c:spPr>
        <a:noFill/>
        <a:ln>
          <a:noFill/>
        </a:ln>
        <a:effectLst/>
      </c:spPr>
    </c:plotArea>
    <c:legend>
      <c:legendPos val="r"/>
      <c:layout>
        <c:manualLayout>
          <c:xMode val="edge"/>
          <c:yMode val="edge"/>
          <c:x val="0.50348565649947374"/>
          <c:y val="4.4762640649801927E-2"/>
          <c:w val="0.49291803102994453"/>
          <c:h val="0.22263360322624778"/>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587713337863218E-2"/>
          <c:y val="2.9912556166267597E-2"/>
          <c:w val="0.89047263553869926"/>
          <c:h val="0.72667385260774753"/>
        </c:manualLayout>
      </c:layout>
      <c:barChart>
        <c:barDir val="col"/>
        <c:grouping val="clustered"/>
        <c:varyColors val="0"/>
        <c:dLbls>
          <c:showLegendKey val="0"/>
          <c:showVal val="0"/>
          <c:showCatName val="0"/>
          <c:showSerName val="0"/>
          <c:showPercent val="0"/>
          <c:showBubbleSize val="0"/>
        </c:dLbls>
        <c:gapWidth val="200"/>
        <c:axId val="1433716128"/>
        <c:axId val="1433710720"/>
        <c:extLst>
          <c:ext xmlns:c15="http://schemas.microsoft.com/office/drawing/2012/chart" uri="{02D57815-91ED-43cb-92C2-25804820EDAC}">
            <c15:filteredBarSeries>
              <c15:ser>
                <c:idx val="4"/>
                <c:order val="4"/>
                <c:tx>
                  <c:strRef>
                    <c:extLst>
                      <c:ext uri="{02D57815-91ED-43cb-92C2-25804820EDAC}">
                        <c15:formulaRef>
                          <c15:sqref>'Сценарио 1'!$B$48</c15:sqref>
                        </c15:formulaRef>
                      </c:ext>
                    </c:extLst>
                    <c:strCache>
                      <c:ptCount val="1"/>
                      <c:pt idx="0">
                        <c:v>Основни сценарио (дефицит)</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cat>
                  <c:numRef>
                    <c:extLst>
                      <c:ext uri="{02D57815-91ED-43cb-92C2-25804820EDAC}">
                        <c15:formulaRef>
                          <c15:sqref>'Сценарио 1'!$C$33:$J$33</c15:sqref>
                        </c15:formulaRef>
                      </c:ext>
                    </c:extLst>
                    <c:numCache>
                      <c:formatCode>General</c:formatCode>
                      <c:ptCount val="8"/>
                      <c:pt idx="0">
                        <c:v>2024</c:v>
                      </c:pt>
                      <c:pt idx="1">
                        <c:v>2025</c:v>
                      </c:pt>
                      <c:pt idx="2">
                        <c:v>2026</c:v>
                      </c:pt>
                      <c:pt idx="3">
                        <c:v>2027</c:v>
                      </c:pt>
                      <c:pt idx="4">
                        <c:v>2028</c:v>
                      </c:pt>
                      <c:pt idx="5">
                        <c:v>2029</c:v>
                      </c:pt>
                      <c:pt idx="6">
                        <c:v>2030</c:v>
                      </c:pt>
                      <c:pt idx="7">
                        <c:v>2031</c:v>
                      </c:pt>
                    </c:numCache>
                  </c:numRef>
                </c:cat>
                <c:val>
                  <c:numRef>
                    <c:extLst>
                      <c:ext uri="{02D57815-91ED-43cb-92C2-25804820EDAC}">
                        <c15:formulaRef>
                          <c15:sqref>'Сценарио 1'!$C$48:$J$48</c15:sqref>
                        </c15:formulaRef>
                      </c:ext>
                    </c:extLst>
                    <c:numCache>
                      <c:formatCode>General</c:formatCode>
                      <c:ptCount val="8"/>
                      <c:pt idx="0">
                        <c:v>2</c:v>
                      </c:pt>
                      <c:pt idx="1">
                        <c:v>3</c:v>
                      </c:pt>
                      <c:pt idx="2">
                        <c:v>3</c:v>
                      </c:pt>
                      <c:pt idx="3">
                        <c:v>3</c:v>
                      </c:pt>
                      <c:pt idx="4">
                        <c:v>2.5</c:v>
                      </c:pt>
                      <c:pt idx="5">
                        <c:v>2</c:v>
                      </c:pt>
                      <c:pt idx="6">
                        <c:v>2</c:v>
                      </c:pt>
                      <c:pt idx="7">
                        <c:v>2</c:v>
                      </c:pt>
                    </c:numCache>
                  </c:numRef>
                </c:val>
                <c:extLst>
                  <c:ext xmlns:c16="http://schemas.microsoft.com/office/drawing/2014/chart" uri="{C3380CC4-5D6E-409C-BE32-E72D297353CC}">
                    <c16:uniqueId val="{0000002B-BD14-43F4-A3DA-EE482DFB7475}"/>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'Сценарио 1'!$B$49</c15:sqref>
                        </c15:formulaRef>
                      </c:ext>
                    </c:extLst>
                    <c:strCache>
                      <c:ptCount val="1"/>
                      <c:pt idx="0">
                        <c:v>Успорен раст након 2027. (дефицит)</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cat>
                  <c:numRef>
                    <c:extLst xmlns:c15="http://schemas.microsoft.com/office/drawing/2012/chart">
                      <c:ext xmlns:c15="http://schemas.microsoft.com/office/drawing/2012/chart" uri="{02D57815-91ED-43cb-92C2-25804820EDAC}">
                        <c15:formulaRef>
                          <c15:sqref>'Сценарио 1'!$C$33:$J$33</c15:sqref>
                        </c15:formulaRef>
                      </c:ext>
                    </c:extLst>
                    <c:numCache>
                      <c:formatCode>General</c:formatCode>
                      <c:ptCount val="8"/>
                      <c:pt idx="0">
                        <c:v>2024</c:v>
                      </c:pt>
                      <c:pt idx="1">
                        <c:v>2025</c:v>
                      </c:pt>
                      <c:pt idx="2">
                        <c:v>2026</c:v>
                      </c:pt>
                      <c:pt idx="3">
                        <c:v>2027</c:v>
                      </c:pt>
                      <c:pt idx="4">
                        <c:v>2028</c:v>
                      </c:pt>
                      <c:pt idx="5">
                        <c:v>2029</c:v>
                      </c:pt>
                      <c:pt idx="6">
                        <c:v>2030</c:v>
                      </c:pt>
                      <c:pt idx="7">
                        <c:v>2031</c:v>
                      </c:pt>
                    </c:numCache>
                  </c:numRef>
                </c:cat>
                <c:val>
                  <c:numRef>
                    <c:extLst xmlns:c15="http://schemas.microsoft.com/office/drawing/2012/chart">
                      <c:ext xmlns:c15="http://schemas.microsoft.com/office/drawing/2012/chart" uri="{02D57815-91ED-43cb-92C2-25804820EDAC}">
                        <c15:formulaRef>
                          <c15:sqref>'Сценарио 1'!$C$49:$J$49</c15:sqref>
                        </c15:formulaRef>
                      </c:ext>
                    </c:extLst>
                    <c:numCache>
                      <c:formatCode>General</c:formatCode>
                      <c:ptCount val="8"/>
                      <c:pt idx="0">
                        <c:v>2</c:v>
                      </c:pt>
                      <c:pt idx="1">
                        <c:v>3</c:v>
                      </c:pt>
                      <c:pt idx="2">
                        <c:v>3</c:v>
                      </c:pt>
                      <c:pt idx="3">
                        <c:v>3</c:v>
                      </c:pt>
                      <c:pt idx="4">
                        <c:v>2.5</c:v>
                      </c:pt>
                      <c:pt idx="5">
                        <c:v>2</c:v>
                      </c:pt>
                      <c:pt idx="6">
                        <c:v>2</c:v>
                      </c:pt>
                      <c:pt idx="7">
                        <c:v>2</c:v>
                      </c:pt>
                    </c:numCache>
                  </c:numRef>
                </c:val>
                <c:extLst xmlns:c15="http://schemas.microsoft.com/office/drawing/2012/chart">
                  <c:ext xmlns:c16="http://schemas.microsoft.com/office/drawing/2014/chart" uri="{C3380CC4-5D6E-409C-BE32-E72D297353CC}">
                    <c16:uniqueId val="{0000002C-BD14-43F4-A3DA-EE482DFB7475}"/>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'Сценарио 1'!$B$50</c15:sqref>
                        </c15:formulaRef>
                      </c:ext>
                    </c:extLst>
                    <c:strCache>
                      <c:ptCount val="1"/>
                      <c:pt idx="0">
                        <c:v>Фискални шок након 2027. године (дефицит)</c:v>
                      </c:pt>
                    </c:strCache>
                  </c:strRef>
                </c:tx>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cat>
                  <c:numRef>
                    <c:extLst xmlns:c15="http://schemas.microsoft.com/office/drawing/2012/chart">
                      <c:ext xmlns:c15="http://schemas.microsoft.com/office/drawing/2012/chart" uri="{02D57815-91ED-43cb-92C2-25804820EDAC}">
                        <c15:formulaRef>
                          <c15:sqref>'Сценарио 1'!$C$33:$J$33</c15:sqref>
                        </c15:formulaRef>
                      </c:ext>
                    </c:extLst>
                    <c:numCache>
                      <c:formatCode>General</c:formatCode>
                      <c:ptCount val="8"/>
                      <c:pt idx="0">
                        <c:v>2024</c:v>
                      </c:pt>
                      <c:pt idx="1">
                        <c:v>2025</c:v>
                      </c:pt>
                      <c:pt idx="2">
                        <c:v>2026</c:v>
                      </c:pt>
                      <c:pt idx="3">
                        <c:v>2027</c:v>
                      </c:pt>
                      <c:pt idx="4">
                        <c:v>2028</c:v>
                      </c:pt>
                      <c:pt idx="5">
                        <c:v>2029</c:v>
                      </c:pt>
                      <c:pt idx="6">
                        <c:v>2030</c:v>
                      </c:pt>
                      <c:pt idx="7">
                        <c:v>2031</c:v>
                      </c:pt>
                    </c:numCache>
                  </c:numRef>
                </c:cat>
                <c:val>
                  <c:numRef>
                    <c:extLst xmlns:c15="http://schemas.microsoft.com/office/drawing/2012/chart">
                      <c:ext xmlns:c15="http://schemas.microsoft.com/office/drawing/2012/chart" uri="{02D57815-91ED-43cb-92C2-25804820EDAC}">
                        <c15:formulaRef>
                          <c15:sqref>'Сценарио 1'!$C$50:$J$50</c15:sqref>
                        </c15:formulaRef>
                      </c:ext>
                    </c:extLst>
                    <c:numCache>
                      <c:formatCode>General</c:formatCode>
                      <c:ptCount val="8"/>
                      <c:pt idx="0">
                        <c:v>2</c:v>
                      </c:pt>
                      <c:pt idx="1">
                        <c:v>3</c:v>
                      </c:pt>
                      <c:pt idx="2">
                        <c:v>3</c:v>
                      </c:pt>
                      <c:pt idx="3">
                        <c:v>3</c:v>
                      </c:pt>
                      <c:pt idx="4">
                        <c:v>2.5</c:v>
                      </c:pt>
                      <c:pt idx="5">
                        <c:v>9</c:v>
                      </c:pt>
                      <c:pt idx="6">
                        <c:v>3</c:v>
                      </c:pt>
                      <c:pt idx="7">
                        <c:v>0.5</c:v>
                      </c:pt>
                    </c:numCache>
                  </c:numRef>
                </c:val>
                <c:extLst xmlns:c15="http://schemas.microsoft.com/office/drawing/2012/chart">
                  <c:ext xmlns:c16="http://schemas.microsoft.com/office/drawing/2014/chart" uri="{C3380CC4-5D6E-409C-BE32-E72D297353CC}">
                    <c16:uniqueId val="{0000002D-BD14-43F4-A3DA-EE482DFB7475}"/>
                  </c:ext>
                </c:extLst>
              </c15:ser>
            </c15:filteredBarSeries>
          </c:ext>
        </c:extLst>
      </c:barChart>
      <c:lineChart>
        <c:grouping val="standard"/>
        <c:varyColors val="0"/>
        <c:ser>
          <c:idx val="2"/>
          <c:order val="1"/>
          <c:tx>
            <c:strRef>
              <c:f>'manji rast'!$B$33</c:f>
              <c:strCache>
                <c:ptCount val="1"/>
                <c:pt idx="0">
                  <c:v>Успорен раст након 2028</c:v>
                </c:pt>
              </c:strCache>
            </c:strRef>
          </c:tx>
          <c:spPr>
            <a:ln w="19050" cap="rnd">
              <a:solidFill>
                <a:schemeClr val="accent3"/>
              </a:solidFill>
              <a:round/>
            </a:ln>
            <a:effectLst/>
          </c:spPr>
          <c:marker>
            <c:symbol val="none"/>
          </c:marker>
          <c:dLbls>
            <c:dLbl>
              <c:idx val="11"/>
              <c:layout>
                <c:manualLayout>
                  <c:x val="-1.9235176078347446E-2"/>
                  <c:y val="2.045928211624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D14-43F4-A3DA-EE482DFB7475}"/>
                </c:ext>
              </c:extLst>
            </c:dLbl>
            <c:spPr>
              <a:noFill/>
              <a:ln>
                <a:noFill/>
              </a:ln>
              <a:effectLst/>
            </c:spPr>
            <c:txPr>
              <a:bodyPr rot="0" spcFirstLastPara="1" vertOverflow="ellipsis" vert="horz" wrap="square" anchor="ctr" anchorCtr="1"/>
              <a:lstStyle/>
              <a:p>
                <a:pPr>
                  <a:defRPr sz="800" b="0" i="0" u="none" strike="noStrike" kern="1200" baseline="0">
                    <a:ln>
                      <a:noFill/>
                    </a:ln>
                    <a:solidFill>
                      <a:schemeClr val="tx1">
                        <a:lumMod val="75000"/>
                        <a:lumOff val="25000"/>
                      </a:schemeClr>
                    </a:solidFill>
                    <a:latin typeface="+mj-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1'!$C$33:$N$33</c:f>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f>'manji rast'!$C$39:$N$39</c:f>
              <c:numCache>
                <c:formatCode>#,##0.0</c:formatCode>
                <c:ptCount val="12"/>
                <c:pt idx="0">
                  <c:v>46.9</c:v>
                </c:pt>
                <c:pt idx="1">
                  <c:v>45</c:v>
                </c:pt>
                <c:pt idx="2">
                  <c:v>44.5</c:v>
                </c:pt>
                <c:pt idx="3">
                  <c:v>44.3</c:v>
                </c:pt>
                <c:pt idx="4">
                  <c:v>44.1</c:v>
                </c:pt>
                <c:pt idx="5">
                  <c:v>44.747707392098427</c:v>
                </c:pt>
                <c:pt idx="6">
                  <c:v>45.375553334799619</c:v>
                </c:pt>
                <c:pt idx="7">
                  <c:v>45.98414686418527</c:v>
                </c:pt>
                <c:pt idx="8">
                  <c:v>46.574078340713669</c:v>
                </c:pt>
                <c:pt idx="9">
                  <c:v>47.14592002189336</c:v>
                </c:pt>
                <c:pt idx="10">
                  <c:v>47.700226617396204</c:v>
                </c:pt>
                <c:pt idx="11">
                  <c:v>48.237535827148257</c:v>
                </c:pt>
              </c:numCache>
            </c:numRef>
          </c:val>
          <c:smooth val="0"/>
          <c:extLst>
            <c:ext xmlns:c16="http://schemas.microsoft.com/office/drawing/2014/chart" uri="{C3380CC4-5D6E-409C-BE32-E72D297353CC}">
              <c16:uniqueId val="{00000001-BD14-43F4-A3DA-EE482DFB7475}"/>
            </c:ext>
          </c:extLst>
        </c:ser>
        <c:ser>
          <c:idx val="1"/>
          <c:order val="2"/>
          <c:tx>
            <c:strRef>
              <c:f>'ekstremni sok'!$B$33</c:f>
              <c:strCache>
                <c:ptCount val="1"/>
                <c:pt idx="0">
                  <c:v>Фискални шок након 2028. године</c:v>
                </c:pt>
              </c:strCache>
            </c:strRef>
          </c:tx>
          <c:spPr>
            <a:ln w="19050" cap="rnd">
              <a:solidFill>
                <a:schemeClr val="accent2"/>
              </a:solidFill>
              <a:round/>
            </a:ln>
            <a:effectLst/>
          </c:spPr>
          <c:marker>
            <c:symbol val="none"/>
          </c:marker>
          <c:dLbls>
            <c:dLbl>
              <c:idx val="5"/>
              <c:layout>
                <c:manualLayout>
                  <c:x val="-0.13888888888888892"/>
                  <c:y val="-4.844905271550948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D14-43F4-A3DA-EE482DFB7475}"/>
                </c:ext>
              </c:extLst>
            </c:dLbl>
            <c:dLbl>
              <c:idx val="6"/>
              <c:layout>
                <c:manualLayout>
                  <c:x val="-5.5555555555555552E-2"/>
                  <c:y val="-3.17124735729387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D14-43F4-A3DA-EE482DFB7475}"/>
                </c:ext>
              </c:extLst>
            </c:dLbl>
            <c:dLbl>
              <c:idx val="11"/>
              <c:layout>
                <c:manualLayout>
                  <c:x val="-1.7311658470512702E-2"/>
                  <c:y val="-2.63047912923085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D14-43F4-A3DA-EE482DFB7475}"/>
                </c:ext>
              </c:extLst>
            </c:dLbl>
            <c:spPr>
              <a:noFill/>
              <a:ln>
                <a:noFill/>
              </a:ln>
              <a:effectLst/>
            </c:spPr>
            <c:txPr>
              <a:bodyPr rot="0" spcFirstLastPara="1" vertOverflow="ellipsis" vert="horz" wrap="square" anchor="ctr" anchorCtr="1"/>
              <a:lstStyle/>
              <a:p>
                <a:pPr>
                  <a:defRPr sz="800" b="0" i="0" u="none" strike="noStrike" kern="1200" baseline="0">
                    <a:ln>
                      <a:noFill/>
                    </a:ln>
                    <a:solidFill>
                      <a:schemeClr val="tx1">
                        <a:lumMod val="75000"/>
                        <a:lumOff val="25000"/>
                      </a:schemeClr>
                    </a:solidFill>
                    <a:latin typeface="+mj-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1'!$C$33:$N$33</c:f>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f>'ekstremni sok'!$C$39:$N$39</c:f>
              <c:numCache>
                <c:formatCode>#,##0.0</c:formatCode>
                <c:ptCount val="12"/>
                <c:pt idx="0">
                  <c:v>46.9</c:v>
                </c:pt>
                <c:pt idx="1">
                  <c:v>45</c:v>
                </c:pt>
                <c:pt idx="2">
                  <c:v>44.5</c:v>
                </c:pt>
                <c:pt idx="3">
                  <c:v>44.3</c:v>
                </c:pt>
                <c:pt idx="4">
                  <c:v>44.1</c:v>
                </c:pt>
                <c:pt idx="5">
                  <c:v>53.74112379898385</c:v>
                </c:pt>
                <c:pt idx="6">
                  <c:v>55.614125474655644</c:v>
                </c:pt>
                <c:pt idx="7">
                  <c:v>54.676963849338499</c:v>
                </c:pt>
                <c:pt idx="8">
                  <c:v>52.471204020805864</c:v>
                </c:pt>
                <c:pt idx="9">
                  <c:v>51.374599052295821</c:v>
                </c:pt>
                <c:pt idx="10">
                  <c:v>50.332260990041576</c:v>
                </c:pt>
                <c:pt idx="11">
                  <c:v>49.341504366441633</c:v>
                </c:pt>
              </c:numCache>
            </c:numRef>
          </c:val>
          <c:smooth val="0"/>
          <c:extLst>
            <c:ext xmlns:c16="http://schemas.microsoft.com/office/drawing/2014/chart" uri="{C3380CC4-5D6E-409C-BE32-E72D297353CC}">
              <c16:uniqueId val="{00000005-BD14-43F4-A3DA-EE482DFB7475}"/>
            </c:ext>
          </c:extLst>
        </c:ser>
        <c:ser>
          <c:idx val="0"/>
          <c:order val="3"/>
          <c:tx>
            <c:strRef>
              <c:f>'Сценарио 1'!$B$33</c:f>
              <c:strCache>
                <c:ptCount val="1"/>
                <c:pt idx="0">
                  <c:v>Основни сценарио</c:v>
                </c:pt>
              </c:strCache>
            </c:strRef>
          </c:tx>
          <c:spPr>
            <a:ln w="22225" cap="rnd">
              <a:solidFill>
                <a:schemeClr val="accent1"/>
              </a:solidFill>
              <a:round/>
            </a:ln>
            <a:effectLst/>
          </c:spPr>
          <c:marker>
            <c:symbol val="none"/>
          </c:marker>
          <c:dLbls>
            <c:dLbl>
              <c:idx val="0"/>
              <c:layout>
                <c:manualLayout>
                  <c:x val="-5.0835520559930028E-2"/>
                  <c:y val="-2.0655168325394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D14-43F4-A3DA-EE482DFB7475}"/>
                </c:ext>
              </c:extLst>
            </c:dLbl>
            <c:dLbl>
              <c:idx val="1"/>
              <c:layout>
                <c:manualLayout>
                  <c:x val="-8.4651501895596407E-2"/>
                  <c:y val="7.4864119125701248E-2"/>
                </c:manualLayout>
              </c:layout>
              <c:showLegendKey val="0"/>
              <c:showVal val="1"/>
              <c:showCatName val="0"/>
              <c:showSerName val="0"/>
              <c:showPercent val="0"/>
              <c:showBubbleSize val="0"/>
              <c:extLst>
                <c:ext xmlns:c15="http://schemas.microsoft.com/office/drawing/2012/chart" uri="{CE6537A1-D6FC-4f65-9D91-7224C49458BB}">
                  <c15:layout>
                    <c:manualLayout>
                      <c:w val="0.10688575386410032"/>
                      <c:h val="4.221837492300777E-2"/>
                    </c:manualLayout>
                  </c15:layout>
                </c:ext>
                <c:ext xmlns:c16="http://schemas.microsoft.com/office/drawing/2014/chart" uri="{C3380CC4-5D6E-409C-BE32-E72D297353CC}">
                  <c16:uniqueId val="{00000007-BD14-43F4-A3DA-EE482DFB7475}"/>
                </c:ext>
              </c:extLst>
            </c:dLbl>
            <c:dLbl>
              <c:idx val="2"/>
              <c:layout>
                <c:manualLayout>
                  <c:x val="-6.2485783027121655E-2"/>
                  <c:y val="6.55341179604135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D14-43F4-A3DA-EE482DFB7475}"/>
                </c:ext>
              </c:extLst>
            </c:dLbl>
            <c:dLbl>
              <c:idx val="3"/>
              <c:layout>
                <c:manualLayout>
                  <c:x val="-6.2634514435695537E-2"/>
                  <c:y val="6.29247057648449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D14-43F4-A3DA-EE482DFB7475}"/>
                </c:ext>
              </c:extLst>
            </c:dLbl>
            <c:dLbl>
              <c:idx val="4"/>
              <c:layout>
                <c:manualLayout>
                  <c:x val="-5.4016112569262177E-2"/>
                  <c:y val="6.01654708594829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D14-43F4-A3DA-EE482DFB7475}"/>
                </c:ext>
              </c:extLst>
            </c:dLbl>
            <c:dLbl>
              <c:idx val="5"/>
              <c:layout>
                <c:manualLayout>
                  <c:x val="-5.1250364537766116E-2"/>
                  <c:y val="5.74162241347738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D14-43F4-A3DA-EE482DFB7475}"/>
                </c:ext>
              </c:extLst>
            </c:dLbl>
            <c:dLbl>
              <c:idx val="6"/>
              <c:layout>
                <c:manualLayout>
                  <c:x val="-4.3452537182852143E-2"/>
                  <c:y val="4.30623761881772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D14-43F4-A3DA-EE482DFB7475}"/>
                </c:ext>
              </c:extLst>
            </c:dLbl>
            <c:dLbl>
              <c:idx val="7"/>
              <c:layout>
                <c:manualLayout>
                  <c:x val="-3.8578680203045689E-2"/>
                  <c:y val="4.30621847333817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D14-43F4-A3DA-EE482DFB7475}"/>
                </c:ext>
              </c:extLst>
            </c:dLbl>
            <c:dLbl>
              <c:idx val="8"/>
              <c:layout>
                <c:manualLayout>
                  <c:x val="-2.8130650335374745E-2"/>
                  <c:y val="6.3429525062009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D14-43F4-A3DA-EE482DFB7475}"/>
                </c:ext>
              </c:extLst>
            </c:dLbl>
            <c:dLbl>
              <c:idx val="9"/>
              <c:layout>
                <c:manualLayout>
                  <c:x val="-3.5331000291630214E-2"/>
                  <c:y val="5.1218558039653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D14-43F4-A3DA-EE482DFB7475}"/>
                </c:ext>
              </c:extLst>
            </c:dLbl>
            <c:dLbl>
              <c:idx val="10"/>
              <c:layout>
                <c:manualLayout>
                  <c:x val="-4.2383347914844147E-2"/>
                  <c:y val="5.9697691065572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D14-43F4-A3DA-EE482DFB7475}"/>
                </c:ext>
              </c:extLst>
            </c:dLbl>
            <c:dLbl>
              <c:idx val="11"/>
              <c:layout>
                <c:manualLayout>
                  <c:x val="-2.9983231262758823E-3"/>
                  <c:y val="4.27211133492033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D14-43F4-A3DA-EE482DFB7475}"/>
                </c:ext>
              </c:extLst>
            </c:dLbl>
            <c:dLbl>
              <c:idx val="12"/>
              <c:delete val="1"/>
              <c:extLst>
                <c:ext xmlns:c15="http://schemas.microsoft.com/office/drawing/2012/chart" uri="{CE6537A1-D6FC-4f65-9D91-7224C49458BB}"/>
                <c:ext xmlns:c16="http://schemas.microsoft.com/office/drawing/2014/chart" uri="{C3380CC4-5D6E-409C-BE32-E72D297353CC}">
                  <c16:uniqueId val="{00000012-BD14-43F4-A3DA-EE482DFB7475}"/>
                </c:ext>
              </c:extLst>
            </c:dLbl>
            <c:dLbl>
              <c:idx val="13"/>
              <c:layout>
                <c:manualLayout>
                  <c:x val="-1.1881188581944001E-2"/>
                  <c:y val="-2.29664985244702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D14-43F4-A3DA-EE482DFB7475}"/>
                </c:ext>
              </c:extLst>
            </c:dLbl>
            <c:dLbl>
              <c:idx val="14"/>
              <c:layout>
                <c:manualLayout>
                  <c:x val="-2.2459899668166864E-2"/>
                  <c:y val="3.9107542662989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D14-43F4-A3DA-EE482DFB7475}"/>
                </c:ext>
              </c:extLst>
            </c:dLbl>
            <c:dLbl>
              <c:idx val="15"/>
              <c:delete val="1"/>
              <c:extLst>
                <c:ext xmlns:c15="http://schemas.microsoft.com/office/drawing/2012/chart" uri="{CE6537A1-D6FC-4f65-9D91-7224C49458BB}"/>
                <c:ext xmlns:c16="http://schemas.microsoft.com/office/drawing/2014/chart" uri="{C3380CC4-5D6E-409C-BE32-E72D297353CC}">
                  <c16:uniqueId val="{00000015-BD14-43F4-A3DA-EE482DFB7475}"/>
                </c:ext>
              </c:extLst>
            </c:dLbl>
            <c:dLbl>
              <c:idx val="16"/>
              <c:delete val="1"/>
              <c:extLst>
                <c:ext xmlns:c15="http://schemas.microsoft.com/office/drawing/2012/chart" uri="{CE6537A1-D6FC-4f65-9D91-7224C49458BB}"/>
                <c:ext xmlns:c16="http://schemas.microsoft.com/office/drawing/2014/chart" uri="{C3380CC4-5D6E-409C-BE32-E72D297353CC}">
                  <c16:uniqueId val="{00000016-BD14-43F4-A3DA-EE482DFB7475}"/>
                </c:ext>
              </c:extLst>
            </c:dLbl>
            <c:dLbl>
              <c:idx val="17"/>
              <c:layout>
                <c:manualLayout>
                  <c:x val="-2.1327017401502765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D14-43F4-A3DA-EE482DFB7475}"/>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ln>
                      <a:noFill/>
                    </a:ln>
                    <a:solidFill>
                      <a:schemeClr val="tx1">
                        <a:lumMod val="75000"/>
                        <a:lumOff val="25000"/>
                      </a:schemeClr>
                    </a:solidFill>
                    <a:latin typeface="+mj-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1'!$C$33:$N$33</c:f>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f>'Сценарио 1'!$C$39:$N$39</c:f>
              <c:numCache>
                <c:formatCode>#,##0.0</c:formatCode>
                <c:ptCount val="12"/>
                <c:pt idx="0">
                  <c:v>46.9</c:v>
                </c:pt>
                <c:pt idx="1">
                  <c:v>45</c:v>
                </c:pt>
                <c:pt idx="2">
                  <c:v>44.5</c:v>
                </c:pt>
                <c:pt idx="3">
                  <c:v>44.3</c:v>
                </c:pt>
                <c:pt idx="4">
                  <c:v>44.1</c:v>
                </c:pt>
                <c:pt idx="5">
                  <c:v>43.489899178491406</c:v>
                </c:pt>
                <c:pt idx="6">
                  <c:v>42.915907759600103</c:v>
                </c:pt>
                <c:pt idx="7">
                  <c:v>42.492694422976086</c:v>
                </c:pt>
                <c:pt idx="8">
                  <c:v>42.093377498081004</c:v>
                </c:pt>
                <c:pt idx="9">
                  <c:v>41.793354760626649</c:v>
                </c:pt>
                <c:pt idx="10">
                  <c:v>41.509725554860978</c:v>
                </c:pt>
                <c:pt idx="11">
                  <c:v>41.241594122404109</c:v>
                </c:pt>
              </c:numCache>
            </c:numRef>
          </c:val>
          <c:smooth val="0"/>
          <c:extLst>
            <c:ext xmlns:c16="http://schemas.microsoft.com/office/drawing/2014/chart" uri="{C3380CC4-5D6E-409C-BE32-E72D297353CC}">
              <c16:uniqueId val="{00000018-BD14-43F4-A3DA-EE482DFB7475}"/>
            </c:ext>
          </c:extLst>
        </c:ser>
        <c:dLbls>
          <c:showLegendKey val="0"/>
          <c:showVal val="0"/>
          <c:showCatName val="0"/>
          <c:showSerName val="0"/>
          <c:showPercent val="0"/>
          <c:showBubbleSize val="0"/>
        </c:dLbls>
        <c:marker val="1"/>
        <c:smooth val="0"/>
        <c:axId val="248069424"/>
        <c:axId val="248068304"/>
        <c:extLst>
          <c:ext xmlns:c15="http://schemas.microsoft.com/office/drawing/2012/chart" uri="{02D57815-91ED-43cb-92C2-25804820EDAC}">
            <c15:filteredLineSeries>
              <c15:ser>
                <c:idx val="3"/>
                <c:order val="0"/>
                <c:tx>
                  <c:strRef>
                    <c:extLst>
                      <c:ext uri="{02D57815-91ED-43cb-92C2-25804820EDAC}">
                        <c15:formulaRef>
                          <c15:sqref>'manje prilg + manji rast'!$B$33</c15:sqref>
                        </c15:formulaRef>
                      </c:ext>
                    </c:extLst>
                    <c:strCache>
                      <c:ptCount val="1"/>
                      <c:pt idx="0">
                        <c:v>Успорен раст након 2027, фискална експанзија</c:v>
                      </c:pt>
                    </c:strCache>
                  </c:strRef>
                </c:tx>
                <c:spPr>
                  <a:ln w="34925" cap="rnd">
                    <a:solidFill>
                      <a:srgbClr val="FF0000"/>
                    </a:solidFill>
                    <a:round/>
                  </a:ln>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Lbls>
                  <c:dLbl>
                    <c:idx val="0"/>
                    <c:delete val="1"/>
                    <c:extLst>
                      <c:ext uri="{CE6537A1-D6FC-4f65-9D91-7224C49458BB}"/>
                      <c:ext xmlns:c16="http://schemas.microsoft.com/office/drawing/2014/chart" uri="{C3380CC4-5D6E-409C-BE32-E72D297353CC}">
                        <c16:uniqueId val="{00000019-BD14-43F4-A3DA-EE482DFB7475}"/>
                      </c:ext>
                    </c:extLst>
                  </c:dLbl>
                  <c:dLbl>
                    <c:idx val="1"/>
                    <c:delete val="1"/>
                    <c:extLst>
                      <c:ext uri="{CE6537A1-D6FC-4f65-9D91-7224C49458BB}"/>
                      <c:ext xmlns:c16="http://schemas.microsoft.com/office/drawing/2014/chart" uri="{C3380CC4-5D6E-409C-BE32-E72D297353CC}">
                        <c16:uniqueId val="{0000001A-BD14-43F4-A3DA-EE482DFB7475}"/>
                      </c:ext>
                    </c:extLst>
                  </c:dLbl>
                  <c:dLbl>
                    <c:idx val="2"/>
                    <c:delete val="1"/>
                    <c:extLst>
                      <c:ext uri="{CE6537A1-D6FC-4f65-9D91-7224C49458BB}"/>
                      <c:ext xmlns:c16="http://schemas.microsoft.com/office/drawing/2014/chart" uri="{C3380CC4-5D6E-409C-BE32-E72D297353CC}">
                        <c16:uniqueId val="{0000001B-BD14-43F4-A3DA-EE482DFB7475}"/>
                      </c:ext>
                    </c:extLst>
                  </c:dLbl>
                  <c:dLbl>
                    <c:idx val="3"/>
                    <c:delete val="1"/>
                    <c:extLst>
                      <c:ext uri="{CE6537A1-D6FC-4f65-9D91-7224C49458BB}"/>
                      <c:ext xmlns:c16="http://schemas.microsoft.com/office/drawing/2014/chart" uri="{C3380CC4-5D6E-409C-BE32-E72D297353CC}">
                        <c16:uniqueId val="{0000001C-BD14-43F4-A3DA-EE482DFB7475}"/>
                      </c:ext>
                    </c:extLst>
                  </c:dLbl>
                  <c:dLbl>
                    <c:idx val="4"/>
                    <c:delete val="1"/>
                    <c:extLst>
                      <c:ext uri="{CE6537A1-D6FC-4f65-9D91-7224C49458BB}"/>
                      <c:ext xmlns:c16="http://schemas.microsoft.com/office/drawing/2014/chart" uri="{C3380CC4-5D6E-409C-BE32-E72D297353CC}">
                        <c16:uniqueId val="{0000001D-BD14-43F4-A3DA-EE482DFB7475}"/>
                      </c:ext>
                    </c:extLst>
                  </c:dLbl>
                  <c:dLbl>
                    <c:idx val="5"/>
                    <c:delete val="1"/>
                    <c:extLst>
                      <c:ext uri="{CE6537A1-D6FC-4f65-9D91-7224C49458BB}"/>
                      <c:ext xmlns:c16="http://schemas.microsoft.com/office/drawing/2014/chart" uri="{C3380CC4-5D6E-409C-BE32-E72D297353CC}">
                        <c16:uniqueId val="{0000001E-BD14-43F4-A3DA-EE482DFB7475}"/>
                      </c:ext>
                    </c:extLst>
                  </c:dLbl>
                  <c:dLbl>
                    <c:idx val="6"/>
                    <c:delete val="1"/>
                    <c:extLst>
                      <c:ext uri="{CE6537A1-D6FC-4f65-9D91-7224C49458BB}"/>
                      <c:ext xmlns:c16="http://schemas.microsoft.com/office/drawing/2014/chart" uri="{C3380CC4-5D6E-409C-BE32-E72D297353CC}">
                        <c16:uniqueId val="{0000001F-BD14-43F4-A3DA-EE482DFB7475}"/>
                      </c:ext>
                    </c:extLst>
                  </c:dLbl>
                  <c:dLbl>
                    <c:idx val="7"/>
                    <c:delete val="1"/>
                    <c:extLst>
                      <c:ext uri="{CE6537A1-D6FC-4f65-9D91-7224C49458BB}"/>
                      <c:ext xmlns:c16="http://schemas.microsoft.com/office/drawing/2014/chart" uri="{C3380CC4-5D6E-409C-BE32-E72D297353CC}">
                        <c16:uniqueId val="{00000020-BD14-43F4-A3DA-EE482DFB7475}"/>
                      </c:ext>
                    </c:extLst>
                  </c:dLbl>
                  <c:dLbl>
                    <c:idx val="8"/>
                    <c:delete val="1"/>
                    <c:extLst>
                      <c:ext uri="{CE6537A1-D6FC-4f65-9D91-7224C49458BB}"/>
                      <c:ext xmlns:c16="http://schemas.microsoft.com/office/drawing/2014/chart" uri="{C3380CC4-5D6E-409C-BE32-E72D297353CC}">
                        <c16:uniqueId val="{00000021-BD14-43F4-A3DA-EE482DFB7475}"/>
                      </c:ext>
                    </c:extLst>
                  </c:dLbl>
                  <c:dLbl>
                    <c:idx val="9"/>
                    <c:layout>
                      <c:manualLayout>
                        <c:x val="-1.015228426395939E-2"/>
                        <c:y val="-4.3062184733381789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22-BD14-43F4-A3DA-EE482DFB7475}"/>
                      </c:ext>
                    </c:extLst>
                  </c:dLbl>
                  <c:dLbl>
                    <c:idx val="11"/>
                    <c:delete val="1"/>
                    <c:extLst>
                      <c:ext uri="{CE6537A1-D6FC-4f65-9D91-7224C49458BB}"/>
                      <c:ext xmlns:c16="http://schemas.microsoft.com/office/drawing/2014/chart" uri="{C3380CC4-5D6E-409C-BE32-E72D297353CC}">
                        <c16:uniqueId val="{00000023-BD14-43F4-A3DA-EE482DFB7475}"/>
                      </c:ext>
                    </c:extLst>
                  </c:dLbl>
                  <c:dLbl>
                    <c:idx val="12"/>
                    <c:delete val="1"/>
                    <c:extLst>
                      <c:ext uri="{CE6537A1-D6FC-4f65-9D91-7224C49458BB}"/>
                      <c:ext xmlns:c16="http://schemas.microsoft.com/office/drawing/2014/chart" uri="{C3380CC4-5D6E-409C-BE32-E72D297353CC}">
                        <c16:uniqueId val="{00000024-BD14-43F4-A3DA-EE482DFB7475}"/>
                      </c:ext>
                    </c:extLst>
                  </c:dLbl>
                  <c:dLbl>
                    <c:idx val="13"/>
                    <c:layout>
                      <c:manualLayout>
                        <c:x val="-7.4257428637148227E-3"/>
                        <c:y val="-5.7416246311176233E-3"/>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25-BD14-43F4-A3DA-EE482DFB7475}"/>
                      </c:ext>
                    </c:extLst>
                  </c:dLbl>
                  <c:dLbl>
                    <c:idx val="14"/>
                    <c:layout>
                      <c:manualLayout>
                        <c:x val="-1.6042785477262247E-2"/>
                        <c:y val="-3.6099270150451522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26-BD14-43F4-A3DA-EE482DFB7475}"/>
                      </c:ext>
                    </c:extLst>
                  </c:dLbl>
                  <c:dLbl>
                    <c:idx val="15"/>
                    <c:delete val="1"/>
                    <c:extLst>
                      <c:ext uri="{CE6537A1-D6FC-4f65-9D91-7224C49458BB}"/>
                      <c:ext xmlns:c16="http://schemas.microsoft.com/office/drawing/2014/chart" uri="{C3380CC4-5D6E-409C-BE32-E72D297353CC}">
                        <c16:uniqueId val="{00000027-BD14-43F4-A3DA-EE482DFB7475}"/>
                      </c:ext>
                    </c:extLst>
                  </c:dLbl>
                  <c:dLbl>
                    <c:idx val="16"/>
                    <c:delete val="1"/>
                    <c:extLst>
                      <c:ext uri="{CE6537A1-D6FC-4f65-9D91-7224C49458BB}"/>
                      <c:ext xmlns:c16="http://schemas.microsoft.com/office/drawing/2014/chart" uri="{C3380CC4-5D6E-409C-BE32-E72D297353CC}">
                        <c16:uniqueId val="{00000028-BD14-43F4-A3DA-EE482DFB7475}"/>
                      </c:ext>
                    </c:extLst>
                  </c:dLbl>
                  <c:dLbl>
                    <c:idx val="17"/>
                    <c:layout>
                      <c:manualLayout>
                        <c:x val="-2.4170619721703136E-2"/>
                        <c:y val="-3.9107542662989152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29-BD14-43F4-A3DA-EE482DFB7475}"/>
                      </c:ext>
                    </c:extLst>
                  </c:dLbl>
                  <c:spPr>
                    <a:noFill/>
                    <a:ln>
                      <a:noFill/>
                    </a:ln>
                    <a:effectLst/>
                  </c:spPr>
                  <c:txPr>
                    <a:bodyPr rot="0" spcFirstLastPara="1" vertOverflow="ellipsis" vert="horz" wrap="square" anchor="ctr" anchorCtr="1"/>
                    <a:lstStyle/>
                    <a:p>
                      <a:pPr>
                        <a:defRPr sz="900" b="0" i="0" u="none" strike="noStrike" kern="1200" baseline="0">
                          <a:ln>
                            <a:noFill/>
                          </a:ln>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'Сценарио 1'!$C$33:$N$33</c15:sqref>
                        </c15:formulaRef>
                      </c:ext>
                    </c:extLst>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extLst>
                      <c:ext uri="{02D57815-91ED-43cb-92C2-25804820EDAC}">
                        <c15:formulaRef>
                          <c15:sqref>'manje prilg + manji rast'!$C$39:$J$39</c15:sqref>
                        </c15:formulaRef>
                      </c:ext>
                    </c:extLst>
                    <c:numCache>
                      <c:formatCode>#,##0.0</c:formatCode>
                      <c:ptCount val="8"/>
                      <c:pt idx="0">
                        <c:v>46.9</c:v>
                      </c:pt>
                      <c:pt idx="1">
                        <c:v>45</c:v>
                      </c:pt>
                      <c:pt idx="2">
                        <c:v>44.5</c:v>
                      </c:pt>
                      <c:pt idx="3">
                        <c:v>44.3</c:v>
                      </c:pt>
                      <c:pt idx="4">
                        <c:v>44.1</c:v>
                      </c:pt>
                      <c:pt idx="5">
                        <c:v>52.103796981639903</c:v>
                      </c:pt>
                      <c:pt idx="6">
                        <c:v>53.926791090004279</c:v>
                      </c:pt>
                      <c:pt idx="7">
                        <c:v>53.208604422105495</c:v>
                      </c:pt>
                    </c:numCache>
                  </c:numRef>
                </c:val>
                <c:smooth val="1"/>
                <c:extLst>
                  <c:ext xmlns:c16="http://schemas.microsoft.com/office/drawing/2014/chart" uri="{C3380CC4-5D6E-409C-BE32-E72D297353CC}">
                    <c16:uniqueId val="{0000002A-BD14-43F4-A3DA-EE482DFB7475}"/>
                  </c:ext>
                </c:extLst>
              </c15:ser>
            </c15:filteredLineSeries>
          </c:ext>
        </c:extLst>
      </c:lineChart>
      <c:catAx>
        <c:axId val="248069424"/>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ln>
                  <a:noFill/>
                </a:ln>
                <a:solidFill>
                  <a:schemeClr val="tx1">
                    <a:lumMod val="65000"/>
                    <a:lumOff val="35000"/>
                  </a:schemeClr>
                </a:solidFill>
                <a:latin typeface="+mj-lt"/>
                <a:ea typeface="+mn-ea"/>
                <a:cs typeface="+mn-cs"/>
              </a:defRPr>
            </a:pPr>
            <a:endParaRPr lang="en-US"/>
          </a:p>
        </c:txPr>
        <c:crossAx val="248068304"/>
        <c:crosses val="autoZero"/>
        <c:auto val="1"/>
        <c:lblAlgn val="ctr"/>
        <c:lblOffset val="100"/>
        <c:noMultiLvlLbl val="0"/>
      </c:catAx>
      <c:valAx>
        <c:axId val="248068304"/>
        <c:scaling>
          <c:orientation val="minMax"/>
          <c:max val="65"/>
          <c:min val="35"/>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800" b="0" i="0" u="none" strike="noStrike" kern="1200" baseline="0">
                    <a:ln>
                      <a:noFill/>
                    </a:ln>
                    <a:solidFill>
                      <a:schemeClr val="tx1">
                        <a:lumMod val="65000"/>
                        <a:lumOff val="35000"/>
                      </a:schemeClr>
                    </a:solidFill>
                    <a:latin typeface="+mj-lt"/>
                    <a:ea typeface="+mn-ea"/>
                    <a:cs typeface="+mn-cs"/>
                  </a:defRPr>
                </a:pPr>
                <a:r>
                  <a:rPr lang="sr-Cyrl-RS"/>
                  <a:t>% </a:t>
                </a:r>
                <a:r>
                  <a:rPr lang="en-US"/>
                  <a:t> </a:t>
                </a:r>
                <a:r>
                  <a:rPr lang="sr-Cyrl-RS"/>
                  <a:t>БДП </a:t>
                </a:r>
                <a:endParaRPr lang="en-US"/>
              </a:p>
            </c:rich>
          </c:tx>
          <c:layout>
            <c:manualLayout>
              <c:xMode val="edge"/>
              <c:yMode val="edge"/>
              <c:x val="7.0927748614756495E-2"/>
              <c:y val="0.61003063042066885"/>
            </c:manualLayout>
          </c:layout>
          <c:overlay val="0"/>
          <c:spPr>
            <a:noFill/>
            <a:ln>
              <a:noFill/>
            </a:ln>
            <a:effectLst/>
          </c:spPr>
          <c:txPr>
            <a:bodyPr rot="-5400000" spcFirstLastPara="1" vertOverflow="ellipsis" vert="horz" wrap="square" anchor="ctr" anchorCtr="1"/>
            <a:lstStyle/>
            <a:p>
              <a:pPr>
                <a:defRPr sz="800" b="0" i="0" u="none" strike="noStrike" kern="1200" baseline="0">
                  <a:ln>
                    <a:noFill/>
                  </a:ln>
                  <a:solidFill>
                    <a:schemeClr val="tx1">
                      <a:lumMod val="65000"/>
                      <a:lumOff val="35000"/>
                    </a:schemeClr>
                  </a:solidFill>
                  <a:latin typeface="+mj-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ln>
                  <a:noFill/>
                </a:ln>
                <a:solidFill>
                  <a:schemeClr val="tx1">
                    <a:lumMod val="65000"/>
                    <a:lumOff val="35000"/>
                  </a:schemeClr>
                </a:solidFill>
                <a:latin typeface="+mj-lt"/>
                <a:ea typeface="+mn-ea"/>
                <a:cs typeface="+mn-cs"/>
              </a:defRPr>
            </a:pPr>
            <a:endParaRPr lang="en-US"/>
          </a:p>
        </c:txPr>
        <c:crossAx val="248069424"/>
        <c:crosses val="autoZero"/>
        <c:crossBetween val="between"/>
        <c:majorUnit val="5"/>
      </c:valAx>
      <c:valAx>
        <c:axId val="1433710720"/>
        <c:scaling>
          <c:orientation val="minMax"/>
          <c:min val="0"/>
        </c:scaling>
        <c:delete val="1"/>
        <c:axPos val="r"/>
        <c:numFmt formatCode="#,##0.0" sourceLinked="1"/>
        <c:majorTickMark val="out"/>
        <c:minorTickMark val="none"/>
        <c:tickLblPos val="nextTo"/>
        <c:crossAx val="1433716128"/>
        <c:crosses val="max"/>
        <c:crossBetween val="between"/>
      </c:valAx>
      <c:catAx>
        <c:axId val="1433716128"/>
        <c:scaling>
          <c:orientation val="minMax"/>
        </c:scaling>
        <c:delete val="1"/>
        <c:axPos val="b"/>
        <c:numFmt formatCode="General" sourceLinked="1"/>
        <c:majorTickMark val="out"/>
        <c:minorTickMark val="none"/>
        <c:tickLblPos val="nextTo"/>
        <c:crossAx val="1433710720"/>
        <c:crosses val="autoZero"/>
        <c:auto val="1"/>
        <c:lblAlgn val="ctr"/>
        <c:lblOffset val="100"/>
        <c:noMultiLvlLbl val="0"/>
      </c:catAx>
      <c:spPr>
        <a:noFill/>
        <a:ln>
          <a:noFill/>
        </a:ln>
        <a:effectLst/>
      </c:spPr>
    </c:plotArea>
    <c:legend>
      <c:legendPos val="b"/>
      <c:layout>
        <c:manualLayout>
          <c:xMode val="edge"/>
          <c:yMode val="edge"/>
          <c:x val="1.4035087719298246E-2"/>
          <c:y val="0.86818464896189051"/>
          <c:w val="0.95092592592592595"/>
          <c:h val="0.13181535103810949"/>
        </c:manualLayout>
      </c:layout>
      <c:overlay val="0"/>
      <c:spPr>
        <a:noFill/>
        <a:ln>
          <a:noFill/>
        </a:ln>
        <a:effectLst/>
      </c:spPr>
      <c:txPr>
        <a:bodyPr rot="0" spcFirstLastPara="1" vertOverflow="ellipsis" vert="horz" wrap="square" anchor="ctr" anchorCtr="1"/>
        <a:lstStyle/>
        <a:p>
          <a:pPr>
            <a:defRPr sz="800" b="0" i="0" u="none" strike="noStrike" kern="1200" baseline="0">
              <a:ln>
                <a:noFill/>
              </a:ln>
              <a:solidFill>
                <a:schemeClr val="tx1">
                  <a:lumMod val="65000"/>
                  <a:lumOff val="35000"/>
                </a:schemeClr>
              </a:solidFill>
              <a:latin typeface="+mj-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ln>
            <a:noFill/>
          </a:ln>
          <a:latin typeface="+mj-lt"/>
        </a:defRPr>
      </a:pPr>
      <a:endParaRPr lang="en-US"/>
    </a:p>
  </c:txPr>
  <c:externalData r:id="rId3">
    <c:autoUpdate val="0"/>
  </c:externalData>
  <c:userShapes r:id="rId4"/>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252053796081997E-2"/>
          <c:y val="0"/>
          <c:w val="0.90916365972175073"/>
          <c:h val="0.66222099966761805"/>
        </c:manualLayout>
      </c:layout>
      <c:barChart>
        <c:barDir val="col"/>
        <c:grouping val="stacked"/>
        <c:varyColors val="0"/>
        <c:ser>
          <c:idx val="0"/>
          <c:order val="0"/>
          <c:tx>
            <c:strRef>
              <c:f>ucesce!$A$5</c:f>
              <c:strCache>
                <c:ptCount val="1"/>
                <c:pt idx="0">
                  <c:v>Директне обавезе</c:v>
                </c:pt>
              </c:strCache>
            </c:strRef>
          </c:tx>
          <c:spPr>
            <a:solidFill>
              <a:srgbClr val="10103C"/>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2022</c:v>
                </c:pt>
                <c:pt idx="1">
                  <c:v>2023</c:v>
                </c:pt>
                <c:pt idx="2">
                  <c:v>2024</c:v>
                </c:pt>
                <c:pt idx="3">
                  <c:v>2025/VIII</c:v>
                </c:pt>
              </c:strCache>
            </c:strRef>
          </c:cat>
          <c:val>
            <c:numRef>
              <c:f>ucesce!$B$5:$E$5</c:f>
              <c:numCache>
                <c:formatCode>0.0%</c:formatCode>
                <c:ptCount val="4"/>
                <c:pt idx="0">
                  <c:v>0.49979099999999999</c:v>
                </c:pt>
                <c:pt idx="1">
                  <c:v>0.45626899999999998</c:v>
                </c:pt>
                <c:pt idx="2">
                  <c:v>0.44464900000000002</c:v>
                </c:pt>
                <c:pt idx="3">
                  <c:v>0.4129230498</c:v>
                </c:pt>
              </c:numCache>
            </c:numRef>
          </c:val>
          <c:extLst>
            <c:ext xmlns:c16="http://schemas.microsoft.com/office/drawing/2014/chart" uri="{C3380CC4-5D6E-409C-BE32-E72D297353CC}">
              <c16:uniqueId val="{00000000-F946-46A3-A5DF-F0A380D921C6}"/>
            </c:ext>
          </c:extLst>
        </c:ser>
        <c:ser>
          <c:idx val="1"/>
          <c:order val="1"/>
          <c:tx>
            <c:strRef>
              <c:f>ucesce!$A$6</c:f>
              <c:strCache>
                <c:ptCount val="1"/>
                <c:pt idx="0">
                  <c:v>Индиректне обавезе</c:v>
                </c:pt>
              </c:strCache>
            </c:strRef>
          </c:tx>
          <c:spPr>
            <a:solidFill>
              <a:srgbClr val="2F3E9A"/>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2022</c:v>
                </c:pt>
                <c:pt idx="1">
                  <c:v>2023</c:v>
                </c:pt>
                <c:pt idx="2">
                  <c:v>2024</c:v>
                </c:pt>
                <c:pt idx="3">
                  <c:v>2025/VIII</c:v>
                </c:pt>
              </c:strCache>
            </c:strRef>
          </c:cat>
          <c:val>
            <c:numRef>
              <c:f>ucesce!$B$6:$E$6</c:f>
              <c:numCache>
                <c:formatCode>0.0%</c:formatCode>
                <c:ptCount val="4"/>
                <c:pt idx="0">
                  <c:v>2.4312E-2</c:v>
                </c:pt>
                <c:pt idx="1">
                  <c:v>2.4132000000000001E-2</c:v>
                </c:pt>
                <c:pt idx="2">
                  <c:v>2.1989999999999999E-2</c:v>
                </c:pt>
                <c:pt idx="3">
                  <c:v>1.8841684099999999E-2</c:v>
                </c:pt>
              </c:numCache>
            </c:numRef>
          </c:val>
          <c:extLst>
            <c:ext xmlns:c16="http://schemas.microsoft.com/office/drawing/2014/chart" uri="{C3380CC4-5D6E-409C-BE32-E72D297353CC}">
              <c16:uniqueId val="{00000001-F946-46A3-A5DF-F0A380D921C6}"/>
            </c:ext>
          </c:extLst>
        </c:ser>
        <c:ser>
          <c:idx val="2"/>
          <c:order val="2"/>
          <c:tx>
            <c:strRef>
              <c:f>ucesce!$A$7</c:f>
              <c:strCache>
                <c:ptCount val="1"/>
                <c:pt idx="0">
                  <c:v>Негарантовани дуг јединица локалне самоуправе, ЈП Путеви Србије и Коридори Србије д.о.о.</c:v>
                </c:pt>
              </c:strCache>
            </c:strRef>
          </c:tx>
          <c:spPr>
            <a:solidFill>
              <a:srgbClr val="51BBE7">
                <a:alpha val="50000"/>
              </a:srgbClr>
            </a:solidFill>
            <a:ln>
              <a:noFill/>
            </a:ln>
            <a:effectLst/>
          </c:spPr>
          <c:invertIfNegative val="0"/>
          <c:dLbls>
            <c:dLbl>
              <c:idx val="0"/>
              <c:layout>
                <c:manualLayout>
                  <c:x val="-2.8032302694319029E-17"/>
                  <c:y val="-2.83018938003005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946-46A3-A5DF-F0A380D921C6}"/>
                </c:ext>
              </c:extLst>
            </c:dLbl>
            <c:dLbl>
              <c:idx val="1"/>
              <c:layout>
                <c:manualLayout>
                  <c:x val="-3.0581047119132925E-3"/>
                  <c:y val="-3.773585840040073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946-46A3-A5DF-F0A380D921C6}"/>
                </c:ext>
              </c:extLst>
            </c:dLbl>
            <c:dLbl>
              <c:idx val="2"/>
              <c:layout>
                <c:manualLayout>
                  <c:x val="0"/>
                  <c:y val="-3.144654866700061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946-46A3-A5DF-F0A380D921C6}"/>
                </c:ext>
              </c:extLst>
            </c:dLbl>
            <c:dLbl>
              <c:idx val="3"/>
              <c:layout>
                <c:manualLayout>
                  <c:x val="0"/>
                  <c:y val="-2.830189380030057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946-46A3-A5DF-F0A380D921C6}"/>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2022</c:v>
                </c:pt>
                <c:pt idx="1">
                  <c:v>2023</c:v>
                </c:pt>
                <c:pt idx="2">
                  <c:v>2024</c:v>
                </c:pt>
                <c:pt idx="3">
                  <c:v>2025/VIII</c:v>
                </c:pt>
              </c:strCache>
            </c:strRef>
          </c:cat>
          <c:val>
            <c:numRef>
              <c:f>ucesce!$B$7:$E$7</c:f>
              <c:numCache>
                <c:formatCode>0.0%</c:formatCode>
                <c:ptCount val="4"/>
                <c:pt idx="0">
                  <c:v>4.8279999999999998E-3</c:v>
                </c:pt>
                <c:pt idx="1">
                  <c:v>3.4489999999999998E-3</c:v>
                </c:pt>
                <c:pt idx="2">
                  <c:v>2.833E-3</c:v>
                </c:pt>
                <c:pt idx="3">
                  <c:v>3.4681574526742431E-3</c:v>
                </c:pt>
              </c:numCache>
            </c:numRef>
          </c:val>
          <c:extLst>
            <c:ext xmlns:c16="http://schemas.microsoft.com/office/drawing/2014/chart" uri="{C3380CC4-5D6E-409C-BE32-E72D297353CC}">
              <c16:uniqueId val="{00000006-F946-46A3-A5DF-F0A380D921C6}"/>
            </c:ext>
          </c:extLst>
        </c:ser>
        <c:dLbls>
          <c:dLblPos val="ctr"/>
          <c:showLegendKey val="0"/>
          <c:showVal val="1"/>
          <c:showCatName val="0"/>
          <c:showSerName val="0"/>
          <c:showPercent val="0"/>
          <c:showBubbleSize val="0"/>
        </c:dLbls>
        <c:gapWidth val="79"/>
        <c:overlap val="100"/>
        <c:axId val="244077856"/>
        <c:axId val="244088736"/>
      </c:barChart>
      <c:catAx>
        <c:axId val="24407785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rgbClr val="44546A"/>
                </a:solidFill>
                <a:latin typeface="+mn-lt"/>
                <a:ea typeface="+mn-ea"/>
                <a:cs typeface="+mn-cs"/>
              </a:defRPr>
            </a:pPr>
            <a:endParaRPr lang="en-US"/>
          </a:p>
        </c:txPr>
        <c:crossAx val="244088736"/>
        <c:crosses val="autoZero"/>
        <c:auto val="1"/>
        <c:lblAlgn val="ctr"/>
        <c:lblOffset val="100"/>
        <c:noMultiLvlLbl val="0"/>
      </c:catAx>
      <c:valAx>
        <c:axId val="244088736"/>
        <c:scaling>
          <c:orientation val="minMax"/>
          <c:max val="0.75000000000000011"/>
          <c:min val="0"/>
        </c:scaling>
        <c:delete val="1"/>
        <c:axPos val="l"/>
        <c:numFmt formatCode="0%" sourceLinked="0"/>
        <c:majorTickMark val="none"/>
        <c:minorTickMark val="none"/>
        <c:tickLblPos val="nextTo"/>
        <c:crossAx val="244077856"/>
        <c:crosses val="autoZero"/>
        <c:crossBetween val="between"/>
      </c:valAx>
      <c:spPr>
        <a:noFill/>
        <a:ln>
          <a:noFill/>
        </a:ln>
        <a:effectLst/>
      </c:spPr>
    </c:plotArea>
    <c:legend>
      <c:legendPos val="t"/>
      <c:layout>
        <c:manualLayout>
          <c:xMode val="edge"/>
          <c:yMode val="edge"/>
          <c:x val="0"/>
          <c:y val="0.76272897705968568"/>
          <c:w val="0.98266107645635203"/>
          <c:h val="0.2032420183811428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289336635108885E-2"/>
          <c:y val="7.4689633864290325E-2"/>
          <c:w val="0.91606508156755739"/>
          <c:h val="0.71178888783480376"/>
        </c:manualLayout>
      </c:layout>
      <c:barChart>
        <c:barDir val="col"/>
        <c:grouping val="stacked"/>
        <c:varyColors val="0"/>
        <c:ser>
          <c:idx val="0"/>
          <c:order val="0"/>
          <c:tx>
            <c:strRef>
              <c:f>valutna!$A$5</c:f>
              <c:strCache>
                <c:ptCount val="1"/>
                <c:pt idx="0">
                  <c:v>EUR</c:v>
                </c:pt>
              </c:strCache>
            </c:strRef>
          </c:tx>
          <c:spPr>
            <a:solidFill>
              <a:srgbClr val="10103C"/>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2022</c:v>
                </c:pt>
                <c:pt idx="1">
                  <c:v>2023</c:v>
                </c:pt>
                <c:pt idx="2">
                  <c:v>2024</c:v>
                </c:pt>
                <c:pt idx="3">
                  <c:v>2025/VIII</c:v>
                </c:pt>
              </c:strCache>
            </c:strRef>
          </c:cat>
          <c:val>
            <c:numRef>
              <c:f>valutna!$B$5:$E$5</c:f>
              <c:numCache>
                <c:formatCode>0.0%</c:formatCode>
                <c:ptCount val="4"/>
                <c:pt idx="0">
                  <c:v>0.56122306338579264</c:v>
                </c:pt>
                <c:pt idx="1">
                  <c:v>0.57957374469545864</c:v>
                </c:pt>
                <c:pt idx="2">
                  <c:v>0.57734200837124594</c:v>
                </c:pt>
                <c:pt idx="3">
                  <c:v>0.58889999999999998</c:v>
                </c:pt>
              </c:numCache>
            </c:numRef>
          </c:val>
          <c:extLst>
            <c:ext xmlns:c16="http://schemas.microsoft.com/office/drawing/2014/chart" uri="{C3380CC4-5D6E-409C-BE32-E72D297353CC}">
              <c16:uniqueId val="{00000000-B2C9-46B7-B35A-1B3160674183}"/>
            </c:ext>
          </c:extLst>
        </c:ser>
        <c:ser>
          <c:idx val="1"/>
          <c:order val="1"/>
          <c:tx>
            <c:strRef>
              <c:f>valutna!$A$6</c:f>
              <c:strCache>
                <c:ptCount val="1"/>
                <c:pt idx="0">
                  <c:v>USD</c:v>
                </c:pt>
              </c:strCache>
            </c:strRef>
          </c:tx>
          <c:spPr>
            <a:solidFill>
              <a:srgbClr val="002060"/>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2022</c:v>
                </c:pt>
                <c:pt idx="1">
                  <c:v>2023</c:v>
                </c:pt>
                <c:pt idx="2">
                  <c:v>2024</c:v>
                </c:pt>
                <c:pt idx="3">
                  <c:v>2025/VIII</c:v>
                </c:pt>
              </c:strCache>
            </c:strRef>
          </c:cat>
          <c:val>
            <c:numRef>
              <c:f>valutna!$B$6:$E$6</c:f>
              <c:numCache>
                <c:formatCode>0.0%</c:formatCode>
                <c:ptCount val="4"/>
                <c:pt idx="0">
                  <c:v>0.14174924728991847</c:v>
                </c:pt>
                <c:pt idx="1">
                  <c:v>0.13312620372269271</c:v>
                </c:pt>
                <c:pt idx="2">
                  <c:v>0.13775908509356896</c:v>
                </c:pt>
                <c:pt idx="3">
                  <c:v>0.1237</c:v>
                </c:pt>
              </c:numCache>
            </c:numRef>
          </c:val>
          <c:extLst>
            <c:ext xmlns:c16="http://schemas.microsoft.com/office/drawing/2014/chart" uri="{C3380CC4-5D6E-409C-BE32-E72D297353CC}">
              <c16:uniqueId val="{00000001-B2C9-46B7-B35A-1B3160674183}"/>
            </c:ext>
          </c:extLst>
        </c:ser>
        <c:ser>
          <c:idx val="2"/>
          <c:order val="2"/>
          <c:tx>
            <c:strRef>
              <c:f>valutna!$A$7</c:f>
              <c:strCache>
                <c:ptCount val="1"/>
                <c:pt idx="0">
                  <c:v>RSD</c:v>
                </c:pt>
              </c:strCache>
            </c:strRef>
          </c:tx>
          <c:spPr>
            <a:solidFill>
              <a:srgbClr val="2F3E9A"/>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2022</c:v>
                </c:pt>
                <c:pt idx="1">
                  <c:v>2023</c:v>
                </c:pt>
                <c:pt idx="2">
                  <c:v>2024</c:v>
                </c:pt>
                <c:pt idx="3">
                  <c:v>2025/VIII</c:v>
                </c:pt>
              </c:strCache>
            </c:strRef>
          </c:cat>
          <c:val>
            <c:numRef>
              <c:f>valutna!$B$7:$E$7</c:f>
              <c:numCache>
                <c:formatCode>0.0%</c:formatCode>
                <c:ptCount val="4"/>
                <c:pt idx="0">
                  <c:v>0.24970540543766942</c:v>
                </c:pt>
                <c:pt idx="1">
                  <c:v>0.21547101425767157</c:v>
                </c:pt>
                <c:pt idx="2">
                  <c:v>0.21779451263943464</c:v>
                </c:pt>
                <c:pt idx="3">
                  <c:v>0.22439999999999999</c:v>
                </c:pt>
              </c:numCache>
            </c:numRef>
          </c:val>
          <c:extLst>
            <c:ext xmlns:c16="http://schemas.microsoft.com/office/drawing/2014/chart" uri="{C3380CC4-5D6E-409C-BE32-E72D297353CC}">
              <c16:uniqueId val="{00000002-B2C9-46B7-B35A-1B3160674183}"/>
            </c:ext>
          </c:extLst>
        </c:ser>
        <c:ser>
          <c:idx val="3"/>
          <c:order val="3"/>
          <c:tx>
            <c:strRef>
              <c:f>valutna!$A$8</c:f>
              <c:strCache>
                <c:ptCount val="1"/>
                <c:pt idx="0">
                  <c:v>SDR</c:v>
                </c:pt>
              </c:strCache>
            </c:strRef>
          </c:tx>
          <c:spPr>
            <a:solidFill>
              <a:srgbClr val="51BBE7"/>
            </a:solidFill>
            <a:ln>
              <a:noFill/>
            </a:ln>
            <a:effectLst/>
          </c:spPr>
          <c:invertIfNegative val="0"/>
          <c:dLbls>
            <c:dLbl>
              <c:idx val="1"/>
              <c:layout>
                <c:manualLayout>
                  <c:x val="0"/>
                  <c:y val="2.409638554216867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2C9-46B7-B35A-1B3160674183}"/>
                </c:ext>
              </c:extLst>
            </c:dLbl>
            <c:dLbl>
              <c:idx val="2"/>
              <c:layout>
                <c:manualLayout>
                  <c:x val="4.5392646391283781E-3"/>
                  <c:y val="4.016064257028112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2C9-46B7-B35A-1B3160674183}"/>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2022</c:v>
                </c:pt>
                <c:pt idx="1">
                  <c:v>2023</c:v>
                </c:pt>
                <c:pt idx="2">
                  <c:v>2024</c:v>
                </c:pt>
                <c:pt idx="3">
                  <c:v>2025/VIII</c:v>
                </c:pt>
              </c:strCache>
            </c:strRef>
          </c:cat>
          <c:val>
            <c:numRef>
              <c:f>valutna!$B$8:$E$8</c:f>
              <c:numCache>
                <c:formatCode>0.0%</c:formatCode>
                <c:ptCount val="4"/>
                <c:pt idx="0">
                  <c:v>3.9562422778152417E-2</c:v>
                </c:pt>
                <c:pt idx="1">
                  <c:v>6.6201702735121284E-2</c:v>
                </c:pt>
                <c:pt idx="2">
                  <c:v>6.3218324161884221E-2</c:v>
                </c:pt>
                <c:pt idx="3">
                  <c:v>5.9900000000000002E-2</c:v>
                </c:pt>
              </c:numCache>
            </c:numRef>
          </c:val>
          <c:extLst>
            <c:ext xmlns:c16="http://schemas.microsoft.com/office/drawing/2014/chart" uri="{C3380CC4-5D6E-409C-BE32-E72D297353CC}">
              <c16:uniqueId val="{00000005-B2C9-46B7-B35A-1B3160674183}"/>
            </c:ext>
          </c:extLst>
        </c:ser>
        <c:ser>
          <c:idx val="4"/>
          <c:order val="4"/>
          <c:tx>
            <c:strRef>
              <c:f>valutna!$A$9</c:f>
              <c:strCache>
                <c:ptCount val="1"/>
                <c:pt idx="0">
                  <c:v>Остале валуте</c:v>
                </c:pt>
              </c:strCache>
            </c:strRef>
          </c:tx>
          <c:spPr>
            <a:solidFill>
              <a:srgbClr val="C9E4EB"/>
            </a:solidFill>
            <a:ln>
              <a:noFill/>
            </a:ln>
            <a:effectLst/>
          </c:spPr>
          <c:invertIfNegative val="0"/>
          <c:dLbls>
            <c:dLbl>
              <c:idx val="0"/>
              <c:numFmt formatCode="0.0%" sourceLinked="0"/>
              <c:spPr>
                <a:noFill/>
                <a:ln>
                  <a:noFill/>
                </a:ln>
                <a:effectLst/>
              </c:spPr>
              <c:txPr>
                <a:bodyPr rot="0" spcFirstLastPara="1" vertOverflow="ellipsis" horzOverflow="clip" vert="horz" wrap="square" lIns="38100" tIns="19050" rIns="38100" bIns="19050" anchor="ctr" anchorCtr="1">
                  <a:noAutofit/>
                </a:bodyPr>
                <a:lstStyle/>
                <a:p>
                  <a:pPr>
                    <a:defRPr sz="750" b="1" i="0" u="none" strike="noStrike" kern="1200" baseline="0">
                      <a:solidFill>
                        <a:schemeClr val="tx2"/>
                      </a:solidFill>
                      <a:latin typeface="+mn-lt"/>
                      <a:ea typeface="+mn-ea"/>
                      <a:cs typeface="+mn-cs"/>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B2C9-46B7-B35A-1B3160674183}"/>
                </c:ext>
              </c:extLst>
            </c:dLbl>
            <c:dLbl>
              <c:idx val="1"/>
              <c:layout>
                <c:manualLayout>
                  <c:x val="4.6296296296295869E-3"/>
                  <c:y val="-1.909992958197298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2C9-46B7-B35A-1B3160674183}"/>
                </c:ext>
              </c:extLst>
            </c:dLbl>
            <c:dLbl>
              <c:idx val="2"/>
              <c:layout>
                <c:manualLayout>
                  <c:x val="-8.3218890365632274E-17"/>
                  <c:y val="-8.650033203680863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2C9-46B7-B35A-1B3160674183}"/>
                </c:ext>
              </c:extLst>
            </c:dLbl>
            <c:dLbl>
              <c:idx val="3"/>
              <c:layout>
                <c:manualLayout>
                  <c:x val="-1.6643778073126455E-16"/>
                  <c:y val="-2.273598330329190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2C9-46B7-B35A-1B3160674183}"/>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tx2"/>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2022</c:v>
                </c:pt>
                <c:pt idx="1">
                  <c:v>2023</c:v>
                </c:pt>
                <c:pt idx="2">
                  <c:v>2024</c:v>
                </c:pt>
                <c:pt idx="3">
                  <c:v>2025/VIII</c:v>
                </c:pt>
              </c:strCache>
            </c:strRef>
          </c:cat>
          <c:val>
            <c:numRef>
              <c:f>valutna!$B$9:$E$9</c:f>
              <c:numCache>
                <c:formatCode>0.0%</c:formatCode>
                <c:ptCount val="4"/>
                <c:pt idx="0">
                  <c:v>7.7598611084669349E-3</c:v>
                </c:pt>
                <c:pt idx="1">
                  <c:v>5.6273345890558444E-3</c:v>
                </c:pt>
                <c:pt idx="2">
                  <c:v>3.8860697338660927E-3</c:v>
                </c:pt>
                <c:pt idx="3">
                  <c:v>3.0999999999999999E-3</c:v>
                </c:pt>
              </c:numCache>
            </c:numRef>
          </c:val>
          <c:extLst>
            <c:ext xmlns:c16="http://schemas.microsoft.com/office/drawing/2014/chart" uri="{C3380CC4-5D6E-409C-BE32-E72D297353CC}">
              <c16:uniqueId val="{0000000A-B2C9-46B7-B35A-1B3160674183}"/>
            </c:ext>
          </c:extLst>
        </c:ser>
        <c:dLbls>
          <c:dLblPos val="ctr"/>
          <c:showLegendKey val="0"/>
          <c:showVal val="1"/>
          <c:showCatName val="0"/>
          <c:showSerName val="0"/>
          <c:showPercent val="0"/>
          <c:showBubbleSize val="0"/>
        </c:dLbls>
        <c:gapWidth val="79"/>
        <c:overlap val="100"/>
        <c:axId val="244059360"/>
        <c:axId val="244059904"/>
      </c:barChart>
      <c:catAx>
        <c:axId val="244059360"/>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chemeClr val="tx2"/>
                </a:solidFill>
                <a:latin typeface="+mn-lt"/>
                <a:ea typeface="+mn-ea"/>
                <a:cs typeface="+mn-cs"/>
              </a:defRPr>
            </a:pPr>
            <a:endParaRPr lang="en-US"/>
          </a:p>
        </c:txPr>
        <c:crossAx val="244059904"/>
        <c:crosses val="autoZero"/>
        <c:auto val="1"/>
        <c:lblAlgn val="ctr"/>
        <c:lblOffset val="100"/>
        <c:noMultiLvlLbl val="0"/>
      </c:catAx>
      <c:valAx>
        <c:axId val="244059904"/>
        <c:scaling>
          <c:orientation val="minMax"/>
          <c:max val="1"/>
          <c:min val="0"/>
        </c:scaling>
        <c:delete val="1"/>
        <c:axPos val="l"/>
        <c:numFmt formatCode="0%" sourceLinked="0"/>
        <c:majorTickMark val="none"/>
        <c:minorTickMark val="none"/>
        <c:tickLblPos val="nextTo"/>
        <c:crossAx val="244059360"/>
        <c:crosses val="autoZero"/>
        <c:crossBetween val="between"/>
      </c:valAx>
      <c:spPr>
        <a:noFill/>
        <a:ln>
          <a:noFill/>
        </a:ln>
        <a:effectLst/>
      </c:spPr>
    </c:plotArea>
    <c:legend>
      <c:legendPos val="t"/>
      <c:layout>
        <c:manualLayout>
          <c:xMode val="edge"/>
          <c:yMode val="edge"/>
          <c:x val="0.20007148448250597"/>
          <c:y val="0.91044274071004283"/>
          <c:w val="0.69327573636628759"/>
          <c:h val="4.4164415256261261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313099041539137E-2"/>
          <c:y val="0.11697286155107009"/>
          <c:w val="0.92201738463599303"/>
          <c:h val="0.69105764014135107"/>
        </c:manualLayout>
      </c:layout>
      <c:barChart>
        <c:barDir val="col"/>
        <c:grouping val="stacked"/>
        <c:varyColors val="0"/>
        <c:ser>
          <c:idx val="0"/>
          <c:order val="0"/>
          <c:tx>
            <c:strRef>
              <c:f>kamatna!$A$5</c:f>
              <c:strCache>
                <c:ptCount val="1"/>
                <c:pt idx="0">
                  <c:v>Фиксне каматне стопе</c:v>
                </c:pt>
              </c:strCache>
            </c:strRef>
          </c:tx>
          <c:spPr>
            <a:solidFill>
              <a:srgbClr val="002060"/>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2022</c:v>
                </c:pt>
                <c:pt idx="1">
                  <c:v>2023</c:v>
                </c:pt>
                <c:pt idx="2">
                  <c:v>2024</c:v>
                </c:pt>
                <c:pt idx="3">
                  <c:v>2025/VIII</c:v>
                </c:pt>
              </c:strCache>
            </c:strRef>
          </c:cat>
          <c:val>
            <c:numRef>
              <c:f>kamatna!$B$5:$E$5</c:f>
              <c:numCache>
                <c:formatCode>0.0%</c:formatCode>
                <c:ptCount val="4"/>
                <c:pt idx="0">
                  <c:v>0.81661435297172802</c:v>
                </c:pt>
                <c:pt idx="1">
                  <c:v>0.72240891395082141</c:v>
                </c:pt>
                <c:pt idx="2">
                  <c:v>0.71408664636102981</c:v>
                </c:pt>
                <c:pt idx="3">
                  <c:v>0.70108128689936666</c:v>
                </c:pt>
              </c:numCache>
            </c:numRef>
          </c:val>
          <c:extLst>
            <c:ext xmlns:c16="http://schemas.microsoft.com/office/drawing/2014/chart" uri="{C3380CC4-5D6E-409C-BE32-E72D297353CC}">
              <c16:uniqueId val="{00000000-8CCD-4FB3-BEBF-7C9519F486C0}"/>
            </c:ext>
          </c:extLst>
        </c:ser>
        <c:ser>
          <c:idx val="1"/>
          <c:order val="1"/>
          <c:tx>
            <c:strRef>
              <c:f>kamatna!$A$6</c:f>
              <c:strCache>
                <c:ptCount val="1"/>
                <c:pt idx="0">
                  <c:v>Варијабилне каматне стопе</c:v>
                </c:pt>
              </c:strCache>
            </c:strRef>
          </c:tx>
          <c:spPr>
            <a:solidFill>
              <a:srgbClr val="2F3E9A"/>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2022</c:v>
                </c:pt>
                <c:pt idx="1">
                  <c:v>2023</c:v>
                </c:pt>
                <c:pt idx="2">
                  <c:v>2024</c:v>
                </c:pt>
                <c:pt idx="3">
                  <c:v>2025/VIII</c:v>
                </c:pt>
              </c:strCache>
            </c:strRef>
          </c:cat>
          <c:val>
            <c:numRef>
              <c:f>kamatna!$B$6:$E$6</c:f>
              <c:numCache>
                <c:formatCode>0.0%</c:formatCode>
                <c:ptCount val="4"/>
                <c:pt idx="0">
                  <c:v>0.18338564702827198</c:v>
                </c:pt>
                <c:pt idx="1">
                  <c:v>0.27759108604917854</c:v>
                </c:pt>
                <c:pt idx="2">
                  <c:v>0.2859133536389703</c:v>
                </c:pt>
                <c:pt idx="3">
                  <c:v>0.29891871310063323</c:v>
                </c:pt>
              </c:numCache>
            </c:numRef>
          </c:val>
          <c:extLst>
            <c:ext xmlns:c16="http://schemas.microsoft.com/office/drawing/2014/chart" uri="{C3380CC4-5D6E-409C-BE32-E72D297353CC}">
              <c16:uniqueId val="{00000001-8CCD-4FB3-BEBF-7C9519F486C0}"/>
            </c:ext>
          </c:extLst>
        </c:ser>
        <c:dLbls>
          <c:dLblPos val="ctr"/>
          <c:showLegendKey val="0"/>
          <c:showVal val="1"/>
          <c:showCatName val="0"/>
          <c:showSerName val="0"/>
          <c:showPercent val="0"/>
          <c:showBubbleSize val="0"/>
        </c:dLbls>
        <c:gapWidth val="79"/>
        <c:overlap val="100"/>
        <c:axId val="244061536"/>
        <c:axId val="244062080"/>
      </c:barChart>
      <c:catAx>
        <c:axId val="24406153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800" b="0" i="0" u="none" strike="noStrike" kern="1200" cap="all" spc="120" normalizeH="0" baseline="0">
                <a:solidFill>
                  <a:schemeClr val="tx2"/>
                </a:solidFill>
                <a:latin typeface="+mn-lt"/>
                <a:ea typeface="+mn-ea"/>
                <a:cs typeface="+mn-cs"/>
              </a:defRPr>
            </a:pPr>
            <a:endParaRPr lang="en-US"/>
          </a:p>
        </c:txPr>
        <c:crossAx val="244062080"/>
        <c:crosses val="autoZero"/>
        <c:auto val="1"/>
        <c:lblAlgn val="ctr"/>
        <c:lblOffset val="100"/>
        <c:noMultiLvlLbl val="0"/>
      </c:catAx>
      <c:valAx>
        <c:axId val="244062080"/>
        <c:scaling>
          <c:orientation val="minMax"/>
          <c:max val="1"/>
          <c:min val="0"/>
        </c:scaling>
        <c:delete val="1"/>
        <c:axPos val="l"/>
        <c:numFmt formatCode="0%" sourceLinked="0"/>
        <c:majorTickMark val="none"/>
        <c:minorTickMark val="none"/>
        <c:tickLblPos val="nextTo"/>
        <c:crossAx val="244061536"/>
        <c:crosses val="autoZero"/>
        <c:crossBetween val="between"/>
      </c:valAx>
      <c:spPr>
        <a:noFill/>
        <a:ln w="25400">
          <a:noFill/>
        </a:ln>
        <a:effectLst/>
      </c:spPr>
    </c:plotArea>
    <c:legend>
      <c:legendPos val="t"/>
      <c:layout>
        <c:manualLayout>
          <c:xMode val="edge"/>
          <c:yMode val="edge"/>
          <c:x val="7.915879265091863E-2"/>
          <c:y val="0.93890499194846999"/>
          <c:w val="0.8083490813648293"/>
          <c:h val="6.0789430306718906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r>
              <a:rPr lang="sr-Cyrl-RS" sz="900" b="1">
                <a:solidFill>
                  <a:srgbClr val="002060"/>
                </a:solidFill>
              </a:rPr>
              <a:t>Стопа</a:t>
            </a:r>
            <a:r>
              <a:rPr lang="sr-Cyrl-RS" sz="900" b="1" baseline="0">
                <a:solidFill>
                  <a:srgbClr val="002060"/>
                </a:solidFill>
              </a:rPr>
              <a:t> раста БДП Русије</a:t>
            </a:r>
            <a:r>
              <a:rPr lang="sr-Cyrl-RS" sz="900" b="1">
                <a:solidFill>
                  <a:srgbClr val="002060"/>
                </a:solidFill>
              </a:rPr>
              <a:t>, %</a:t>
            </a:r>
          </a:p>
        </c:rich>
      </c:tx>
      <c:layout>
        <c:manualLayout>
          <c:xMode val="edge"/>
          <c:yMode val="edge"/>
          <c:x val="0.3266378600823045"/>
          <c:y val="2.1166666666666667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857688888888889"/>
          <c:w val="0.88876071125802292"/>
          <c:h val="0.69037833333333332"/>
        </c:manualLayout>
      </c:layout>
      <c:lineChart>
        <c:grouping val="standard"/>
        <c:varyColors val="0"/>
        <c:ser>
          <c:idx val="0"/>
          <c:order val="0"/>
          <c:tx>
            <c:strRef>
              <c:f>'SAD,Kina,Rusija, realni rast'!$A$34</c:f>
              <c:strCache>
                <c:ptCount val="1"/>
                <c:pt idx="0">
                  <c:v>окт. 2024.</c:v>
                </c:pt>
              </c:strCache>
            </c:strRef>
          </c:tx>
          <c:spPr>
            <a:ln w="25400" cap="rnd">
              <a:solidFill>
                <a:schemeClr val="accent4"/>
              </a:solidFill>
              <a:prstDash val="sysDot"/>
              <a:round/>
            </a:ln>
            <a:effectLst/>
          </c:spPr>
          <c:marker>
            <c:symbol val="none"/>
          </c:marker>
          <c:dLbls>
            <c:dLbl>
              <c:idx val="0"/>
              <c:layout>
                <c:manualLayout>
                  <c:x val="-0.10611049955138825"/>
                  <c:y val="1.74318228697189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7A2-474D-85E6-49385D7F350A}"/>
                </c:ext>
              </c:extLst>
            </c:dLbl>
            <c:dLbl>
              <c:idx val="1"/>
              <c:layout>
                <c:manualLayout>
                  <c:x val="-6.4198744468696792E-2"/>
                  <c:y val="-7.28440143592551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7A2-474D-85E6-49385D7F350A}"/>
                </c:ext>
              </c:extLst>
            </c:dLbl>
            <c:dLbl>
              <c:idx val="2"/>
              <c:layout>
                <c:manualLayout>
                  <c:x val="-3.2007395914070126E-2"/>
                  <c:y val="-6.64112396306359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7A2-474D-85E6-49385D7F350A}"/>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rast'!$E$33:$I$33</c:f>
              <c:numCache>
                <c:formatCode>General</c:formatCode>
                <c:ptCount val="3"/>
                <c:pt idx="0">
                  <c:v>2024</c:v>
                </c:pt>
                <c:pt idx="1">
                  <c:v>2025</c:v>
                </c:pt>
                <c:pt idx="2">
                  <c:v>2026</c:v>
                </c:pt>
              </c:numCache>
            </c:numRef>
          </c:cat>
          <c:val>
            <c:numRef>
              <c:f>'SAD,Kina,Rusija, realni rast'!$E$34:$I$34</c:f>
              <c:numCache>
                <c:formatCode>0.0</c:formatCode>
                <c:ptCount val="3"/>
                <c:pt idx="0">
                  <c:v>3.6</c:v>
                </c:pt>
                <c:pt idx="1">
                  <c:v>1.3</c:v>
                </c:pt>
                <c:pt idx="2">
                  <c:v>1.2</c:v>
                </c:pt>
              </c:numCache>
            </c:numRef>
          </c:val>
          <c:smooth val="0"/>
          <c:extLst>
            <c:ext xmlns:c16="http://schemas.microsoft.com/office/drawing/2014/chart" uri="{C3380CC4-5D6E-409C-BE32-E72D297353CC}">
              <c16:uniqueId val="{00000003-97A2-474D-85E6-49385D7F350A}"/>
            </c:ext>
          </c:extLst>
        </c:ser>
        <c:ser>
          <c:idx val="1"/>
          <c:order val="1"/>
          <c:tx>
            <c:strRef>
              <c:f>'SAD,Kina,Rusija, realni rast'!$A$35</c:f>
              <c:strCache>
                <c:ptCount val="1"/>
                <c:pt idx="0">
                  <c:v>апр. 2025.</c:v>
                </c:pt>
              </c:strCache>
            </c:strRef>
          </c:tx>
          <c:spPr>
            <a:ln w="22225" cap="rnd">
              <a:solidFill>
                <a:srgbClr val="002060"/>
              </a:solidFill>
              <a:prstDash val="sysDash"/>
              <a:round/>
            </a:ln>
            <a:effectLst/>
          </c:spPr>
          <c:marker>
            <c:symbol val="none"/>
          </c:marker>
          <c:dLbls>
            <c:dLbl>
              <c:idx val="0"/>
              <c:layout>
                <c:manualLayout>
                  <c:x val="-0.12445704887614389"/>
                  <c:y val="6.1817211551671046E-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7A2-474D-85E6-49385D7F350A}"/>
                </c:ext>
              </c:extLst>
            </c:dLbl>
            <c:dLbl>
              <c:idx val="1"/>
              <c:layout>
                <c:manualLayout>
                  <c:x val="-2.3015165550105646E-2"/>
                  <c:y val="-7.36047445340654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7A2-474D-85E6-49385D7F350A}"/>
                </c:ext>
              </c:extLst>
            </c:dLbl>
            <c:dLbl>
              <c:idx val="2"/>
              <c:layout>
                <c:manualLayout>
                  <c:x val="-8.9224301525280044E-3"/>
                  <c:y val="5.99418792053837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7A2-474D-85E6-49385D7F350A}"/>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rast'!$E$33:$I$33</c:f>
              <c:numCache>
                <c:formatCode>General</c:formatCode>
                <c:ptCount val="3"/>
                <c:pt idx="0">
                  <c:v>2024</c:v>
                </c:pt>
                <c:pt idx="1">
                  <c:v>2025</c:v>
                </c:pt>
                <c:pt idx="2">
                  <c:v>2026</c:v>
                </c:pt>
              </c:numCache>
            </c:numRef>
          </c:cat>
          <c:val>
            <c:numRef>
              <c:f>'SAD,Kina,Rusija, realni rast'!$E$35:$I$35</c:f>
              <c:numCache>
                <c:formatCode>0.0</c:formatCode>
                <c:ptCount val="3"/>
                <c:pt idx="0">
                  <c:v>4.0999999999999996</c:v>
                </c:pt>
                <c:pt idx="1">
                  <c:v>1.5</c:v>
                </c:pt>
                <c:pt idx="2">
                  <c:v>0.9</c:v>
                </c:pt>
              </c:numCache>
            </c:numRef>
          </c:val>
          <c:smooth val="0"/>
          <c:extLst>
            <c:ext xmlns:c16="http://schemas.microsoft.com/office/drawing/2014/chart" uri="{C3380CC4-5D6E-409C-BE32-E72D297353CC}">
              <c16:uniqueId val="{00000007-97A2-474D-85E6-49385D7F350A}"/>
            </c:ext>
          </c:extLst>
        </c:ser>
        <c:ser>
          <c:idx val="2"/>
          <c:order val="2"/>
          <c:tx>
            <c:strRef>
              <c:f>'SAD,Kina,Rusija, realni rast'!$A$36</c:f>
              <c:strCache>
                <c:ptCount val="1"/>
                <c:pt idx="0">
                  <c:v>окт. 2025.</c:v>
                </c:pt>
              </c:strCache>
            </c:strRef>
          </c:tx>
          <c:spPr>
            <a:ln w="28575" cap="rnd">
              <a:solidFill>
                <a:srgbClr val="FF0000"/>
              </a:solidFill>
              <a:round/>
            </a:ln>
            <a:effectLst/>
          </c:spPr>
          <c:marker>
            <c:symbol val="none"/>
          </c:marker>
          <c:dLbls>
            <c:dLbl>
              <c:idx val="0"/>
              <c:tx>
                <c:rich>
                  <a:bodyPr/>
                  <a:lstStyle/>
                  <a:p>
                    <a:fld id="{7A763104-C9FC-4036-BE7D-A3D8C791F5BE}"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97A2-474D-85E6-49385D7F350A}"/>
                </c:ext>
              </c:extLst>
            </c:dLbl>
            <c:dLbl>
              <c:idx val="1"/>
              <c:tx>
                <c:rich>
                  <a:bodyPr/>
                  <a:lstStyle/>
                  <a:p>
                    <a:fld id="{5B471D56-7C8D-4C39-BA6A-1902CF213971}"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97A2-474D-85E6-49385D7F350A}"/>
                </c:ext>
              </c:extLst>
            </c:dLbl>
            <c:dLbl>
              <c:idx val="2"/>
              <c:tx>
                <c:rich>
                  <a:bodyPr/>
                  <a:lstStyle/>
                  <a:p>
                    <a:fld id="{478181A0-A492-41A8-9E8B-1B7E3A15ACCF}" type="VALUE">
                      <a:rPr lang="en-US" sz="700">
                        <a:solidFill>
                          <a:schemeClr val="bg1"/>
                        </a:solidFill>
                      </a:rPr>
                      <a:pPr/>
                      <a:t>[VALUE]</a:t>
                    </a:fld>
                    <a:endParaRPr lang="sr-Latn-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97A2-474D-85E6-49385D7F350A}"/>
                </c:ext>
              </c:extLst>
            </c:dLbl>
            <c:spPr>
              <a:solidFill>
                <a:srgbClr val="FF0000"/>
              </a:solidFill>
              <a:ln>
                <a:solidFill>
                  <a:srgbClr val="FF0000"/>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flowChartConnector">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'SAD,Kina,Rusija, realni rast'!$E$33:$I$33</c:f>
              <c:numCache>
                <c:formatCode>General</c:formatCode>
                <c:ptCount val="3"/>
                <c:pt idx="0">
                  <c:v>2024</c:v>
                </c:pt>
                <c:pt idx="1">
                  <c:v>2025</c:v>
                </c:pt>
                <c:pt idx="2">
                  <c:v>2026</c:v>
                </c:pt>
              </c:numCache>
            </c:numRef>
          </c:cat>
          <c:val>
            <c:numRef>
              <c:f>'SAD,Kina,Rusija, realni rast'!$E$36:$I$36</c:f>
              <c:numCache>
                <c:formatCode>0.0</c:formatCode>
                <c:ptCount val="3"/>
                <c:pt idx="0">
                  <c:v>4.3440000000000003</c:v>
                </c:pt>
                <c:pt idx="1">
                  <c:v>0.60899999999999999</c:v>
                </c:pt>
                <c:pt idx="2">
                  <c:v>0.95299999999999996</c:v>
                </c:pt>
              </c:numCache>
            </c:numRef>
          </c:val>
          <c:smooth val="0"/>
          <c:extLst>
            <c:ext xmlns:c16="http://schemas.microsoft.com/office/drawing/2014/chart" uri="{C3380CC4-5D6E-409C-BE32-E72D297353CC}">
              <c16:uniqueId val="{0000000B-97A2-474D-85E6-49385D7F350A}"/>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947013702710755"/>
          <c:y val="0.1159364568431092"/>
          <c:w val="0.7124333482275842"/>
          <c:h val="0.65796894188418298"/>
        </c:manualLayout>
      </c:layout>
      <c:scatterChart>
        <c:scatterStyle val="lineMarker"/>
        <c:varyColors val="0"/>
        <c:ser>
          <c:idx val="0"/>
          <c:order val="0"/>
          <c:tx>
            <c:strRef>
              <c:f>'3Y_OUTPUT'!$C$123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dLbl>
              <c:idx val="0"/>
              <c:layout>
                <c:manualLayout>
                  <c:x val="-4.2278996717422966E-3"/>
                  <c:y val="1.2394070391751676E-2"/>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E6A3-4331-B00B-249AC0C44CEA}"/>
                </c:ext>
              </c:extLst>
            </c:dLbl>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'3Y_OUTPUT'!$C$129</c:f>
              <c:numCache>
                <c:formatCode>0.00</c:formatCode>
                <c:ptCount val="1"/>
                <c:pt idx="0">
                  <c:v>3.1826702372778968</c:v>
                </c:pt>
              </c:numCache>
            </c:numRef>
          </c:xVal>
          <c:yVal>
            <c:numRef>
              <c:f>'3Y_OUTPUT'!$C$124</c:f>
              <c:numCache>
                <c:formatCode>0.0</c:formatCode>
                <c:ptCount val="1"/>
                <c:pt idx="0">
                  <c:v>43.599627870729492</c:v>
                </c:pt>
              </c:numCache>
            </c:numRef>
          </c:yVal>
          <c:smooth val="0"/>
          <c:extLst>
            <c:ext xmlns:c16="http://schemas.microsoft.com/office/drawing/2014/chart" uri="{C3380CC4-5D6E-409C-BE32-E72D297353CC}">
              <c16:uniqueId val="{00000001-E6A3-4331-B00B-249AC0C44CEA}"/>
            </c:ext>
          </c:extLst>
        </c:ser>
        <c:ser>
          <c:idx val="1"/>
          <c:order val="1"/>
          <c:tx>
            <c:strRef>
              <c:f>'3Y_OUTPUT'!$D$123</c:f>
              <c:strCache>
                <c:ptCount val="1"/>
                <c:pt idx="0">
                  <c:v>C2</c:v>
                </c:pt>
              </c:strCache>
            </c:strRef>
          </c:tx>
          <c:spPr>
            <a:ln w="127000" cap="flat" cmpd="dbl" algn="ctr">
              <a:solidFill>
                <a:srgbClr val="00B050">
                  <a:alpha val="50000"/>
                </a:srgbClr>
              </a:solidFill>
              <a:round/>
            </a:ln>
            <a:effectLst/>
          </c:spPr>
          <c:marker>
            <c:symbol val="circle"/>
            <c:size val="10"/>
            <c:spPr>
              <a:solidFill>
                <a:srgbClr val="00B050"/>
              </a:solidFill>
              <a:ln w="9525" cap="flat" cmpd="dbl" algn="ctr">
                <a:solidFill>
                  <a:srgbClr val="00B05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'3Y_OUTPUT'!$D$129</c:f>
              <c:numCache>
                <c:formatCode>0.00</c:formatCode>
                <c:ptCount val="1"/>
                <c:pt idx="0">
                  <c:v>3.5811746923170418</c:v>
                </c:pt>
              </c:numCache>
            </c:numRef>
          </c:xVal>
          <c:yVal>
            <c:numRef>
              <c:f>'3Y_OUTPUT'!$D$124</c:f>
              <c:numCache>
                <c:formatCode>0.0</c:formatCode>
                <c:ptCount val="1"/>
                <c:pt idx="0">
                  <c:v>43.696796573103548</c:v>
                </c:pt>
              </c:numCache>
            </c:numRef>
          </c:yVal>
          <c:smooth val="0"/>
          <c:extLst>
            <c:ext xmlns:c16="http://schemas.microsoft.com/office/drawing/2014/chart" uri="{C3380CC4-5D6E-409C-BE32-E72D297353CC}">
              <c16:uniqueId val="{00000002-E6A3-4331-B00B-249AC0C44CEA}"/>
            </c:ext>
          </c:extLst>
        </c:ser>
        <c:ser>
          <c:idx val="2"/>
          <c:order val="2"/>
          <c:tx>
            <c:strRef>
              <c:f>'3Y_OUTPUT'!$E$123</c:f>
              <c:strCache>
                <c:ptCount val="1"/>
                <c:pt idx="0">
                  <c:v>C3</c:v>
                </c:pt>
              </c:strCache>
            </c:strRef>
          </c:tx>
          <c:spPr>
            <a:ln w="127000" cap="flat" cmpd="dbl" algn="ctr">
              <a:solidFill>
                <a:srgbClr val="9BBB59">
                  <a:alpha val="50000"/>
                </a:srgbClr>
              </a:solidFill>
              <a:round/>
            </a:ln>
            <a:effectLst/>
          </c:spPr>
          <c:marker>
            <c:symbol val="circle"/>
            <c:size val="10"/>
            <c:spPr>
              <a:solidFill>
                <a:srgbClr val="7030A0"/>
              </a:solidFill>
              <a:ln w="9525" cap="flat" cmpd="dbl" algn="ctr">
                <a:solidFill>
                  <a:srgbClr val="7030A0">
                    <a:alpha val="70000"/>
                  </a:srgbClr>
                </a:solidFill>
                <a:round/>
              </a:ln>
              <a:effectLst/>
            </c:spPr>
          </c:marker>
          <c:dLbls>
            <c:dLbl>
              <c:idx val="0"/>
              <c:layout>
                <c:manualLayout>
                  <c:x val="1.8112480988097867E-4"/>
                  <c:y val="2.0671791853244248E-2"/>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3-E6A3-4331-B00B-249AC0C44CEA}"/>
                </c:ext>
              </c:extLst>
            </c:dLbl>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'3Y_OUTPUT'!$E$129</c:f>
              <c:numCache>
                <c:formatCode>0.00</c:formatCode>
                <c:ptCount val="1"/>
                <c:pt idx="0">
                  <c:v>3.5701358057660357</c:v>
                </c:pt>
              </c:numCache>
            </c:numRef>
          </c:xVal>
          <c:yVal>
            <c:numRef>
              <c:f>'3Y_OUTPUT'!$E$124</c:f>
              <c:numCache>
                <c:formatCode>0.0</c:formatCode>
                <c:ptCount val="1"/>
                <c:pt idx="0">
                  <c:v>43.588467502020819</c:v>
                </c:pt>
              </c:numCache>
            </c:numRef>
          </c:yVal>
          <c:smooth val="0"/>
          <c:extLst>
            <c:ext xmlns:c16="http://schemas.microsoft.com/office/drawing/2014/chart" uri="{C3380CC4-5D6E-409C-BE32-E72D297353CC}">
              <c16:uniqueId val="{00000004-E6A3-4331-B00B-249AC0C44CEA}"/>
            </c:ext>
          </c:extLst>
        </c:ser>
        <c:ser>
          <c:idx val="3"/>
          <c:order val="3"/>
          <c:tx>
            <c:strRef>
              <c:f>'3Y_OUTPUT'!$F$123</c:f>
              <c:strCache>
                <c:ptCount val="1"/>
                <c:pt idx="0">
                  <c:v>C4</c:v>
                </c:pt>
              </c:strCache>
            </c:strRef>
          </c:tx>
          <c:spPr>
            <a:ln w="25400" cap="flat" cmpd="dbl" algn="ctr">
              <a:noFill/>
              <a:round/>
            </a:ln>
            <a:effectLst/>
          </c:spPr>
          <c:marker>
            <c:symbol val="circle"/>
            <c:size val="10"/>
            <c:spPr>
              <a:solidFill>
                <a:srgbClr val="1F497D">
                  <a:alpha val="98000"/>
                </a:srgbClr>
              </a:solidFill>
              <a:ln w="9525" cap="flat" cmpd="dbl" algn="ctr">
                <a:solidFill>
                  <a:srgbClr val="1F497D">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'3Y_OUTPUT'!$F$129</c:f>
              <c:numCache>
                <c:formatCode>0.00</c:formatCode>
                <c:ptCount val="1"/>
                <c:pt idx="0">
                  <c:v>2.4220850022554359</c:v>
                </c:pt>
              </c:numCache>
            </c:numRef>
          </c:xVal>
          <c:yVal>
            <c:numRef>
              <c:f>'3Y_OUTPUT'!$F$124</c:f>
              <c:numCache>
                <c:formatCode>0.0</c:formatCode>
                <c:ptCount val="1"/>
                <c:pt idx="0">
                  <c:v>43.705707325576455</c:v>
                </c:pt>
              </c:numCache>
            </c:numRef>
          </c:yVal>
          <c:smooth val="0"/>
          <c:extLst>
            <c:ext xmlns:c16="http://schemas.microsoft.com/office/drawing/2014/chart" uri="{C3380CC4-5D6E-409C-BE32-E72D297353CC}">
              <c16:uniqueId val="{00000005-E6A3-4331-B00B-249AC0C44CEA}"/>
            </c:ext>
          </c:extLst>
        </c:ser>
        <c:dLbls>
          <c:showLegendKey val="0"/>
          <c:showVal val="0"/>
          <c:showCatName val="0"/>
          <c:showSerName val="0"/>
          <c:showPercent val="0"/>
          <c:showBubbleSize val="0"/>
        </c:dLbls>
        <c:axId val="253667200"/>
        <c:axId val="253681664"/>
      </c:scatterChart>
      <c:valAx>
        <c:axId val="253667200"/>
        <c:scaling>
          <c:orientation val="minMax"/>
          <c:max val="3.8"/>
          <c:min val="2.4"/>
        </c:scaling>
        <c:delete val="0"/>
        <c:axPos val="b"/>
        <c:majorGridlines>
          <c:spPr>
            <a:ln w="9525" cap="flat" cmpd="sng" algn="ctr">
              <a:noFill/>
              <a:round/>
            </a:ln>
            <a:effectLst/>
          </c:spPr>
        </c:majorGridlines>
        <c:minorGridlines>
          <c:spPr>
            <a:ln w="9525" cap="flat" cmpd="sng" algn="ctr">
              <a:noFill/>
              <a:round/>
            </a:ln>
            <a:effectLst/>
          </c:spPr>
        </c:minorGridlines>
        <c:title>
          <c:tx>
            <c:rich>
              <a:bodyPr rot="0" vert="horz"/>
              <a:lstStyle/>
              <a:p>
                <a:pPr>
                  <a:defRPr>
                    <a:solidFill>
                      <a:schemeClr val="accent1">
                        <a:lumMod val="75000"/>
                      </a:schemeClr>
                    </a:solidFill>
                    <a:latin typeface="Calibri" panose="020F0502020204030204" pitchFamily="34" charset="0"/>
                    <a:cs typeface="Calibri" panose="020F0502020204030204" pitchFamily="34" charset="0"/>
                  </a:defRPr>
                </a:pPr>
                <a:r>
                  <a:rPr lang="sr-Cyrl-BA">
                    <a:solidFill>
                      <a:schemeClr val="accent1">
                        <a:lumMod val="75000"/>
                      </a:schemeClr>
                    </a:solidFill>
                    <a:latin typeface="Calibri" panose="020F0502020204030204" pitchFamily="34" charset="0"/>
                    <a:cs typeface="Calibri" panose="020F0502020204030204" pitchFamily="34" charset="0"/>
                  </a:rPr>
                  <a:t>Ризик</a:t>
                </a:r>
              </a:p>
            </c:rich>
          </c:tx>
          <c:layout>
            <c:manualLayout>
              <c:xMode val="edge"/>
              <c:yMode val="edge"/>
              <c:x val="0.4712499835945263"/>
              <c:y val="0.935530611677861"/>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1">
                    <a:lumMod val="75000"/>
                  </a:schemeClr>
                </a:solidFill>
                <a:latin typeface="Calibri" panose="020F0502020204030204" pitchFamily="34" charset="0"/>
                <a:cs typeface="Calibri" panose="020F0502020204030204" pitchFamily="34" charset="0"/>
              </a:defRPr>
            </a:pPr>
            <a:endParaRPr lang="en-US"/>
          </a:p>
        </c:txPr>
        <c:crossAx val="253681664"/>
        <c:crosses val="autoZero"/>
        <c:crossBetween val="midCat"/>
        <c:majorUnit val="0.4"/>
        <c:minorUnit val="0.1"/>
      </c:valAx>
      <c:valAx>
        <c:axId val="253681664"/>
        <c:scaling>
          <c:orientation val="minMax"/>
          <c:max val="43.8"/>
          <c:min val="43.5"/>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vert="horz"/>
              <a:lstStyle/>
              <a:p>
                <a:pPr>
                  <a:defRPr>
                    <a:solidFill>
                      <a:schemeClr val="accent1">
                        <a:lumMod val="75000"/>
                      </a:schemeClr>
                    </a:solidFill>
                    <a:latin typeface="Calibri" panose="020F0502020204030204" pitchFamily="34" charset="0"/>
                    <a:cs typeface="Calibri" panose="020F0502020204030204" pitchFamily="34" charset="0"/>
                  </a:defRPr>
                </a:pPr>
                <a:r>
                  <a:rPr lang="sr-Cyrl-BA">
                    <a:solidFill>
                      <a:schemeClr val="accent1">
                        <a:lumMod val="75000"/>
                      </a:schemeClr>
                    </a:solidFill>
                    <a:latin typeface="Calibri" panose="020F0502020204030204" pitchFamily="34" charset="0"/>
                    <a:cs typeface="Calibri" panose="020F0502020204030204" pitchFamily="34" charset="0"/>
                  </a:rPr>
                  <a:t>Трошкови (%)</a:t>
                </a:r>
              </a:p>
            </c:rich>
          </c:tx>
          <c:layout>
            <c:manualLayout>
              <c:xMode val="edge"/>
              <c:yMode val="edge"/>
              <c:x val="4.2641600474437186E-3"/>
              <c:y val="0.32453201268393489"/>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1">
                    <a:lumMod val="75000"/>
                  </a:schemeClr>
                </a:solidFill>
                <a:latin typeface="Calibri" panose="020F0502020204030204" pitchFamily="34" charset="0"/>
                <a:cs typeface="Calibri" panose="020F0502020204030204" pitchFamily="34" charset="0"/>
              </a:defRPr>
            </a:pPr>
            <a:endParaRPr lang="en-US"/>
          </a:p>
        </c:txPr>
        <c:crossAx val="253667200"/>
        <c:crosses val="autoZero"/>
        <c:crossBetween val="midCat"/>
        <c:majorUnit val="0.1"/>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mbria" panose="02040503050406030204" pitchFamily="18" charset="0"/>
        </a:defRPr>
      </a:pPr>
      <a:endParaRPr lang="en-US"/>
    </a:p>
  </c:txPr>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632893952934166"/>
          <c:y val="8.3992045285606692E-2"/>
          <c:w val="0.73758452487339898"/>
          <c:h val="0.7112994754411065"/>
        </c:manualLayout>
      </c:layout>
      <c:scatterChart>
        <c:scatterStyle val="lineMarker"/>
        <c:varyColors val="0"/>
        <c:ser>
          <c:idx val="0"/>
          <c:order val="0"/>
          <c:tx>
            <c:strRef>
              <c:f>'3Y_OUTPUT'!$C$133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dLbl>
              <c:idx val="0"/>
              <c:layout>
                <c:manualLayout>
                  <c:x val="-2.2716849319675124E-2"/>
                  <c:y val="0"/>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FD03-4774-BA4B-B237801862DF}"/>
                </c:ext>
              </c:extLst>
            </c:dLbl>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'3Y_OUTPUT'!$C$139</c:f>
              <c:numCache>
                <c:formatCode>0.00</c:formatCode>
                <c:ptCount val="1"/>
                <c:pt idx="0">
                  <c:v>0.68217209225675268</c:v>
                </c:pt>
              </c:numCache>
            </c:numRef>
          </c:xVal>
          <c:yVal>
            <c:numRef>
              <c:f>'3Y_OUTPUT'!$C$134</c:f>
              <c:numCache>
                <c:formatCode>0.0</c:formatCode>
                <c:ptCount val="1"/>
                <c:pt idx="0">
                  <c:v>1.8916284726501746</c:v>
                </c:pt>
              </c:numCache>
            </c:numRef>
          </c:yVal>
          <c:smooth val="0"/>
          <c:extLst>
            <c:ext xmlns:c16="http://schemas.microsoft.com/office/drawing/2014/chart" uri="{C3380CC4-5D6E-409C-BE32-E72D297353CC}">
              <c16:uniqueId val="{00000001-FD03-4774-BA4B-B237801862DF}"/>
            </c:ext>
          </c:extLst>
        </c:ser>
        <c:ser>
          <c:idx val="1"/>
          <c:order val="1"/>
          <c:tx>
            <c:strRef>
              <c:f>'3Y_OUTPUT'!$D$133</c:f>
              <c:strCache>
                <c:ptCount val="1"/>
                <c:pt idx="0">
                  <c:v>C2</c:v>
                </c:pt>
              </c:strCache>
            </c:strRef>
          </c:tx>
          <c:spPr>
            <a:ln w="25400" cap="flat" cmpd="dbl" algn="ctr">
              <a:noFill/>
              <a:round/>
            </a:ln>
            <a:effectLst/>
          </c:spPr>
          <c:marker>
            <c:symbol val="circle"/>
            <c:size val="10"/>
            <c:spPr>
              <a:solidFill>
                <a:srgbClr val="00B050"/>
              </a:solidFill>
              <a:ln w="34925" cap="flat" cmpd="dbl" algn="ctr">
                <a:no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'3Y_OUTPUT'!$D$139</c:f>
              <c:numCache>
                <c:formatCode>0.00</c:formatCode>
                <c:ptCount val="1"/>
                <c:pt idx="0">
                  <c:v>0.71269043730145709</c:v>
                </c:pt>
              </c:numCache>
            </c:numRef>
          </c:xVal>
          <c:yVal>
            <c:numRef>
              <c:f>'3Y_OUTPUT'!$D$134</c:f>
              <c:numCache>
                <c:formatCode>0.0</c:formatCode>
                <c:ptCount val="1"/>
                <c:pt idx="0">
                  <c:v>1.9595410156627673</c:v>
                </c:pt>
              </c:numCache>
            </c:numRef>
          </c:yVal>
          <c:smooth val="0"/>
          <c:extLst>
            <c:ext xmlns:c16="http://schemas.microsoft.com/office/drawing/2014/chart" uri="{C3380CC4-5D6E-409C-BE32-E72D297353CC}">
              <c16:uniqueId val="{00000002-FD03-4774-BA4B-B237801862DF}"/>
            </c:ext>
          </c:extLst>
        </c:ser>
        <c:ser>
          <c:idx val="2"/>
          <c:order val="2"/>
          <c:tx>
            <c:strRef>
              <c:f>'3Y_OUTPUT'!$E$133</c:f>
              <c:strCache>
                <c:ptCount val="1"/>
                <c:pt idx="0">
                  <c:v>C3</c:v>
                </c:pt>
              </c:strCache>
            </c:strRef>
          </c:tx>
          <c:spPr>
            <a:ln w="25400" cap="flat" cmpd="dbl" algn="ctr">
              <a:solidFill>
                <a:schemeClr val="accent3">
                  <a:alpha val="50000"/>
                </a:schemeClr>
              </a:solidFill>
              <a:round/>
            </a:ln>
            <a:effectLst/>
          </c:spPr>
          <c:marker>
            <c:symbol val="circle"/>
            <c:size val="10"/>
            <c:spPr>
              <a:solidFill>
                <a:srgbClr val="7030A0"/>
              </a:solidFill>
              <a:ln w="9525" cap="flat" cmpd="dbl" algn="ctr">
                <a:solidFill>
                  <a:srgbClr val="7030A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'3Y_OUTPUT'!$E$139</c:f>
              <c:numCache>
                <c:formatCode>0.00</c:formatCode>
                <c:ptCount val="1"/>
                <c:pt idx="0">
                  <c:v>0.70913327366208723</c:v>
                </c:pt>
              </c:numCache>
            </c:numRef>
          </c:xVal>
          <c:yVal>
            <c:numRef>
              <c:f>'3Y_OUTPUT'!$E$134</c:f>
              <c:numCache>
                <c:formatCode>0.0</c:formatCode>
                <c:ptCount val="1"/>
                <c:pt idx="0">
                  <c:v>1.8864237039134362</c:v>
                </c:pt>
              </c:numCache>
            </c:numRef>
          </c:yVal>
          <c:smooth val="0"/>
          <c:extLst>
            <c:ext xmlns:c16="http://schemas.microsoft.com/office/drawing/2014/chart" uri="{C3380CC4-5D6E-409C-BE32-E72D297353CC}">
              <c16:uniqueId val="{00000003-FD03-4774-BA4B-B237801862DF}"/>
            </c:ext>
          </c:extLst>
        </c:ser>
        <c:ser>
          <c:idx val="3"/>
          <c:order val="3"/>
          <c:tx>
            <c:strRef>
              <c:f>'3Y_OUTPUT'!$F$133</c:f>
              <c:strCache>
                <c:ptCount val="1"/>
                <c:pt idx="0">
                  <c:v>C4</c:v>
                </c:pt>
              </c:strCache>
            </c:strRef>
          </c:tx>
          <c:spPr>
            <a:ln w="25400" cap="flat" cmpd="dbl" algn="ctr">
              <a:solidFill>
                <a:schemeClr val="accent4">
                  <a:alpha val="50000"/>
                </a:schemeClr>
              </a:solidFill>
              <a:round/>
            </a:ln>
            <a:effectLst/>
          </c:spPr>
          <c:marker>
            <c:symbol val="circle"/>
            <c:size val="10"/>
            <c:spPr>
              <a:solidFill>
                <a:srgbClr val="0070C0"/>
              </a:solidFill>
              <a:ln w="9525" cap="flat" cmpd="dbl" algn="ctr">
                <a:solidFill>
                  <a:srgbClr val="0070C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'3Y_OUTPUT'!$F$139</c:f>
              <c:numCache>
                <c:formatCode>0.00</c:formatCode>
                <c:ptCount val="1"/>
                <c:pt idx="0">
                  <c:v>0.86673462633901988</c:v>
                </c:pt>
              </c:numCache>
            </c:numRef>
          </c:xVal>
          <c:yVal>
            <c:numRef>
              <c:f>'3Y_OUTPUT'!$F$134</c:f>
              <c:numCache>
                <c:formatCode>0.0</c:formatCode>
                <c:ptCount val="1"/>
                <c:pt idx="0">
                  <c:v>1.9596488283023374</c:v>
                </c:pt>
              </c:numCache>
            </c:numRef>
          </c:yVal>
          <c:smooth val="0"/>
          <c:extLst>
            <c:ext xmlns:c16="http://schemas.microsoft.com/office/drawing/2014/chart" uri="{C3380CC4-5D6E-409C-BE32-E72D297353CC}">
              <c16:uniqueId val="{00000004-FD03-4774-BA4B-B237801862DF}"/>
            </c:ext>
          </c:extLst>
        </c:ser>
        <c:dLbls>
          <c:showLegendKey val="0"/>
          <c:showVal val="0"/>
          <c:showCatName val="0"/>
          <c:showSerName val="0"/>
          <c:showPercent val="0"/>
          <c:showBubbleSize val="0"/>
        </c:dLbls>
        <c:axId val="253612416"/>
        <c:axId val="253614336"/>
      </c:scatterChart>
      <c:valAx>
        <c:axId val="253612416"/>
        <c:scaling>
          <c:orientation val="minMax"/>
          <c:max val="0.88000000000000012"/>
          <c:min val="0.68000000000000016"/>
        </c:scaling>
        <c:delete val="0"/>
        <c:axPos val="b"/>
        <c:majorGridlines>
          <c:spPr>
            <a:ln w="9525" cap="flat" cmpd="sng" algn="ctr">
              <a:noFill/>
              <a:prstDash val="dash"/>
              <a:round/>
            </a:ln>
            <a:effectLst/>
          </c:spPr>
        </c:majorGridlines>
        <c:minorGridlines>
          <c:spPr>
            <a:ln w="9525" cap="flat" cmpd="sng" algn="ctr">
              <a:solidFill>
                <a:sysClr val="window" lastClr="FFFFFF"/>
              </a:solidFill>
              <a:round/>
            </a:ln>
            <a:effectLst/>
          </c:spPr>
        </c:minorGridlines>
        <c:title>
          <c:tx>
            <c:rich>
              <a:bodyPr rot="0" vert="horz"/>
              <a:lstStyle/>
              <a:p>
                <a:pPr>
                  <a:defRPr>
                    <a:solidFill>
                      <a:schemeClr val="accent1">
                        <a:lumMod val="75000"/>
                      </a:schemeClr>
                    </a:solidFill>
                  </a:defRPr>
                </a:pPr>
                <a:r>
                  <a:rPr lang="sr-Cyrl-RS">
                    <a:solidFill>
                      <a:schemeClr val="accent1">
                        <a:lumMod val="75000"/>
                      </a:schemeClr>
                    </a:solidFill>
                  </a:rPr>
                  <a:t>Ризик</a:t>
                </a:r>
              </a:p>
            </c:rich>
          </c:tx>
          <c:layout>
            <c:manualLayout>
              <c:xMode val="edge"/>
              <c:yMode val="edge"/>
              <c:x val="0.40014756281417085"/>
              <c:y val="0.87650831291679232"/>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1">
                    <a:lumMod val="75000"/>
                  </a:schemeClr>
                </a:solidFill>
              </a:defRPr>
            </a:pPr>
            <a:endParaRPr lang="en-US"/>
          </a:p>
        </c:txPr>
        <c:crossAx val="253614336"/>
        <c:crosses val="autoZero"/>
        <c:crossBetween val="midCat"/>
      </c:valAx>
      <c:valAx>
        <c:axId val="253614336"/>
        <c:scaling>
          <c:orientation val="minMax"/>
          <c:max val="2"/>
          <c:min val="1.85"/>
        </c:scaling>
        <c:delete val="0"/>
        <c:axPos val="l"/>
        <c:majorGridlines>
          <c:spPr>
            <a:ln w="9525" cap="flat" cmpd="sng" algn="ctr">
              <a:noFill/>
              <a:prstDash val="dash"/>
              <a:round/>
            </a:ln>
            <a:effectLst/>
          </c:spPr>
        </c:majorGridlines>
        <c:minorGridlines>
          <c:spPr>
            <a:ln w="9525" cap="flat" cmpd="sng" algn="ctr">
              <a:noFill/>
              <a:round/>
            </a:ln>
            <a:effectLst/>
          </c:spPr>
        </c:minorGridlines>
        <c:title>
          <c:tx>
            <c:rich>
              <a:bodyPr rot="-5400000" vert="horz"/>
              <a:lstStyle/>
              <a:p>
                <a:pPr>
                  <a:defRPr>
                    <a:solidFill>
                      <a:schemeClr val="accent5">
                        <a:lumMod val="50000"/>
                      </a:schemeClr>
                    </a:solidFill>
                  </a:defRPr>
                </a:pPr>
                <a:r>
                  <a:rPr lang="sr-Cyrl-CS">
                    <a:solidFill>
                      <a:schemeClr val="accent5">
                        <a:lumMod val="50000"/>
                      </a:schemeClr>
                    </a:solidFill>
                  </a:rPr>
                  <a:t>Трошкови (%)</a:t>
                </a:r>
              </a:p>
            </c:rich>
          </c:tx>
          <c:layout>
            <c:manualLayout>
              <c:xMode val="edge"/>
              <c:yMode val="edge"/>
              <c:x val="5.5101280905570449E-3"/>
              <c:y val="0.26999821173104432"/>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1">
                    <a:lumMod val="75000"/>
                  </a:schemeClr>
                </a:solidFill>
              </a:defRPr>
            </a:pPr>
            <a:endParaRPr lang="en-US"/>
          </a:p>
        </c:txPr>
        <c:crossAx val="253612416"/>
        <c:crosses val="autoZero"/>
        <c:crossBetween val="midCat"/>
        <c:majorUnit val="5.000000000000001E-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en-US"/>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7368051268925991E-2"/>
          <c:y val="2.4498269896193772E-2"/>
          <c:w val="0.9372012977727866"/>
          <c:h val="0.90122138542350005"/>
        </c:manualLayout>
      </c:layout>
      <c:lineChart>
        <c:grouping val="standard"/>
        <c:varyColors val="0"/>
        <c:ser>
          <c:idx val="0"/>
          <c:order val="0"/>
          <c:spPr>
            <a:ln w="28575" cap="rnd" cmpd="sng" algn="ctr">
              <a:solidFill>
                <a:schemeClr val="accent1">
                  <a:shade val="40000"/>
                  <a:shade val="95000"/>
                  <a:satMod val="105000"/>
                </a:schemeClr>
              </a:solidFill>
              <a:prstDash val="solid"/>
              <a:round/>
            </a:ln>
            <a:effectLst/>
          </c:spPr>
          <c:marker>
            <c:spPr>
              <a:solidFill>
                <a:schemeClr val="accent1">
                  <a:shade val="38000"/>
                </a:schemeClr>
              </a:solidFill>
              <a:ln w="9525" cap="flat" cmpd="sng" algn="ctr">
                <a:solidFill>
                  <a:schemeClr val="accent1">
                    <a:shade val="38000"/>
                    <a:shade val="95000"/>
                    <a:satMod val="105000"/>
                  </a:schemeClr>
                </a:solidFill>
                <a:prstDash val="solid"/>
                <a:round/>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kursa'!$H$50:$Q$50</c:f>
              <c:numCache>
                <c:formatCode>General</c:formatCode>
                <c:ptCount val="10"/>
                <c:pt idx="0">
                  <c:v>2018</c:v>
                </c:pt>
                <c:pt idx="1">
                  <c:v>2019</c:v>
                </c:pt>
                <c:pt idx="2">
                  <c:v>2020</c:v>
                </c:pt>
                <c:pt idx="3">
                  <c:v>2021</c:v>
                </c:pt>
                <c:pt idx="4">
                  <c:v>2022</c:v>
                </c:pt>
                <c:pt idx="5">
                  <c:v>2023</c:v>
                </c:pt>
                <c:pt idx="6">
                  <c:v>2024</c:v>
                </c:pt>
                <c:pt idx="7">
                  <c:v>2025</c:v>
                </c:pt>
                <c:pt idx="8">
                  <c:v>2026</c:v>
                </c:pt>
                <c:pt idx="9">
                  <c:v>2027</c:v>
                </c:pt>
              </c:numCache>
            </c:numRef>
          </c:val>
          <c:smooth val="0"/>
          <c:extLst>
            <c:ext xmlns:c16="http://schemas.microsoft.com/office/drawing/2014/chart" uri="{C3380CC4-5D6E-409C-BE32-E72D297353CC}">
              <c16:uniqueId val="{00000000-9FAC-4B1F-B628-06C33C312A2F}"/>
            </c:ext>
          </c:extLst>
        </c:ser>
        <c:ser>
          <c:idx val="1"/>
          <c:order val="1"/>
          <c:spPr>
            <a:ln w="28575" cap="rnd" cmpd="sng" algn="ctr">
              <a:solidFill>
                <a:schemeClr val="accent1">
                  <a:shade val="51000"/>
                  <a:shade val="95000"/>
                  <a:satMod val="105000"/>
                </a:schemeClr>
              </a:solidFill>
              <a:prstDash val="solid"/>
              <a:round/>
            </a:ln>
            <a:effectLst/>
          </c:spPr>
          <c:marker>
            <c:symbol val="diamond"/>
            <c:size val="10"/>
            <c:spPr>
              <a:solidFill>
                <a:schemeClr val="accent1">
                  <a:shade val="45000"/>
                </a:schemeClr>
              </a:solidFill>
              <a:ln w="9525" cap="flat" cmpd="sng" algn="ctr">
                <a:solidFill>
                  <a:schemeClr val="accent1">
                    <a:shade val="45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kursa'!$H$51:$R$51</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44.593709893393488</c:v>
                </c:pt>
                <c:pt idx="8">
                  <c:v>43.959239249480312</c:v>
                </c:pt>
                <c:pt idx="9">
                  <c:v>43.757379957092127</c:v>
                </c:pt>
                <c:pt idx="10">
                  <c:v>43.599630977631271</c:v>
                </c:pt>
              </c:numCache>
            </c:numRef>
          </c:val>
          <c:smooth val="0"/>
          <c:extLst>
            <c:ext xmlns:c16="http://schemas.microsoft.com/office/drawing/2014/chart" uri="{C3380CC4-5D6E-409C-BE32-E72D297353CC}">
              <c16:uniqueId val="{00000001-9FAC-4B1F-B628-06C33C312A2F}"/>
            </c:ext>
          </c:extLst>
        </c:ser>
        <c:ser>
          <c:idx val="2"/>
          <c:order val="2"/>
          <c:spPr>
            <a:ln w="28575" cap="rnd" cmpd="sng" algn="ctr">
              <a:solidFill>
                <a:schemeClr val="accent1">
                  <a:shade val="62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kursa'!$H$52:$R$52</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45.287588019334699</c:v>
                </c:pt>
                <c:pt idx="8">
                  <c:v>44.732921860271176</c:v>
                </c:pt>
                <c:pt idx="9">
                  <c:v>44.438244789224484</c:v>
                </c:pt>
                <c:pt idx="10">
                  <c:v>44.278041235643215</c:v>
                </c:pt>
              </c:numCache>
            </c:numRef>
          </c:val>
          <c:smooth val="0"/>
          <c:extLst>
            <c:ext xmlns:c16="http://schemas.microsoft.com/office/drawing/2014/chart" uri="{C3380CC4-5D6E-409C-BE32-E72D297353CC}">
              <c16:uniqueId val="{00000002-9FAC-4B1F-B628-06C33C312A2F}"/>
            </c:ext>
          </c:extLst>
        </c:ser>
        <c:ser>
          <c:idx val="3"/>
          <c:order val="3"/>
          <c:spPr>
            <a:ln w="28575" cap="rnd" cmpd="sng" algn="ctr">
              <a:solidFill>
                <a:schemeClr val="accent1">
                  <a:shade val="73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kursa'!$H$53:$R$53</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45.981466145275903</c:v>
                </c:pt>
                <c:pt idx="8">
                  <c:v>45.327250774924153</c:v>
                </c:pt>
                <c:pt idx="9">
                  <c:v>45.119109621356849</c:v>
                </c:pt>
                <c:pt idx="10">
                  <c:v>44.956451493655166</c:v>
                </c:pt>
              </c:numCache>
            </c:numRef>
          </c:val>
          <c:smooth val="0"/>
          <c:extLst>
            <c:ext xmlns:c16="http://schemas.microsoft.com/office/drawing/2014/chart" uri="{C3380CC4-5D6E-409C-BE32-E72D297353CC}">
              <c16:uniqueId val="{00000003-9FAC-4B1F-B628-06C33C312A2F}"/>
            </c:ext>
          </c:extLst>
        </c:ser>
        <c:ser>
          <c:idx val="4"/>
          <c:order val="4"/>
          <c:spPr>
            <a:ln w="28575" cap="rnd" cmpd="sng" algn="ctr">
              <a:solidFill>
                <a:schemeClr val="accent1">
                  <a:shade val="83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kursa'!$H$54:$R$54</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46.675344271217092</c:v>
                </c:pt>
                <c:pt idx="8">
                  <c:v>46.011256537646055</c:v>
                </c:pt>
                <c:pt idx="9">
                  <c:v>45.799974453489192</c:v>
                </c:pt>
                <c:pt idx="10">
                  <c:v>45.634861751667103</c:v>
                </c:pt>
              </c:numCache>
            </c:numRef>
          </c:val>
          <c:smooth val="0"/>
          <c:extLst>
            <c:ext xmlns:c16="http://schemas.microsoft.com/office/drawing/2014/chart" uri="{C3380CC4-5D6E-409C-BE32-E72D297353CC}">
              <c16:uniqueId val="{00000004-9FAC-4B1F-B628-06C33C312A2F}"/>
            </c:ext>
          </c:extLst>
        </c:ser>
        <c:ser>
          <c:idx val="5"/>
          <c:order val="5"/>
          <c:spPr>
            <a:ln w="28575" cap="rnd" cmpd="sng" algn="ctr">
              <a:solidFill>
                <a:schemeClr val="accent1">
                  <a:shade val="94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kursa'!$H$55:$R$55</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47.369222397158303</c:v>
                </c:pt>
                <c:pt idx="8">
                  <c:v>46.695262300367972</c:v>
                </c:pt>
                <c:pt idx="9">
                  <c:v>46.480839285621549</c:v>
                </c:pt>
                <c:pt idx="10">
                  <c:v>46.313272009679046</c:v>
                </c:pt>
              </c:numCache>
            </c:numRef>
          </c:val>
          <c:smooth val="0"/>
          <c:extLst>
            <c:ext xmlns:c16="http://schemas.microsoft.com/office/drawing/2014/chart" uri="{C3380CC4-5D6E-409C-BE32-E72D297353CC}">
              <c16:uniqueId val="{00000005-9FAC-4B1F-B628-06C33C312A2F}"/>
            </c:ext>
          </c:extLst>
        </c:ser>
        <c:ser>
          <c:idx val="6"/>
          <c:order val="6"/>
          <c:spPr>
            <a:ln w="28575" cap="rnd" cmpd="sng" algn="ctr">
              <a:solidFill>
                <a:schemeClr val="accent1">
                  <a:tint val="95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6-9FAC-4B1F-B628-06C33C312A2F}"/>
                </c:ext>
              </c:extLst>
            </c:dLbl>
            <c:dLbl>
              <c:idx val="1"/>
              <c:delete val="1"/>
              <c:extLst>
                <c:ext xmlns:c15="http://schemas.microsoft.com/office/drawing/2012/chart" uri="{CE6537A1-D6FC-4f65-9D91-7224C49458BB}"/>
                <c:ext xmlns:c16="http://schemas.microsoft.com/office/drawing/2014/chart" uri="{C3380CC4-5D6E-409C-BE32-E72D297353CC}">
                  <c16:uniqueId val="{00000007-9FAC-4B1F-B628-06C33C312A2F}"/>
                </c:ext>
              </c:extLst>
            </c:dLbl>
            <c:dLbl>
              <c:idx val="2"/>
              <c:delete val="1"/>
              <c:extLst>
                <c:ext xmlns:c15="http://schemas.microsoft.com/office/drawing/2012/chart" uri="{CE6537A1-D6FC-4f65-9D91-7224C49458BB}"/>
                <c:ext xmlns:c16="http://schemas.microsoft.com/office/drawing/2014/chart" uri="{C3380CC4-5D6E-409C-BE32-E72D297353CC}">
                  <c16:uniqueId val="{00000008-9FAC-4B1F-B628-06C33C312A2F}"/>
                </c:ext>
              </c:extLst>
            </c:dLbl>
            <c:dLbl>
              <c:idx val="3"/>
              <c:delete val="1"/>
              <c:extLst>
                <c:ext xmlns:c15="http://schemas.microsoft.com/office/drawing/2012/chart" uri="{CE6537A1-D6FC-4f65-9D91-7224C49458BB}"/>
                <c:ext xmlns:c16="http://schemas.microsoft.com/office/drawing/2014/chart" uri="{C3380CC4-5D6E-409C-BE32-E72D297353CC}">
                  <c16:uniqueId val="{00000009-9FAC-4B1F-B628-06C33C312A2F}"/>
                </c:ext>
              </c:extLst>
            </c:dLbl>
            <c:dLbl>
              <c:idx val="4"/>
              <c:delete val="1"/>
              <c:extLst>
                <c:ext xmlns:c15="http://schemas.microsoft.com/office/drawing/2012/chart" uri="{CE6537A1-D6FC-4f65-9D91-7224C49458BB}"/>
                <c:ext xmlns:c16="http://schemas.microsoft.com/office/drawing/2014/chart" uri="{C3380CC4-5D6E-409C-BE32-E72D297353CC}">
                  <c16:uniqueId val="{0000000A-9FAC-4B1F-B628-06C33C312A2F}"/>
                </c:ext>
              </c:extLst>
            </c:dLbl>
            <c:dLbl>
              <c:idx val="5"/>
              <c:delete val="1"/>
              <c:extLst>
                <c:ext xmlns:c15="http://schemas.microsoft.com/office/drawing/2012/chart" uri="{CE6537A1-D6FC-4f65-9D91-7224C49458BB}"/>
                <c:ext xmlns:c16="http://schemas.microsoft.com/office/drawing/2014/chart" uri="{C3380CC4-5D6E-409C-BE32-E72D297353CC}">
                  <c16:uniqueId val="{0000000B-9FAC-4B1F-B628-06C33C312A2F}"/>
                </c:ext>
              </c:extLst>
            </c:dLbl>
            <c:dLbl>
              <c:idx val="6"/>
              <c:delete val="1"/>
              <c:extLst>
                <c:ext xmlns:c15="http://schemas.microsoft.com/office/drawing/2012/chart" uri="{CE6537A1-D6FC-4f65-9D91-7224C49458BB}"/>
                <c:ext xmlns:c16="http://schemas.microsoft.com/office/drawing/2014/chart" uri="{C3380CC4-5D6E-409C-BE32-E72D297353CC}">
                  <c16:uniqueId val="{0000000C-9FAC-4B1F-B628-06C33C312A2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kursa'!$H$56:$R$56</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48.0631005230995</c:v>
                </c:pt>
                <c:pt idx="8">
                  <c:v>47.379268063089889</c:v>
                </c:pt>
                <c:pt idx="9">
                  <c:v>47.161704117753906</c:v>
                </c:pt>
                <c:pt idx="10">
                  <c:v>46.99168226769099</c:v>
                </c:pt>
              </c:numCache>
            </c:numRef>
          </c:val>
          <c:smooth val="0"/>
          <c:extLst>
            <c:ext xmlns:c16="http://schemas.microsoft.com/office/drawing/2014/chart" uri="{C3380CC4-5D6E-409C-BE32-E72D297353CC}">
              <c16:uniqueId val="{0000000D-9FAC-4B1F-B628-06C33C312A2F}"/>
            </c:ext>
          </c:extLst>
        </c:ser>
        <c:ser>
          <c:idx val="7"/>
          <c:order val="7"/>
          <c:spPr>
            <a:ln w="28575" cap="rnd" cmpd="sng" algn="ctr">
              <a:solidFill>
                <a:schemeClr val="accent1">
                  <a:tint val="84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kursa'!$H$57:$R$57</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43.899831767452291</c:v>
                </c:pt>
                <c:pt idx="8">
                  <c:v>43.27523348675841</c:v>
                </c:pt>
                <c:pt idx="9">
                  <c:v>43.076515124959784</c:v>
                </c:pt>
                <c:pt idx="10">
                  <c:v>42.921220719619328</c:v>
                </c:pt>
              </c:numCache>
            </c:numRef>
          </c:val>
          <c:smooth val="0"/>
          <c:extLst>
            <c:ext xmlns:c16="http://schemas.microsoft.com/office/drawing/2014/chart" uri="{C3380CC4-5D6E-409C-BE32-E72D297353CC}">
              <c16:uniqueId val="{0000000E-9FAC-4B1F-B628-06C33C312A2F}"/>
            </c:ext>
          </c:extLst>
        </c:ser>
        <c:ser>
          <c:idx val="8"/>
          <c:order val="8"/>
          <c:spPr>
            <a:ln w="28575" cap="rnd" cmpd="sng" algn="ctr">
              <a:solidFill>
                <a:schemeClr val="accent1">
                  <a:tint val="74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kursa'!$H$58:$R$58</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43.20595364151108</c:v>
                </c:pt>
                <c:pt idx="8">
                  <c:v>42.591227724036493</c:v>
                </c:pt>
                <c:pt idx="9">
                  <c:v>42.395650292827426</c:v>
                </c:pt>
                <c:pt idx="10">
                  <c:v>42.242810461607391</c:v>
                </c:pt>
              </c:numCache>
            </c:numRef>
          </c:val>
          <c:smooth val="0"/>
          <c:extLst>
            <c:ext xmlns:c16="http://schemas.microsoft.com/office/drawing/2014/chart" uri="{C3380CC4-5D6E-409C-BE32-E72D297353CC}">
              <c16:uniqueId val="{0000000F-9FAC-4B1F-B628-06C33C312A2F}"/>
            </c:ext>
          </c:extLst>
        </c:ser>
        <c:ser>
          <c:idx val="9"/>
          <c:order val="9"/>
          <c:spPr>
            <a:ln w="28575" cap="rnd" cmpd="sng" algn="ctr">
              <a:solidFill>
                <a:schemeClr val="accent1">
                  <a:tint val="63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kursa'!$H$59:$R$59</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42.512075515569876</c:v>
                </c:pt>
                <c:pt idx="8">
                  <c:v>41.907221961314569</c:v>
                </c:pt>
                <c:pt idx="9">
                  <c:v>41.714785460695069</c:v>
                </c:pt>
                <c:pt idx="10">
                  <c:v>41.56440020359544</c:v>
                </c:pt>
              </c:numCache>
            </c:numRef>
          </c:val>
          <c:smooth val="0"/>
          <c:extLst>
            <c:ext xmlns:c16="http://schemas.microsoft.com/office/drawing/2014/chart" uri="{C3380CC4-5D6E-409C-BE32-E72D297353CC}">
              <c16:uniqueId val="{00000010-9FAC-4B1F-B628-06C33C312A2F}"/>
            </c:ext>
          </c:extLst>
        </c:ser>
        <c:ser>
          <c:idx val="10"/>
          <c:order val="10"/>
          <c:spPr>
            <a:ln w="28575" cap="rnd" cmpd="sng" algn="ctr">
              <a:solidFill>
                <a:schemeClr val="accent1">
                  <a:tint val="52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kursa'!$H$60:$R$60</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41.818197389628679</c:v>
                </c:pt>
                <c:pt idx="8">
                  <c:v>41.22321619859266</c:v>
                </c:pt>
                <c:pt idx="9">
                  <c:v>41.033920628562718</c:v>
                </c:pt>
                <c:pt idx="10">
                  <c:v>40.885989945583503</c:v>
                </c:pt>
              </c:numCache>
            </c:numRef>
          </c:val>
          <c:smooth val="0"/>
          <c:extLst>
            <c:ext xmlns:c16="http://schemas.microsoft.com/office/drawing/2014/chart" uri="{C3380CC4-5D6E-409C-BE32-E72D297353CC}">
              <c16:uniqueId val="{00000011-9FAC-4B1F-B628-06C33C312A2F}"/>
            </c:ext>
          </c:extLst>
        </c:ser>
        <c:ser>
          <c:idx val="11"/>
          <c:order val="11"/>
          <c:spPr>
            <a:ln w="28575" cap="rnd" cmpd="sng" algn="ctr">
              <a:solidFill>
                <a:schemeClr val="accent1">
                  <a:tint val="41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2-9FAC-4B1F-B628-06C33C312A2F}"/>
                </c:ext>
              </c:extLst>
            </c:dLbl>
            <c:dLbl>
              <c:idx val="1"/>
              <c:delete val="1"/>
              <c:extLst>
                <c:ext xmlns:c15="http://schemas.microsoft.com/office/drawing/2012/chart" uri="{CE6537A1-D6FC-4f65-9D91-7224C49458BB}"/>
                <c:ext xmlns:c16="http://schemas.microsoft.com/office/drawing/2014/chart" uri="{C3380CC4-5D6E-409C-BE32-E72D297353CC}">
                  <c16:uniqueId val="{00000013-9FAC-4B1F-B628-06C33C312A2F}"/>
                </c:ext>
              </c:extLst>
            </c:dLbl>
            <c:dLbl>
              <c:idx val="2"/>
              <c:delete val="1"/>
              <c:extLst>
                <c:ext xmlns:c15="http://schemas.microsoft.com/office/drawing/2012/chart" uri="{CE6537A1-D6FC-4f65-9D91-7224C49458BB}"/>
                <c:ext xmlns:c16="http://schemas.microsoft.com/office/drawing/2014/chart" uri="{C3380CC4-5D6E-409C-BE32-E72D297353CC}">
                  <c16:uniqueId val="{00000014-9FAC-4B1F-B628-06C33C312A2F}"/>
                </c:ext>
              </c:extLst>
            </c:dLbl>
            <c:dLbl>
              <c:idx val="3"/>
              <c:delete val="1"/>
              <c:extLst>
                <c:ext xmlns:c15="http://schemas.microsoft.com/office/drawing/2012/chart" uri="{CE6537A1-D6FC-4f65-9D91-7224C49458BB}"/>
                <c:ext xmlns:c16="http://schemas.microsoft.com/office/drawing/2014/chart" uri="{C3380CC4-5D6E-409C-BE32-E72D297353CC}">
                  <c16:uniqueId val="{00000015-9FAC-4B1F-B628-06C33C312A2F}"/>
                </c:ext>
              </c:extLst>
            </c:dLbl>
            <c:dLbl>
              <c:idx val="4"/>
              <c:delete val="1"/>
              <c:extLst>
                <c:ext xmlns:c15="http://schemas.microsoft.com/office/drawing/2012/chart" uri="{CE6537A1-D6FC-4f65-9D91-7224C49458BB}"/>
                <c:ext xmlns:c16="http://schemas.microsoft.com/office/drawing/2014/chart" uri="{C3380CC4-5D6E-409C-BE32-E72D297353CC}">
                  <c16:uniqueId val="{00000016-9FAC-4B1F-B628-06C33C312A2F}"/>
                </c:ext>
              </c:extLst>
            </c:dLbl>
            <c:dLbl>
              <c:idx val="5"/>
              <c:delete val="1"/>
              <c:extLst>
                <c:ext xmlns:c15="http://schemas.microsoft.com/office/drawing/2012/chart" uri="{CE6537A1-D6FC-4f65-9D91-7224C49458BB}"/>
                <c:ext xmlns:c16="http://schemas.microsoft.com/office/drawing/2014/chart" uri="{C3380CC4-5D6E-409C-BE32-E72D297353CC}">
                  <c16:uniqueId val="{00000017-9FAC-4B1F-B628-06C33C312A2F}"/>
                </c:ext>
              </c:extLst>
            </c:dLbl>
            <c:dLbl>
              <c:idx val="6"/>
              <c:delete val="1"/>
              <c:extLst>
                <c:ext xmlns:c15="http://schemas.microsoft.com/office/drawing/2012/chart" uri="{CE6537A1-D6FC-4f65-9D91-7224C49458BB}"/>
                <c:ext xmlns:c16="http://schemas.microsoft.com/office/drawing/2014/chart" uri="{C3380CC4-5D6E-409C-BE32-E72D297353CC}">
                  <c16:uniqueId val="{00000018-9FAC-4B1F-B628-06C33C312A2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kursa'!$H$61:$R$61</c:f>
              <c:numCache>
                <c:formatCode>#,##0.0</c:formatCode>
                <c:ptCount val="11"/>
                <c:pt idx="0">
                  <c:v>51.441092072373031</c:v>
                </c:pt>
                <c:pt idx="1">
                  <c:v>49.665304025146526</c:v>
                </c:pt>
                <c:pt idx="2">
                  <c:v>54.401541892475471</c:v>
                </c:pt>
                <c:pt idx="3">
                  <c:v>53.88119796323133</c:v>
                </c:pt>
                <c:pt idx="4">
                  <c:v>52.420124041721209</c:v>
                </c:pt>
                <c:pt idx="5">
                  <c:v>48.041062113397061</c:v>
                </c:pt>
                <c:pt idx="6">
                  <c:v>46.7</c:v>
                </c:pt>
                <c:pt idx="7">
                  <c:v>41.124319263687468</c:v>
                </c:pt>
                <c:pt idx="8">
                  <c:v>40.539210435870743</c:v>
                </c:pt>
                <c:pt idx="9">
                  <c:v>40.353055796430361</c:v>
                </c:pt>
                <c:pt idx="10">
                  <c:v>40.207579687571553</c:v>
                </c:pt>
              </c:numCache>
            </c:numRef>
          </c:val>
          <c:smooth val="0"/>
          <c:extLst>
            <c:ext xmlns:c16="http://schemas.microsoft.com/office/drawing/2014/chart" uri="{C3380CC4-5D6E-409C-BE32-E72D297353CC}">
              <c16:uniqueId val="{00000019-9FAC-4B1F-B628-06C33C312A2F}"/>
            </c:ext>
          </c:extLst>
        </c:ser>
        <c:dLbls>
          <c:showLegendKey val="0"/>
          <c:showVal val="0"/>
          <c:showCatName val="0"/>
          <c:showSerName val="0"/>
          <c:showPercent val="0"/>
          <c:showBubbleSize val="0"/>
        </c:dLbls>
        <c:marker val="1"/>
        <c:smooth val="0"/>
        <c:axId val="75069312"/>
        <c:axId val="75070848"/>
      </c:lineChart>
      <c:catAx>
        <c:axId val="75069312"/>
        <c:scaling>
          <c:orientation val="minMax"/>
        </c:scaling>
        <c:delete val="0"/>
        <c:axPos val="b"/>
        <c:majorGridlines>
          <c:spPr>
            <a:ln w="9525" cap="flat" cmpd="sng" algn="ctr">
              <a:noFill/>
              <a:prstDash val="solid"/>
              <a:round/>
            </a:ln>
            <a:effectLst/>
          </c:spPr>
        </c:majorGridlines>
        <c:minorGridlines>
          <c:spPr>
            <a:ln w="9525" cap="flat" cmpd="sng" algn="ctr">
              <a:noFill/>
              <a:prstDash val="solid"/>
              <a:round/>
            </a:ln>
            <a:effectLst/>
          </c:spPr>
        </c:min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5400000" spcFirstLastPara="1" vertOverflow="ellipsis" wrap="square" anchor="ctr" anchorCtr="1"/>
          <a:lstStyle/>
          <a:p>
            <a:pPr>
              <a:defRPr sz="700" b="1" i="0" u="none" strike="noStrike" kern="1200" baseline="0">
                <a:solidFill>
                  <a:schemeClr val="tx1"/>
                </a:solidFill>
                <a:latin typeface="+mn-lt"/>
                <a:ea typeface="+mn-ea"/>
                <a:cs typeface="+mn-cs"/>
              </a:defRPr>
            </a:pPr>
            <a:endParaRPr lang="en-US"/>
          </a:p>
        </c:txPr>
        <c:crossAx val="75070848"/>
        <c:crosses val="autoZero"/>
        <c:auto val="0"/>
        <c:lblAlgn val="ctr"/>
        <c:lblOffset val="100"/>
        <c:noMultiLvlLbl val="0"/>
      </c:catAx>
      <c:valAx>
        <c:axId val="75070848"/>
        <c:scaling>
          <c:orientation val="minMax"/>
          <c:max val="55"/>
          <c:min val="40"/>
        </c:scaling>
        <c:delete val="0"/>
        <c:axPos val="l"/>
        <c:majorGridlines>
          <c:spPr>
            <a:ln w="9525" cap="flat" cmpd="sng" algn="ctr">
              <a:noFill/>
              <a:prstDash val="solid"/>
              <a:round/>
            </a:ln>
            <a:effectLst/>
          </c:spPr>
        </c:majorGridlines>
        <c:numFmt formatCode="#,##0.0"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700" b="1" i="0" u="none" strike="noStrike" kern="1200" baseline="0">
                <a:solidFill>
                  <a:schemeClr val="tx1"/>
                </a:solidFill>
                <a:latin typeface="+mn-lt"/>
                <a:ea typeface="+mn-ea"/>
                <a:cs typeface="+mn-cs"/>
              </a:defRPr>
            </a:pPr>
            <a:endParaRPr lang="en-US"/>
          </a:p>
        </c:txPr>
        <c:crossAx val="75069312"/>
        <c:crosses val="autoZero"/>
        <c:crossBetween val="between"/>
        <c:majorUnit val="5"/>
        <c:minorUnit val="2"/>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rot="5400000" vert="horz"/>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652245513160466E-2"/>
          <c:y val="3.6405005688282137E-2"/>
          <c:w val="0.87031860600758237"/>
          <c:h val="0.72146846846846846"/>
        </c:manualLayout>
      </c:layout>
      <c:lineChart>
        <c:grouping val="standard"/>
        <c:varyColors val="0"/>
        <c:ser>
          <c:idx val="0"/>
          <c:order val="0"/>
          <c:tx>
            <c:strRef>
              <c:f>Commodities!$P$6</c:f>
              <c:strCache>
                <c:ptCount val="1"/>
                <c:pt idx="0">
                  <c:v>Сви производи</c:v>
                </c:pt>
              </c:strCache>
            </c:strRef>
          </c:tx>
          <c:spPr>
            <a:ln w="22225" cap="rnd">
              <a:solidFill>
                <a:srgbClr val="003891"/>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Commodities!$P$20:$P$139</c:f>
              <c:numCache>
                <c:formatCode>0.0</c:formatCode>
                <c:ptCount val="120"/>
                <c:pt idx="0">
                  <c:v>117.101</c:v>
                </c:pt>
                <c:pt idx="1">
                  <c:v>119.893</c:v>
                </c:pt>
                <c:pt idx="2">
                  <c:v>115.166</c:v>
                </c:pt>
                <c:pt idx="3">
                  <c:v>116.28400000000001</c:v>
                </c:pt>
                <c:pt idx="4">
                  <c:v>119.268</c:v>
                </c:pt>
                <c:pt idx="5">
                  <c:v>116.46</c:v>
                </c:pt>
                <c:pt idx="6">
                  <c:v>109.998</c:v>
                </c:pt>
                <c:pt idx="7">
                  <c:v>103.128</c:v>
                </c:pt>
                <c:pt idx="8">
                  <c:v>102.812</c:v>
                </c:pt>
                <c:pt idx="9">
                  <c:v>103.01900000000001</c:v>
                </c:pt>
                <c:pt idx="10">
                  <c:v>97.135000000000005</c:v>
                </c:pt>
                <c:pt idx="11">
                  <c:v>91.948999999999998</c:v>
                </c:pt>
                <c:pt idx="12">
                  <c:v>86.426000000000002</c:v>
                </c:pt>
                <c:pt idx="13">
                  <c:v>88.117999999999995</c:v>
                </c:pt>
                <c:pt idx="14">
                  <c:v>94.376999999999995</c:v>
                </c:pt>
                <c:pt idx="15">
                  <c:v>97.275000000000006</c:v>
                </c:pt>
                <c:pt idx="16">
                  <c:v>100.786</c:v>
                </c:pt>
                <c:pt idx="17">
                  <c:v>103.128</c:v>
                </c:pt>
                <c:pt idx="18">
                  <c:v>102.57599999999999</c:v>
                </c:pt>
                <c:pt idx="19">
                  <c:v>102.843</c:v>
                </c:pt>
                <c:pt idx="20">
                  <c:v>102.619</c:v>
                </c:pt>
                <c:pt idx="21">
                  <c:v>106.009</c:v>
                </c:pt>
                <c:pt idx="22">
                  <c:v>104.985</c:v>
                </c:pt>
                <c:pt idx="23">
                  <c:v>110.857</c:v>
                </c:pt>
                <c:pt idx="24">
                  <c:v>114.408</c:v>
                </c:pt>
                <c:pt idx="25">
                  <c:v>114.667</c:v>
                </c:pt>
                <c:pt idx="26">
                  <c:v>109.16800000000001</c:v>
                </c:pt>
                <c:pt idx="27">
                  <c:v>109.111</c:v>
                </c:pt>
                <c:pt idx="28">
                  <c:v>106.873</c:v>
                </c:pt>
                <c:pt idx="29">
                  <c:v>103.58799999999999</c:v>
                </c:pt>
                <c:pt idx="30">
                  <c:v>106.164</c:v>
                </c:pt>
                <c:pt idx="31">
                  <c:v>108.601</c:v>
                </c:pt>
                <c:pt idx="32">
                  <c:v>110.996</c:v>
                </c:pt>
                <c:pt idx="33">
                  <c:v>112.496</c:v>
                </c:pt>
                <c:pt idx="34">
                  <c:v>117.3</c:v>
                </c:pt>
                <c:pt idx="35">
                  <c:v>118.822</c:v>
                </c:pt>
                <c:pt idx="36">
                  <c:v>124.44499999999999</c:v>
                </c:pt>
                <c:pt idx="37">
                  <c:v>121.846</c:v>
                </c:pt>
                <c:pt idx="38">
                  <c:v>121.348</c:v>
                </c:pt>
                <c:pt idx="39">
                  <c:v>122.752</c:v>
                </c:pt>
                <c:pt idx="40">
                  <c:v>126.78</c:v>
                </c:pt>
                <c:pt idx="41">
                  <c:v>125.444</c:v>
                </c:pt>
                <c:pt idx="42">
                  <c:v>123.71599999999999</c:v>
                </c:pt>
                <c:pt idx="43">
                  <c:v>121.419</c:v>
                </c:pt>
                <c:pt idx="44">
                  <c:v>125.291</c:v>
                </c:pt>
                <c:pt idx="45">
                  <c:v>126.11199999999999</c:v>
                </c:pt>
                <c:pt idx="46">
                  <c:v>115.71</c:v>
                </c:pt>
                <c:pt idx="47">
                  <c:v>110.77200000000001</c:v>
                </c:pt>
                <c:pt idx="48">
                  <c:v>111.629</c:v>
                </c:pt>
                <c:pt idx="49">
                  <c:v>112.798</c:v>
                </c:pt>
                <c:pt idx="50">
                  <c:v>112.751</c:v>
                </c:pt>
                <c:pt idx="51">
                  <c:v>115.366</c:v>
                </c:pt>
                <c:pt idx="52">
                  <c:v>112.17700000000001</c:v>
                </c:pt>
                <c:pt idx="53">
                  <c:v>107.68</c:v>
                </c:pt>
                <c:pt idx="54">
                  <c:v>109.848</c:v>
                </c:pt>
                <c:pt idx="55">
                  <c:v>104.86</c:v>
                </c:pt>
                <c:pt idx="56">
                  <c:v>106.679</c:v>
                </c:pt>
                <c:pt idx="57">
                  <c:v>105.111</c:v>
                </c:pt>
                <c:pt idx="58">
                  <c:v>108.691</c:v>
                </c:pt>
                <c:pt idx="59">
                  <c:v>111.473</c:v>
                </c:pt>
                <c:pt idx="60">
                  <c:v>110.589</c:v>
                </c:pt>
                <c:pt idx="61">
                  <c:v>102.235</c:v>
                </c:pt>
                <c:pt idx="62">
                  <c:v>86.674000000000007</c:v>
                </c:pt>
                <c:pt idx="63">
                  <c:v>79.652000000000001</c:v>
                </c:pt>
                <c:pt idx="64">
                  <c:v>85.894999999999996</c:v>
                </c:pt>
                <c:pt idx="65">
                  <c:v>93.042000000000002</c:v>
                </c:pt>
                <c:pt idx="66">
                  <c:v>95.349000000000004</c:v>
                </c:pt>
                <c:pt idx="67">
                  <c:v>100.401</c:v>
                </c:pt>
                <c:pt idx="68">
                  <c:v>99.936999999999998</c:v>
                </c:pt>
                <c:pt idx="69">
                  <c:v>102.586</c:v>
                </c:pt>
                <c:pt idx="70">
                  <c:v>106.32599999999999</c:v>
                </c:pt>
                <c:pt idx="71">
                  <c:v>115.464</c:v>
                </c:pt>
                <c:pt idx="72">
                  <c:v>125.72</c:v>
                </c:pt>
                <c:pt idx="73">
                  <c:v>125.967</c:v>
                </c:pt>
                <c:pt idx="74">
                  <c:v>127.824</c:v>
                </c:pt>
                <c:pt idx="75">
                  <c:v>130.59200000000001</c:v>
                </c:pt>
                <c:pt idx="76">
                  <c:v>138.43100000000001</c:v>
                </c:pt>
                <c:pt idx="77">
                  <c:v>142.078</c:v>
                </c:pt>
                <c:pt idx="78">
                  <c:v>144.97200000000001</c:v>
                </c:pt>
                <c:pt idx="79">
                  <c:v>143.227</c:v>
                </c:pt>
                <c:pt idx="80">
                  <c:v>150.185</c:v>
                </c:pt>
                <c:pt idx="81">
                  <c:v>166.25</c:v>
                </c:pt>
                <c:pt idx="82">
                  <c:v>158.16900000000001</c:v>
                </c:pt>
                <c:pt idx="83">
                  <c:v>160.78800000000001</c:v>
                </c:pt>
                <c:pt idx="84">
                  <c:v>164.19300000000001</c:v>
                </c:pt>
                <c:pt idx="85">
                  <c:v>172.233</c:v>
                </c:pt>
                <c:pt idx="86">
                  <c:v>200.328</c:v>
                </c:pt>
                <c:pt idx="87">
                  <c:v>189.584</c:v>
                </c:pt>
                <c:pt idx="88">
                  <c:v>185.93299999999999</c:v>
                </c:pt>
                <c:pt idx="89">
                  <c:v>187.68100000000001</c:v>
                </c:pt>
                <c:pt idx="90">
                  <c:v>185.95500000000001</c:v>
                </c:pt>
                <c:pt idx="91">
                  <c:v>196.13300000000001</c:v>
                </c:pt>
                <c:pt idx="92">
                  <c:v>177.995</c:v>
                </c:pt>
                <c:pt idx="93">
                  <c:v>154.19</c:v>
                </c:pt>
                <c:pt idx="94">
                  <c:v>154.923</c:v>
                </c:pt>
                <c:pt idx="95">
                  <c:v>157.23400000000001</c:v>
                </c:pt>
                <c:pt idx="96">
                  <c:v>146.58600000000001</c:v>
                </c:pt>
                <c:pt idx="97">
                  <c:v>139.327</c:v>
                </c:pt>
                <c:pt idx="98">
                  <c:v>133.887</c:v>
                </c:pt>
                <c:pt idx="99">
                  <c:v>135.16300000000001</c:v>
                </c:pt>
                <c:pt idx="100">
                  <c:v>124.062</c:v>
                </c:pt>
                <c:pt idx="101">
                  <c:v>121.251</c:v>
                </c:pt>
                <c:pt idx="102">
                  <c:v>124.036</c:v>
                </c:pt>
                <c:pt idx="103">
                  <c:v>126.127</c:v>
                </c:pt>
                <c:pt idx="104">
                  <c:v>131.53700000000001</c:v>
                </c:pt>
                <c:pt idx="105">
                  <c:v>131.04300000000001</c:v>
                </c:pt>
                <c:pt idx="106">
                  <c:v>129.13999999999999</c:v>
                </c:pt>
                <c:pt idx="107">
                  <c:v>124.88500000000001</c:v>
                </c:pt>
                <c:pt idx="108">
                  <c:v>124.03400000000001</c:v>
                </c:pt>
                <c:pt idx="109">
                  <c:v>122.745</c:v>
                </c:pt>
                <c:pt idx="110">
                  <c:v>125.371</c:v>
                </c:pt>
                <c:pt idx="111">
                  <c:v>130.49199999999999</c:v>
                </c:pt>
                <c:pt idx="112">
                  <c:v>128.971</c:v>
                </c:pt>
                <c:pt idx="113">
                  <c:v>127.434</c:v>
                </c:pt>
                <c:pt idx="114">
                  <c:v>126.828</c:v>
                </c:pt>
                <c:pt idx="115">
                  <c:v>125.22799999999999</c:v>
                </c:pt>
                <c:pt idx="116">
                  <c:v>122.956</c:v>
                </c:pt>
                <c:pt idx="117">
                  <c:v>126.66200000000001</c:v>
                </c:pt>
                <c:pt idx="118">
                  <c:v>126.498</c:v>
                </c:pt>
                <c:pt idx="119">
                  <c:v>126.77800000000001</c:v>
                </c:pt>
              </c:numCache>
            </c:numRef>
          </c:val>
          <c:smooth val="0"/>
          <c:extLst>
            <c:ext xmlns:c16="http://schemas.microsoft.com/office/drawing/2014/chart" uri="{C3380CC4-5D6E-409C-BE32-E72D297353CC}">
              <c16:uniqueId val="{00000000-6AE3-4695-863D-EE30213F176E}"/>
            </c:ext>
          </c:extLst>
        </c:ser>
        <c:ser>
          <c:idx val="1"/>
          <c:order val="1"/>
          <c:tx>
            <c:strRef>
              <c:f>Commodities!$Q$6</c:f>
              <c:strCache>
                <c:ptCount val="1"/>
                <c:pt idx="0">
                  <c:v>Основни метали</c:v>
                </c:pt>
              </c:strCache>
            </c:strRef>
          </c:tx>
          <c:spPr>
            <a:ln w="22225" cap="rnd">
              <a:solidFill>
                <a:srgbClr val="EC008C"/>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Commodities!$Q$20:$Q$139</c:f>
              <c:numCache>
                <c:formatCode>0.0</c:formatCode>
                <c:ptCount val="120"/>
                <c:pt idx="0">
                  <c:v>123.56</c:v>
                </c:pt>
                <c:pt idx="1">
                  <c:v>118.464</c:v>
                </c:pt>
                <c:pt idx="2">
                  <c:v>115.14100000000001</c:v>
                </c:pt>
                <c:pt idx="3">
                  <c:v>112.718</c:v>
                </c:pt>
                <c:pt idx="4">
                  <c:v>118.148</c:v>
                </c:pt>
                <c:pt idx="5">
                  <c:v>112.65300000000001</c:v>
                </c:pt>
                <c:pt idx="6">
                  <c:v>102.738</c:v>
                </c:pt>
                <c:pt idx="7">
                  <c:v>101.44799999999999</c:v>
                </c:pt>
                <c:pt idx="8">
                  <c:v>101.696</c:v>
                </c:pt>
                <c:pt idx="9">
                  <c:v>99.009</c:v>
                </c:pt>
                <c:pt idx="10">
                  <c:v>91.266000000000005</c:v>
                </c:pt>
                <c:pt idx="11">
                  <c:v>87.314999999999998</c:v>
                </c:pt>
                <c:pt idx="12">
                  <c:v>86.406000000000006</c:v>
                </c:pt>
                <c:pt idx="13">
                  <c:v>90.448999999999998</c:v>
                </c:pt>
                <c:pt idx="14">
                  <c:v>97.722999999999999</c:v>
                </c:pt>
                <c:pt idx="15">
                  <c:v>99.415999999999997</c:v>
                </c:pt>
                <c:pt idx="16">
                  <c:v>95.78</c:v>
                </c:pt>
                <c:pt idx="17">
                  <c:v>94.653999999999996</c:v>
                </c:pt>
                <c:pt idx="18">
                  <c:v>100.22199999999999</c:v>
                </c:pt>
                <c:pt idx="19">
                  <c:v>101.925</c:v>
                </c:pt>
                <c:pt idx="20">
                  <c:v>99.459000000000003</c:v>
                </c:pt>
                <c:pt idx="21">
                  <c:v>100.45</c:v>
                </c:pt>
                <c:pt idx="22">
                  <c:v>114.64</c:v>
                </c:pt>
                <c:pt idx="23">
                  <c:v>118.876</c:v>
                </c:pt>
                <c:pt idx="24">
                  <c:v>120.002</c:v>
                </c:pt>
                <c:pt idx="25">
                  <c:v>126.874</c:v>
                </c:pt>
                <c:pt idx="26">
                  <c:v>125.285</c:v>
                </c:pt>
                <c:pt idx="27">
                  <c:v>114.779</c:v>
                </c:pt>
                <c:pt idx="28">
                  <c:v>109.553</c:v>
                </c:pt>
                <c:pt idx="29">
                  <c:v>107.684</c:v>
                </c:pt>
                <c:pt idx="30">
                  <c:v>114.946</c:v>
                </c:pt>
                <c:pt idx="31">
                  <c:v>124.214</c:v>
                </c:pt>
                <c:pt idx="32">
                  <c:v>122.672</c:v>
                </c:pt>
                <c:pt idx="33">
                  <c:v>120.93</c:v>
                </c:pt>
                <c:pt idx="34">
                  <c:v>122.426</c:v>
                </c:pt>
                <c:pt idx="35">
                  <c:v>126.83799999999999</c:v>
                </c:pt>
                <c:pt idx="36">
                  <c:v>132.333</c:v>
                </c:pt>
                <c:pt idx="37">
                  <c:v>132.70699999999999</c:v>
                </c:pt>
                <c:pt idx="38">
                  <c:v>127.45</c:v>
                </c:pt>
                <c:pt idx="39">
                  <c:v>128.31200000000001</c:v>
                </c:pt>
                <c:pt idx="40">
                  <c:v>128.21700000000001</c:v>
                </c:pt>
                <c:pt idx="41">
                  <c:v>128.93299999999999</c:v>
                </c:pt>
                <c:pt idx="42">
                  <c:v>120.91500000000001</c:v>
                </c:pt>
                <c:pt idx="43">
                  <c:v>119.125</c:v>
                </c:pt>
                <c:pt idx="44">
                  <c:v>118.44</c:v>
                </c:pt>
                <c:pt idx="45">
                  <c:v>121.232</c:v>
                </c:pt>
                <c:pt idx="46">
                  <c:v>119.928</c:v>
                </c:pt>
                <c:pt idx="47">
                  <c:v>117.637</c:v>
                </c:pt>
                <c:pt idx="48">
                  <c:v>119.158</c:v>
                </c:pt>
                <c:pt idx="49">
                  <c:v>127.883</c:v>
                </c:pt>
                <c:pt idx="50">
                  <c:v>128.72300000000001</c:v>
                </c:pt>
                <c:pt idx="51">
                  <c:v>131.40600000000001</c:v>
                </c:pt>
                <c:pt idx="52">
                  <c:v>130.309</c:v>
                </c:pt>
                <c:pt idx="53">
                  <c:v>132.56700000000001</c:v>
                </c:pt>
                <c:pt idx="54">
                  <c:v>138.316</c:v>
                </c:pt>
                <c:pt idx="55">
                  <c:v>124.70699999999999</c:v>
                </c:pt>
                <c:pt idx="56">
                  <c:v>126.023</c:v>
                </c:pt>
                <c:pt idx="57">
                  <c:v>123.657</c:v>
                </c:pt>
                <c:pt idx="58">
                  <c:v>119.767</c:v>
                </c:pt>
                <c:pt idx="59">
                  <c:v>122.48399999999999</c:v>
                </c:pt>
                <c:pt idx="60">
                  <c:v>123.807</c:v>
                </c:pt>
                <c:pt idx="61">
                  <c:v>116.724</c:v>
                </c:pt>
                <c:pt idx="62">
                  <c:v>113.041</c:v>
                </c:pt>
                <c:pt idx="63">
                  <c:v>108.678</c:v>
                </c:pt>
                <c:pt idx="64">
                  <c:v>113.512</c:v>
                </c:pt>
                <c:pt idx="65">
                  <c:v>123.206</c:v>
                </c:pt>
                <c:pt idx="66">
                  <c:v>129.70500000000001</c:v>
                </c:pt>
                <c:pt idx="67">
                  <c:v>137.708</c:v>
                </c:pt>
                <c:pt idx="68">
                  <c:v>140.232</c:v>
                </c:pt>
                <c:pt idx="69">
                  <c:v>139.232</c:v>
                </c:pt>
                <c:pt idx="70">
                  <c:v>145.92699999999999</c:v>
                </c:pt>
                <c:pt idx="71">
                  <c:v>165.99100000000001</c:v>
                </c:pt>
                <c:pt idx="72">
                  <c:v>173.97800000000001</c:v>
                </c:pt>
                <c:pt idx="73">
                  <c:v>175.874</c:v>
                </c:pt>
                <c:pt idx="74">
                  <c:v>180.03399999999999</c:v>
                </c:pt>
                <c:pt idx="75">
                  <c:v>187.12100000000001</c:v>
                </c:pt>
                <c:pt idx="76">
                  <c:v>204.316</c:v>
                </c:pt>
                <c:pt idx="77">
                  <c:v>209.785</c:v>
                </c:pt>
                <c:pt idx="78">
                  <c:v>210.006</c:v>
                </c:pt>
                <c:pt idx="79">
                  <c:v>186.27500000000001</c:v>
                </c:pt>
                <c:pt idx="80">
                  <c:v>167.559</c:v>
                </c:pt>
                <c:pt idx="81">
                  <c:v>170.55799999999999</c:v>
                </c:pt>
                <c:pt idx="82">
                  <c:v>155.542</c:v>
                </c:pt>
                <c:pt idx="83">
                  <c:v>164.131</c:v>
                </c:pt>
                <c:pt idx="84">
                  <c:v>178.398</c:v>
                </c:pt>
                <c:pt idx="85">
                  <c:v>183.34299999999999</c:v>
                </c:pt>
                <c:pt idx="86">
                  <c:v>194.94399999999999</c:v>
                </c:pt>
                <c:pt idx="87">
                  <c:v>192.20699999999999</c:v>
                </c:pt>
                <c:pt idx="88">
                  <c:v>170.93100000000001</c:v>
                </c:pt>
                <c:pt idx="89">
                  <c:v>162.27500000000001</c:v>
                </c:pt>
                <c:pt idx="90">
                  <c:v>139.768</c:v>
                </c:pt>
                <c:pt idx="91">
                  <c:v>141.65899999999999</c:v>
                </c:pt>
                <c:pt idx="92">
                  <c:v>134.17699999999999</c:v>
                </c:pt>
                <c:pt idx="93">
                  <c:v>130.209</c:v>
                </c:pt>
                <c:pt idx="94">
                  <c:v>136.303</c:v>
                </c:pt>
                <c:pt idx="95">
                  <c:v>149.09899999999999</c:v>
                </c:pt>
                <c:pt idx="96">
                  <c:v>159.566</c:v>
                </c:pt>
                <c:pt idx="97">
                  <c:v>166.88900000000001</c:v>
                </c:pt>
                <c:pt idx="98">
                  <c:v>161.94499999999999</c:v>
                </c:pt>
                <c:pt idx="99">
                  <c:v>154.75700000000001</c:v>
                </c:pt>
                <c:pt idx="100">
                  <c:v>140.67400000000001</c:v>
                </c:pt>
                <c:pt idx="101">
                  <c:v>140.84399999999999</c:v>
                </c:pt>
                <c:pt idx="102">
                  <c:v>141.28899999999999</c:v>
                </c:pt>
                <c:pt idx="103">
                  <c:v>137.80699999999999</c:v>
                </c:pt>
                <c:pt idx="104">
                  <c:v>142.54599999999999</c:v>
                </c:pt>
                <c:pt idx="105">
                  <c:v>140.614</c:v>
                </c:pt>
                <c:pt idx="106">
                  <c:v>147.262</c:v>
                </c:pt>
                <c:pt idx="107">
                  <c:v>149.535</c:v>
                </c:pt>
                <c:pt idx="108">
                  <c:v>147.78800000000001</c:v>
                </c:pt>
                <c:pt idx="109">
                  <c:v>142.80500000000001</c:v>
                </c:pt>
                <c:pt idx="110">
                  <c:v>137.827</c:v>
                </c:pt>
                <c:pt idx="111">
                  <c:v>144.84700000000001</c:v>
                </c:pt>
                <c:pt idx="112">
                  <c:v>152.583</c:v>
                </c:pt>
                <c:pt idx="113">
                  <c:v>143.535</c:v>
                </c:pt>
                <c:pt idx="114">
                  <c:v>140.02500000000001</c:v>
                </c:pt>
                <c:pt idx="115">
                  <c:v>134.88499999999999</c:v>
                </c:pt>
                <c:pt idx="116">
                  <c:v>134.97300000000001</c:v>
                </c:pt>
                <c:pt idx="117">
                  <c:v>142.21100000000001</c:v>
                </c:pt>
                <c:pt idx="118">
                  <c:v>138.94900000000001</c:v>
                </c:pt>
                <c:pt idx="119">
                  <c:v>138.52199999999999</c:v>
                </c:pt>
              </c:numCache>
            </c:numRef>
          </c:val>
          <c:smooth val="0"/>
          <c:extLst>
            <c:ext xmlns:c16="http://schemas.microsoft.com/office/drawing/2014/chart" uri="{C3380CC4-5D6E-409C-BE32-E72D297353CC}">
              <c16:uniqueId val="{00000001-6AE3-4695-863D-EE30213F176E}"/>
            </c:ext>
          </c:extLst>
        </c:ser>
        <c:ser>
          <c:idx val="2"/>
          <c:order val="2"/>
          <c:tx>
            <c:strRef>
              <c:f>Commodities!$R$6</c:f>
              <c:strCache>
                <c:ptCount val="1"/>
                <c:pt idx="0">
                  <c:v>Храна</c:v>
                </c:pt>
              </c:strCache>
            </c:strRef>
          </c:tx>
          <c:spPr>
            <a:ln w="22225" cap="rnd">
              <a:solidFill>
                <a:srgbClr val="7F3F98"/>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Commodities!$R$20:$R$139</c:f>
              <c:numCache>
                <c:formatCode>0.0</c:formatCode>
                <c:ptCount val="120"/>
                <c:pt idx="0">
                  <c:v>107.374</c:v>
                </c:pt>
                <c:pt idx="1">
                  <c:v>103.83499999999999</c:v>
                </c:pt>
                <c:pt idx="2">
                  <c:v>100.601</c:v>
                </c:pt>
                <c:pt idx="3">
                  <c:v>102.355</c:v>
                </c:pt>
                <c:pt idx="4">
                  <c:v>101.717</c:v>
                </c:pt>
                <c:pt idx="5">
                  <c:v>100.895</c:v>
                </c:pt>
                <c:pt idx="6">
                  <c:v>100.741</c:v>
                </c:pt>
                <c:pt idx="7">
                  <c:v>97.793000000000006</c:v>
                </c:pt>
                <c:pt idx="8">
                  <c:v>97.141999999999996</c:v>
                </c:pt>
                <c:pt idx="9">
                  <c:v>97.724000000000004</c:v>
                </c:pt>
                <c:pt idx="10">
                  <c:v>93.831999999999994</c:v>
                </c:pt>
                <c:pt idx="11">
                  <c:v>93.728999999999999</c:v>
                </c:pt>
                <c:pt idx="12">
                  <c:v>93.54</c:v>
                </c:pt>
                <c:pt idx="13">
                  <c:v>94.789000000000001</c:v>
                </c:pt>
                <c:pt idx="14">
                  <c:v>97.864999999999995</c:v>
                </c:pt>
                <c:pt idx="15">
                  <c:v>100.399</c:v>
                </c:pt>
                <c:pt idx="16">
                  <c:v>101.36499999999999</c:v>
                </c:pt>
                <c:pt idx="17">
                  <c:v>103.16200000000001</c:v>
                </c:pt>
                <c:pt idx="18">
                  <c:v>103.633</c:v>
                </c:pt>
                <c:pt idx="19">
                  <c:v>101.786</c:v>
                </c:pt>
                <c:pt idx="20">
                  <c:v>101.126</c:v>
                </c:pt>
                <c:pt idx="21">
                  <c:v>99.944000000000003</c:v>
                </c:pt>
                <c:pt idx="22">
                  <c:v>100.649</c:v>
                </c:pt>
                <c:pt idx="23">
                  <c:v>101.741</c:v>
                </c:pt>
                <c:pt idx="24">
                  <c:v>105.313</c:v>
                </c:pt>
                <c:pt idx="25">
                  <c:v>105.462</c:v>
                </c:pt>
                <c:pt idx="26">
                  <c:v>101.84399999999999</c:v>
                </c:pt>
                <c:pt idx="27">
                  <c:v>100.92400000000001</c:v>
                </c:pt>
                <c:pt idx="28">
                  <c:v>103.205</c:v>
                </c:pt>
                <c:pt idx="29">
                  <c:v>102.42400000000001</c:v>
                </c:pt>
                <c:pt idx="30">
                  <c:v>104.79600000000001</c:v>
                </c:pt>
                <c:pt idx="31">
                  <c:v>99.807000000000002</c:v>
                </c:pt>
                <c:pt idx="32">
                  <c:v>98.082999999999998</c:v>
                </c:pt>
                <c:pt idx="33">
                  <c:v>98.927000000000007</c:v>
                </c:pt>
                <c:pt idx="34">
                  <c:v>99.546000000000006</c:v>
                </c:pt>
                <c:pt idx="35">
                  <c:v>99.596000000000004</c:v>
                </c:pt>
                <c:pt idx="36">
                  <c:v>102.48</c:v>
                </c:pt>
                <c:pt idx="37">
                  <c:v>102.09099999999999</c:v>
                </c:pt>
                <c:pt idx="38">
                  <c:v>102.834</c:v>
                </c:pt>
                <c:pt idx="39">
                  <c:v>102.248</c:v>
                </c:pt>
                <c:pt idx="40">
                  <c:v>103.393</c:v>
                </c:pt>
                <c:pt idx="41">
                  <c:v>99.149000000000001</c:v>
                </c:pt>
                <c:pt idx="42">
                  <c:v>96.522999999999996</c:v>
                </c:pt>
                <c:pt idx="43">
                  <c:v>92.691000000000003</c:v>
                </c:pt>
                <c:pt idx="44">
                  <c:v>93.786000000000001</c:v>
                </c:pt>
                <c:pt idx="45">
                  <c:v>95.323999999999998</c:v>
                </c:pt>
                <c:pt idx="46">
                  <c:v>91.296000000000006</c:v>
                </c:pt>
                <c:pt idx="47">
                  <c:v>94.296999999999997</c:v>
                </c:pt>
                <c:pt idx="48">
                  <c:v>95.811999999999998</c:v>
                </c:pt>
                <c:pt idx="49">
                  <c:v>93.799000000000007</c:v>
                </c:pt>
                <c:pt idx="50">
                  <c:v>92.603999999999999</c:v>
                </c:pt>
                <c:pt idx="51">
                  <c:v>95.409000000000006</c:v>
                </c:pt>
                <c:pt idx="52">
                  <c:v>91.948999999999998</c:v>
                </c:pt>
                <c:pt idx="53">
                  <c:v>93.915999999999997</c:v>
                </c:pt>
                <c:pt idx="54">
                  <c:v>93.814999999999998</c:v>
                </c:pt>
                <c:pt idx="55">
                  <c:v>91.938000000000002</c:v>
                </c:pt>
                <c:pt idx="56">
                  <c:v>89.796000000000006</c:v>
                </c:pt>
                <c:pt idx="57">
                  <c:v>89.903999999999996</c:v>
                </c:pt>
                <c:pt idx="58">
                  <c:v>93.587999999999994</c:v>
                </c:pt>
                <c:pt idx="59">
                  <c:v>97.168000000000006</c:v>
                </c:pt>
                <c:pt idx="60">
                  <c:v>98.08</c:v>
                </c:pt>
                <c:pt idx="61">
                  <c:v>93.83</c:v>
                </c:pt>
                <c:pt idx="62">
                  <c:v>90.397000000000006</c:v>
                </c:pt>
                <c:pt idx="63">
                  <c:v>87.010999999999996</c:v>
                </c:pt>
                <c:pt idx="64">
                  <c:v>90.364000000000004</c:v>
                </c:pt>
                <c:pt idx="65">
                  <c:v>92.935000000000002</c:v>
                </c:pt>
                <c:pt idx="66">
                  <c:v>90.456999999999994</c:v>
                </c:pt>
                <c:pt idx="67">
                  <c:v>91.084999999999994</c:v>
                </c:pt>
                <c:pt idx="68">
                  <c:v>92.207999999999998</c:v>
                </c:pt>
                <c:pt idx="69">
                  <c:v>97.042000000000002</c:v>
                </c:pt>
                <c:pt idx="70">
                  <c:v>100.33</c:v>
                </c:pt>
                <c:pt idx="71">
                  <c:v>101.292</c:v>
                </c:pt>
                <c:pt idx="72">
                  <c:v>107.30200000000001</c:v>
                </c:pt>
                <c:pt idx="73">
                  <c:v>109.3</c:v>
                </c:pt>
                <c:pt idx="74">
                  <c:v>110.992</c:v>
                </c:pt>
                <c:pt idx="75">
                  <c:v>116.929</c:v>
                </c:pt>
                <c:pt idx="76">
                  <c:v>121.59699999999999</c:v>
                </c:pt>
                <c:pt idx="77">
                  <c:v>113.89400000000001</c:v>
                </c:pt>
                <c:pt idx="78">
                  <c:v>113.82299999999999</c:v>
                </c:pt>
                <c:pt idx="79">
                  <c:v>115.735</c:v>
                </c:pt>
                <c:pt idx="80">
                  <c:v>111.999</c:v>
                </c:pt>
                <c:pt idx="81">
                  <c:v>112.386</c:v>
                </c:pt>
                <c:pt idx="82">
                  <c:v>113.636</c:v>
                </c:pt>
                <c:pt idx="83">
                  <c:v>116.535</c:v>
                </c:pt>
                <c:pt idx="84">
                  <c:v>121.11199999999999</c:v>
                </c:pt>
                <c:pt idx="85">
                  <c:v>125.834</c:v>
                </c:pt>
                <c:pt idx="86">
                  <c:v>134.38200000000001</c:v>
                </c:pt>
                <c:pt idx="87">
                  <c:v>137.62200000000001</c:v>
                </c:pt>
                <c:pt idx="88">
                  <c:v>133.47499999999999</c:v>
                </c:pt>
                <c:pt idx="89">
                  <c:v>126.47199999999999</c:v>
                </c:pt>
                <c:pt idx="90">
                  <c:v>116.85299999999999</c:v>
                </c:pt>
                <c:pt idx="91">
                  <c:v>113.66800000000001</c:v>
                </c:pt>
                <c:pt idx="92">
                  <c:v>109.563</c:v>
                </c:pt>
                <c:pt idx="93">
                  <c:v>111.38800000000001</c:v>
                </c:pt>
                <c:pt idx="94">
                  <c:v>111.496</c:v>
                </c:pt>
                <c:pt idx="95">
                  <c:v>110.34</c:v>
                </c:pt>
                <c:pt idx="96">
                  <c:v>111.02800000000001</c:v>
                </c:pt>
                <c:pt idx="97">
                  <c:v>113.81</c:v>
                </c:pt>
                <c:pt idx="98">
                  <c:v>116.27800000000001</c:v>
                </c:pt>
                <c:pt idx="99">
                  <c:v>115.642</c:v>
                </c:pt>
                <c:pt idx="100">
                  <c:v>109.443</c:v>
                </c:pt>
                <c:pt idx="101">
                  <c:v>107.05800000000001</c:v>
                </c:pt>
                <c:pt idx="102">
                  <c:v>107.32599999999999</c:v>
                </c:pt>
                <c:pt idx="103">
                  <c:v>102.657</c:v>
                </c:pt>
                <c:pt idx="104">
                  <c:v>102.24299999999999</c:v>
                </c:pt>
                <c:pt idx="105">
                  <c:v>103.34099999999999</c:v>
                </c:pt>
                <c:pt idx="106">
                  <c:v>106.20399999999999</c:v>
                </c:pt>
                <c:pt idx="107">
                  <c:v>104.786</c:v>
                </c:pt>
                <c:pt idx="108">
                  <c:v>105.504</c:v>
                </c:pt>
                <c:pt idx="109">
                  <c:v>103.952</c:v>
                </c:pt>
                <c:pt idx="110">
                  <c:v>104.274</c:v>
                </c:pt>
                <c:pt idx="111">
                  <c:v>105.545</c:v>
                </c:pt>
                <c:pt idx="112">
                  <c:v>105.35299999999999</c:v>
                </c:pt>
                <c:pt idx="113">
                  <c:v>99.53</c:v>
                </c:pt>
                <c:pt idx="114">
                  <c:v>98.307000000000002</c:v>
                </c:pt>
                <c:pt idx="115">
                  <c:v>97.885999999999996</c:v>
                </c:pt>
                <c:pt idx="116">
                  <c:v>99.521000000000001</c:v>
                </c:pt>
                <c:pt idx="117">
                  <c:v>100.91500000000001</c:v>
                </c:pt>
                <c:pt idx="118">
                  <c:v>101.435</c:v>
                </c:pt>
                <c:pt idx="119">
                  <c:v>100.57</c:v>
                </c:pt>
              </c:numCache>
            </c:numRef>
          </c:val>
          <c:smooth val="0"/>
          <c:extLst>
            <c:ext xmlns:c16="http://schemas.microsoft.com/office/drawing/2014/chart" uri="{C3380CC4-5D6E-409C-BE32-E72D297353CC}">
              <c16:uniqueId val="{00000002-6AE3-4695-863D-EE30213F176E}"/>
            </c:ext>
          </c:extLst>
        </c:ser>
        <c:ser>
          <c:idx val="4"/>
          <c:order val="3"/>
          <c:tx>
            <c:strRef>
              <c:f>Commodities!$S$6</c:f>
              <c:strCache>
                <c:ptCount val="1"/>
                <c:pt idx="0">
                  <c:v>Енергија</c:v>
                </c:pt>
              </c:strCache>
            </c:strRef>
          </c:tx>
          <c:spPr>
            <a:ln w="22225" cap="rnd">
              <a:solidFill>
                <a:srgbClr val="00A651"/>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Commodities!$S$20:$S$139</c:f>
              <c:numCache>
                <c:formatCode>0.0</c:formatCode>
                <c:ptCount val="120"/>
                <c:pt idx="0">
                  <c:v>125.429</c:v>
                </c:pt>
                <c:pt idx="1">
                  <c:v>136.76900000000001</c:v>
                </c:pt>
                <c:pt idx="2">
                  <c:v>130.52799999999999</c:v>
                </c:pt>
                <c:pt idx="3">
                  <c:v>132.518</c:v>
                </c:pt>
                <c:pt idx="4">
                  <c:v>138.87100000000001</c:v>
                </c:pt>
                <c:pt idx="5">
                  <c:v>135.03800000000001</c:v>
                </c:pt>
                <c:pt idx="6">
                  <c:v>123.738</c:v>
                </c:pt>
                <c:pt idx="7">
                  <c:v>110.093</c:v>
                </c:pt>
                <c:pt idx="8">
                  <c:v>110.06100000000001</c:v>
                </c:pt>
                <c:pt idx="9">
                  <c:v>109.983</c:v>
                </c:pt>
                <c:pt idx="10">
                  <c:v>102.49</c:v>
                </c:pt>
                <c:pt idx="11">
                  <c:v>91.671999999999997</c:v>
                </c:pt>
                <c:pt idx="12">
                  <c:v>78.712999999999994</c:v>
                </c:pt>
                <c:pt idx="13">
                  <c:v>78.804000000000002</c:v>
                </c:pt>
                <c:pt idx="14">
                  <c:v>88.429000000000002</c:v>
                </c:pt>
                <c:pt idx="15">
                  <c:v>92.909000000000006</c:v>
                </c:pt>
                <c:pt idx="16">
                  <c:v>101.474</c:v>
                </c:pt>
                <c:pt idx="17">
                  <c:v>106.333</c:v>
                </c:pt>
                <c:pt idx="18">
                  <c:v>101.59399999999999</c:v>
                </c:pt>
                <c:pt idx="19">
                  <c:v>103.1</c:v>
                </c:pt>
                <c:pt idx="20">
                  <c:v>104.104</c:v>
                </c:pt>
                <c:pt idx="21">
                  <c:v>114.53400000000001</c:v>
                </c:pt>
                <c:pt idx="22">
                  <c:v>107.929</c:v>
                </c:pt>
                <c:pt idx="23">
                  <c:v>122.078</c:v>
                </c:pt>
                <c:pt idx="24">
                  <c:v>126.44</c:v>
                </c:pt>
                <c:pt idx="25">
                  <c:v>123.86499999999999</c:v>
                </c:pt>
                <c:pt idx="26">
                  <c:v>114.065</c:v>
                </c:pt>
                <c:pt idx="27">
                  <c:v>117.12</c:v>
                </c:pt>
                <c:pt idx="28">
                  <c:v>112.345</c:v>
                </c:pt>
                <c:pt idx="29">
                  <c:v>105.81399999999999</c:v>
                </c:pt>
                <c:pt idx="30">
                  <c:v>109.19</c:v>
                </c:pt>
                <c:pt idx="31">
                  <c:v>115.078</c:v>
                </c:pt>
                <c:pt idx="32">
                  <c:v>122.208</c:v>
                </c:pt>
                <c:pt idx="33">
                  <c:v>126.523</c:v>
                </c:pt>
                <c:pt idx="34">
                  <c:v>137.077</c:v>
                </c:pt>
                <c:pt idx="35">
                  <c:v>139.95599999999999</c:v>
                </c:pt>
                <c:pt idx="36">
                  <c:v>148.089</c:v>
                </c:pt>
                <c:pt idx="37">
                  <c:v>142.02699999999999</c:v>
                </c:pt>
                <c:pt idx="38">
                  <c:v>141.76499999999999</c:v>
                </c:pt>
                <c:pt idx="39">
                  <c:v>145.49299999999999</c:v>
                </c:pt>
                <c:pt idx="40">
                  <c:v>155.52799999999999</c:v>
                </c:pt>
                <c:pt idx="41">
                  <c:v>155.54400000000001</c:v>
                </c:pt>
                <c:pt idx="42">
                  <c:v>156.77099999999999</c:v>
                </c:pt>
                <c:pt idx="43">
                  <c:v>155.441</c:v>
                </c:pt>
                <c:pt idx="44">
                  <c:v>164.24100000000001</c:v>
                </c:pt>
                <c:pt idx="45">
                  <c:v>163.649</c:v>
                </c:pt>
                <c:pt idx="46">
                  <c:v>141.09299999999999</c:v>
                </c:pt>
                <c:pt idx="47">
                  <c:v>126.869</c:v>
                </c:pt>
                <c:pt idx="48">
                  <c:v>126.765</c:v>
                </c:pt>
                <c:pt idx="49">
                  <c:v>128.465</c:v>
                </c:pt>
                <c:pt idx="50">
                  <c:v>129.584</c:v>
                </c:pt>
                <c:pt idx="51">
                  <c:v>134.113</c:v>
                </c:pt>
                <c:pt idx="52">
                  <c:v>129.12299999999999</c:v>
                </c:pt>
                <c:pt idx="53">
                  <c:v>114.48</c:v>
                </c:pt>
                <c:pt idx="54">
                  <c:v>117.712</c:v>
                </c:pt>
                <c:pt idx="55">
                  <c:v>109.672</c:v>
                </c:pt>
                <c:pt idx="56">
                  <c:v>114.54300000000001</c:v>
                </c:pt>
                <c:pt idx="57">
                  <c:v>111.818</c:v>
                </c:pt>
                <c:pt idx="58">
                  <c:v>119.194</c:v>
                </c:pt>
                <c:pt idx="59">
                  <c:v>122.54900000000001</c:v>
                </c:pt>
                <c:pt idx="60">
                  <c:v>117.455</c:v>
                </c:pt>
                <c:pt idx="61">
                  <c:v>101.485</c:v>
                </c:pt>
                <c:pt idx="62">
                  <c:v>67.929000000000002</c:v>
                </c:pt>
                <c:pt idx="63">
                  <c:v>52.363</c:v>
                </c:pt>
                <c:pt idx="64">
                  <c:v>63.716999999999999</c:v>
                </c:pt>
                <c:pt idx="65">
                  <c:v>76.775000000000006</c:v>
                </c:pt>
                <c:pt idx="66">
                  <c:v>80.114000000000004</c:v>
                </c:pt>
                <c:pt idx="67">
                  <c:v>86.156999999999996</c:v>
                </c:pt>
                <c:pt idx="68">
                  <c:v>84.256</c:v>
                </c:pt>
                <c:pt idx="69">
                  <c:v>88.007999999999996</c:v>
                </c:pt>
                <c:pt idx="70">
                  <c:v>93.132000000000005</c:v>
                </c:pt>
                <c:pt idx="71">
                  <c:v>109.273</c:v>
                </c:pt>
                <c:pt idx="72">
                  <c:v>127.13200000000001</c:v>
                </c:pt>
                <c:pt idx="73">
                  <c:v>125.726</c:v>
                </c:pt>
                <c:pt idx="74">
                  <c:v>128.89699999999999</c:v>
                </c:pt>
                <c:pt idx="75">
                  <c:v>128.797</c:v>
                </c:pt>
                <c:pt idx="76">
                  <c:v>137.91300000000001</c:v>
                </c:pt>
                <c:pt idx="77">
                  <c:v>151.08799999999999</c:v>
                </c:pt>
                <c:pt idx="78">
                  <c:v>159.56299999999999</c:v>
                </c:pt>
                <c:pt idx="79">
                  <c:v>161.39099999999999</c:v>
                </c:pt>
                <c:pt idx="80">
                  <c:v>186.41200000000001</c:v>
                </c:pt>
                <c:pt idx="81">
                  <c:v>222.72499999999999</c:v>
                </c:pt>
                <c:pt idx="82">
                  <c:v>203.68</c:v>
                </c:pt>
                <c:pt idx="83">
                  <c:v>206.767</c:v>
                </c:pt>
                <c:pt idx="84">
                  <c:v>206.226</c:v>
                </c:pt>
                <c:pt idx="85">
                  <c:v>220.167</c:v>
                </c:pt>
                <c:pt idx="86">
                  <c:v>277.2</c:v>
                </c:pt>
                <c:pt idx="87">
                  <c:v>249.697</c:v>
                </c:pt>
                <c:pt idx="88">
                  <c:v>252.02199999999999</c:v>
                </c:pt>
                <c:pt idx="89">
                  <c:v>265.99400000000003</c:v>
                </c:pt>
                <c:pt idx="90">
                  <c:v>278.74299999999999</c:v>
                </c:pt>
                <c:pt idx="91">
                  <c:v>305.28300000000002</c:v>
                </c:pt>
                <c:pt idx="92">
                  <c:v>267.18799999999999</c:v>
                </c:pt>
                <c:pt idx="93">
                  <c:v>209.453</c:v>
                </c:pt>
                <c:pt idx="94">
                  <c:v>207.245</c:v>
                </c:pt>
                <c:pt idx="95">
                  <c:v>209.21199999999999</c:v>
                </c:pt>
                <c:pt idx="96">
                  <c:v>179.267</c:v>
                </c:pt>
                <c:pt idx="97">
                  <c:v>161.06200000000001</c:v>
                </c:pt>
                <c:pt idx="98">
                  <c:v>148.04</c:v>
                </c:pt>
                <c:pt idx="99">
                  <c:v>152.31899999999999</c:v>
                </c:pt>
                <c:pt idx="100">
                  <c:v>133.65799999999999</c:v>
                </c:pt>
                <c:pt idx="101">
                  <c:v>130.548</c:v>
                </c:pt>
                <c:pt idx="102">
                  <c:v>137.49299999999999</c:v>
                </c:pt>
                <c:pt idx="103">
                  <c:v>147.25700000000001</c:v>
                </c:pt>
                <c:pt idx="104">
                  <c:v>159.637</c:v>
                </c:pt>
                <c:pt idx="105">
                  <c:v>158.40100000000001</c:v>
                </c:pt>
                <c:pt idx="106">
                  <c:v>148.48099999999999</c:v>
                </c:pt>
                <c:pt idx="107">
                  <c:v>137.18199999999999</c:v>
                </c:pt>
                <c:pt idx="108">
                  <c:v>135.255</c:v>
                </c:pt>
                <c:pt idx="109">
                  <c:v>134.089</c:v>
                </c:pt>
                <c:pt idx="110">
                  <c:v>138.291</c:v>
                </c:pt>
                <c:pt idx="111">
                  <c:v>144.43199999999999</c:v>
                </c:pt>
                <c:pt idx="112">
                  <c:v>139.869</c:v>
                </c:pt>
                <c:pt idx="113">
                  <c:v>142.24</c:v>
                </c:pt>
                <c:pt idx="114">
                  <c:v>141.99299999999999</c:v>
                </c:pt>
                <c:pt idx="115">
                  <c:v>138.65</c:v>
                </c:pt>
                <c:pt idx="116">
                  <c:v>129.84899999999999</c:v>
                </c:pt>
                <c:pt idx="117">
                  <c:v>134.70699999999999</c:v>
                </c:pt>
                <c:pt idx="118">
                  <c:v>135.023</c:v>
                </c:pt>
                <c:pt idx="119">
                  <c:v>135.041</c:v>
                </c:pt>
              </c:numCache>
            </c:numRef>
          </c:val>
          <c:smooth val="0"/>
          <c:extLst>
            <c:ext xmlns:c16="http://schemas.microsoft.com/office/drawing/2014/chart" uri="{C3380CC4-5D6E-409C-BE32-E72D297353CC}">
              <c16:uniqueId val="{00000003-6AE3-4695-863D-EE30213F176E}"/>
            </c:ext>
          </c:extLst>
        </c:ser>
        <c:ser>
          <c:idx val="6"/>
          <c:order val="4"/>
          <c:tx>
            <c:strRef>
              <c:f>Commodities!$T$6</c:f>
              <c:strCache>
                <c:ptCount val="1"/>
                <c:pt idx="0">
                  <c:v>Сви производи</c:v>
                </c:pt>
              </c:strCache>
            </c:strRef>
          </c:tx>
          <c:spPr>
            <a:ln w="22225" cap="rnd">
              <a:solidFill>
                <a:srgbClr val="003891"/>
              </a:solidFill>
              <a:prstDash val="sysDash"/>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Commodities!$T$20:$T$147</c:f>
              <c:numCache>
                <c:formatCode>General</c:formatCode>
                <c:ptCount val="128"/>
                <c:pt idx="119" formatCode="0.0">
                  <c:v>126.77800000000001</c:v>
                </c:pt>
                <c:pt idx="120" formatCode="0.0">
                  <c:v>128.65033333333332</c:v>
                </c:pt>
                <c:pt idx="121" formatCode="0.0">
                  <c:v>121.27500000000001</c:v>
                </c:pt>
                <c:pt idx="122" formatCode="0.0">
                  <c:v>121.586</c:v>
                </c:pt>
                <c:pt idx="123" formatCode="0.0">
                  <c:v>123.42100000000001</c:v>
                </c:pt>
                <c:pt idx="124" formatCode="0.0">
                  <c:v>124.63800000000001</c:v>
                </c:pt>
                <c:pt idx="125" formatCode="0.0">
                  <c:v>124.381</c:v>
                </c:pt>
                <c:pt idx="126" formatCode="0.0">
                  <c:v>124.246</c:v>
                </c:pt>
                <c:pt idx="127" formatCode="0.0">
                  <c:v>124.402</c:v>
                </c:pt>
              </c:numCache>
            </c:numRef>
          </c:val>
          <c:smooth val="0"/>
          <c:extLst>
            <c:ext xmlns:c16="http://schemas.microsoft.com/office/drawing/2014/chart" uri="{C3380CC4-5D6E-409C-BE32-E72D297353CC}">
              <c16:uniqueId val="{00000004-6AE3-4695-863D-EE30213F176E}"/>
            </c:ext>
          </c:extLst>
        </c:ser>
        <c:ser>
          <c:idx val="7"/>
          <c:order val="5"/>
          <c:tx>
            <c:strRef>
              <c:f>Commodities!$U$6</c:f>
              <c:strCache>
                <c:ptCount val="1"/>
                <c:pt idx="0">
                  <c:v>Основни метали</c:v>
                </c:pt>
              </c:strCache>
            </c:strRef>
          </c:tx>
          <c:spPr>
            <a:ln w="22225" cap="rnd">
              <a:solidFill>
                <a:srgbClr val="EC008C"/>
              </a:solidFill>
              <a:prstDash val="sysDash"/>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Commodities!$U$20:$U$147</c:f>
              <c:numCache>
                <c:formatCode>General</c:formatCode>
                <c:ptCount val="128"/>
                <c:pt idx="119" formatCode="0.0">
                  <c:v>138.52199999999999</c:v>
                </c:pt>
                <c:pt idx="120" formatCode="0.0">
                  <c:v>139.36000000000001</c:v>
                </c:pt>
                <c:pt idx="121" formatCode="0.0">
                  <c:v>133.36699999999999</c:v>
                </c:pt>
                <c:pt idx="122" formatCode="0.0">
                  <c:v>139.22999999999999</c:v>
                </c:pt>
                <c:pt idx="123" formatCode="0.0">
                  <c:v>142.179</c:v>
                </c:pt>
                <c:pt idx="124" formatCode="0.0">
                  <c:v>142.22900000000001</c:v>
                </c:pt>
                <c:pt idx="125" formatCode="0.0">
                  <c:v>142.136</c:v>
                </c:pt>
                <c:pt idx="126" formatCode="0.0">
                  <c:v>142.029</c:v>
                </c:pt>
                <c:pt idx="127" formatCode="0.0">
                  <c:v>141.93799999999999</c:v>
                </c:pt>
              </c:numCache>
            </c:numRef>
          </c:val>
          <c:smooth val="0"/>
          <c:extLst>
            <c:ext xmlns:c16="http://schemas.microsoft.com/office/drawing/2014/chart" uri="{C3380CC4-5D6E-409C-BE32-E72D297353CC}">
              <c16:uniqueId val="{00000005-6AE3-4695-863D-EE30213F176E}"/>
            </c:ext>
          </c:extLst>
        </c:ser>
        <c:ser>
          <c:idx val="8"/>
          <c:order val="6"/>
          <c:tx>
            <c:strRef>
              <c:f>Commodities!$V$6</c:f>
              <c:strCache>
                <c:ptCount val="1"/>
                <c:pt idx="0">
                  <c:v>Храна</c:v>
                </c:pt>
              </c:strCache>
            </c:strRef>
          </c:tx>
          <c:spPr>
            <a:ln w="22225" cap="rnd">
              <a:solidFill>
                <a:srgbClr val="7F3F98"/>
              </a:solidFill>
              <a:prstDash val="sysDash"/>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Commodities!$V$20:$V$147</c:f>
              <c:numCache>
                <c:formatCode>General</c:formatCode>
                <c:ptCount val="128"/>
                <c:pt idx="119" formatCode="0.0">
                  <c:v>100.57</c:v>
                </c:pt>
                <c:pt idx="120" formatCode="0.0">
                  <c:v>99.623333333333335</c:v>
                </c:pt>
                <c:pt idx="121" formatCode="0.0">
                  <c:v>95.82</c:v>
                </c:pt>
                <c:pt idx="122" formatCode="0.0">
                  <c:v>91.552000000000007</c:v>
                </c:pt>
                <c:pt idx="123" formatCode="0.0">
                  <c:v>94.085999999999999</c:v>
                </c:pt>
                <c:pt idx="124" formatCode="0.0">
                  <c:v>97.034999999999997</c:v>
                </c:pt>
                <c:pt idx="125" formatCode="0.0">
                  <c:v>98.518000000000001</c:v>
                </c:pt>
                <c:pt idx="126" formatCode="0.0">
                  <c:v>96.399000000000001</c:v>
                </c:pt>
                <c:pt idx="127" formatCode="0.0">
                  <c:v>94.977000000000004</c:v>
                </c:pt>
              </c:numCache>
            </c:numRef>
          </c:val>
          <c:smooth val="0"/>
          <c:extLst>
            <c:ext xmlns:c16="http://schemas.microsoft.com/office/drawing/2014/chart" uri="{C3380CC4-5D6E-409C-BE32-E72D297353CC}">
              <c16:uniqueId val="{00000006-6AE3-4695-863D-EE30213F176E}"/>
            </c:ext>
          </c:extLst>
        </c:ser>
        <c:ser>
          <c:idx val="9"/>
          <c:order val="7"/>
          <c:tx>
            <c:strRef>
              <c:f>Commodities!$W$6</c:f>
              <c:strCache>
                <c:ptCount val="1"/>
                <c:pt idx="0">
                  <c:v>Енергија</c:v>
                </c:pt>
              </c:strCache>
            </c:strRef>
          </c:tx>
          <c:spPr>
            <a:ln w="22225" cap="rnd">
              <a:solidFill>
                <a:srgbClr val="00A651"/>
              </a:solidFill>
              <a:prstDash val="sysDash"/>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Commodities!$W$20:$W$147</c:f>
              <c:numCache>
                <c:formatCode>General</c:formatCode>
                <c:ptCount val="128"/>
                <c:pt idx="119" formatCode="0.0">
                  <c:v>135.041</c:v>
                </c:pt>
                <c:pt idx="120" formatCode="0.0">
                  <c:v>136.822</c:v>
                </c:pt>
                <c:pt idx="121" formatCode="0.0">
                  <c:v>121.76</c:v>
                </c:pt>
                <c:pt idx="122" formatCode="0.0">
                  <c:v>118.973</c:v>
                </c:pt>
                <c:pt idx="123" formatCode="0.0">
                  <c:v>118.875</c:v>
                </c:pt>
                <c:pt idx="124" formatCode="0.0">
                  <c:v>119.3</c:v>
                </c:pt>
                <c:pt idx="125" formatCode="0.0">
                  <c:v>117.18899999999999</c:v>
                </c:pt>
                <c:pt idx="126" formatCode="0.0">
                  <c:v>117.95699999999999</c:v>
                </c:pt>
                <c:pt idx="127" formatCode="0.0">
                  <c:v>119.13</c:v>
                </c:pt>
              </c:numCache>
            </c:numRef>
          </c:val>
          <c:smooth val="0"/>
          <c:extLst>
            <c:ext xmlns:c16="http://schemas.microsoft.com/office/drawing/2014/chart" uri="{C3380CC4-5D6E-409C-BE32-E72D297353CC}">
              <c16:uniqueId val="{00000007-6AE3-4695-863D-EE30213F176E}"/>
            </c:ext>
          </c:extLst>
        </c:ser>
        <c:ser>
          <c:idx val="3"/>
          <c:order val="8"/>
          <c:tx>
            <c:strRef>
              <c:f>Commodities!$R$6</c:f>
              <c:strCache>
                <c:ptCount val="1"/>
                <c:pt idx="0">
                  <c:v>Храна</c:v>
                </c:pt>
              </c:strCache>
            </c:strRef>
          </c:tx>
          <c:spPr>
            <a:ln w="22225" cap="rnd">
              <a:solidFill>
                <a:srgbClr val="7F3F98"/>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Commodities!$R$20:$R$139</c:f>
              <c:numCache>
                <c:formatCode>0.0</c:formatCode>
                <c:ptCount val="120"/>
                <c:pt idx="0">
                  <c:v>107.374</c:v>
                </c:pt>
                <c:pt idx="1">
                  <c:v>103.83499999999999</c:v>
                </c:pt>
                <c:pt idx="2">
                  <c:v>100.601</c:v>
                </c:pt>
                <c:pt idx="3">
                  <c:v>102.355</c:v>
                </c:pt>
                <c:pt idx="4">
                  <c:v>101.717</c:v>
                </c:pt>
                <c:pt idx="5">
                  <c:v>100.895</c:v>
                </c:pt>
                <c:pt idx="6">
                  <c:v>100.741</c:v>
                </c:pt>
                <c:pt idx="7">
                  <c:v>97.793000000000006</c:v>
                </c:pt>
                <c:pt idx="8">
                  <c:v>97.141999999999996</c:v>
                </c:pt>
                <c:pt idx="9">
                  <c:v>97.724000000000004</c:v>
                </c:pt>
                <c:pt idx="10">
                  <c:v>93.831999999999994</c:v>
                </c:pt>
                <c:pt idx="11">
                  <c:v>93.728999999999999</c:v>
                </c:pt>
                <c:pt idx="12">
                  <c:v>93.54</c:v>
                </c:pt>
                <c:pt idx="13">
                  <c:v>94.789000000000001</c:v>
                </c:pt>
                <c:pt idx="14">
                  <c:v>97.864999999999995</c:v>
                </c:pt>
                <c:pt idx="15">
                  <c:v>100.399</c:v>
                </c:pt>
                <c:pt idx="16">
                  <c:v>101.36499999999999</c:v>
                </c:pt>
                <c:pt idx="17">
                  <c:v>103.16200000000001</c:v>
                </c:pt>
                <c:pt idx="18">
                  <c:v>103.633</c:v>
                </c:pt>
                <c:pt idx="19">
                  <c:v>101.786</c:v>
                </c:pt>
                <c:pt idx="20">
                  <c:v>101.126</c:v>
                </c:pt>
                <c:pt idx="21">
                  <c:v>99.944000000000003</c:v>
                </c:pt>
                <c:pt idx="22">
                  <c:v>100.649</c:v>
                </c:pt>
                <c:pt idx="23">
                  <c:v>101.741</c:v>
                </c:pt>
                <c:pt idx="24">
                  <c:v>105.313</c:v>
                </c:pt>
                <c:pt idx="25">
                  <c:v>105.462</c:v>
                </c:pt>
                <c:pt idx="26">
                  <c:v>101.84399999999999</c:v>
                </c:pt>
                <c:pt idx="27">
                  <c:v>100.92400000000001</c:v>
                </c:pt>
                <c:pt idx="28">
                  <c:v>103.205</c:v>
                </c:pt>
                <c:pt idx="29">
                  <c:v>102.42400000000001</c:v>
                </c:pt>
                <c:pt idx="30">
                  <c:v>104.79600000000001</c:v>
                </c:pt>
                <c:pt idx="31">
                  <c:v>99.807000000000002</c:v>
                </c:pt>
                <c:pt idx="32">
                  <c:v>98.082999999999998</c:v>
                </c:pt>
                <c:pt idx="33">
                  <c:v>98.927000000000007</c:v>
                </c:pt>
                <c:pt idx="34">
                  <c:v>99.546000000000006</c:v>
                </c:pt>
                <c:pt idx="35">
                  <c:v>99.596000000000004</c:v>
                </c:pt>
                <c:pt idx="36">
                  <c:v>102.48</c:v>
                </c:pt>
                <c:pt idx="37">
                  <c:v>102.09099999999999</c:v>
                </c:pt>
                <c:pt idx="38">
                  <c:v>102.834</c:v>
                </c:pt>
                <c:pt idx="39">
                  <c:v>102.248</c:v>
                </c:pt>
                <c:pt idx="40">
                  <c:v>103.393</c:v>
                </c:pt>
                <c:pt idx="41">
                  <c:v>99.149000000000001</c:v>
                </c:pt>
                <c:pt idx="42">
                  <c:v>96.522999999999996</c:v>
                </c:pt>
                <c:pt idx="43">
                  <c:v>92.691000000000003</c:v>
                </c:pt>
                <c:pt idx="44">
                  <c:v>93.786000000000001</c:v>
                </c:pt>
                <c:pt idx="45">
                  <c:v>95.323999999999998</c:v>
                </c:pt>
                <c:pt idx="46">
                  <c:v>91.296000000000006</c:v>
                </c:pt>
                <c:pt idx="47">
                  <c:v>94.296999999999997</c:v>
                </c:pt>
                <c:pt idx="48">
                  <c:v>95.811999999999998</c:v>
                </c:pt>
                <c:pt idx="49">
                  <c:v>93.799000000000007</c:v>
                </c:pt>
                <c:pt idx="50">
                  <c:v>92.603999999999999</c:v>
                </c:pt>
                <c:pt idx="51">
                  <c:v>95.409000000000006</c:v>
                </c:pt>
                <c:pt idx="52">
                  <c:v>91.948999999999998</c:v>
                </c:pt>
                <c:pt idx="53">
                  <c:v>93.915999999999997</c:v>
                </c:pt>
                <c:pt idx="54">
                  <c:v>93.814999999999998</c:v>
                </c:pt>
                <c:pt idx="55">
                  <c:v>91.938000000000002</c:v>
                </c:pt>
                <c:pt idx="56">
                  <c:v>89.796000000000006</c:v>
                </c:pt>
                <c:pt idx="57">
                  <c:v>89.903999999999996</c:v>
                </c:pt>
                <c:pt idx="58">
                  <c:v>93.587999999999994</c:v>
                </c:pt>
                <c:pt idx="59">
                  <c:v>97.168000000000006</c:v>
                </c:pt>
                <c:pt idx="60">
                  <c:v>98.08</c:v>
                </c:pt>
                <c:pt idx="61">
                  <c:v>93.83</c:v>
                </c:pt>
                <c:pt idx="62">
                  <c:v>90.397000000000006</c:v>
                </c:pt>
                <c:pt idx="63">
                  <c:v>87.010999999999996</c:v>
                </c:pt>
                <c:pt idx="64">
                  <c:v>90.364000000000004</c:v>
                </c:pt>
                <c:pt idx="65">
                  <c:v>92.935000000000002</c:v>
                </c:pt>
                <c:pt idx="66">
                  <c:v>90.456999999999994</c:v>
                </c:pt>
                <c:pt idx="67">
                  <c:v>91.084999999999994</c:v>
                </c:pt>
                <c:pt idx="68">
                  <c:v>92.207999999999998</c:v>
                </c:pt>
                <c:pt idx="69">
                  <c:v>97.042000000000002</c:v>
                </c:pt>
                <c:pt idx="70">
                  <c:v>100.33</c:v>
                </c:pt>
                <c:pt idx="71">
                  <c:v>101.292</c:v>
                </c:pt>
                <c:pt idx="72">
                  <c:v>107.30200000000001</c:v>
                </c:pt>
                <c:pt idx="73">
                  <c:v>109.3</c:v>
                </c:pt>
                <c:pt idx="74">
                  <c:v>110.992</c:v>
                </c:pt>
                <c:pt idx="75">
                  <c:v>116.929</c:v>
                </c:pt>
                <c:pt idx="76">
                  <c:v>121.59699999999999</c:v>
                </c:pt>
                <c:pt idx="77">
                  <c:v>113.89400000000001</c:v>
                </c:pt>
                <c:pt idx="78">
                  <c:v>113.82299999999999</c:v>
                </c:pt>
                <c:pt idx="79">
                  <c:v>115.735</c:v>
                </c:pt>
                <c:pt idx="80">
                  <c:v>111.999</c:v>
                </c:pt>
                <c:pt idx="81">
                  <c:v>112.386</c:v>
                </c:pt>
                <c:pt idx="82">
                  <c:v>113.636</c:v>
                </c:pt>
                <c:pt idx="83">
                  <c:v>116.535</c:v>
                </c:pt>
                <c:pt idx="84">
                  <c:v>121.11199999999999</c:v>
                </c:pt>
                <c:pt idx="85">
                  <c:v>125.834</c:v>
                </c:pt>
                <c:pt idx="86">
                  <c:v>134.38200000000001</c:v>
                </c:pt>
                <c:pt idx="87">
                  <c:v>137.62200000000001</c:v>
                </c:pt>
                <c:pt idx="88">
                  <c:v>133.47499999999999</c:v>
                </c:pt>
                <c:pt idx="89">
                  <c:v>126.47199999999999</c:v>
                </c:pt>
                <c:pt idx="90">
                  <c:v>116.85299999999999</c:v>
                </c:pt>
                <c:pt idx="91">
                  <c:v>113.66800000000001</c:v>
                </c:pt>
                <c:pt idx="92">
                  <c:v>109.563</c:v>
                </c:pt>
                <c:pt idx="93">
                  <c:v>111.38800000000001</c:v>
                </c:pt>
                <c:pt idx="94">
                  <c:v>111.496</c:v>
                </c:pt>
                <c:pt idx="95">
                  <c:v>110.34</c:v>
                </c:pt>
                <c:pt idx="96">
                  <c:v>111.02800000000001</c:v>
                </c:pt>
                <c:pt idx="97">
                  <c:v>113.81</c:v>
                </c:pt>
                <c:pt idx="98">
                  <c:v>116.27800000000001</c:v>
                </c:pt>
                <c:pt idx="99">
                  <c:v>115.642</c:v>
                </c:pt>
                <c:pt idx="100">
                  <c:v>109.443</c:v>
                </c:pt>
                <c:pt idx="101">
                  <c:v>107.05800000000001</c:v>
                </c:pt>
                <c:pt idx="102">
                  <c:v>107.32599999999999</c:v>
                </c:pt>
                <c:pt idx="103">
                  <c:v>102.657</c:v>
                </c:pt>
                <c:pt idx="104">
                  <c:v>102.24299999999999</c:v>
                </c:pt>
                <c:pt idx="105">
                  <c:v>103.34099999999999</c:v>
                </c:pt>
                <c:pt idx="106">
                  <c:v>106.20399999999999</c:v>
                </c:pt>
                <c:pt idx="107">
                  <c:v>104.786</c:v>
                </c:pt>
                <c:pt idx="108">
                  <c:v>105.504</c:v>
                </c:pt>
                <c:pt idx="109">
                  <c:v>103.952</c:v>
                </c:pt>
                <c:pt idx="110">
                  <c:v>104.274</c:v>
                </c:pt>
                <c:pt idx="111">
                  <c:v>105.545</c:v>
                </c:pt>
                <c:pt idx="112">
                  <c:v>105.35299999999999</c:v>
                </c:pt>
                <c:pt idx="113">
                  <c:v>99.53</c:v>
                </c:pt>
                <c:pt idx="114">
                  <c:v>98.307000000000002</c:v>
                </c:pt>
                <c:pt idx="115">
                  <c:v>97.885999999999996</c:v>
                </c:pt>
                <c:pt idx="116">
                  <c:v>99.521000000000001</c:v>
                </c:pt>
                <c:pt idx="117">
                  <c:v>100.91500000000001</c:v>
                </c:pt>
                <c:pt idx="118">
                  <c:v>101.435</c:v>
                </c:pt>
                <c:pt idx="119">
                  <c:v>100.57</c:v>
                </c:pt>
              </c:numCache>
            </c:numRef>
          </c:val>
          <c:smooth val="0"/>
          <c:extLst>
            <c:ext xmlns:c16="http://schemas.microsoft.com/office/drawing/2014/chart" uri="{C3380CC4-5D6E-409C-BE32-E72D297353CC}">
              <c16:uniqueId val="{00000008-6AE3-4695-863D-EE30213F176E}"/>
            </c:ext>
          </c:extLst>
        </c:ser>
        <c:ser>
          <c:idx val="5"/>
          <c:order val="9"/>
          <c:tx>
            <c:strRef>
              <c:f>Commodities!$Y$6</c:f>
              <c:strCache>
                <c:ptCount val="1"/>
                <c:pt idx="0">
                  <c:v>Series 4</c:v>
                </c:pt>
              </c:strCache>
            </c:strRef>
          </c:tx>
          <c:spPr>
            <a:ln w="28575" cap="rnd">
              <a:noFill/>
              <a:round/>
            </a:ln>
            <a:effectLst/>
          </c:spPr>
          <c:marker>
            <c:symbol val="square"/>
            <c:size val="3"/>
            <c:spPr>
              <a:solidFill>
                <a:schemeClr val="bg1"/>
              </a:solidFill>
              <a:ln w="9525">
                <a:noFill/>
              </a:ln>
              <a:effectLst/>
            </c:spPr>
          </c:marker>
          <c:dLbls>
            <c:dLbl>
              <c:idx val="0"/>
              <c:layout>
                <c:manualLayout>
                  <c:x val="-3.7505861656176379E-2"/>
                  <c:y val="7.3590840840840846E-2"/>
                </c:manualLayout>
              </c:layout>
              <c:dLblPos val="r"/>
              <c:showLegendKey val="0"/>
              <c:showVal val="0"/>
              <c:showCatName val="1"/>
              <c:showSerName val="0"/>
              <c:showPercent val="0"/>
              <c:showBubbleSize val="0"/>
              <c:extLst>
                <c:ext xmlns:c15="http://schemas.microsoft.com/office/drawing/2012/chart" uri="{CE6537A1-D6FC-4f65-9D91-7224C49458BB}">
                  <c15:layout>
                    <c:manualLayout>
                      <c:w val="0.11669545489230061"/>
                      <c:h val="7.7261761761761749E-2"/>
                    </c:manualLayout>
                  </c15:layout>
                </c:ext>
                <c:ext xmlns:c16="http://schemas.microsoft.com/office/drawing/2014/chart" uri="{C3380CC4-5D6E-409C-BE32-E72D297353CC}">
                  <c16:uniqueId val="{00000009-6AE3-4695-863D-EE30213F176E}"/>
                </c:ext>
              </c:extLst>
            </c:dLbl>
            <c:dLbl>
              <c:idx val="12"/>
              <c:layout>
                <c:manualLayout>
                  <c:x val="-2.8248054359058798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AE3-4695-863D-EE30213F176E}"/>
                </c:ext>
              </c:extLst>
            </c:dLbl>
            <c:dLbl>
              <c:idx val="24"/>
              <c:layout>
                <c:manualLayout>
                  <c:x val="-2.8233522556818016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AE3-4695-863D-EE30213F176E}"/>
                </c:ext>
              </c:extLst>
            </c:dLbl>
            <c:dLbl>
              <c:idx val="36"/>
              <c:layout>
                <c:manualLayout>
                  <c:x val="-2.3596988929115423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AE3-4695-863D-EE30213F176E}"/>
                </c:ext>
              </c:extLst>
            </c:dLbl>
            <c:dLbl>
              <c:idx val="48"/>
              <c:layout>
                <c:manualLayout>
                  <c:x val="-2.358970736864793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AE3-4695-863D-EE30213F176E}"/>
                </c:ext>
              </c:extLst>
            </c:dLbl>
            <c:dLbl>
              <c:idx val="60"/>
              <c:layout>
                <c:manualLayout>
                  <c:x val="-2.3595532617021957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AE3-4695-863D-EE30213F176E}"/>
                </c:ext>
              </c:extLst>
            </c:dLbl>
            <c:dLbl>
              <c:idx val="72"/>
              <c:layout>
                <c:manualLayout>
                  <c:x val="-2.7540296096611284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AE3-4695-863D-EE30213F176E}"/>
                </c:ext>
              </c:extLst>
            </c:dLbl>
            <c:dLbl>
              <c:idx val="84"/>
              <c:layout>
                <c:manualLayout>
                  <c:x val="-2.8390842915595078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AE3-4695-863D-EE30213F176E}"/>
                </c:ext>
              </c:extLst>
            </c:dLbl>
            <c:dLbl>
              <c:idx val="96"/>
              <c:layout>
                <c:manualLayout>
                  <c:x val="-2.8118642314640199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AE3-4695-863D-EE30213F176E}"/>
                </c:ext>
              </c:extLst>
            </c:dLbl>
            <c:dLbl>
              <c:idx val="100"/>
              <c:layout>
                <c:manualLayout>
                  <c:x val="-1.592435091954969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AE3-4695-863D-EE30213F176E}"/>
                </c:ext>
              </c:extLst>
            </c:dLbl>
            <c:dLbl>
              <c:idx val="108"/>
              <c:layout>
                <c:manualLayout>
                  <c:x val="-3.088003735232717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AE3-4695-863D-EE30213F176E}"/>
                </c:ext>
              </c:extLst>
            </c:dLbl>
            <c:dLbl>
              <c:idx val="116"/>
              <c:layout>
                <c:manualLayout>
                  <c:x val="-1.3298385816941998E-2"/>
                  <c:y val="6.723473473473473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4-6AE3-4695-863D-EE30213F176E}"/>
                </c:ext>
              </c:extLst>
            </c:dLbl>
            <c:dLbl>
              <c:idx val="117"/>
              <c:layout>
                <c:manualLayout>
                  <c:x val="-3.0439432382398015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AE3-4695-863D-EE30213F176E}"/>
                </c:ext>
              </c:extLst>
            </c:dLbl>
            <c:dLbl>
              <c:idx val="120"/>
              <c:layout>
                <c:manualLayout>
                  <c:x val="-2.8504526695993879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6-6AE3-4695-863D-EE30213F176E}"/>
                </c:ext>
              </c:extLst>
            </c:dLbl>
            <c:dLbl>
              <c:idx val="121"/>
              <c:layout>
                <c:manualLayout>
                  <c:x val="-3.0461037391519223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AE3-4695-863D-EE30213F176E}"/>
                </c:ext>
              </c:extLst>
            </c:dLbl>
            <c:dLbl>
              <c:idx val="124"/>
              <c:layout>
                <c:manualLayout>
                  <c:x val="-6.3264632904495169E-3"/>
                  <c:y val="7.359092584647165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8-6AE3-4695-863D-EE30213F176E}"/>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2"/>
                    </a:solidFill>
                    <a:latin typeface="+mn-lt"/>
                    <a:ea typeface="+mn-ea"/>
                    <a:cs typeface="Arial" panose="020B0604020202020204" pitchFamily="34" charset="0"/>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Commodities!$Y$20:$Y$147</c:f>
              <c:numCache>
                <c:formatCode>General</c:formatCode>
                <c:ptCount val="128"/>
                <c:pt idx="0">
                  <c:v>20</c:v>
                </c:pt>
                <c:pt idx="12">
                  <c:v>20</c:v>
                </c:pt>
                <c:pt idx="24">
                  <c:v>20</c:v>
                </c:pt>
                <c:pt idx="36">
                  <c:v>20</c:v>
                </c:pt>
                <c:pt idx="48">
                  <c:v>20</c:v>
                </c:pt>
                <c:pt idx="60">
                  <c:v>20</c:v>
                </c:pt>
                <c:pt idx="72">
                  <c:v>20</c:v>
                </c:pt>
                <c:pt idx="84">
                  <c:v>20</c:v>
                </c:pt>
                <c:pt idx="96">
                  <c:v>20</c:v>
                </c:pt>
                <c:pt idx="108">
                  <c:v>20</c:v>
                </c:pt>
                <c:pt idx="120">
                  <c:v>20</c:v>
                </c:pt>
                <c:pt idx="124">
                  <c:v>20</c:v>
                </c:pt>
              </c:numCache>
            </c:numRef>
          </c:val>
          <c:smooth val="0"/>
          <c:extLst>
            <c:ext xmlns:c16="http://schemas.microsoft.com/office/drawing/2014/chart" uri="{C3380CC4-5D6E-409C-BE32-E72D297353CC}">
              <c16:uniqueId val="{00000019-6AE3-4695-863D-EE30213F176E}"/>
            </c:ext>
          </c:extLst>
        </c:ser>
        <c:dLbls>
          <c:showLegendKey val="0"/>
          <c:showVal val="0"/>
          <c:showCatName val="0"/>
          <c:showSerName val="0"/>
          <c:showPercent val="0"/>
          <c:showBubbleSize val="0"/>
        </c:dLbls>
        <c:smooth val="0"/>
        <c:axId val="1768785920"/>
        <c:axId val="1768787008"/>
      </c:lineChart>
      <c:dateAx>
        <c:axId val="176878592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787008"/>
        <c:crosses val="autoZero"/>
        <c:auto val="1"/>
        <c:lblOffset val="100"/>
        <c:baseTimeUnit val="months"/>
        <c:majorUnit val="12"/>
        <c:minorUnit val="1"/>
      </c:dateAx>
      <c:valAx>
        <c:axId val="1768787008"/>
        <c:scaling>
          <c:orientation val="minMax"/>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785920"/>
        <c:crosses val="autoZero"/>
        <c:crossBetween val="between"/>
        <c:majorUnit val="40"/>
      </c:valAx>
      <c:spPr>
        <a:noFill/>
        <a:ln>
          <a:noFill/>
        </a:ln>
        <a:effectLst/>
      </c:spPr>
    </c:plotArea>
    <c:legend>
      <c:legendPos val="b"/>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1174303732866725"/>
          <c:y val="0.8752442442442443"/>
          <c:w val="0.77902814231554385"/>
          <c:h val="0.1247557557557557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withinLinear" id="14">
  <a:schemeClr val="accent1"/>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withinLinear" id="16">
  <a:schemeClr val="accent3"/>
</cs:colorStyle>
</file>

<file path=word/charts/colors64.xml><?xml version="1.0" encoding="utf-8"?>
<cs:colorStyle xmlns:cs="http://schemas.microsoft.com/office/drawing/2012/chartStyle" xmlns:a="http://schemas.openxmlformats.org/drawingml/2006/main" meth="withinLinear" id="16">
  <a:schemeClr val="accent3"/>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64.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6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8.xml><?xml version="1.0" encoding="utf-8"?>
<cs:chartStyle xmlns:cs="http://schemas.microsoft.com/office/drawing/2012/chartStyle" xmlns:a="http://schemas.openxmlformats.org/drawingml/2006/main" id="105">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0.08502</cdr:x>
      <cdr:y>0.75947</cdr:y>
    </cdr:from>
    <cdr:to>
      <cdr:x>0.92438</cdr:x>
      <cdr:y>0.99503</cdr:y>
    </cdr:to>
    <cdr:grpSp>
      <cdr:nvGrpSpPr>
        <cdr:cNvPr id="9" name="Group 8">
          <a:extLst xmlns:a="http://schemas.openxmlformats.org/drawingml/2006/main">
            <a:ext uri="{FF2B5EF4-FFF2-40B4-BE49-F238E27FC236}">
              <a16:creationId xmlns:a16="http://schemas.microsoft.com/office/drawing/2014/main" id="{D826C8D3-8C33-4439-AE96-2E607EE03160}"/>
            </a:ext>
          </a:extLst>
        </cdr:cNvPr>
        <cdr:cNvGrpSpPr/>
      </cdr:nvGrpSpPr>
      <cdr:grpSpPr>
        <a:xfrm xmlns:a="http://schemas.openxmlformats.org/drawingml/2006/main">
          <a:off x="233230" y="1583267"/>
          <a:ext cx="2302540" cy="491067"/>
          <a:chOff x="-19080" y="-295111"/>
          <a:chExt cx="1986704" cy="579606"/>
        </a:xfrm>
      </cdr:grpSpPr>
      <cdr:grpSp>
        <cdr:nvGrpSpPr>
          <cdr:cNvPr id="10" name="Group 9">
            <a:extLst xmlns:a="http://schemas.openxmlformats.org/drawingml/2006/main">
              <a:ext uri="{FF2B5EF4-FFF2-40B4-BE49-F238E27FC236}">
                <a16:creationId xmlns:a16="http://schemas.microsoft.com/office/drawing/2014/main" id="{7907F2C1-0652-4BF0-87FC-B9FFA921F61E}"/>
              </a:ext>
            </a:extLst>
          </cdr:cNvPr>
          <cdr:cNvGrpSpPr/>
        </cdr:nvGrpSpPr>
        <cdr:grpSpPr>
          <a:xfrm xmlns:a="http://schemas.openxmlformats.org/drawingml/2006/main">
            <a:off x="566883" y="-295111"/>
            <a:ext cx="1400741" cy="327546"/>
            <a:chOff x="565938" y="-295100"/>
            <a:chExt cx="1398406" cy="327532"/>
          </a:xfrm>
        </cdr:grpSpPr>
        <cdr:sp macro="" textlink="">
          <cdr:nvSpPr>
            <cdr:cNvPr id="13" name="TextBox 5"/>
            <cdr:cNvSpPr txBox="1"/>
          </cdr:nvSpPr>
          <cdr:spPr>
            <a:xfrm xmlns:a="http://schemas.openxmlformats.org/drawingml/2006/main">
              <a:off x="565938" y="-175186"/>
              <a:ext cx="427502" cy="19955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A651"/>
                  </a:solidFill>
                </a:rPr>
                <a:t>Храна</a:t>
              </a:r>
              <a:endParaRPr lang="en-GB" sz="700" b="0">
                <a:solidFill>
                  <a:srgbClr val="00A651"/>
                </a:solidFill>
              </a:endParaRPr>
            </a:p>
          </cdr:txBody>
        </cdr:sp>
        <cdr:sp macro="" textlink="">
          <cdr:nvSpPr>
            <cdr:cNvPr id="14" name="TextBox 1"/>
            <cdr:cNvSpPr txBox="1"/>
          </cdr:nvSpPr>
          <cdr:spPr>
            <a:xfrm xmlns:a="http://schemas.openxmlformats.org/drawingml/2006/main">
              <a:off x="971682" y="-184149"/>
              <a:ext cx="502046" cy="2165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EC008C"/>
                  </a:solidFill>
                </a:rPr>
                <a:t>Метали</a:t>
              </a:r>
              <a:endParaRPr lang="en-GB" sz="700" b="0">
                <a:solidFill>
                  <a:srgbClr val="EC008C"/>
                </a:solidFill>
              </a:endParaRPr>
            </a:p>
          </cdr:txBody>
        </cdr:sp>
        <cdr:sp macro="" textlink="">
          <cdr:nvSpPr>
            <cdr:cNvPr id="15" name="TextBox 1"/>
            <cdr:cNvSpPr txBox="1"/>
          </cdr:nvSpPr>
          <cdr:spPr>
            <a:xfrm xmlns:a="http://schemas.openxmlformats.org/drawingml/2006/main">
              <a:off x="1403600" y="-295100"/>
              <a:ext cx="560744" cy="28479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3891"/>
                  </a:solidFill>
                </a:rPr>
                <a:t>Просечна цена нафте</a:t>
              </a:r>
              <a:endParaRPr lang="en-GB" sz="700" b="0">
                <a:solidFill>
                  <a:srgbClr val="003891"/>
                </a:solidFill>
              </a:endParaRPr>
            </a:p>
          </cdr:txBody>
        </cdr:sp>
      </cdr:grpSp>
      <cdr:sp macro="" textlink="">
        <cdr:nvSpPr>
          <cdr:cNvPr id="11" name="TextBox 1"/>
          <cdr:cNvSpPr txBox="1"/>
        </cdr:nvSpPr>
        <cdr:spPr>
          <a:xfrm xmlns:a="http://schemas.openxmlformats.org/drawingml/2006/main">
            <a:off x="-19080" y="-80257"/>
            <a:ext cx="794653" cy="18987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апр.</a:t>
            </a:r>
            <a:r>
              <a:rPr lang="sr-Cyrl-RS" sz="700" b="0" baseline="0">
                <a:solidFill>
                  <a:schemeClr val="tx2"/>
                </a:solidFill>
              </a:rPr>
              <a:t> 2025.</a:t>
            </a:r>
            <a:endParaRPr lang="en-GB" sz="700" b="0">
              <a:solidFill>
                <a:schemeClr val="tx2"/>
              </a:solidFill>
            </a:endParaRPr>
          </a:p>
        </cdr:txBody>
      </cdr:sp>
      <cdr:sp macro="" textlink="">
        <cdr:nvSpPr>
          <cdr:cNvPr id="12" name="TextBox 1"/>
          <cdr:cNvSpPr txBox="1"/>
        </cdr:nvSpPr>
        <cdr:spPr>
          <a:xfrm xmlns:a="http://schemas.openxmlformats.org/drawingml/2006/main">
            <a:off x="-19080" y="94624"/>
            <a:ext cx="794653" cy="18987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окт.</a:t>
            </a:r>
            <a:r>
              <a:rPr lang="sr-Cyrl-RS" sz="700" b="0" baseline="0">
                <a:solidFill>
                  <a:schemeClr val="tx2"/>
                </a:solidFill>
              </a:rPr>
              <a:t> 2025.</a:t>
            </a:r>
            <a:endParaRPr lang="en-GB" sz="700" b="0">
              <a:solidFill>
                <a:schemeClr val="tx2"/>
              </a:solidFill>
            </a:endParaRPr>
          </a:p>
        </cdr:txBody>
      </cdr:sp>
    </cdr:grpSp>
  </cdr:relSizeAnchor>
</c:userShapes>
</file>

<file path=word/drawings/drawing10.xml><?xml version="1.0" encoding="utf-8"?>
<c:userShapes xmlns:c="http://schemas.openxmlformats.org/drawingml/2006/chart">
  <cdr:relSizeAnchor xmlns:cdr="http://schemas.openxmlformats.org/drawingml/2006/chartDrawing">
    <cdr:from>
      <cdr:x>0.05959</cdr:x>
      <cdr:y>0.63166</cdr:y>
    </cdr:from>
    <cdr:to>
      <cdr:x>0.46719</cdr:x>
      <cdr:y>0.86764</cdr:y>
    </cdr:to>
    <cdr:sp macro="" textlink="">
      <cdr:nvSpPr>
        <cdr:cNvPr id="2" name="TextBox 1"/>
        <cdr:cNvSpPr txBox="1"/>
      </cdr:nvSpPr>
      <cdr:spPr>
        <a:xfrm xmlns:a="http://schemas.openxmlformats.org/drawingml/2006/main">
          <a:off x="79374" y="773152"/>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0.63166</cdr:y>
    </cdr:from>
    <cdr:to>
      <cdr:x>0.92484</cdr:x>
      <cdr:y>0.86764</cdr:y>
    </cdr:to>
    <cdr:sp macro="" textlink="">
      <cdr:nvSpPr>
        <cdr:cNvPr id="3" name="TextBox 1"/>
        <cdr:cNvSpPr txBox="1"/>
      </cdr:nvSpPr>
      <cdr:spPr>
        <a:xfrm xmlns:a="http://schemas.openxmlformats.org/drawingml/2006/main">
          <a:off x="688976" y="773152"/>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1.xml><?xml version="1.0" encoding="utf-8"?>
<c:userShapes xmlns:c="http://schemas.openxmlformats.org/drawingml/2006/chart">
  <cdr:relSizeAnchor xmlns:cdr="http://schemas.openxmlformats.org/drawingml/2006/chartDrawing">
    <cdr:from>
      <cdr:x>0.06674</cdr:x>
      <cdr:y>0.62451</cdr:y>
    </cdr:from>
    <cdr:to>
      <cdr:x>0.47434</cdr:x>
      <cdr:y>0.86049</cdr:y>
    </cdr:to>
    <cdr:sp macro="" textlink="">
      <cdr:nvSpPr>
        <cdr:cNvPr id="2" name="TextBox 1"/>
        <cdr:cNvSpPr txBox="1"/>
      </cdr:nvSpPr>
      <cdr:spPr>
        <a:xfrm xmlns:a="http://schemas.openxmlformats.org/drawingml/2006/main">
          <a:off x="88899" y="764400"/>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0.62451</cdr:y>
    </cdr:from>
    <cdr:to>
      <cdr:x>0.92484</cdr:x>
      <cdr:y>0.86049</cdr:y>
    </cdr:to>
    <cdr:sp macro="" textlink="">
      <cdr:nvSpPr>
        <cdr:cNvPr id="3" name="TextBox 1"/>
        <cdr:cNvSpPr txBox="1"/>
      </cdr:nvSpPr>
      <cdr:spPr>
        <a:xfrm xmlns:a="http://schemas.openxmlformats.org/drawingml/2006/main">
          <a:off x="688976" y="764400"/>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2.xml><?xml version="1.0" encoding="utf-8"?>
<c:userShapes xmlns:c="http://schemas.openxmlformats.org/drawingml/2006/chart">
  <cdr:relSizeAnchor xmlns:cdr="http://schemas.openxmlformats.org/drawingml/2006/chartDrawing">
    <cdr:from>
      <cdr:x>0.71039</cdr:x>
      <cdr:y>0</cdr:y>
    </cdr:from>
    <cdr:to>
      <cdr:x>0.97226</cdr:x>
      <cdr:y>0.21296</cdr:y>
    </cdr:to>
    <cdr:sp macro="" textlink="">
      <cdr:nvSpPr>
        <cdr:cNvPr id="2" name="TextBox 1"/>
        <cdr:cNvSpPr txBox="1"/>
      </cdr:nvSpPr>
      <cdr:spPr>
        <a:xfrm xmlns:a="http://schemas.openxmlformats.org/drawingml/2006/main">
          <a:off x="1944080" y="0"/>
          <a:ext cx="716641" cy="309922"/>
        </a:xfrm>
        <a:prstGeom xmlns:a="http://schemas.openxmlformats.org/drawingml/2006/main" prst="rect">
          <a:avLst/>
        </a:prstGeom>
      </cdr:spPr>
      <cdr:txBody>
        <a:bodyPr xmlns:a="http://schemas.openxmlformats.org/drawingml/2006/main" vertOverflow="clip" wrap="square" lIns="0" tIns="0" rIns="0" bIns="0" rtlCol="0" anchor="ctr"/>
        <a:lstStyle xmlns:a="http://schemas.openxmlformats.org/drawingml/2006/main"/>
        <a:p xmlns:a="http://schemas.openxmlformats.org/drawingml/2006/main">
          <a:pPr algn="ctr"/>
          <a:r>
            <a:rPr lang="en-GB" sz="650" u="sng">
              <a:solidFill>
                <a:schemeClr val="tx2"/>
              </a:solidFill>
            </a:rPr>
            <a:t>Q1</a:t>
          </a:r>
          <a:r>
            <a:rPr lang="sr-Latn-RS" sz="650" u="sng">
              <a:solidFill>
                <a:schemeClr val="tx2"/>
              </a:solidFill>
            </a:rPr>
            <a:t>-Q2</a:t>
          </a:r>
          <a:r>
            <a:rPr lang="sr-Latn-RS" sz="650" u="sng" baseline="0">
              <a:solidFill>
                <a:schemeClr val="tx2"/>
              </a:solidFill>
            </a:rPr>
            <a:t> </a:t>
          </a:r>
          <a:r>
            <a:rPr lang="sr-Latn-RS" sz="650" u="sng">
              <a:solidFill>
                <a:schemeClr val="tx2"/>
              </a:solidFill>
            </a:rPr>
            <a:t>20</a:t>
          </a:r>
          <a:r>
            <a:rPr lang="en-GB" sz="650" u="sng">
              <a:solidFill>
                <a:schemeClr val="tx2"/>
              </a:solidFill>
            </a:rPr>
            <a:t>2</a:t>
          </a:r>
          <a:r>
            <a:rPr lang="sr-Latn-RS" sz="650" u="sng">
              <a:solidFill>
                <a:schemeClr val="tx2"/>
              </a:solidFill>
            </a:rPr>
            <a:t>5</a:t>
          </a:r>
          <a:endParaRPr lang="sr-Latn-RS" sz="650" u="none">
            <a:solidFill>
              <a:schemeClr val="tx2"/>
            </a:solidFill>
          </a:endParaRPr>
        </a:p>
        <a:p xmlns:a="http://schemas.openxmlformats.org/drawingml/2006/main">
          <a:pPr algn="ctr"/>
          <a:r>
            <a:rPr lang="en-GB" sz="650">
              <a:solidFill>
                <a:schemeClr val="tx2"/>
              </a:solidFill>
            </a:rPr>
            <a:t>Q1</a:t>
          </a:r>
          <a:r>
            <a:rPr lang="sr-Latn-RS" sz="650">
              <a:solidFill>
                <a:schemeClr val="tx2"/>
              </a:solidFill>
            </a:rPr>
            <a:t>-Q2</a:t>
          </a:r>
          <a:r>
            <a:rPr lang="en-GB" sz="650">
              <a:solidFill>
                <a:schemeClr val="tx2"/>
              </a:solidFill>
            </a:rPr>
            <a:t> </a:t>
          </a:r>
          <a:r>
            <a:rPr lang="sr-Latn-RS" sz="650">
              <a:solidFill>
                <a:schemeClr val="tx2"/>
              </a:solidFill>
            </a:rPr>
            <a:t>20</a:t>
          </a:r>
          <a:r>
            <a:rPr lang="en-GB" sz="650">
              <a:solidFill>
                <a:schemeClr val="tx2"/>
              </a:solidFill>
            </a:rPr>
            <a:t>2</a:t>
          </a:r>
          <a:r>
            <a:rPr lang="sr-Latn-RS" sz="650">
              <a:solidFill>
                <a:schemeClr val="tx2"/>
              </a:solidFill>
            </a:rPr>
            <a:t>4</a:t>
          </a:r>
          <a:r>
            <a:rPr lang="en-GB" sz="650">
              <a:solidFill>
                <a:schemeClr val="tx2"/>
              </a:solidFill>
            </a:rPr>
            <a:t> </a:t>
          </a:r>
          <a:endParaRPr lang="sr-Latn-RS" sz="650">
            <a:solidFill>
              <a:schemeClr val="tx2"/>
            </a:solidFill>
          </a:endParaRPr>
        </a:p>
        <a:p xmlns:a="http://schemas.openxmlformats.org/drawingml/2006/main">
          <a:pPr algn="ctr"/>
          <a:r>
            <a:rPr lang="sr-Cyrl-RS" sz="650">
              <a:solidFill>
                <a:schemeClr val="tx2"/>
              </a:solidFill>
            </a:rPr>
            <a:t>индекси</a:t>
          </a:r>
        </a:p>
      </cdr:txBody>
    </cdr:sp>
  </cdr:relSizeAnchor>
</c:userShapes>
</file>

<file path=word/drawings/drawing13.xml><?xml version="1.0" encoding="utf-8"?>
<c:userShapes xmlns:c="http://schemas.openxmlformats.org/drawingml/2006/chart">
  <cdr:relSizeAnchor xmlns:cdr="http://schemas.openxmlformats.org/drawingml/2006/chartDrawing">
    <cdr:from>
      <cdr:x>0.55752</cdr:x>
      <cdr:y>6.07563E-7</cdr:y>
    </cdr:from>
    <cdr:to>
      <cdr:x>0.98231</cdr:x>
      <cdr:y>0.70785</cdr:y>
    </cdr:to>
    <cdr:sp macro="" textlink="">
      <cdr:nvSpPr>
        <cdr:cNvPr id="3" name="TextBox 2"/>
        <cdr:cNvSpPr txBox="1"/>
      </cdr:nvSpPr>
      <cdr:spPr>
        <a:xfrm xmlns:a="http://schemas.openxmlformats.org/drawingml/2006/main">
          <a:off x="1529389" y="1"/>
          <a:ext cx="1165284" cy="1165066"/>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0.58977</cdr:x>
      <cdr:y>0</cdr:y>
    </cdr:from>
    <cdr:to>
      <cdr:x>0.96783</cdr:x>
      <cdr:y>0.65524</cdr:y>
    </cdr:to>
    <cdr:sp macro="" textlink="">
      <cdr:nvSpPr>
        <cdr:cNvPr id="3" name="TextBox 2"/>
        <cdr:cNvSpPr txBox="1"/>
      </cdr:nvSpPr>
      <cdr:spPr>
        <a:xfrm xmlns:a="http://schemas.openxmlformats.org/drawingml/2006/main">
          <a:off x="1617845" y="0"/>
          <a:ext cx="1037094" cy="1076804"/>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0.57246</cdr:x>
      <cdr:y>0.00827</cdr:y>
    </cdr:from>
    <cdr:to>
      <cdr:x>0.96515</cdr:x>
      <cdr:y>0.76895</cdr:y>
    </cdr:to>
    <cdr:sp macro="" textlink="">
      <cdr:nvSpPr>
        <cdr:cNvPr id="3" name="TextBox 2"/>
        <cdr:cNvSpPr txBox="1"/>
      </cdr:nvSpPr>
      <cdr:spPr>
        <a:xfrm xmlns:a="http://schemas.openxmlformats.org/drawingml/2006/main">
          <a:off x="1570383" y="17661"/>
          <a:ext cx="1077216" cy="1624436"/>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0.66671</cdr:x>
      <cdr:y>0</cdr:y>
    </cdr:from>
    <cdr:to>
      <cdr:x>1</cdr:x>
      <cdr:y>0.15397</cdr:y>
    </cdr:to>
    <cdr:sp macro="" textlink="">
      <cdr:nvSpPr>
        <cdr:cNvPr id="2" name="TextBox 1">
          <a:extLst xmlns:a="http://schemas.openxmlformats.org/drawingml/2006/main">
            <a:ext uri="{FF2B5EF4-FFF2-40B4-BE49-F238E27FC236}">
              <a16:creationId xmlns:a16="http://schemas.microsoft.com/office/drawing/2014/main" id="{EEBA72B3-E404-4722-5BD3-9A173FE23DD3}"/>
            </a:ext>
          </a:extLst>
        </cdr:cNvPr>
        <cdr:cNvSpPr txBox="1"/>
      </cdr:nvSpPr>
      <cdr:spPr>
        <a:xfrm xmlns:a="http://schemas.openxmlformats.org/drawingml/2006/main">
          <a:off x="1828915" y="0"/>
          <a:ext cx="914285" cy="275888"/>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sr-Cyrl-RS" sz="750">
              <a:solidFill>
                <a:schemeClr val="tx2"/>
              </a:solidFill>
            </a:rPr>
            <a:t>Стопа становништва ван радне снаге</a:t>
          </a:r>
          <a:endParaRPr lang="en-US" sz="750">
            <a:solidFill>
              <a:schemeClr val="tx2"/>
            </a:solidFill>
          </a:endParaRPr>
        </a:p>
      </cdr:txBody>
    </cdr:sp>
  </cdr:relSizeAnchor>
  <cdr:relSizeAnchor xmlns:cdr="http://schemas.openxmlformats.org/drawingml/2006/chartDrawing">
    <cdr:from>
      <cdr:x>0.35123</cdr:x>
      <cdr:y>0</cdr:y>
    </cdr:from>
    <cdr:to>
      <cdr:x>0.65307</cdr:x>
      <cdr:y>0.08</cdr:y>
    </cdr:to>
    <cdr:sp macro="" textlink="">
      <cdr:nvSpPr>
        <cdr:cNvPr id="3" name="TextBox 1">
          <a:extLst xmlns:a="http://schemas.openxmlformats.org/drawingml/2006/main">
            <a:ext uri="{FF2B5EF4-FFF2-40B4-BE49-F238E27FC236}">
              <a16:creationId xmlns:a16="http://schemas.microsoft.com/office/drawing/2014/main" id="{D63F64B9-2A3E-9C8E-FD5C-33974146D41E}"/>
            </a:ext>
          </a:extLst>
        </cdr:cNvPr>
        <cdr:cNvSpPr txBox="1"/>
      </cdr:nvSpPr>
      <cdr:spPr>
        <a:xfrm xmlns:a="http://schemas.openxmlformats.org/drawingml/2006/main">
          <a:off x="963501" y="0"/>
          <a:ext cx="828000" cy="14334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a:solidFill>
                <a:schemeClr val="tx2"/>
              </a:solidFill>
            </a:rPr>
            <a:t>Стопа запослености</a:t>
          </a:r>
          <a:endParaRPr lang="en-US" sz="750">
            <a:solidFill>
              <a:schemeClr val="tx2"/>
            </a:solidFill>
          </a:endParaRPr>
        </a:p>
      </cdr:txBody>
    </cdr:sp>
  </cdr:relSizeAnchor>
  <cdr:relSizeAnchor xmlns:cdr="http://schemas.openxmlformats.org/drawingml/2006/chartDrawing">
    <cdr:from>
      <cdr:x>0</cdr:x>
      <cdr:y>0</cdr:y>
    </cdr:from>
    <cdr:to>
      <cdr:x>0.34121</cdr:x>
      <cdr:y>0.08</cdr:y>
    </cdr:to>
    <cdr:sp macro="" textlink="">
      <cdr:nvSpPr>
        <cdr:cNvPr id="4" name="TextBox 1">
          <a:extLst xmlns:a="http://schemas.openxmlformats.org/drawingml/2006/main">
            <a:ext uri="{FF2B5EF4-FFF2-40B4-BE49-F238E27FC236}">
              <a16:creationId xmlns:a16="http://schemas.microsoft.com/office/drawing/2014/main" id="{FD5E4A56-9597-87E6-88AD-15B99CCAA48D}"/>
            </a:ext>
          </a:extLst>
        </cdr:cNvPr>
        <cdr:cNvSpPr txBox="1"/>
      </cdr:nvSpPr>
      <cdr:spPr>
        <a:xfrm xmlns:a="http://schemas.openxmlformats.org/drawingml/2006/main">
          <a:off x="0" y="0"/>
          <a:ext cx="936000" cy="14334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sr-Cyrl-RS" sz="750">
              <a:solidFill>
                <a:schemeClr val="tx2"/>
              </a:solidFill>
            </a:rPr>
            <a:t>Стопа незапослености</a:t>
          </a:r>
          <a:endParaRPr lang="en-US" sz="750">
            <a:solidFill>
              <a:schemeClr val="tx2"/>
            </a:solidFill>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0.0878</cdr:x>
      <cdr:y>0.72193</cdr:y>
    </cdr:from>
    <cdr:to>
      <cdr:x>0.95377</cdr:x>
      <cdr:y>0.72193</cdr:y>
    </cdr:to>
    <cdr:cxnSp macro="">
      <cdr:nvCxnSpPr>
        <cdr:cNvPr id="3" name="Straight Connector 2">
          <a:extLst xmlns:a="http://schemas.openxmlformats.org/drawingml/2006/main">
            <a:ext uri="{FF2B5EF4-FFF2-40B4-BE49-F238E27FC236}">
              <a16:creationId xmlns:a16="http://schemas.microsoft.com/office/drawing/2014/main" id="{92170C42-51AD-40FC-A279-09E604F64C1D}"/>
            </a:ext>
          </a:extLst>
        </cdr:cNvPr>
        <cdr:cNvCxnSpPr/>
      </cdr:nvCxnSpPr>
      <cdr:spPr>
        <a:xfrm xmlns:a="http://schemas.openxmlformats.org/drawingml/2006/main" flipV="1">
          <a:off x="240520" y="1305002"/>
          <a:ext cx="2372307" cy="0"/>
        </a:xfrm>
        <a:prstGeom xmlns:a="http://schemas.openxmlformats.org/drawingml/2006/main" prst="line">
          <a:avLst/>
        </a:prstGeom>
        <a:ln xmlns:a="http://schemas.openxmlformats.org/drawingml/2006/main" w="31750">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8.xml><?xml version="1.0" encoding="utf-8"?>
<c:userShapes xmlns:c="http://schemas.openxmlformats.org/drawingml/2006/chart">
  <cdr:relSizeAnchor xmlns:cdr="http://schemas.openxmlformats.org/drawingml/2006/chartDrawing">
    <cdr:from>
      <cdr:x>0.77001</cdr:x>
      <cdr:y>0.00888</cdr:y>
    </cdr:from>
    <cdr:to>
      <cdr:x>0.94583</cdr:x>
      <cdr:y>0.69978</cdr:y>
    </cdr:to>
    <cdr:sp macro="" textlink="">
      <cdr:nvSpPr>
        <cdr:cNvPr id="2" name="TextBox 1"/>
        <cdr:cNvSpPr txBox="1"/>
      </cdr:nvSpPr>
      <cdr:spPr>
        <a:xfrm xmlns:a="http://schemas.openxmlformats.org/drawingml/2006/main">
          <a:off x="2162175" y="15345"/>
          <a:ext cx="493717" cy="1193875"/>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530" b="1">
              <a:solidFill>
                <a:schemeClr val="tx2"/>
              </a:solidFill>
              <a:latin typeface="+mn-lt"/>
              <a:cs typeface="Arial" panose="020B0604020202020204" pitchFamily="34" charset="0"/>
            </a:rPr>
            <a:t>ПРОЈЕКЦИЈА</a:t>
          </a:r>
        </a:p>
      </cdr:txBody>
    </cdr:sp>
  </cdr:relSizeAnchor>
</c:userShapes>
</file>

<file path=word/drawings/drawing19.xml><?xml version="1.0" encoding="utf-8"?>
<c:userShapes xmlns:c="http://schemas.openxmlformats.org/drawingml/2006/chart">
  <cdr:relSizeAnchor xmlns:cdr="http://schemas.openxmlformats.org/drawingml/2006/chartDrawing">
    <cdr:from>
      <cdr:x>0.59869</cdr:x>
      <cdr:y>0</cdr:y>
    </cdr:from>
    <cdr:to>
      <cdr:x>0.9881</cdr:x>
      <cdr:y>0.76585</cdr:y>
    </cdr:to>
    <cdr:sp macro="" textlink="">
      <cdr:nvSpPr>
        <cdr:cNvPr id="2" name="TextBox 1"/>
        <cdr:cNvSpPr txBox="1"/>
      </cdr:nvSpPr>
      <cdr:spPr>
        <a:xfrm xmlns:a="http://schemas.openxmlformats.org/drawingml/2006/main">
          <a:off x="1648327" y="0"/>
          <a:ext cx="1072136" cy="1639263"/>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xml><?xml version="1.0" encoding="utf-8"?>
<c:userShapes xmlns:c="http://schemas.openxmlformats.org/drawingml/2006/chart">
  <cdr:relSizeAnchor xmlns:cdr="http://schemas.openxmlformats.org/drawingml/2006/chartDrawing">
    <cdr:from>
      <cdr:x>0.05959</cdr:x>
      <cdr:y>0.61594</cdr:y>
    </cdr:from>
    <cdr:to>
      <cdr:x>0.46719</cdr:x>
      <cdr:y>0.85192</cdr:y>
    </cdr:to>
    <cdr:sp macro="" textlink="">
      <cdr:nvSpPr>
        <cdr:cNvPr id="2" name="TextBox 1"/>
        <cdr:cNvSpPr txBox="1"/>
      </cdr:nvSpPr>
      <cdr:spPr>
        <a:xfrm xmlns:a="http://schemas.openxmlformats.org/drawingml/2006/main">
          <a:off x="79373" y="753914"/>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0.60816</cdr:y>
    </cdr:from>
    <cdr:to>
      <cdr:x>0.91769</cdr:x>
      <cdr:y>0.84414</cdr:y>
    </cdr:to>
    <cdr:sp macro="" textlink="">
      <cdr:nvSpPr>
        <cdr:cNvPr id="3" name="TextBox 1"/>
        <cdr:cNvSpPr txBox="1"/>
      </cdr:nvSpPr>
      <cdr:spPr>
        <a:xfrm xmlns:a="http://schemas.openxmlformats.org/drawingml/2006/main">
          <a:off x="679452" y="744389"/>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20.xml><?xml version="1.0" encoding="utf-8"?>
<c:userShapes xmlns:c="http://schemas.openxmlformats.org/drawingml/2006/chart">
  <cdr:relSizeAnchor xmlns:cdr="http://schemas.openxmlformats.org/drawingml/2006/chartDrawing">
    <cdr:from>
      <cdr:x>0.63015</cdr:x>
      <cdr:y>0.01888</cdr:y>
    </cdr:from>
    <cdr:to>
      <cdr:x>0.97908</cdr:x>
      <cdr:y>0.75594</cdr:y>
    </cdr:to>
    <cdr:sp macro="" textlink="">
      <cdr:nvSpPr>
        <cdr:cNvPr id="2" name="TextBox 1"/>
        <cdr:cNvSpPr txBox="1"/>
      </cdr:nvSpPr>
      <cdr:spPr>
        <a:xfrm xmlns:a="http://schemas.openxmlformats.org/drawingml/2006/main">
          <a:off x="1728614" y="39184"/>
          <a:ext cx="957185" cy="1529532"/>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1.xml><?xml version="1.0" encoding="utf-8"?>
<c:userShapes xmlns:c="http://schemas.openxmlformats.org/drawingml/2006/chart">
  <cdr:relSizeAnchor xmlns:cdr="http://schemas.openxmlformats.org/drawingml/2006/chartDrawing">
    <cdr:from>
      <cdr:x>0.54172</cdr:x>
      <cdr:y>0.08091</cdr:y>
    </cdr:from>
    <cdr:to>
      <cdr:x>0.80075</cdr:x>
      <cdr:y>0.12157</cdr:y>
    </cdr:to>
    <cdr:sp macro="" textlink="">
      <cdr:nvSpPr>
        <cdr:cNvPr id="4" name="Text Box 94"/>
        <cdr:cNvSpPr txBox="1"/>
      </cdr:nvSpPr>
      <cdr:spPr>
        <a:xfrm xmlns:a="http://schemas.openxmlformats.org/drawingml/2006/main">
          <a:off x="3625439" y="417046"/>
          <a:ext cx="1733550" cy="20955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just">
            <a:lnSpc>
              <a:spcPct val="107000"/>
            </a:lnSpc>
            <a:spcAft>
              <a:spcPts val="800"/>
            </a:spcAft>
          </a:pPr>
          <a:r>
            <a:rPr lang="sr-Cyrl-RS" sz="700" b="1">
              <a:solidFill>
                <a:srgbClr val="44546A"/>
              </a:solidFill>
              <a:effectLst/>
              <a:latin typeface="Calibri" panose="020F0502020204030204" pitchFamily="34" charset="0"/>
              <a:ea typeface="Calibri" panose="020F0502020204030204" pitchFamily="34" charset="0"/>
              <a:cs typeface="Times New Roman" panose="02020603050405020304" pitchFamily="18" charset="0"/>
            </a:rPr>
            <a:t>Праг фискалног подиндекса (0,36)</a:t>
          </a:r>
          <a:endParaRPr lang="en-GB" sz="1000">
            <a:solidFill>
              <a:srgbClr val="44546A"/>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0.511</cdr:x>
      <cdr:y>0.11032</cdr:y>
    </cdr:from>
    <cdr:to>
      <cdr:x>0.53947</cdr:x>
      <cdr:y>0.12696</cdr:y>
    </cdr:to>
    <cdr:cxnSp macro="">
      <cdr:nvCxnSpPr>
        <cdr:cNvPr id="5" name="Straight Arrow Connector 4"/>
        <cdr:cNvCxnSpPr/>
      </cdr:nvCxnSpPr>
      <cdr:spPr>
        <a:xfrm xmlns:a="http://schemas.openxmlformats.org/drawingml/2006/main" flipV="1">
          <a:off x="3419886" y="568624"/>
          <a:ext cx="190500" cy="85725"/>
        </a:xfrm>
        <a:prstGeom xmlns:a="http://schemas.openxmlformats.org/drawingml/2006/main" prst="straightConnector1">
          <a:avLst/>
        </a:prstGeom>
        <a:ln xmlns:a="http://schemas.openxmlformats.org/drawingml/2006/main">
          <a:solidFill>
            <a:schemeClr val="tx1">
              <a:lumMod val="75000"/>
              <a:lumOff val="25000"/>
            </a:schemeClr>
          </a:solidFill>
          <a:prstDash val="sysDash"/>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0.70246</cdr:x>
      <cdr:y>0.26085</cdr:y>
    </cdr:from>
    <cdr:to>
      <cdr:x>0.96149</cdr:x>
      <cdr:y>0.30151</cdr:y>
    </cdr:to>
    <cdr:sp macro="" textlink="">
      <cdr:nvSpPr>
        <cdr:cNvPr id="6" name="Text Box 96"/>
        <cdr:cNvSpPr txBox="1"/>
      </cdr:nvSpPr>
      <cdr:spPr>
        <a:xfrm xmlns:a="http://schemas.openxmlformats.org/drawingml/2006/main">
          <a:off x="4701205" y="1344481"/>
          <a:ext cx="1733550" cy="20955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just">
            <a:lnSpc>
              <a:spcPct val="107000"/>
            </a:lnSpc>
            <a:spcAft>
              <a:spcPts val="800"/>
            </a:spcAft>
          </a:pPr>
          <a:r>
            <a:rPr lang="sr-Cyrl-RS" sz="700" b="1">
              <a:solidFill>
                <a:srgbClr val="44546A"/>
              </a:solidFill>
              <a:effectLst/>
              <a:latin typeface="Calibri" panose="020F0502020204030204" pitchFamily="34" charset="0"/>
              <a:ea typeface="Calibri" panose="020F0502020204030204" pitchFamily="34" charset="0"/>
              <a:cs typeface="Times New Roman" panose="02020603050405020304" pitchFamily="18" charset="0"/>
            </a:rPr>
            <a:t>Праг финансијског подиндекса (0,49)</a:t>
          </a:r>
          <a:endParaRPr lang="en-GB" sz="1000">
            <a:solidFill>
              <a:srgbClr val="44546A"/>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0.91728</cdr:x>
      <cdr:y>0.24173</cdr:y>
    </cdr:from>
    <cdr:to>
      <cdr:x>0.94693</cdr:x>
      <cdr:y>0.26079</cdr:y>
    </cdr:to>
    <cdr:cxnSp macro="">
      <cdr:nvCxnSpPr>
        <cdr:cNvPr id="8" name="Straight Arrow Connector 7"/>
        <cdr:cNvCxnSpPr/>
      </cdr:nvCxnSpPr>
      <cdr:spPr>
        <a:xfrm xmlns:a="http://schemas.openxmlformats.org/drawingml/2006/main" flipH="1">
          <a:off x="6138919" y="1245908"/>
          <a:ext cx="198381" cy="98237"/>
        </a:xfrm>
        <a:prstGeom xmlns:a="http://schemas.openxmlformats.org/drawingml/2006/main" prst="straightConnector1">
          <a:avLst/>
        </a:prstGeom>
        <a:ln xmlns:a="http://schemas.openxmlformats.org/drawingml/2006/main">
          <a:solidFill>
            <a:schemeClr val="tx1">
              <a:lumMod val="75000"/>
              <a:lumOff val="25000"/>
            </a:schemeClr>
          </a:solidFill>
          <a:prstDash val="sysDash"/>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2.xml><?xml version="1.0" encoding="utf-8"?>
<c:userShapes xmlns:c="http://schemas.openxmlformats.org/drawingml/2006/chart">
  <cdr:relSizeAnchor xmlns:cdr="http://schemas.openxmlformats.org/drawingml/2006/chartDrawing">
    <cdr:from>
      <cdr:x>0.5994</cdr:x>
      <cdr:y>0.31197</cdr:y>
    </cdr:from>
    <cdr:to>
      <cdr:x>0.5994</cdr:x>
      <cdr:y>0.34818</cdr:y>
    </cdr:to>
    <cdr:cxnSp macro="">
      <cdr:nvCxnSpPr>
        <cdr:cNvPr id="3" name="Straight Arrow Connector 2"/>
        <cdr:cNvCxnSpPr/>
      </cdr:nvCxnSpPr>
      <cdr:spPr>
        <a:xfrm xmlns:a="http://schemas.openxmlformats.org/drawingml/2006/main" flipV="1">
          <a:off x="3927978" y="1066789"/>
          <a:ext cx="0" cy="123819"/>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3.xml><?xml version="1.0" encoding="utf-8"?>
<c:userShapes xmlns:c="http://schemas.openxmlformats.org/drawingml/2006/chart">
  <cdr:relSizeAnchor xmlns:cdr="http://schemas.openxmlformats.org/drawingml/2006/chartDrawing">
    <cdr:from>
      <cdr:x>0.83237</cdr:x>
      <cdr:y>0.04452</cdr:y>
    </cdr:from>
    <cdr:to>
      <cdr:x>0.96904</cdr:x>
      <cdr:y>0.10408</cdr:y>
    </cdr:to>
    <cdr:sp macro="" textlink="">
      <cdr:nvSpPr>
        <cdr:cNvPr id="2" name="TextBox 1"/>
        <cdr:cNvSpPr txBox="1"/>
      </cdr:nvSpPr>
      <cdr:spPr>
        <a:xfrm xmlns:a="http://schemas.openxmlformats.org/drawingml/2006/main">
          <a:off x="5378606" y="170300"/>
          <a:ext cx="883129" cy="22784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latin typeface="+mj-lt"/>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0.51712</cdr:x>
      <cdr:y>4.15515E-7</cdr:y>
    </cdr:from>
    <cdr:to>
      <cdr:x>0.98996</cdr:x>
      <cdr:y>0.07916</cdr:y>
    </cdr:to>
    <cdr:sp macro="" textlink="">
      <cdr:nvSpPr>
        <cdr:cNvPr id="3" name="TextBox 1"/>
        <cdr:cNvSpPr txBox="1"/>
      </cdr:nvSpPr>
      <cdr:spPr>
        <a:xfrm xmlns:a="http://schemas.openxmlformats.org/drawingml/2006/main">
          <a:off x="1438275" y="1"/>
          <a:ext cx="1315102" cy="1905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sr-Cyrl-RS" sz="900">
              <a:solidFill>
                <a:schemeClr val="tx2"/>
              </a:solidFill>
            </a:rPr>
            <a:t>у милионима динара</a:t>
          </a:r>
          <a:endParaRPr lang="en-US" sz="900">
            <a:solidFill>
              <a:schemeClr val="tx2"/>
            </a:solidFill>
          </a:endParaRPr>
        </a:p>
      </cdr:txBody>
    </cdr:sp>
  </cdr:relSizeAnchor>
</c:userShapes>
</file>

<file path=word/drawings/drawing25.xml><?xml version="1.0" encoding="utf-8"?>
<c:userShapes xmlns:c="http://schemas.openxmlformats.org/drawingml/2006/chart">
  <cdr:relSizeAnchor xmlns:cdr="http://schemas.openxmlformats.org/drawingml/2006/chartDrawing">
    <cdr:from>
      <cdr:x>0.86946</cdr:x>
      <cdr:y>0.07453</cdr:y>
    </cdr:from>
    <cdr:to>
      <cdr:x>0.87072</cdr:x>
      <cdr:y>0.89913</cdr:y>
    </cdr:to>
    <cdr:cxnSp macro="">
      <cdr:nvCxnSpPr>
        <cdr:cNvPr id="3" name="Straight Connector 2"/>
        <cdr:cNvCxnSpPr/>
      </cdr:nvCxnSpPr>
      <cdr:spPr>
        <a:xfrm xmlns:a="http://schemas.openxmlformats.org/drawingml/2006/main">
          <a:off x="6984235" y="341624"/>
          <a:ext cx="10122" cy="3779960"/>
        </a:xfrm>
        <a:prstGeom xmlns:a="http://schemas.openxmlformats.org/drawingml/2006/main" prst="line">
          <a:avLst/>
        </a:prstGeom>
        <a:ln xmlns:a="http://schemas.openxmlformats.org/drawingml/2006/main">
          <a:prstDash val="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6.xml><?xml version="1.0" encoding="utf-8"?>
<c:userShapes xmlns:c="http://schemas.openxmlformats.org/drawingml/2006/chart">
  <cdr:relSizeAnchor xmlns:cdr="http://schemas.openxmlformats.org/drawingml/2006/chartDrawing">
    <cdr:from>
      <cdr:x>0.1084</cdr:x>
      <cdr:y>0.17764</cdr:y>
    </cdr:from>
    <cdr:to>
      <cdr:x>0.31669</cdr:x>
      <cdr:y>0.5815</cdr:y>
    </cdr:to>
    <cdr:sp macro="" textlink="">
      <cdr:nvSpPr>
        <cdr:cNvPr id="11" name="Oval 10"/>
        <cdr:cNvSpPr/>
      </cdr:nvSpPr>
      <cdr:spPr>
        <a:xfrm xmlns:a="http://schemas.openxmlformats.org/drawingml/2006/main">
          <a:off x="298938" y="478955"/>
          <a:ext cx="574431" cy="1088891"/>
        </a:xfrm>
        <a:prstGeom xmlns:a="http://schemas.openxmlformats.org/drawingml/2006/main" prst="ellipse">
          <a:avLst/>
        </a:prstGeom>
        <a:solidFill xmlns:a="http://schemas.openxmlformats.org/drawingml/2006/main">
          <a:srgbClr val="51BBE7">
            <a:alpha val="16000"/>
          </a:srgbClr>
        </a:solidFill>
        <a:ln xmlns:a="http://schemas.openxmlformats.org/drawingml/2006/main">
          <a:solidFill>
            <a:srgbClr val="29489A">
              <a:alpha val="50000"/>
            </a:srgb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0.13493</cdr:x>
      <cdr:y>0.11085</cdr:y>
    </cdr:from>
    <cdr:to>
      <cdr:x>0.3422</cdr:x>
      <cdr:y>0.15435</cdr:y>
    </cdr:to>
    <cdr:sp macro="" textlink="">
      <cdr:nvSpPr>
        <cdr:cNvPr id="6" name="TextBox 5"/>
        <cdr:cNvSpPr txBox="1"/>
      </cdr:nvSpPr>
      <cdr:spPr>
        <a:xfrm xmlns:a="http://schemas.openxmlformats.org/drawingml/2006/main">
          <a:off x="372103" y="298871"/>
          <a:ext cx="571605" cy="1173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0.3507</cdr:x>
      <cdr:y>0.73948</cdr:y>
    </cdr:from>
    <cdr:to>
      <cdr:x>0.61343</cdr:x>
      <cdr:y>0.78699</cdr:y>
    </cdr:to>
    <cdr:sp macro="" textlink="">
      <cdr:nvSpPr>
        <cdr:cNvPr id="7" name="TextBox 6"/>
        <cdr:cNvSpPr txBox="1"/>
      </cdr:nvSpPr>
      <cdr:spPr>
        <a:xfrm xmlns:a="http://schemas.openxmlformats.org/drawingml/2006/main">
          <a:off x="967154" y="1993783"/>
          <a:ext cx="724560" cy="1280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Рестриктивна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0.31244</cdr:x>
      <cdr:y>0.24444</cdr:y>
    </cdr:from>
    <cdr:to>
      <cdr:x>0.40171</cdr:x>
      <cdr:y>0.61707</cdr:y>
    </cdr:to>
    <cdr:sp macro="" textlink="">
      <cdr:nvSpPr>
        <cdr:cNvPr id="12" name="Oval 11"/>
        <cdr:cNvSpPr/>
      </cdr:nvSpPr>
      <cdr:spPr>
        <a:xfrm xmlns:a="http://schemas.openxmlformats.org/drawingml/2006/main">
          <a:off x="861647" y="659062"/>
          <a:ext cx="246184" cy="1004688"/>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latin typeface="Cambria" pitchFamily="18" charset="0"/>
          </a:endParaRPr>
        </a:p>
      </cdr:txBody>
    </cdr:sp>
  </cdr:relSizeAnchor>
  <cdr:relSizeAnchor xmlns:cdr="http://schemas.openxmlformats.org/drawingml/2006/chartDrawing">
    <cdr:from>
      <cdr:x>0.56041</cdr:x>
      <cdr:y>0.13825</cdr:y>
    </cdr:from>
    <cdr:to>
      <cdr:x>0.72635</cdr:x>
      <cdr:y>0.19124</cdr:y>
    </cdr:to>
    <cdr:sp macro="" textlink="">
      <cdr:nvSpPr>
        <cdr:cNvPr id="17" name="TextBox 16"/>
        <cdr:cNvSpPr txBox="1"/>
      </cdr:nvSpPr>
      <cdr:spPr>
        <a:xfrm xmlns:a="http://schemas.openxmlformats.org/drawingml/2006/main">
          <a:off x="3667126" y="571500"/>
          <a:ext cx="1085850" cy="219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0.11265</cdr:x>
      <cdr:y>0.25539</cdr:y>
    </cdr:from>
    <cdr:to>
      <cdr:x>0.35541</cdr:x>
      <cdr:y>0.33697</cdr:y>
    </cdr:to>
    <cdr:sp macro="" textlink="">
      <cdr:nvSpPr>
        <cdr:cNvPr id="18" name="TextBox 17"/>
        <cdr:cNvSpPr txBox="1"/>
      </cdr:nvSpPr>
      <cdr:spPr>
        <a:xfrm xmlns:a="http://schemas.openxmlformats.org/drawingml/2006/main">
          <a:off x="310662" y="688586"/>
          <a:ext cx="669503" cy="21995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Проциклична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0.24443</cdr:x>
      <cdr:y>0.52611</cdr:y>
    </cdr:from>
    <cdr:to>
      <cdr:x>0.49735</cdr:x>
      <cdr:y>0.62394</cdr:y>
    </cdr:to>
    <cdr:sp macro="" textlink="">
      <cdr:nvSpPr>
        <cdr:cNvPr id="19" name="TextBox 18"/>
        <cdr:cNvSpPr txBox="1"/>
      </cdr:nvSpPr>
      <cdr:spPr>
        <a:xfrm xmlns:a="http://schemas.openxmlformats.org/drawingml/2006/main">
          <a:off x="674077" y="1418493"/>
          <a:ext cx="697523" cy="26376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0.39958</cdr:x>
      <cdr:y>0.1902</cdr:y>
    </cdr:from>
    <cdr:to>
      <cdr:x>0.63338</cdr:x>
      <cdr:y>0.7217</cdr:y>
    </cdr:to>
    <cdr:sp macro="" textlink="">
      <cdr:nvSpPr>
        <cdr:cNvPr id="10" name="Oval 9"/>
        <cdr:cNvSpPr/>
      </cdr:nvSpPr>
      <cdr:spPr>
        <a:xfrm xmlns:a="http://schemas.openxmlformats.org/drawingml/2006/main">
          <a:off x="1101969" y="512819"/>
          <a:ext cx="644769" cy="1433036"/>
        </a:xfrm>
        <a:prstGeom xmlns:a="http://schemas.openxmlformats.org/drawingml/2006/main" prst="ellipse">
          <a:avLst/>
        </a:prstGeom>
        <a:solidFill xmlns:a="http://schemas.openxmlformats.org/drawingml/2006/main">
          <a:srgbClr val="51BBE7">
            <a:alpha val="15000"/>
          </a:srgbClr>
        </a:solidFill>
        <a:ln xmlns:a="http://schemas.openxmlformats.org/drawingml/2006/main">
          <a:solidFill>
            <a:schemeClr val="accent1">
              <a:shade val="50000"/>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0.41659</cdr:x>
      <cdr:y>0.27392</cdr:y>
    </cdr:from>
    <cdr:to>
      <cdr:x>0.66101</cdr:x>
      <cdr:y>0.37586</cdr:y>
    </cdr:to>
    <cdr:sp macro="" textlink="">
      <cdr:nvSpPr>
        <cdr:cNvPr id="13" name="TextBox 12"/>
        <cdr:cNvSpPr txBox="1"/>
      </cdr:nvSpPr>
      <cdr:spPr>
        <a:xfrm xmlns:a="http://schemas.openxmlformats.org/drawingml/2006/main">
          <a:off x="1148862" y="738554"/>
          <a:ext cx="674076" cy="2748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600" b="1" baseline="0">
              <a:solidFill>
                <a:srgbClr val="44546A"/>
              </a:solidFill>
              <a:latin typeface="+mn-lt"/>
            </a:rPr>
            <a:t>Проциклична</a:t>
          </a:r>
          <a:endParaRPr lang="en-US" sz="600" b="1" baseline="0">
            <a:solidFill>
              <a:srgbClr val="44546A"/>
            </a:solidFill>
            <a:latin typeface="+mn-lt"/>
          </a:endParaRPr>
        </a:p>
      </cdr:txBody>
    </cdr:sp>
  </cdr:relSizeAnchor>
  <cdr:relSizeAnchor xmlns:cdr="http://schemas.openxmlformats.org/drawingml/2006/chartDrawing">
    <cdr:from>
      <cdr:x>0.50373</cdr:x>
      <cdr:y>0.06055</cdr:y>
    </cdr:from>
    <cdr:to>
      <cdr:x>0.79279</cdr:x>
      <cdr:y>0.11087</cdr:y>
    </cdr:to>
    <cdr:sp macro="" textlink="">
      <cdr:nvSpPr>
        <cdr:cNvPr id="15" name="TextBox 1"/>
        <cdr:cNvSpPr txBox="1"/>
      </cdr:nvSpPr>
      <cdr:spPr>
        <a:xfrm xmlns:a="http://schemas.openxmlformats.org/drawingml/2006/main">
          <a:off x="1389184" y="163250"/>
          <a:ext cx="797169" cy="13568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0.63338</cdr:x>
      <cdr:y>0.09391</cdr:y>
    </cdr:from>
    <cdr:to>
      <cdr:x>0.91181</cdr:x>
      <cdr:y>0.75514</cdr:y>
    </cdr:to>
    <cdr:sp macro="" textlink="">
      <cdr:nvSpPr>
        <cdr:cNvPr id="16" name="Oval 15"/>
        <cdr:cNvSpPr/>
      </cdr:nvSpPr>
      <cdr:spPr>
        <a:xfrm xmlns:a="http://schemas.openxmlformats.org/drawingml/2006/main">
          <a:off x="1746738" y="261430"/>
          <a:ext cx="767862" cy="1840759"/>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effectLst/>
          </a:endParaRPr>
        </a:p>
      </cdr:txBody>
    </cdr:sp>
  </cdr:relSizeAnchor>
  <cdr:relSizeAnchor xmlns:cdr="http://schemas.openxmlformats.org/drawingml/2006/chartDrawing">
    <cdr:from>
      <cdr:x>0.64188</cdr:x>
      <cdr:y>0.54319</cdr:y>
    </cdr:from>
    <cdr:to>
      <cdr:x>0.92244</cdr:x>
      <cdr:y>0.63481</cdr:y>
    </cdr:to>
    <cdr:sp macro="" textlink="">
      <cdr:nvSpPr>
        <cdr:cNvPr id="20" name="TextBox 1"/>
        <cdr:cNvSpPr txBox="1"/>
      </cdr:nvSpPr>
      <cdr:spPr>
        <a:xfrm xmlns:a="http://schemas.openxmlformats.org/drawingml/2006/main">
          <a:off x="1770184" y="1464555"/>
          <a:ext cx="773723" cy="2470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userShapes>
</file>

<file path=word/drawings/drawing27.xml><?xml version="1.0" encoding="utf-8"?>
<c:userShapes xmlns:c="http://schemas.openxmlformats.org/drawingml/2006/chart">
  <cdr:relSizeAnchor xmlns:cdr="http://schemas.openxmlformats.org/drawingml/2006/chartDrawing">
    <cdr:from>
      <cdr:x>0.04375</cdr:x>
      <cdr:y>0.88368</cdr:y>
    </cdr:from>
    <cdr:to>
      <cdr:x>0.16667</cdr:x>
      <cdr:y>0.93576</cdr:y>
    </cdr:to>
    <cdr:sp macro="" textlink="">
      <cdr:nvSpPr>
        <cdr:cNvPr id="2"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0.04792</cdr:x>
      <cdr:y>0.73785</cdr:y>
    </cdr:from>
    <cdr:to>
      <cdr:x>0.24167</cdr:x>
      <cdr:y>0.86979</cdr:y>
    </cdr:to>
    <cdr:sp macro="" textlink="">
      <cdr:nvSpPr>
        <cdr:cNvPr id="3" name="TextBox 2"/>
        <cdr:cNvSpPr txBox="1"/>
      </cdr:nvSpPr>
      <cdr:spPr>
        <a:xfrm xmlns:a="http://schemas.openxmlformats.org/drawingml/2006/main">
          <a:off x="228061" y="2482144"/>
          <a:ext cx="922095" cy="44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800">
            <a:latin typeface="+mj-lt"/>
          </a:endParaRPr>
        </a:p>
      </cdr:txBody>
    </cdr:sp>
  </cdr:relSizeAnchor>
  <cdr:relSizeAnchor xmlns:cdr="http://schemas.openxmlformats.org/drawingml/2006/chartDrawing">
    <cdr:from>
      <cdr:x>0.66875</cdr:x>
      <cdr:y>0.74826</cdr:y>
    </cdr:from>
    <cdr:to>
      <cdr:x>0.9125</cdr:x>
      <cdr:y>0.84549</cdr:y>
    </cdr:to>
    <cdr:sp macro="" textlink="">
      <cdr:nvSpPr>
        <cdr:cNvPr id="4"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0.76703</cdr:x>
      <cdr:y>0.16819</cdr:y>
    </cdr:from>
    <cdr:to>
      <cdr:x>0.98856</cdr:x>
      <cdr:y>0.2903</cdr:y>
    </cdr:to>
    <cdr:sp macro="" textlink="">
      <cdr:nvSpPr>
        <cdr:cNvPr id="5" name="TextBox 1"/>
        <cdr:cNvSpPr txBox="1"/>
      </cdr:nvSpPr>
      <cdr:spPr>
        <a:xfrm xmlns:a="http://schemas.openxmlformats.org/drawingml/2006/main">
          <a:off x="3650440" y="565780"/>
          <a:ext cx="1054306"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0.73125</cdr:x>
      <cdr:y>0.8206</cdr:y>
    </cdr:from>
    <cdr:to>
      <cdr:x>0.95417</cdr:x>
      <cdr:y>0.94271</cdr:y>
    </cdr:to>
    <cdr:sp macro="" textlink="">
      <cdr:nvSpPr>
        <cdr:cNvPr id="6" name="TextBox 1"/>
        <cdr:cNvSpPr txBox="1"/>
      </cdr:nvSpPr>
      <cdr:spPr>
        <a:xfrm xmlns:a="http://schemas.openxmlformats.org/drawingml/2006/main">
          <a:off x="3480164" y="2760516"/>
          <a:ext cx="1060921"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0.04928</cdr:x>
      <cdr:y>0.22036</cdr:y>
    </cdr:from>
    <cdr:to>
      <cdr:x>0.27219</cdr:x>
      <cdr:y>0.34247</cdr:y>
    </cdr:to>
    <cdr:sp macro="" textlink="">
      <cdr:nvSpPr>
        <cdr:cNvPr id="7" name="TextBox 1"/>
        <cdr:cNvSpPr txBox="1"/>
      </cdr:nvSpPr>
      <cdr:spPr>
        <a:xfrm xmlns:a="http://schemas.openxmlformats.org/drawingml/2006/main">
          <a:off x="234530" y="741312"/>
          <a:ext cx="1060873" cy="4107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Cambria" panose="02040503050406030204" pitchFamily="18" charset="0"/>
          </a:endParaRPr>
        </a:p>
      </cdr:txBody>
    </cdr:sp>
  </cdr:relSizeAnchor>
  <cdr:relSizeAnchor xmlns:cdr="http://schemas.openxmlformats.org/drawingml/2006/chartDrawing">
    <cdr:from>
      <cdr:x>0.04375</cdr:x>
      <cdr:y>0.88368</cdr:y>
    </cdr:from>
    <cdr:to>
      <cdr:x>0.16667</cdr:x>
      <cdr:y>0.93576</cdr:y>
    </cdr:to>
    <cdr:sp macro="" textlink="">
      <cdr:nvSpPr>
        <cdr:cNvPr id="14"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cdr:x>
      <cdr:y>0.73208</cdr:y>
    </cdr:from>
    <cdr:to>
      <cdr:x>0.29836</cdr:x>
      <cdr:y>0.99033</cdr:y>
    </cdr:to>
    <cdr:sp macro="" textlink="">
      <cdr:nvSpPr>
        <cdr:cNvPr id="15" name="TextBox 2"/>
        <cdr:cNvSpPr txBox="1"/>
      </cdr:nvSpPr>
      <cdr:spPr>
        <a:xfrm xmlns:a="http://schemas.openxmlformats.org/drawingml/2006/main">
          <a:off x="0" y="1184031"/>
          <a:ext cx="805389" cy="41767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0.66875</cdr:x>
      <cdr:y>0.74826</cdr:y>
    </cdr:from>
    <cdr:to>
      <cdr:x>0.9125</cdr:x>
      <cdr:y>0.84549</cdr:y>
    </cdr:to>
    <cdr:sp macro="" textlink="">
      <cdr:nvSpPr>
        <cdr:cNvPr id="16"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0.68864</cdr:x>
      <cdr:y>0.00227</cdr:y>
    </cdr:from>
    <cdr:to>
      <cdr:x>1</cdr:x>
      <cdr:y>0.11502</cdr:y>
    </cdr:to>
    <cdr:sp macro="" textlink="">
      <cdr:nvSpPr>
        <cdr:cNvPr id="17" name="TextBox 1"/>
        <cdr:cNvSpPr txBox="1"/>
      </cdr:nvSpPr>
      <cdr:spPr>
        <a:xfrm xmlns:a="http://schemas.openxmlformats.org/drawingml/2006/main">
          <a:off x="1899138" y="6826"/>
          <a:ext cx="858667" cy="33900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0.66663</cdr:x>
      <cdr:y>0.75785</cdr:y>
    </cdr:from>
    <cdr:to>
      <cdr:x>0.99362</cdr:x>
      <cdr:y>0.98254</cdr:y>
    </cdr:to>
    <cdr:sp macro="" textlink="">
      <cdr:nvSpPr>
        <cdr:cNvPr id="18" name="TextBox 1"/>
        <cdr:cNvSpPr txBox="1"/>
      </cdr:nvSpPr>
      <cdr:spPr>
        <a:xfrm xmlns:a="http://schemas.openxmlformats.org/drawingml/2006/main">
          <a:off x="1799492" y="1301261"/>
          <a:ext cx="882671" cy="38579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cdr:x>
      <cdr:y>0</cdr:y>
    </cdr:from>
    <cdr:to>
      <cdr:x>0.3422</cdr:x>
      <cdr:y>0.12211</cdr:y>
    </cdr:to>
    <cdr:sp macro="" textlink="">
      <cdr:nvSpPr>
        <cdr:cNvPr id="19" name="TextBox 1"/>
        <cdr:cNvSpPr txBox="1"/>
      </cdr:nvSpPr>
      <cdr:spPr>
        <a:xfrm xmlns:a="http://schemas.openxmlformats.org/drawingml/2006/main">
          <a:off x="0" y="0"/>
          <a:ext cx="943708" cy="36715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userShapes>
</file>

<file path=word/drawings/drawing28.xml><?xml version="1.0" encoding="utf-8"?>
<c:userShapes xmlns:c="http://schemas.openxmlformats.org/drawingml/2006/chart">
  <cdr:relSizeAnchor xmlns:cdr="http://schemas.openxmlformats.org/drawingml/2006/chartDrawing">
    <cdr:from>
      <cdr:x>0.08337</cdr:x>
      <cdr:y>0.51333</cdr:y>
    </cdr:from>
    <cdr:to>
      <cdr:x>0.96527</cdr:x>
      <cdr:y>0.51629</cdr:y>
    </cdr:to>
    <cdr:sp macro="" textlink="">
      <cdr:nvSpPr>
        <cdr:cNvPr id="3" name="Straight Connector 2"/>
        <cdr:cNvSpPr/>
      </cdr:nvSpPr>
      <cdr:spPr>
        <a:xfrm xmlns:a="http://schemas.openxmlformats.org/drawingml/2006/main">
          <a:off x="228710" y="1233438"/>
          <a:ext cx="2419228" cy="7113"/>
        </a:xfrm>
        <a:prstGeom xmlns:a="http://schemas.openxmlformats.org/drawingml/2006/main" prst="line">
          <a:avLst/>
        </a:prstGeom>
        <a:ln xmlns:a="http://schemas.openxmlformats.org/drawingml/2006/main" w="15875">
          <a:solidFill>
            <a:schemeClr val="dk1">
              <a:shade val="95000"/>
              <a:satMod val="105000"/>
              <a:alpha val="70000"/>
            </a:schemeClr>
          </a:solidFill>
          <a:prstDash val="sys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0.07659</cdr:x>
      <cdr:y>0.15219</cdr:y>
    </cdr:from>
    <cdr:to>
      <cdr:x>0.97543</cdr:x>
      <cdr:y>0.15753</cdr:y>
    </cdr:to>
    <cdr:cxnSp macro="">
      <cdr:nvCxnSpPr>
        <cdr:cNvPr id="4" name="Straight Connector 3">
          <a:extLst xmlns:a="http://schemas.openxmlformats.org/drawingml/2006/main">
            <a:ext uri="{FF2B5EF4-FFF2-40B4-BE49-F238E27FC236}">
              <a16:creationId xmlns:a16="http://schemas.microsoft.com/office/drawing/2014/main" id="{12B4E1F9-C0BE-5F5D-96A4-48B91145F0C8}"/>
            </a:ext>
          </a:extLst>
        </cdr:cNvPr>
        <cdr:cNvCxnSpPr/>
      </cdr:nvCxnSpPr>
      <cdr:spPr>
        <a:xfrm xmlns:a="http://schemas.openxmlformats.org/drawingml/2006/main" flipV="1">
          <a:off x="210093" y="365677"/>
          <a:ext cx="2465698" cy="12832"/>
        </a:xfrm>
        <a:prstGeom xmlns:a="http://schemas.openxmlformats.org/drawingml/2006/main" prst="line">
          <a:avLst/>
        </a:prstGeom>
        <a:ln xmlns:a="http://schemas.openxmlformats.org/drawingml/2006/main" w="15875">
          <a:solidFill>
            <a:schemeClr val="accent2">
              <a:shade val="95000"/>
              <a:satMod val="105000"/>
              <a:alpha val="70000"/>
            </a:schemeClr>
          </a:solidFill>
          <a:prstDash val="sysDash"/>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0.06005</cdr:x>
      <cdr:y>0.26879</cdr:y>
    </cdr:from>
    <cdr:to>
      <cdr:x>0.96267</cdr:x>
      <cdr:y>0.27118</cdr:y>
    </cdr:to>
    <cdr:sp macro="" textlink="">
      <cdr:nvSpPr>
        <cdr:cNvPr id="5" name="Straight Connector 4"/>
        <cdr:cNvSpPr/>
      </cdr:nvSpPr>
      <cdr:spPr>
        <a:xfrm xmlns:a="http://schemas.openxmlformats.org/drawingml/2006/main">
          <a:off x="164720" y="645870"/>
          <a:ext cx="2476067" cy="5743"/>
        </a:xfrm>
        <a:prstGeom xmlns:a="http://schemas.openxmlformats.org/drawingml/2006/main" prst="line">
          <a:avLst/>
        </a:prstGeom>
        <a:ln xmlns:a="http://schemas.openxmlformats.org/drawingml/2006/main" w="15875">
          <a:solidFill>
            <a:schemeClr val="accent3">
              <a:lumMod val="75000"/>
              <a:alpha val="70000"/>
            </a:schemeClr>
          </a:solidFill>
          <a:prstDash val="sys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en-US" sz="700"/>
        </a:p>
      </cdr:txBody>
    </cdr:sp>
  </cdr:relSizeAnchor>
</c:userShapes>
</file>

<file path=word/drawings/drawing3.xml><?xml version="1.0" encoding="utf-8"?>
<c:userShapes xmlns:c="http://schemas.openxmlformats.org/drawingml/2006/chart">
  <cdr:relSizeAnchor xmlns:cdr="http://schemas.openxmlformats.org/drawingml/2006/chartDrawing">
    <cdr:from>
      <cdr:x>0.06674</cdr:x>
      <cdr:y>0.6149</cdr:y>
    </cdr:from>
    <cdr:to>
      <cdr:x>0.47434</cdr:x>
      <cdr:y>0.85088</cdr:y>
    </cdr:to>
    <cdr:sp macro="" textlink="">
      <cdr:nvSpPr>
        <cdr:cNvPr id="2" name="TextBox 1"/>
        <cdr:cNvSpPr txBox="1"/>
      </cdr:nvSpPr>
      <cdr:spPr>
        <a:xfrm xmlns:a="http://schemas.openxmlformats.org/drawingml/2006/main">
          <a:off x="88899" y="752639"/>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0.61895</cdr:y>
    </cdr:from>
    <cdr:to>
      <cdr:x>0.92484</cdr:x>
      <cdr:y>0.85493</cdr:y>
    </cdr:to>
    <cdr:sp macro="" textlink="">
      <cdr:nvSpPr>
        <cdr:cNvPr id="3" name="TextBox 1"/>
        <cdr:cNvSpPr txBox="1"/>
      </cdr:nvSpPr>
      <cdr:spPr>
        <a:xfrm xmlns:a="http://schemas.openxmlformats.org/drawingml/2006/main">
          <a:off x="688978" y="757596"/>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4.xml><?xml version="1.0" encoding="utf-8"?>
<c:userShapes xmlns:c="http://schemas.openxmlformats.org/drawingml/2006/chart">
  <cdr:relSizeAnchor xmlns:cdr="http://schemas.openxmlformats.org/drawingml/2006/chartDrawing">
    <cdr:from>
      <cdr:x>0.05959</cdr:x>
      <cdr:y>0.18641</cdr:y>
    </cdr:from>
    <cdr:to>
      <cdr:x>0.46719</cdr:x>
      <cdr:y>0.42239</cdr:y>
    </cdr:to>
    <cdr:sp macro="" textlink="">
      <cdr:nvSpPr>
        <cdr:cNvPr id="2" name="TextBox 1"/>
        <cdr:cNvSpPr txBox="1"/>
      </cdr:nvSpPr>
      <cdr:spPr>
        <a:xfrm xmlns:a="http://schemas.openxmlformats.org/drawingml/2006/main">
          <a:off x="79374" y="228171"/>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0.1863</cdr:y>
    </cdr:from>
    <cdr:to>
      <cdr:x>0.91769</cdr:x>
      <cdr:y>0.42228</cdr:y>
    </cdr:to>
    <cdr:sp macro="" textlink="">
      <cdr:nvSpPr>
        <cdr:cNvPr id="3" name="TextBox 1"/>
        <cdr:cNvSpPr txBox="1"/>
      </cdr:nvSpPr>
      <cdr:spPr>
        <a:xfrm xmlns:a="http://schemas.openxmlformats.org/drawingml/2006/main">
          <a:off x="679452" y="228037"/>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5.xml><?xml version="1.0" encoding="utf-8"?>
<c:userShapes xmlns:c="http://schemas.openxmlformats.org/drawingml/2006/chart">
  <cdr:relSizeAnchor xmlns:cdr="http://schemas.openxmlformats.org/drawingml/2006/chartDrawing">
    <cdr:from>
      <cdr:x>0.05959</cdr:x>
      <cdr:y>0.17863</cdr:y>
    </cdr:from>
    <cdr:to>
      <cdr:x>0.46719</cdr:x>
      <cdr:y>0.41461</cdr:y>
    </cdr:to>
    <cdr:sp macro="" textlink="">
      <cdr:nvSpPr>
        <cdr:cNvPr id="2" name="TextBox 1"/>
        <cdr:cNvSpPr txBox="1"/>
      </cdr:nvSpPr>
      <cdr:spPr>
        <a:xfrm xmlns:a="http://schemas.openxmlformats.org/drawingml/2006/main">
          <a:off x="79374" y="218646"/>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0.178</cdr:y>
    </cdr:from>
    <cdr:to>
      <cdr:x>0.92484</cdr:x>
      <cdr:y>0.41398</cdr:y>
    </cdr:to>
    <cdr:sp macro="" textlink="">
      <cdr:nvSpPr>
        <cdr:cNvPr id="3" name="TextBox 1"/>
        <cdr:cNvSpPr txBox="1"/>
      </cdr:nvSpPr>
      <cdr:spPr>
        <a:xfrm xmlns:a="http://schemas.openxmlformats.org/drawingml/2006/main">
          <a:off x="688977" y="217873"/>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6.xml><?xml version="1.0" encoding="utf-8"?>
<c:userShapes xmlns:c="http://schemas.openxmlformats.org/drawingml/2006/chart">
  <cdr:relSizeAnchor xmlns:cdr="http://schemas.openxmlformats.org/drawingml/2006/chartDrawing">
    <cdr:from>
      <cdr:x>0.06674</cdr:x>
      <cdr:y>0.57468</cdr:y>
    </cdr:from>
    <cdr:to>
      <cdr:x>0.46186</cdr:x>
      <cdr:y>0.79129</cdr:y>
    </cdr:to>
    <cdr:sp macro="" textlink="">
      <cdr:nvSpPr>
        <cdr:cNvPr id="2" name="TextBox 1"/>
        <cdr:cNvSpPr txBox="1"/>
      </cdr:nvSpPr>
      <cdr:spPr>
        <a:xfrm xmlns:a="http://schemas.openxmlformats.org/drawingml/2006/main">
          <a:off x="93136" y="568325"/>
          <a:ext cx="551389" cy="214221"/>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0.54531</cdr:y>
    </cdr:from>
    <cdr:to>
      <cdr:x>0.92484</cdr:x>
      <cdr:y>0.78129</cdr:y>
    </cdr:to>
    <cdr:sp macro="" textlink="">
      <cdr:nvSpPr>
        <cdr:cNvPr id="3" name="TextBox 1"/>
        <cdr:cNvSpPr txBox="1"/>
      </cdr:nvSpPr>
      <cdr:spPr>
        <a:xfrm xmlns:a="http://schemas.openxmlformats.org/drawingml/2006/main">
          <a:off x="688977" y="549672"/>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7.xml><?xml version="1.0" encoding="utf-8"?>
<c:userShapes xmlns:c="http://schemas.openxmlformats.org/drawingml/2006/chart">
  <cdr:relSizeAnchor xmlns:cdr="http://schemas.openxmlformats.org/drawingml/2006/chartDrawing">
    <cdr:from>
      <cdr:x>0.05959</cdr:x>
      <cdr:y>0.55752</cdr:y>
    </cdr:from>
    <cdr:to>
      <cdr:x>0.47911</cdr:x>
      <cdr:y>0.84798</cdr:y>
    </cdr:to>
    <cdr:sp macro="" textlink="">
      <cdr:nvSpPr>
        <cdr:cNvPr id="2" name="TextBox 1"/>
        <cdr:cNvSpPr txBox="1"/>
      </cdr:nvSpPr>
      <cdr:spPr>
        <a:xfrm xmlns:a="http://schemas.openxmlformats.org/drawingml/2006/main">
          <a:off x="79374" y="561977"/>
          <a:ext cx="558801" cy="292783"/>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0.55538</cdr:y>
    </cdr:from>
    <cdr:to>
      <cdr:x>0.92484</cdr:x>
      <cdr:y>0.79136</cdr:y>
    </cdr:to>
    <cdr:sp macro="" textlink="">
      <cdr:nvSpPr>
        <cdr:cNvPr id="3" name="TextBox 1"/>
        <cdr:cNvSpPr txBox="1"/>
      </cdr:nvSpPr>
      <cdr:spPr>
        <a:xfrm xmlns:a="http://schemas.openxmlformats.org/drawingml/2006/main">
          <a:off x="688977" y="559824"/>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8.xml><?xml version="1.0" encoding="utf-8"?>
<c:userShapes xmlns:c="http://schemas.openxmlformats.org/drawingml/2006/chart">
  <cdr:relSizeAnchor xmlns:cdr="http://schemas.openxmlformats.org/drawingml/2006/chartDrawing">
    <cdr:from>
      <cdr:x>0.05959</cdr:x>
      <cdr:y>0.16348</cdr:y>
    </cdr:from>
    <cdr:to>
      <cdr:x>0.46719</cdr:x>
      <cdr:y>0.39947</cdr:y>
    </cdr:to>
    <cdr:sp macro="" textlink="">
      <cdr:nvSpPr>
        <cdr:cNvPr id="2" name="TextBox 1"/>
        <cdr:cNvSpPr txBox="1"/>
      </cdr:nvSpPr>
      <cdr:spPr>
        <a:xfrm xmlns:a="http://schemas.openxmlformats.org/drawingml/2006/main">
          <a:off x="79374" y="200105"/>
          <a:ext cx="542923" cy="28885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0.16474</cdr:y>
    </cdr:from>
    <cdr:to>
      <cdr:x>0.92484</cdr:x>
      <cdr:y>0.40072</cdr:y>
    </cdr:to>
    <cdr:sp macro="" textlink="">
      <cdr:nvSpPr>
        <cdr:cNvPr id="3" name="TextBox 1"/>
        <cdr:cNvSpPr txBox="1"/>
      </cdr:nvSpPr>
      <cdr:spPr>
        <a:xfrm xmlns:a="http://schemas.openxmlformats.org/drawingml/2006/main">
          <a:off x="688978" y="201647"/>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9.xml><?xml version="1.0" encoding="utf-8"?>
<c:userShapes xmlns:c="http://schemas.openxmlformats.org/drawingml/2006/chart">
  <cdr:relSizeAnchor xmlns:cdr="http://schemas.openxmlformats.org/drawingml/2006/chartDrawing">
    <cdr:from>
      <cdr:x>0.06414</cdr:x>
      <cdr:y>0.17911</cdr:y>
    </cdr:from>
    <cdr:to>
      <cdr:x>0.47174</cdr:x>
      <cdr:y>0.41508</cdr:y>
    </cdr:to>
    <cdr:sp macro="" textlink="">
      <cdr:nvSpPr>
        <cdr:cNvPr id="2" name="TextBox 1"/>
        <cdr:cNvSpPr txBox="1"/>
      </cdr:nvSpPr>
      <cdr:spPr>
        <a:xfrm xmlns:a="http://schemas.openxmlformats.org/drawingml/2006/main">
          <a:off x="89508" y="215249"/>
          <a:ext cx="568806" cy="283583"/>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0.15508</cdr:y>
    </cdr:from>
    <cdr:to>
      <cdr:x>0.92484</cdr:x>
      <cdr:y>0.39106</cdr:y>
    </cdr:to>
    <cdr:sp macro="" textlink="">
      <cdr:nvSpPr>
        <cdr:cNvPr id="3" name="TextBox 1"/>
        <cdr:cNvSpPr txBox="1"/>
      </cdr:nvSpPr>
      <cdr:spPr>
        <a:xfrm xmlns:a="http://schemas.openxmlformats.org/drawingml/2006/main">
          <a:off x="688977" y="189817"/>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Business Set_Red">
    <a:dk1>
      <a:sysClr val="windowText" lastClr="000000"/>
    </a:dk1>
    <a:lt1>
      <a:sysClr val="window" lastClr="FFFFFF"/>
    </a:lt1>
    <a:dk2>
      <a:srgbClr val="000000"/>
    </a:dk2>
    <a:lt2>
      <a:srgbClr val="F8F8F8"/>
    </a:lt2>
    <a:accent1>
      <a:srgbClr val="EF4623"/>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BE0999-1BFE-428A-A323-9DEC6B8B2F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114</Pages>
  <Words>49294</Words>
  <Characters>280981</Characters>
  <Application>Microsoft Office Word</Application>
  <DocSecurity>0</DocSecurity>
  <Lines>2341</Lines>
  <Paragraphs>659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milica.jovanovic@mfin.gov.rs</dc:creator>
  <cp:keywords/>
  <dc:description/>
  <cp:lastModifiedBy>Bojan Grgić</cp:lastModifiedBy>
  <cp:revision>2</cp:revision>
  <cp:lastPrinted>2025-11-05T12:55:00Z</cp:lastPrinted>
  <dcterms:created xsi:type="dcterms:W3CDTF">2025-11-14T09:24:00Z</dcterms:created>
  <dcterms:modified xsi:type="dcterms:W3CDTF">2025-11-14T09:24:00Z</dcterms:modified>
</cp:coreProperties>
</file>