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0BF00C" w14:textId="77777777" w:rsidR="004A1B5D" w:rsidRPr="009C19C5" w:rsidRDefault="004A1B5D" w:rsidP="00333A2A">
      <w:pPr>
        <w:widowControl w:val="0"/>
        <w:autoSpaceDE w:val="0"/>
        <w:autoSpaceDN w:val="0"/>
        <w:spacing w:before="80" w:after="0" w:line="276" w:lineRule="auto"/>
        <w:jc w:val="center"/>
        <w:rPr>
          <w:rFonts w:ascii="Times New Roman" w:eastAsia="Arial" w:hAnsi="Times New Roman" w:cs="Times New Roman"/>
          <w:kern w:val="0"/>
          <w:sz w:val="24"/>
          <w:szCs w:val="24"/>
          <w:lang w:val="sr-Cyrl-RS"/>
          <w14:ligatures w14:val="none"/>
        </w:rPr>
      </w:pPr>
    </w:p>
    <w:p w14:paraId="0D4AA8D9" w14:textId="2EA09ED8" w:rsidR="00F276BC" w:rsidRPr="009C19C5" w:rsidRDefault="006E0AD5" w:rsidP="00333A2A">
      <w:pPr>
        <w:widowControl w:val="0"/>
        <w:autoSpaceDE w:val="0"/>
        <w:autoSpaceDN w:val="0"/>
        <w:spacing w:before="80" w:after="0" w:line="276" w:lineRule="auto"/>
        <w:jc w:val="center"/>
        <w:rPr>
          <w:rFonts w:ascii="Times New Roman" w:eastAsia="Arial" w:hAnsi="Times New Roman" w:cs="Times New Roman"/>
          <w:kern w:val="0"/>
          <w:sz w:val="24"/>
          <w:szCs w:val="24"/>
          <w:lang w:val="sr-Cyrl-RS"/>
          <w14:ligatures w14:val="none"/>
        </w:rPr>
      </w:pPr>
      <w:r w:rsidRPr="009C19C5">
        <w:rPr>
          <w:rFonts w:ascii="Times New Roman" w:eastAsia="Arial" w:hAnsi="Times New Roman" w:cs="Times New Roman"/>
          <w:kern w:val="0"/>
          <w:sz w:val="24"/>
          <w:szCs w:val="24"/>
          <w:lang w:val="sr-Cyrl-RS"/>
          <w14:ligatures w14:val="none"/>
        </w:rPr>
        <w:t xml:space="preserve">ПЛАН ПРАВЕДНЕ </w:t>
      </w:r>
      <w:r w:rsidR="001B55C9" w:rsidRPr="009C19C5">
        <w:rPr>
          <w:rFonts w:ascii="Times New Roman" w:eastAsia="Arial" w:hAnsi="Times New Roman" w:cs="Times New Roman"/>
          <w:kern w:val="0"/>
          <w:sz w:val="24"/>
          <w:szCs w:val="24"/>
          <w:lang w:val="sr-Cyrl-RS"/>
          <w14:ligatures w14:val="none"/>
        </w:rPr>
        <w:t xml:space="preserve">ЕНЕРГЕТСКЕ </w:t>
      </w:r>
      <w:r w:rsidRPr="009C19C5">
        <w:rPr>
          <w:rFonts w:ascii="Times New Roman" w:eastAsia="Arial" w:hAnsi="Times New Roman" w:cs="Times New Roman"/>
          <w:kern w:val="0"/>
          <w:sz w:val="24"/>
          <w:szCs w:val="24"/>
          <w:lang w:val="sr-Cyrl-RS"/>
          <w14:ligatures w14:val="none"/>
        </w:rPr>
        <w:t>ТРАНЗИЦИЈЕ</w:t>
      </w:r>
      <w:r w:rsidR="001B55C9" w:rsidRPr="009C19C5">
        <w:rPr>
          <w:rFonts w:ascii="Times New Roman" w:eastAsia="Arial" w:hAnsi="Times New Roman" w:cs="Times New Roman"/>
          <w:kern w:val="0"/>
          <w:sz w:val="24"/>
          <w:szCs w:val="24"/>
          <w:lang w:val="sr-Cyrl-RS"/>
          <w14:ligatures w14:val="none"/>
        </w:rPr>
        <w:t xml:space="preserve"> РЕПУБЛИКЕ СРБИЈЕ ДО 2030.</w:t>
      </w:r>
      <w:r w:rsidR="00214B1F" w:rsidRPr="009C19C5">
        <w:rPr>
          <w:rFonts w:ascii="Times New Roman" w:eastAsia="Arial" w:hAnsi="Times New Roman" w:cs="Times New Roman"/>
          <w:kern w:val="0"/>
          <w:sz w:val="24"/>
          <w:szCs w:val="24"/>
          <w:lang w:val="sr-Cyrl-RS"/>
          <w14:ligatures w14:val="none"/>
        </w:rPr>
        <w:t xml:space="preserve"> </w:t>
      </w:r>
      <w:r w:rsidR="001B55C9" w:rsidRPr="009C19C5">
        <w:rPr>
          <w:rFonts w:ascii="Times New Roman" w:eastAsia="Arial" w:hAnsi="Times New Roman" w:cs="Times New Roman"/>
          <w:kern w:val="0"/>
          <w:sz w:val="24"/>
          <w:szCs w:val="24"/>
          <w:lang w:val="sr-Cyrl-RS"/>
          <w14:ligatures w14:val="none"/>
        </w:rPr>
        <w:t>ГОДИНЕ</w:t>
      </w:r>
    </w:p>
    <w:p w14:paraId="043C4183" w14:textId="77777777" w:rsidR="00F276BC" w:rsidRPr="009C19C5" w:rsidRDefault="00F276BC" w:rsidP="00333A2A">
      <w:pPr>
        <w:widowControl w:val="0"/>
        <w:autoSpaceDE w:val="0"/>
        <w:autoSpaceDN w:val="0"/>
        <w:spacing w:before="80" w:after="0" w:line="276" w:lineRule="auto"/>
        <w:ind w:right="-964"/>
        <w:jc w:val="center"/>
        <w:rPr>
          <w:rFonts w:ascii="Times New Roman" w:eastAsia="Arial" w:hAnsi="Times New Roman" w:cs="Times New Roman"/>
          <w:color w:val="6F2F9F"/>
          <w:spacing w:val="-2"/>
          <w:sz w:val="24"/>
          <w:szCs w:val="24"/>
          <w:lang w:val="sr-Cyrl-RS"/>
        </w:rPr>
      </w:pPr>
    </w:p>
    <w:p w14:paraId="78FEAF34" w14:textId="6E7E3D6A" w:rsidR="00F276BC" w:rsidRPr="009C19C5" w:rsidRDefault="000A0E4E" w:rsidP="00D863B1">
      <w:pPr>
        <w:pStyle w:val="Heading1"/>
        <w:rPr>
          <w:lang w:val="sr-Cyrl-RS"/>
        </w:rPr>
      </w:pPr>
      <w:bookmarkStart w:id="0" w:name="_Toc183082928"/>
      <w:bookmarkStart w:id="1" w:name="_Toc183082929"/>
      <w:bookmarkEnd w:id="0"/>
      <w:r w:rsidRPr="009C19C5">
        <w:rPr>
          <w:lang w:val="sr-Cyrl-RS"/>
        </w:rPr>
        <w:t>1.</w:t>
      </w:r>
      <w:bookmarkEnd w:id="1"/>
      <w:r w:rsidR="00214B1F" w:rsidRPr="009C19C5">
        <w:rPr>
          <w:lang w:val="sr-Cyrl-RS"/>
        </w:rPr>
        <w:t xml:space="preserve"> </w:t>
      </w:r>
      <w:r w:rsidRPr="009C19C5">
        <w:rPr>
          <w:lang w:val="sr-Cyrl-RS"/>
        </w:rPr>
        <w:t>У</w:t>
      </w:r>
      <w:r w:rsidR="00413C62" w:rsidRPr="009C19C5">
        <w:rPr>
          <w:lang w:val="sr-Cyrl-RS"/>
        </w:rPr>
        <w:t>ВОД</w:t>
      </w:r>
    </w:p>
    <w:p w14:paraId="77DEB723" w14:textId="4202C09B" w:rsidR="0034265E" w:rsidRPr="009C19C5" w:rsidRDefault="0034265E" w:rsidP="0034265E">
      <w:pPr>
        <w:pStyle w:val="basic-paragraph"/>
        <w:spacing w:before="0" w:beforeAutospacing="0" w:after="0" w:afterAutospacing="0"/>
        <w:jc w:val="center"/>
        <w:rPr>
          <w:lang w:val="sr-Cyrl-RS"/>
        </w:rPr>
      </w:pPr>
      <w:r w:rsidRPr="009C19C5">
        <w:rPr>
          <w:lang w:val="sr-Cyrl-RS"/>
        </w:rPr>
        <w:t>1.1.</w:t>
      </w:r>
      <w:r w:rsidR="00214B1F" w:rsidRPr="009C19C5">
        <w:rPr>
          <w:lang w:val="sr-Cyrl-RS"/>
        </w:rPr>
        <w:t xml:space="preserve"> </w:t>
      </w:r>
      <w:r w:rsidRPr="009C19C5">
        <w:rPr>
          <w:lang w:val="sr-Cyrl-RS"/>
        </w:rPr>
        <w:t>Дефиниција праведне транзиције</w:t>
      </w:r>
    </w:p>
    <w:p w14:paraId="3624A683" w14:textId="77777777" w:rsidR="0034265E" w:rsidRPr="009C19C5" w:rsidRDefault="0034265E" w:rsidP="0034265E">
      <w:pPr>
        <w:pStyle w:val="basic-paragraph"/>
        <w:spacing w:before="0" w:beforeAutospacing="0" w:after="0" w:afterAutospacing="0"/>
        <w:jc w:val="center"/>
        <w:rPr>
          <w:lang w:val="sr-Cyrl-RS"/>
        </w:rPr>
      </w:pPr>
    </w:p>
    <w:p w14:paraId="3714BF8A" w14:textId="0F4A620A" w:rsidR="0034265E" w:rsidRPr="009C19C5" w:rsidRDefault="0034265E" w:rsidP="00534A78">
      <w:pPr>
        <w:pStyle w:val="basic-paragraph"/>
        <w:spacing w:before="0" w:beforeAutospacing="0" w:after="0" w:afterAutospacing="0"/>
        <w:ind w:firstLine="720"/>
        <w:jc w:val="both"/>
        <w:rPr>
          <w:lang w:val="sr-Cyrl-RS"/>
        </w:rPr>
      </w:pPr>
      <w:r w:rsidRPr="009C19C5">
        <w:rPr>
          <w:lang w:val="sr-Cyrl-RS"/>
        </w:rPr>
        <w:t xml:space="preserve">Праведна транзиција има за циљ промовисање еколошки одрживе економије на начин који је праведан и инклузиван за све – раднике, предузећа и заједнице – стварајући прилике за достојанствен рад и не изостављајући никога. Ову иницијативу не треба посматрати као фиксни скуп правила, већ као динамичан процес заснован на дијалогу са фокусом на решавање </w:t>
      </w:r>
      <w:r w:rsidR="00FD4F75" w:rsidRPr="009C19C5">
        <w:rPr>
          <w:lang w:val="sr-Cyrl-RS"/>
        </w:rPr>
        <w:t>проблема</w:t>
      </w:r>
      <w:r w:rsidRPr="009C19C5">
        <w:rPr>
          <w:lang w:val="sr-Cyrl-RS"/>
        </w:rPr>
        <w:t xml:space="preserve"> и потреба локалног становништва и погођених заинтересованих страна. Ангажовање заједница ће такође бити од кључног значаја за остваривање пуног потенцијала енергије са ниским емисијама угљеника и озелењавање привреде, дајући приоритет повратним информацијама локалних власти и </w:t>
      </w:r>
      <w:r w:rsidR="00C904D5" w:rsidRPr="009C19C5">
        <w:rPr>
          <w:lang w:val="sr-Cyrl-RS"/>
        </w:rPr>
        <w:t>организацијама цивилног друштва</w:t>
      </w:r>
      <w:r w:rsidRPr="009C19C5">
        <w:rPr>
          <w:lang w:val="sr-Cyrl-RS"/>
        </w:rPr>
        <w:t xml:space="preserve"> о прикладности развоја одређених пројеката, као и успостављање инклузивног и праведног процеса ланца снабдевања, укључујући и основне принципе за праведну транзицију.</w:t>
      </w:r>
    </w:p>
    <w:p w14:paraId="3204E3B4" w14:textId="3CC4C392" w:rsidR="0034265E" w:rsidRPr="009C19C5" w:rsidRDefault="0034265E" w:rsidP="00534A78">
      <w:pPr>
        <w:pStyle w:val="basic-paragraph"/>
        <w:spacing w:before="0" w:beforeAutospacing="0" w:after="0" w:afterAutospacing="0"/>
        <w:ind w:firstLine="720"/>
        <w:jc w:val="both"/>
        <w:rPr>
          <w:lang w:val="sr-Cyrl-RS"/>
        </w:rPr>
      </w:pPr>
      <w:r w:rsidRPr="009C19C5">
        <w:rPr>
          <w:lang w:val="sr-Cyrl-RS"/>
        </w:rPr>
        <w:t xml:space="preserve">У основи праведне транзиције лежи одржива енергетска политика која ће обухватати акције за смањење зависности од фосилних горива, побољшање сигурности и ефикасности снабдевања енергијом окретањем ка обновљивим изворима енергије као што су хидроенергија, биогас, биомаса, соларна енергија, ветар итд, и повећање енергетске ефикасности. Међутим, активности нису ограничене на енергетски сектор, већ концепт „праведне </w:t>
      </w:r>
      <w:r w:rsidR="00B75FD2" w:rsidRPr="009C19C5">
        <w:rPr>
          <w:lang w:val="sr-Cyrl-RS"/>
        </w:rPr>
        <w:t>транзиције</w:t>
      </w:r>
      <w:r w:rsidR="00F94E9A" w:rsidRPr="009C19C5">
        <w:rPr>
          <w:lang w:val="sr-Cyrl-RS"/>
        </w:rPr>
        <w:t>”</w:t>
      </w:r>
      <w:r w:rsidR="00507A51" w:rsidRPr="009C19C5">
        <w:rPr>
          <w:lang w:val="sr-Cyrl-RS"/>
        </w:rPr>
        <w:t xml:space="preserve"> </w:t>
      </w:r>
      <w:r w:rsidR="00B75FD2" w:rsidRPr="009C19C5">
        <w:rPr>
          <w:lang w:val="sr-Cyrl-RS"/>
        </w:rPr>
        <w:t>укључује</w:t>
      </w:r>
      <w:r w:rsidRPr="009C19C5">
        <w:rPr>
          <w:lang w:val="sr-Cyrl-RS"/>
        </w:rPr>
        <w:t xml:space="preserve"> коришћење свих могућности које ће донети прелазак на „зелену </w:t>
      </w:r>
      <w:r w:rsidR="00B75FD2" w:rsidRPr="009C19C5">
        <w:rPr>
          <w:lang w:val="sr-Cyrl-RS"/>
        </w:rPr>
        <w:t>економију</w:t>
      </w:r>
      <w:r w:rsidR="00F94E9A" w:rsidRPr="009C19C5">
        <w:rPr>
          <w:lang w:val="sr-Cyrl-RS"/>
        </w:rPr>
        <w:t>”</w:t>
      </w:r>
      <w:r w:rsidRPr="009C19C5">
        <w:rPr>
          <w:lang w:val="sr-Cyrl-RS"/>
        </w:rPr>
        <w:t>. „Зелена</w:t>
      </w:r>
      <w:r w:rsidR="00702379" w:rsidRPr="009C19C5">
        <w:rPr>
          <w:lang w:val="sr-Cyrl-RS"/>
        </w:rPr>
        <w:t xml:space="preserve"> економија</w:t>
      </w:r>
      <w:r w:rsidR="00F94E9A" w:rsidRPr="009C19C5">
        <w:rPr>
          <w:lang w:val="sr-Cyrl-RS"/>
        </w:rPr>
        <w:t>”</w:t>
      </w:r>
      <w:r w:rsidR="00507A51" w:rsidRPr="009C19C5">
        <w:rPr>
          <w:lang w:val="sr-Cyrl-RS"/>
        </w:rPr>
        <w:t xml:space="preserve"> </w:t>
      </w:r>
      <w:r w:rsidR="00702379" w:rsidRPr="009C19C5">
        <w:rPr>
          <w:lang w:val="sr-Cyrl-RS"/>
        </w:rPr>
        <w:t xml:space="preserve"> је</w:t>
      </w:r>
      <w:r w:rsidRPr="009C19C5">
        <w:rPr>
          <w:lang w:val="sr-Cyrl-RS"/>
        </w:rPr>
        <w:t xml:space="preserve"> дефинисана као  друштвено инклузивна економија са ниском емисијом угљеника и ефикасним управљањем ресурсима. У зеленој економији раст запослености и прихода су вођени јавним и приватним улагањима у економске активности, инфраструктуру и средства која омогућавају смањење </w:t>
      </w:r>
      <w:r w:rsidR="00B75FD2" w:rsidRPr="009C19C5">
        <w:rPr>
          <w:lang w:val="sr-Cyrl-RS"/>
        </w:rPr>
        <w:t xml:space="preserve">емисија угљеника и </w:t>
      </w:r>
      <w:r w:rsidRPr="009C19C5">
        <w:rPr>
          <w:lang w:val="sr-Cyrl-RS"/>
        </w:rPr>
        <w:t>загађења</w:t>
      </w:r>
      <w:r w:rsidR="00B75FD2" w:rsidRPr="009C19C5">
        <w:rPr>
          <w:lang w:val="sr-Cyrl-RS"/>
        </w:rPr>
        <w:t xml:space="preserve">, </w:t>
      </w:r>
      <w:r w:rsidRPr="009C19C5">
        <w:rPr>
          <w:lang w:val="sr-Cyrl-RS"/>
        </w:rPr>
        <w:t>побољшану енергетску ефикасност и ефикасност коришћења ресурса, као и у спречавање губитка биодиверзитета и екосистема. Од кључног је значаја улагање у обновљиве изворе енергије, енергетски ефикасне зграде, одрживи транспорт и системе управљања отпадом. Ове иницијативе не само да се баве еколошким изазовима, већ и стварају нове економске прилике и радна места, подстичући иновације и технолошки напредак.</w:t>
      </w:r>
    </w:p>
    <w:p w14:paraId="00A050AD" w14:textId="77777777" w:rsidR="0034265E" w:rsidRPr="009C19C5" w:rsidRDefault="0034265E" w:rsidP="00534A78">
      <w:pPr>
        <w:pStyle w:val="basic-paragraph"/>
        <w:spacing w:before="0" w:beforeAutospacing="0" w:after="0" w:afterAutospacing="0"/>
        <w:ind w:firstLine="720"/>
        <w:jc w:val="both"/>
        <w:rPr>
          <w:lang w:val="sr-Cyrl-RS"/>
        </w:rPr>
      </w:pPr>
      <w:r w:rsidRPr="009C19C5">
        <w:rPr>
          <w:lang w:val="sr-Cyrl-RS"/>
        </w:rPr>
        <w:t>Штавише, неговање зелене економије укључује повећање отпорности заједница и екосистема на климатске утицаје, промовисање друштвене једнакости и осигурање инклузивног раста. Интеграцијом еколошких и економских циљева, зелена економија има за циљ постизање одрживог развоја који балансира еколошко здравље са људским благостањем. Зелене инвестиције треба омогућити и подржати кроз циљану јавну потрошњу, реформисање политика и промене у опорезивању и регулативама. Нагласак је на изградњи отпорне економије која може да издржи еколошке шокове, на промовисању одрживог коришћења природних ресурса и подржавању високог квалитета живота садашњих и будућих генерација. Појам зелене економије се остварује кроз:</w:t>
      </w:r>
    </w:p>
    <w:p w14:paraId="2143BFFC" w14:textId="7A3A3A09" w:rsidR="0034265E" w:rsidRPr="009C19C5" w:rsidRDefault="0034265E" w:rsidP="008D7F6B">
      <w:pPr>
        <w:pStyle w:val="basic-paragraph"/>
        <w:numPr>
          <w:ilvl w:val="0"/>
          <w:numId w:val="8"/>
        </w:numPr>
        <w:tabs>
          <w:tab w:val="left" w:pos="270"/>
          <w:tab w:val="left" w:pos="990"/>
        </w:tabs>
        <w:spacing w:before="0" w:beforeAutospacing="0" w:after="0" w:afterAutospacing="0"/>
        <w:ind w:left="0" w:firstLine="720"/>
        <w:jc w:val="both"/>
        <w:rPr>
          <w:lang w:val="sr-Cyrl-RS"/>
        </w:rPr>
      </w:pPr>
      <w:r w:rsidRPr="009C19C5">
        <w:rPr>
          <w:lang w:val="sr-Cyrl-RS"/>
        </w:rPr>
        <w:t xml:space="preserve">Развој политика, техничке подршке и </w:t>
      </w:r>
      <w:r w:rsidR="00537363" w:rsidRPr="009C19C5">
        <w:rPr>
          <w:lang w:val="sr-Cyrl-RS"/>
        </w:rPr>
        <w:t>знања који ће резул</w:t>
      </w:r>
      <w:r w:rsidRPr="009C19C5">
        <w:rPr>
          <w:lang w:val="sr-Cyrl-RS"/>
        </w:rPr>
        <w:t>тирати политичким алатима и смерницама</w:t>
      </w:r>
      <w:r w:rsidR="00F45999" w:rsidRPr="009C19C5">
        <w:rPr>
          <w:lang w:val="sr-Cyrl-RS"/>
        </w:rPr>
        <w:t>.</w:t>
      </w:r>
    </w:p>
    <w:p w14:paraId="3F28F6CC" w14:textId="420DD718" w:rsidR="0034265E" w:rsidRPr="009C19C5" w:rsidRDefault="0034265E" w:rsidP="008D7F6B">
      <w:pPr>
        <w:pStyle w:val="basic-paragraph"/>
        <w:numPr>
          <w:ilvl w:val="0"/>
          <w:numId w:val="8"/>
        </w:numPr>
        <w:tabs>
          <w:tab w:val="left" w:pos="270"/>
          <w:tab w:val="left" w:pos="360"/>
          <w:tab w:val="left" w:pos="990"/>
        </w:tabs>
        <w:spacing w:before="0" w:beforeAutospacing="0" w:after="0" w:afterAutospacing="0"/>
        <w:ind w:hanging="1440"/>
        <w:jc w:val="both"/>
        <w:rPr>
          <w:lang w:val="sr-Cyrl-RS"/>
        </w:rPr>
      </w:pPr>
      <w:r w:rsidRPr="009C19C5">
        <w:rPr>
          <w:lang w:val="sr-Cyrl-RS"/>
        </w:rPr>
        <w:t>Механизме финансирања и нове пословне моделе</w:t>
      </w:r>
      <w:r w:rsidR="00F45999" w:rsidRPr="009C19C5">
        <w:rPr>
          <w:lang w:val="sr-Cyrl-RS"/>
        </w:rPr>
        <w:t>.</w:t>
      </w:r>
    </w:p>
    <w:p w14:paraId="2190C3B2" w14:textId="73B9A7F1" w:rsidR="0034265E" w:rsidRPr="009C19C5" w:rsidRDefault="0034265E" w:rsidP="008D7F6B">
      <w:pPr>
        <w:pStyle w:val="basic-paragraph"/>
        <w:numPr>
          <w:ilvl w:val="0"/>
          <w:numId w:val="8"/>
        </w:numPr>
        <w:tabs>
          <w:tab w:val="left" w:pos="270"/>
          <w:tab w:val="left" w:pos="990"/>
        </w:tabs>
        <w:spacing w:before="0" w:beforeAutospacing="0" w:after="0" w:afterAutospacing="0"/>
        <w:ind w:left="0" w:firstLine="720"/>
        <w:jc w:val="both"/>
        <w:rPr>
          <w:lang w:val="sr-Cyrl-RS"/>
        </w:rPr>
      </w:pPr>
      <w:r w:rsidRPr="009C19C5">
        <w:rPr>
          <w:lang w:val="sr-Cyrl-RS"/>
        </w:rPr>
        <w:t xml:space="preserve">Институционалну обуку (укључујући организовање </w:t>
      </w:r>
      <w:r w:rsidR="00F45999" w:rsidRPr="009C19C5">
        <w:rPr>
          <w:lang w:val="sr-Cyrl-RS"/>
        </w:rPr>
        <w:t>образовних институција</w:t>
      </w:r>
      <w:r w:rsidRPr="009C19C5">
        <w:rPr>
          <w:lang w:val="sr-Cyrl-RS"/>
        </w:rPr>
        <w:t xml:space="preserve"> тако да интегришу концепте зелене економије у одрживи аутономни наставни план и програм) и изградња капацитета</w:t>
      </w:r>
      <w:r w:rsidR="00F45999" w:rsidRPr="009C19C5">
        <w:rPr>
          <w:lang w:val="sr-Cyrl-RS"/>
        </w:rPr>
        <w:t>.</w:t>
      </w:r>
    </w:p>
    <w:p w14:paraId="49B03BB6" w14:textId="656E5A07" w:rsidR="0034265E" w:rsidRPr="009C19C5" w:rsidRDefault="00272C6F" w:rsidP="0042517D">
      <w:pPr>
        <w:pStyle w:val="basic-paragraph"/>
        <w:tabs>
          <w:tab w:val="left" w:pos="270"/>
        </w:tabs>
        <w:spacing w:before="0" w:beforeAutospacing="0" w:after="0" w:afterAutospacing="0"/>
        <w:jc w:val="both"/>
        <w:rPr>
          <w:lang w:val="sr-Cyrl-RS"/>
        </w:rPr>
      </w:pPr>
      <w:r w:rsidRPr="009C19C5">
        <w:rPr>
          <w:lang w:val="sr-Cyrl-RS"/>
        </w:rPr>
        <w:tab/>
      </w:r>
      <w:r w:rsidRPr="009C19C5">
        <w:rPr>
          <w:lang w:val="sr-Cyrl-RS"/>
        </w:rPr>
        <w:tab/>
      </w:r>
      <w:r w:rsidR="0034265E" w:rsidRPr="009C19C5">
        <w:rPr>
          <w:lang w:val="sr-Cyrl-RS"/>
        </w:rPr>
        <w:t>Ипак, постепено укидање фосилних горива има потенцијал да оствари критичан утицај на регионе, заједнице и раднике. Стога се морају осмислити одговарајуће мере и</w:t>
      </w:r>
      <w:r w:rsidR="00D712B6" w:rsidRPr="009C19C5">
        <w:rPr>
          <w:lang w:val="sr-Cyrl-RS"/>
        </w:rPr>
        <w:t xml:space="preserve"> приступи које означавамо као „п</w:t>
      </w:r>
      <w:r w:rsidR="0034265E" w:rsidRPr="009C19C5">
        <w:rPr>
          <w:lang w:val="sr-Cyrl-RS"/>
        </w:rPr>
        <w:t xml:space="preserve">раведна </w:t>
      </w:r>
      <w:r w:rsidR="002833F9" w:rsidRPr="009C19C5">
        <w:rPr>
          <w:lang w:val="sr-Cyrl-RS"/>
        </w:rPr>
        <w:t>транзиција</w:t>
      </w:r>
      <w:r w:rsidR="00F94E9A" w:rsidRPr="009C19C5">
        <w:rPr>
          <w:lang w:val="sr-Cyrl-RS"/>
        </w:rPr>
        <w:t>”</w:t>
      </w:r>
      <w:r w:rsidR="0034265E" w:rsidRPr="009C19C5">
        <w:rPr>
          <w:lang w:val="sr-Cyrl-RS"/>
        </w:rPr>
        <w:t>, како би се ублажиле све негативне последице:</w:t>
      </w:r>
    </w:p>
    <w:p w14:paraId="08EF89DD" w14:textId="0B34B7FA" w:rsidR="00CA5FD3" w:rsidRPr="009C19C5" w:rsidRDefault="00F45999" w:rsidP="00702379">
      <w:pPr>
        <w:pStyle w:val="basic-paragraph"/>
        <w:numPr>
          <w:ilvl w:val="0"/>
          <w:numId w:val="17"/>
        </w:numPr>
        <w:tabs>
          <w:tab w:val="left" w:pos="540"/>
          <w:tab w:val="left" w:pos="990"/>
        </w:tabs>
        <w:spacing w:before="0" w:beforeAutospacing="0" w:after="0" w:afterAutospacing="0"/>
        <w:ind w:left="0" w:firstLine="720"/>
        <w:jc w:val="both"/>
        <w:rPr>
          <w:lang w:val="sr-Cyrl-RS"/>
        </w:rPr>
      </w:pPr>
      <w:r w:rsidRPr="009C19C5">
        <w:rPr>
          <w:lang w:val="sr-Cyrl-RS"/>
        </w:rPr>
        <w:t>Преквалификација:</w:t>
      </w:r>
      <w:r w:rsidR="0034265E" w:rsidRPr="009C19C5">
        <w:rPr>
          <w:lang w:val="sr-Cyrl-RS"/>
        </w:rPr>
        <w:t xml:space="preserve"> Постројења за производњу топлотне и електричне енергије на фосилна горива и рудници који их снабдевају обезбеђују директно запослење хиљадама радника. Поред тога, постоје значајне индиректне могућности запошљавања у вези с овим индустријама, укључујући транспорт, производњу опреме и одржавање. Транзиција ће захтевати значајна улагања у програме преквалификације и </w:t>
      </w:r>
      <w:r w:rsidRPr="009C19C5">
        <w:rPr>
          <w:lang w:val="sr-Cyrl-RS"/>
        </w:rPr>
        <w:t>преобуке како</w:t>
      </w:r>
      <w:r w:rsidR="0034265E" w:rsidRPr="009C19C5">
        <w:rPr>
          <w:lang w:val="sr-Cyrl-RS"/>
        </w:rPr>
        <w:t xml:space="preserve"> би се радницима помогло да се прилагоде новим индустријама.</w:t>
      </w:r>
    </w:p>
    <w:p w14:paraId="00829F3B" w14:textId="77777777" w:rsidR="0034265E" w:rsidRPr="009C19C5" w:rsidRDefault="0034265E" w:rsidP="00CA5FD3">
      <w:pPr>
        <w:rPr>
          <w:lang w:val="sr-Cyrl-RS"/>
        </w:rPr>
      </w:pPr>
    </w:p>
    <w:p w14:paraId="6888A778" w14:textId="1A6F5859" w:rsidR="0034265E" w:rsidRPr="009C19C5" w:rsidRDefault="0034265E" w:rsidP="00702379">
      <w:pPr>
        <w:pStyle w:val="basic-paragraph"/>
        <w:numPr>
          <w:ilvl w:val="0"/>
          <w:numId w:val="17"/>
        </w:numPr>
        <w:tabs>
          <w:tab w:val="left" w:pos="270"/>
          <w:tab w:val="left" w:pos="1080"/>
        </w:tabs>
        <w:spacing w:before="0" w:beforeAutospacing="0" w:after="0" w:afterAutospacing="0"/>
        <w:ind w:left="0" w:firstLine="810"/>
        <w:jc w:val="both"/>
        <w:rPr>
          <w:lang w:val="sr-Cyrl-RS"/>
        </w:rPr>
      </w:pPr>
      <w:r w:rsidRPr="009C19C5">
        <w:rPr>
          <w:lang w:val="sr-Cyrl-RS"/>
        </w:rPr>
        <w:lastRenderedPageBreak/>
        <w:t xml:space="preserve">Образовање: </w:t>
      </w:r>
      <w:bookmarkStart w:id="2" w:name="_Hlk202346698"/>
      <w:r w:rsidRPr="009C19C5">
        <w:rPr>
          <w:lang w:val="sr-Cyrl-RS"/>
        </w:rPr>
        <w:t xml:space="preserve">Иницијативе за развој вештина треба да се фокусирају на обезбеђивање неопходних компетенција радницима за напредовање у новонасталим секторима, као што су обновљиви извори енергије, енергетска ефикасност и одржива пољопривреда. </w:t>
      </w:r>
      <w:bookmarkEnd w:id="2"/>
      <w:r w:rsidRPr="009C19C5">
        <w:rPr>
          <w:lang w:val="sr-Cyrl-RS"/>
        </w:rPr>
        <w:t xml:space="preserve">Вештинама зелене економије треба дати приоритет, с обзиром на то да енергетска транзиција није једина транзиција која има потенцијал да утиче на </w:t>
      </w:r>
      <w:r w:rsidR="007D4593" w:rsidRPr="009C19C5">
        <w:rPr>
          <w:lang w:val="sr-Cyrl-RS"/>
        </w:rPr>
        <w:t xml:space="preserve">Републику </w:t>
      </w:r>
      <w:r w:rsidRPr="009C19C5">
        <w:rPr>
          <w:lang w:val="sr-Cyrl-RS"/>
        </w:rPr>
        <w:t>Србију.</w:t>
      </w:r>
    </w:p>
    <w:p w14:paraId="5D8D8BAC" w14:textId="55560EDF" w:rsidR="0034265E" w:rsidRPr="009C19C5" w:rsidRDefault="0034265E" w:rsidP="00702379">
      <w:pPr>
        <w:pStyle w:val="basic-paragraph"/>
        <w:numPr>
          <w:ilvl w:val="0"/>
          <w:numId w:val="17"/>
        </w:numPr>
        <w:tabs>
          <w:tab w:val="left" w:pos="270"/>
          <w:tab w:val="left" w:pos="1080"/>
        </w:tabs>
        <w:spacing w:before="0" w:beforeAutospacing="0" w:after="0" w:afterAutospacing="0"/>
        <w:ind w:left="0" w:firstLine="810"/>
        <w:jc w:val="both"/>
        <w:rPr>
          <w:lang w:val="sr-Cyrl-RS"/>
        </w:rPr>
      </w:pPr>
      <w:r w:rsidRPr="009C19C5">
        <w:rPr>
          <w:lang w:val="sr-Cyrl-RS"/>
        </w:rPr>
        <w:t>Економска диверзификација: Локалне привреде се често у великој мери ослањају на ланце снабдевања угљем и расположиви приход радника у индустријама заснованим на фосилним горивима. Затварање тих индустрија може произвести последице по локална предузећа, добављаче и пружаоце услуга. Да би се ублажили ови утицаји, кључно је промовисати економску диверсификацију. Подстицање развоја нових индустрија и подршка малим и средњим предузећима може створити алтернативне изворе прихода и запошљавања. Улагања у инфраструктуру, технологију и иновације могу стимулисати економски раст у погођеним регионима.</w:t>
      </w:r>
    </w:p>
    <w:p w14:paraId="1A34209A" w14:textId="10CA41B7" w:rsidR="0034265E" w:rsidRPr="009C19C5" w:rsidRDefault="0034265E" w:rsidP="00702379">
      <w:pPr>
        <w:pStyle w:val="basic-paragraph"/>
        <w:numPr>
          <w:ilvl w:val="0"/>
          <w:numId w:val="17"/>
        </w:numPr>
        <w:tabs>
          <w:tab w:val="left" w:pos="270"/>
          <w:tab w:val="left" w:pos="1080"/>
        </w:tabs>
        <w:spacing w:before="0" w:beforeAutospacing="0" w:after="0" w:afterAutospacing="0"/>
        <w:ind w:left="0" w:firstLine="810"/>
        <w:jc w:val="both"/>
        <w:rPr>
          <w:lang w:val="sr-Cyrl-RS"/>
        </w:rPr>
      </w:pPr>
      <w:r w:rsidRPr="009C19C5">
        <w:rPr>
          <w:lang w:val="sr-Cyrl-RS"/>
        </w:rPr>
        <w:t>Енергетска зависност и ресурси: Региони који се у великој мери ослањају на енергију добијену из фосилних горива могу се суочити са изазовима у обезбеђивању енергетске сигурности у процесу транзиције. Важно је улагати у инфраструктуру обновљивих извора енергије, као што су енергија ветра, сунца и воде, да би се постигло стабилно и одрживо снабдевање енергијом. Распоређивање финансијских и техничких ресурса од суштинског је значаја за подршку погођеним регионима. Владине политике и финансијски механизми, као што су транзициони фондови и зелене обвезнице, могу пружити неопходну подршку за олакшавање транзиције и допринети томе да ниједан регион не остане по страни.</w:t>
      </w:r>
    </w:p>
    <w:p w14:paraId="5CD362A0" w14:textId="6E0D2BFC" w:rsidR="0034265E" w:rsidRPr="009C19C5" w:rsidRDefault="0034265E" w:rsidP="00702379">
      <w:pPr>
        <w:pStyle w:val="basic-paragraph"/>
        <w:numPr>
          <w:ilvl w:val="0"/>
          <w:numId w:val="17"/>
        </w:numPr>
        <w:tabs>
          <w:tab w:val="left" w:pos="270"/>
          <w:tab w:val="left" w:pos="1080"/>
        </w:tabs>
        <w:spacing w:before="0" w:beforeAutospacing="0" w:after="0" w:afterAutospacing="0"/>
        <w:ind w:left="0" w:firstLine="810"/>
        <w:jc w:val="both"/>
        <w:rPr>
          <w:lang w:val="sr-Cyrl-RS"/>
        </w:rPr>
      </w:pPr>
      <w:r w:rsidRPr="009C19C5">
        <w:rPr>
          <w:lang w:val="sr-Cyrl-RS"/>
        </w:rPr>
        <w:t xml:space="preserve">Друштвена и економска питања: </w:t>
      </w:r>
      <w:bookmarkStart w:id="3" w:name="_Hlk202345274"/>
      <w:r w:rsidRPr="009C19C5">
        <w:rPr>
          <w:lang w:val="sr-Cyrl-RS"/>
        </w:rPr>
        <w:t xml:space="preserve">Требало би успоставити механизме социјалног дијалога како би се обезбедило да се чују гласови свих заинтересованих страна </w:t>
      </w:r>
      <w:r w:rsidR="00F45999" w:rsidRPr="009C19C5">
        <w:rPr>
          <w:lang w:val="sr-Cyrl-RS"/>
        </w:rPr>
        <w:t>и решавају</w:t>
      </w:r>
      <w:r w:rsidRPr="009C19C5">
        <w:rPr>
          <w:lang w:val="sr-Cyrl-RS"/>
        </w:rPr>
        <w:t xml:space="preserve"> њихови проблеми. Ово обухвата консултације са синдикатима, локалним самоуправама и организацијама цивилног друштва. </w:t>
      </w:r>
      <w:bookmarkEnd w:id="3"/>
      <w:r w:rsidRPr="009C19C5">
        <w:rPr>
          <w:lang w:val="sr-Cyrl-RS"/>
        </w:rPr>
        <w:t>Мора се размотрити проблем утицаја екстракције и коришћења фосилних горива на животну средину. Иницијативе које имају за циљ обнављање природног окружења, као што су санација земљишта, контрола загађења и очување биодиверзитета, могу створити нове прилике за запошљавање и допринети општем благостању погођених заједница.</w:t>
      </w:r>
    </w:p>
    <w:p w14:paraId="347B742F" w14:textId="28D2D978" w:rsidR="0034265E" w:rsidRPr="009C19C5" w:rsidRDefault="0034265E" w:rsidP="00702379">
      <w:pPr>
        <w:pStyle w:val="basic-paragraph"/>
        <w:spacing w:before="0" w:beforeAutospacing="0" w:after="0" w:afterAutospacing="0"/>
        <w:ind w:firstLine="810"/>
        <w:jc w:val="both"/>
        <w:rPr>
          <w:lang w:val="sr-Cyrl-RS"/>
        </w:rPr>
      </w:pPr>
      <w:r w:rsidRPr="009C19C5">
        <w:rPr>
          <w:lang w:val="sr-Cyrl-RS"/>
        </w:rPr>
        <w:t>Имајући у виду циљеве предвиђене ИНЕКП, као и последице енергетске кризе које погађају регион, од изузетног је значаја предвидети и спровести акције усмерене ка одговарајућим регионалним аспектима енергетске транзиције. Ове акције треба да се развијају уз координисан приступ могућностима прекограничне и регионалне сарадње, користећи њихов пун потенцијал.</w:t>
      </w:r>
    </w:p>
    <w:p w14:paraId="7F2503AA" w14:textId="0168872A" w:rsidR="0034265E" w:rsidRPr="009C19C5" w:rsidRDefault="0034265E" w:rsidP="00702379">
      <w:pPr>
        <w:pStyle w:val="basic-paragraph"/>
        <w:spacing w:before="0" w:beforeAutospacing="0" w:after="0" w:afterAutospacing="0"/>
        <w:ind w:firstLine="810"/>
        <w:jc w:val="both"/>
        <w:rPr>
          <w:lang w:val="sr-Cyrl-RS"/>
        </w:rPr>
      </w:pPr>
      <w:r w:rsidRPr="009C19C5">
        <w:rPr>
          <w:lang w:val="sr-Cyrl-RS"/>
        </w:rPr>
        <w:t xml:space="preserve">Преласком са фосилних горива на обновљиве изворе енергије и повећањем њиховог удела у енергетском миксу, </w:t>
      </w:r>
      <w:r w:rsidR="0006193A" w:rsidRPr="009C19C5">
        <w:rPr>
          <w:lang w:val="sr-Cyrl-RS"/>
        </w:rPr>
        <w:t xml:space="preserve">Република </w:t>
      </w:r>
      <w:r w:rsidRPr="009C19C5">
        <w:rPr>
          <w:lang w:val="sr-Cyrl-RS"/>
        </w:rPr>
        <w:t>Србија може значајно да смањи емисије угљен-диоксида. Ово не само да помаже у ублажавању климатских промена, већ и побољшава квалитет ваздуха и јавно здравље. Улагање у обновљиве изворе енергије као што су енергија ветра, сунца и воде енергија може да унапреди енергетску независност Србије диверзификацијом извора енергије. Спровођење мера енергетске ефикасности као део транзиције ка зеленијим енергетским секторима може довести до значајне уштеде енергије. Као резултат тога, трошкови енергије за потрошаче и предузећа могли би бити смањени. Прелазак на зелену економију може створити нове могућности за запошљавање и стимулисати економски раст.  Штавише, сродна улагања у инфраструктуру обновљиве енергије, енергетску ефикасност и одрживе технологије могу покренути иновације у предузетништву које ће довести до отварања нових радних места у различитим секторима. Усвајање одрживих пракси може имати позитиван утицај на животну средину, укључујући и очување природних ресурса, очување биодиверзитета и ублажавање штетних ефеката климатских промена.</w:t>
      </w:r>
    </w:p>
    <w:p w14:paraId="4A0A93BB" w14:textId="284D2D7D" w:rsidR="0034265E" w:rsidRPr="009C19C5" w:rsidRDefault="0034265E" w:rsidP="00534A78">
      <w:pPr>
        <w:pStyle w:val="basic-paragraph"/>
        <w:spacing w:before="0" w:beforeAutospacing="0" w:after="0" w:afterAutospacing="0"/>
        <w:ind w:firstLine="720"/>
        <w:jc w:val="both"/>
        <w:rPr>
          <w:lang w:val="sr-Cyrl-RS"/>
        </w:rPr>
      </w:pPr>
      <w:r w:rsidRPr="009C19C5">
        <w:rPr>
          <w:lang w:val="sr-Cyrl-RS"/>
        </w:rPr>
        <w:t>Главни изазов у транзицији ка зеленој економији јесу велике потребе за капиталом на почетку тог процеса, због неопходних инвестиција и реформиза трансформацију енергетског сектора, које су</w:t>
      </w:r>
      <w:r w:rsidR="00F45999" w:rsidRPr="009C19C5">
        <w:rPr>
          <w:lang w:val="sr-Cyrl-RS"/>
        </w:rPr>
        <w:t xml:space="preserve"> </w:t>
      </w:r>
      <w:r w:rsidRPr="009C19C5">
        <w:rPr>
          <w:lang w:val="sr-Cyrl-RS"/>
        </w:rPr>
        <w:t xml:space="preserve">предложене у ИНЕКП. Још један велики изазов представља процес промене успостављених пословних модела у привреди и постепено усвајање „климатски </w:t>
      </w:r>
      <w:r w:rsidR="00534A78" w:rsidRPr="009C19C5">
        <w:rPr>
          <w:lang w:val="sr-Cyrl-RS"/>
        </w:rPr>
        <w:t>неутралне</w:t>
      </w:r>
      <w:r w:rsidR="00F94E9A" w:rsidRPr="009C19C5">
        <w:rPr>
          <w:lang w:val="sr-Cyrl-RS"/>
        </w:rPr>
        <w:t>”</w:t>
      </w:r>
      <w:r w:rsidR="00507A51" w:rsidRPr="009C19C5">
        <w:rPr>
          <w:lang w:val="sr-Cyrl-RS"/>
        </w:rPr>
        <w:t xml:space="preserve"> </w:t>
      </w:r>
      <w:r w:rsidR="00A15BD0" w:rsidRPr="009C19C5">
        <w:rPr>
          <w:lang w:val="sr-Cyrl-RS"/>
        </w:rPr>
        <w:t xml:space="preserve"> </w:t>
      </w:r>
      <w:r w:rsidR="00534A78" w:rsidRPr="009C19C5">
        <w:rPr>
          <w:lang w:val="sr-Cyrl-RS"/>
        </w:rPr>
        <w:t>и</w:t>
      </w:r>
      <w:r w:rsidRPr="009C19C5">
        <w:rPr>
          <w:lang w:val="sr-Cyrl-RS"/>
        </w:rPr>
        <w:t xml:space="preserve"> циркуларне економије. Ово захтева нови начин размишљања о пословању са усвајањем одрживих пракси, као што су смањење угљеничних отисака, минимизирање отпада, коришћење обновљивих извора енергије и дизајнирање производа с дугим веком трајања и могућношћу рециклаже, као и стицање нових вештина кроз одговарајућу обуку. Ово је </w:t>
      </w:r>
      <w:r w:rsidR="00C7762B" w:rsidRPr="009C19C5">
        <w:rPr>
          <w:lang w:val="sr-Cyrl-RS"/>
        </w:rPr>
        <w:t>процес</w:t>
      </w:r>
      <w:r w:rsidRPr="009C19C5">
        <w:rPr>
          <w:lang w:val="sr-Cyrl-RS"/>
        </w:rPr>
        <w:t xml:space="preserve">, али ће српско друштво и привреда Србије имати користи од </w:t>
      </w:r>
      <w:r w:rsidRPr="009C19C5">
        <w:rPr>
          <w:lang w:val="sr-Cyrl-RS"/>
        </w:rPr>
        <w:lastRenderedPageBreak/>
        <w:t xml:space="preserve">привлачења и задржавања висококвалификованих радника и развоја својих заједница у складу са новим еколошким планом. </w:t>
      </w:r>
    </w:p>
    <w:p w14:paraId="12D25A42" w14:textId="7BB7A3C5" w:rsidR="0034265E" w:rsidRPr="009C19C5" w:rsidRDefault="0034265E" w:rsidP="00534A78">
      <w:pPr>
        <w:pStyle w:val="basic-paragraph"/>
        <w:spacing w:before="0" w:beforeAutospacing="0" w:after="0" w:afterAutospacing="0"/>
        <w:ind w:firstLine="720"/>
        <w:jc w:val="both"/>
        <w:rPr>
          <w:lang w:val="sr-Cyrl-RS"/>
        </w:rPr>
      </w:pPr>
      <w:r w:rsidRPr="009C19C5">
        <w:rPr>
          <w:lang w:val="sr-Cyrl-RS"/>
        </w:rPr>
        <w:t xml:space="preserve">Постизање свега наведеног захтева стабилан и добро осмишљен план управљања и програм имплементације, што такође представља значајан изазов, будући да обухвата правне, регулаторне и институционалне промене и реформе. Оквир управљања, који представља структуиран скуп политика, процедура и смерница, треба да омогући да све акције буду у складу са циљевима и регулаторним захтевима </w:t>
      </w:r>
      <w:r w:rsidR="00C7762B" w:rsidRPr="009C19C5">
        <w:rPr>
          <w:lang w:val="sr-Cyrl-RS"/>
        </w:rPr>
        <w:t xml:space="preserve">и стандардима </w:t>
      </w:r>
      <w:r w:rsidRPr="009C19C5">
        <w:rPr>
          <w:lang w:val="sr-Cyrl-RS"/>
        </w:rPr>
        <w:t>Србије</w:t>
      </w:r>
      <w:r w:rsidR="00C7762B" w:rsidRPr="009C19C5">
        <w:rPr>
          <w:lang w:val="sr-Cyrl-RS"/>
        </w:rPr>
        <w:t xml:space="preserve"> и међународне заједнице укључујући и људска права и Конвенцију о правима детета</w:t>
      </w:r>
      <w:r w:rsidRPr="009C19C5">
        <w:rPr>
          <w:lang w:val="sr-Cyrl-RS"/>
        </w:rPr>
        <w:t>. Програм имплементације, који је детаљан план активности осмишљен за спровођење стратегија и политика наведених у оквиру управљања, треба да омогући да се прелазак на нове пословне моделе спроводи ефективно и ефикасно.</w:t>
      </w:r>
    </w:p>
    <w:p w14:paraId="406B1CBB" w14:textId="77777777" w:rsidR="0034265E" w:rsidRPr="009C19C5" w:rsidRDefault="0034265E" w:rsidP="00771328">
      <w:pPr>
        <w:rPr>
          <w:lang w:val="sr-Cyrl-RS"/>
        </w:rPr>
      </w:pPr>
    </w:p>
    <w:p w14:paraId="18FD75C1" w14:textId="696AF9CD" w:rsidR="00B0265D" w:rsidRPr="009C19C5" w:rsidRDefault="00C7762B" w:rsidP="00771328">
      <w:pPr>
        <w:spacing w:after="0" w:line="240" w:lineRule="auto"/>
        <w:jc w:val="center"/>
        <w:rPr>
          <w:rFonts w:ascii="Times New Roman" w:eastAsia="Calibri" w:hAnsi="Times New Roman" w:cs="Times New Roman"/>
          <w:sz w:val="24"/>
          <w:szCs w:val="24"/>
          <w:lang w:val="sr-Cyrl-RS"/>
        </w:rPr>
      </w:pPr>
      <w:r w:rsidRPr="009C19C5">
        <w:rPr>
          <w:rFonts w:ascii="Times New Roman" w:eastAsia="Calibri" w:hAnsi="Times New Roman" w:cs="Times New Roman"/>
          <w:sz w:val="24"/>
          <w:szCs w:val="24"/>
          <w:lang w:val="sr-Cyrl-RS"/>
        </w:rPr>
        <w:t>1.</w:t>
      </w:r>
      <w:r w:rsidR="0034265E" w:rsidRPr="009C19C5">
        <w:rPr>
          <w:rFonts w:ascii="Times New Roman" w:eastAsia="Calibri" w:hAnsi="Times New Roman" w:cs="Times New Roman"/>
          <w:sz w:val="24"/>
          <w:szCs w:val="24"/>
          <w:lang w:val="sr-Cyrl-RS"/>
        </w:rPr>
        <w:t>2</w:t>
      </w:r>
      <w:r w:rsidR="00334E0D" w:rsidRPr="009C19C5">
        <w:rPr>
          <w:rFonts w:ascii="Times New Roman" w:eastAsia="Calibri" w:hAnsi="Times New Roman" w:cs="Times New Roman"/>
          <w:sz w:val="24"/>
          <w:szCs w:val="24"/>
          <w:lang w:val="sr-Cyrl-RS"/>
        </w:rPr>
        <w:t>.</w:t>
      </w:r>
      <w:r w:rsidR="00804375" w:rsidRPr="009C19C5">
        <w:rPr>
          <w:rFonts w:ascii="Times New Roman" w:eastAsia="Calibri" w:hAnsi="Times New Roman" w:cs="Times New Roman"/>
          <w:sz w:val="24"/>
          <w:szCs w:val="24"/>
          <w:lang w:val="sr-Cyrl-RS"/>
        </w:rPr>
        <w:t xml:space="preserve"> Јавне п</w:t>
      </w:r>
      <w:r w:rsidR="00B0265D" w:rsidRPr="009C19C5">
        <w:rPr>
          <w:rFonts w:ascii="Times New Roman" w:eastAsia="Calibri" w:hAnsi="Times New Roman" w:cs="Times New Roman"/>
          <w:sz w:val="24"/>
          <w:szCs w:val="24"/>
          <w:lang w:val="sr-Cyrl-RS"/>
        </w:rPr>
        <w:t>ол</w:t>
      </w:r>
      <w:r w:rsidR="006E0AD5" w:rsidRPr="009C19C5">
        <w:rPr>
          <w:rFonts w:ascii="Times New Roman" w:eastAsia="Calibri" w:hAnsi="Times New Roman" w:cs="Times New Roman"/>
          <w:sz w:val="24"/>
          <w:szCs w:val="24"/>
          <w:lang w:val="sr-Cyrl-RS"/>
        </w:rPr>
        <w:t>и</w:t>
      </w:r>
      <w:r w:rsidR="00B0265D" w:rsidRPr="009C19C5">
        <w:rPr>
          <w:rFonts w:ascii="Times New Roman" w:eastAsia="Calibri" w:hAnsi="Times New Roman" w:cs="Times New Roman"/>
          <w:sz w:val="24"/>
          <w:szCs w:val="24"/>
          <w:lang w:val="sr-Cyrl-RS"/>
        </w:rPr>
        <w:t>тик</w:t>
      </w:r>
      <w:r w:rsidR="00804375" w:rsidRPr="009C19C5">
        <w:rPr>
          <w:rFonts w:ascii="Times New Roman" w:eastAsia="Calibri" w:hAnsi="Times New Roman" w:cs="Times New Roman"/>
          <w:sz w:val="24"/>
          <w:szCs w:val="24"/>
          <w:lang w:val="sr-Cyrl-RS"/>
        </w:rPr>
        <w:t>е</w:t>
      </w:r>
      <w:r w:rsidR="00B0265D" w:rsidRPr="009C19C5">
        <w:rPr>
          <w:rFonts w:ascii="Times New Roman" w:eastAsia="Calibri" w:hAnsi="Times New Roman" w:cs="Times New Roman"/>
          <w:sz w:val="24"/>
          <w:szCs w:val="24"/>
          <w:lang w:val="sr-Cyrl-RS"/>
        </w:rPr>
        <w:t xml:space="preserve"> </w:t>
      </w:r>
      <w:r w:rsidR="00994E77" w:rsidRPr="009C19C5">
        <w:rPr>
          <w:rFonts w:ascii="Times New Roman" w:eastAsia="Calibri" w:hAnsi="Times New Roman" w:cs="Times New Roman"/>
          <w:sz w:val="24"/>
          <w:szCs w:val="24"/>
          <w:lang w:val="sr-Cyrl-RS"/>
        </w:rPr>
        <w:t xml:space="preserve">и регулатива </w:t>
      </w:r>
      <w:r w:rsidR="00B0265D" w:rsidRPr="009C19C5">
        <w:rPr>
          <w:rFonts w:ascii="Times New Roman" w:eastAsia="Calibri" w:hAnsi="Times New Roman" w:cs="Times New Roman"/>
          <w:sz w:val="24"/>
          <w:szCs w:val="24"/>
          <w:lang w:val="sr-Cyrl-RS"/>
        </w:rPr>
        <w:t>у обл</w:t>
      </w:r>
      <w:r w:rsidR="006E0AD5" w:rsidRPr="009C19C5">
        <w:rPr>
          <w:rFonts w:ascii="Times New Roman" w:eastAsia="Calibri" w:hAnsi="Times New Roman" w:cs="Times New Roman"/>
          <w:sz w:val="24"/>
          <w:szCs w:val="24"/>
          <w:lang w:val="sr-Cyrl-RS"/>
        </w:rPr>
        <w:t>а</w:t>
      </w:r>
      <w:r w:rsidR="00B0265D" w:rsidRPr="009C19C5">
        <w:rPr>
          <w:rFonts w:ascii="Times New Roman" w:eastAsia="Calibri" w:hAnsi="Times New Roman" w:cs="Times New Roman"/>
          <w:sz w:val="24"/>
          <w:szCs w:val="24"/>
          <w:lang w:val="sr-Cyrl-RS"/>
        </w:rPr>
        <w:t>сти енергетике и климе</w:t>
      </w:r>
    </w:p>
    <w:p w14:paraId="5FFFFC1A" w14:textId="77777777" w:rsidR="006E0AD5" w:rsidRPr="009C19C5" w:rsidRDefault="006E0AD5" w:rsidP="00231DCA">
      <w:pPr>
        <w:pStyle w:val="ListParagraph"/>
        <w:spacing w:after="0" w:line="240" w:lineRule="auto"/>
        <w:ind w:left="0"/>
        <w:jc w:val="both"/>
        <w:rPr>
          <w:rFonts w:ascii="Times New Roman" w:eastAsia="Calibri" w:hAnsi="Times New Roman" w:cs="Times New Roman"/>
          <w:sz w:val="24"/>
          <w:szCs w:val="24"/>
          <w:lang w:val="sr-Cyrl-RS"/>
        </w:rPr>
      </w:pPr>
    </w:p>
    <w:p w14:paraId="60670C3A" w14:textId="17F69BEC" w:rsidR="008F5B30" w:rsidRPr="009C19C5" w:rsidRDefault="008F5B30" w:rsidP="00534A78">
      <w:pPr>
        <w:pStyle w:val="ListParagraph"/>
        <w:spacing w:after="0" w:line="240" w:lineRule="auto"/>
        <w:ind w:left="0" w:firstLine="720"/>
        <w:jc w:val="both"/>
        <w:rPr>
          <w:rFonts w:ascii="Times New Roman" w:eastAsia="Calibri" w:hAnsi="Times New Roman" w:cs="Times New Roman"/>
          <w:sz w:val="24"/>
          <w:szCs w:val="24"/>
          <w:lang w:val="sr-Cyrl-RS"/>
        </w:rPr>
      </w:pPr>
      <w:r w:rsidRPr="009C19C5">
        <w:rPr>
          <w:rFonts w:ascii="Times New Roman" w:eastAsia="Calibri" w:hAnsi="Times New Roman" w:cs="Times New Roman"/>
          <w:sz w:val="24"/>
          <w:szCs w:val="24"/>
          <w:lang w:val="sr-Cyrl-RS"/>
        </w:rPr>
        <w:t>Неодложна потреба за смањењем и на крају потпуним елиминисањем зависности савременог друштва од фосилних горива резултат је кризе настале услед климатских промена. Од фебруара 2021</w:t>
      </w:r>
      <w:r w:rsidR="00A15BD0" w:rsidRPr="009C19C5">
        <w:rPr>
          <w:rFonts w:ascii="Times New Roman" w:eastAsia="Calibri" w:hAnsi="Times New Roman" w:cs="Times New Roman"/>
          <w:sz w:val="24"/>
          <w:szCs w:val="24"/>
          <w:lang w:val="sr-Cyrl-RS"/>
        </w:rPr>
        <w:t>.</w:t>
      </w:r>
      <w:r w:rsidR="00507A51" w:rsidRPr="009C19C5">
        <w:rPr>
          <w:rFonts w:ascii="Times New Roman" w:eastAsia="Calibri" w:hAnsi="Times New Roman" w:cs="Times New Roman"/>
          <w:sz w:val="24"/>
          <w:szCs w:val="24"/>
          <w:lang w:val="sr-Cyrl-RS"/>
        </w:rPr>
        <w:t xml:space="preserve"> </w:t>
      </w:r>
      <w:r w:rsidR="00A15BD0" w:rsidRPr="009C19C5">
        <w:rPr>
          <w:rFonts w:ascii="Times New Roman" w:eastAsia="Calibri" w:hAnsi="Times New Roman" w:cs="Times New Roman"/>
          <w:sz w:val="24"/>
          <w:szCs w:val="24"/>
          <w:lang w:val="sr-Cyrl-RS"/>
        </w:rPr>
        <w:t>године</w:t>
      </w:r>
      <w:r w:rsidRPr="009C19C5">
        <w:rPr>
          <w:rFonts w:ascii="Times New Roman" w:eastAsia="Calibri" w:hAnsi="Times New Roman" w:cs="Times New Roman"/>
          <w:sz w:val="24"/>
          <w:szCs w:val="24"/>
          <w:lang w:val="sr-Cyrl-RS"/>
        </w:rPr>
        <w:t xml:space="preserve">, 197 земаља подржало је </w:t>
      </w:r>
      <w:r w:rsidR="00805737" w:rsidRPr="009C19C5">
        <w:rPr>
          <w:rFonts w:ascii="Times New Roman" w:eastAsia="Calibri" w:hAnsi="Times New Roman" w:cs="Times New Roman"/>
          <w:sz w:val="24"/>
          <w:szCs w:val="24"/>
          <w:lang w:val="sr-Cyrl-RS"/>
        </w:rPr>
        <w:t xml:space="preserve">Споразум из Париза (Закон о потврђивању </w:t>
      </w:r>
      <w:r w:rsidR="00623EDF" w:rsidRPr="009C19C5">
        <w:rPr>
          <w:rFonts w:ascii="Times New Roman" w:eastAsia="Calibri" w:hAnsi="Times New Roman" w:cs="Times New Roman"/>
          <w:sz w:val="24"/>
          <w:szCs w:val="24"/>
          <w:lang w:val="sr-Cyrl-RS"/>
        </w:rPr>
        <w:t>С</w:t>
      </w:r>
      <w:r w:rsidR="00805737" w:rsidRPr="009C19C5">
        <w:rPr>
          <w:rFonts w:ascii="Times New Roman" w:eastAsia="Calibri" w:hAnsi="Times New Roman" w:cs="Times New Roman"/>
          <w:sz w:val="24"/>
          <w:szCs w:val="24"/>
          <w:lang w:val="sr-Cyrl-RS"/>
        </w:rPr>
        <w:t>поразума из Париза, „Службени гласник РС - Међународни уговори</w:t>
      </w:r>
      <w:r w:rsidR="00623EDF" w:rsidRPr="009C19C5">
        <w:rPr>
          <w:rFonts w:ascii="Times New Roman" w:eastAsia="Calibri" w:hAnsi="Times New Roman" w:cs="Times New Roman"/>
          <w:bCs/>
          <w:color w:val="000000"/>
          <w:sz w:val="24"/>
          <w:szCs w:val="24"/>
          <w:lang w:val="sr-Cyrl-RS" w:eastAsia="sr-Latn-CS"/>
        </w:rPr>
        <w:t>”</w:t>
      </w:r>
      <w:r w:rsidR="00CA5F7D" w:rsidRPr="009C19C5">
        <w:rPr>
          <w:rFonts w:ascii="Times New Roman" w:eastAsia="Calibri" w:hAnsi="Times New Roman" w:cs="Times New Roman"/>
          <w:sz w:val="24"/>
          <w:szCs w:val="24"/>
          <w:lang w:val="sr-Cyrl-RS"/>
        </w:rPr>
        <w:t>,</w:t>
      </w:r>
      <w:r w:rsidR="00CA5F7D" w:rsidRPr="009C19C5">
        <w:rPr>
          <w:rFonts w:ascii="Times New Roman" w:hAnsi="Times New Roman" w:cs="Times New Roman"/>
          <w:lang w:val="sr-Cyrl-RS"/>
        </w:rPr>
        <w:t xml:space="preserve"> </w:t>
      </w:r>
      <w:r w:rsidR="00805737" w:rsidRPr="009C19C5">
        <w:rPr>
          <w:rFonts w:ascii="Times New Roman" w:eastAsia="Calibri" w:hAnsi="Times New Roman" w:cs="Times New Roman"/>
          <w:sz w:val="24"/>
          <w:szCs w:val="24"/>
          <w:lang w:val="sr-Cyrl-RS"/>
        </w:rPr>
        <w:t>број 4/17)</w:t>
      </w:r>
      <w:r w:rsidRPr="009C19C5">
        <w:rPr>
          <w:rFonts w:ascii="Times New Roman" w:eastAsia="Calibri" w:hAnsi="Times New Roman" w:cs="Times New Roman"/>
          <w:sz w:val="24"/>
          <w:szCs w:val="24"/>
          <w:lang w:val="sr-Cyrl-RS"/>
        </w:rPr>
        <w:t>. Циљ овог споразума је заустављање „раста просечне глобалне температуре знатно испод 2</w:t>
      </w:r>
      <w:r w:rsidRPr="009C19C5">
        <w:rPr>
          <w:rFonts w:ascii="Times New Roman" w:eastAsia="Calibri" w:hAnsi="Times New Roman" w:cs="Times New Roman"/>
          <w:sz w:val="24"/>
          <w:szCs w:val="24"/>
          <w:vertAlign w:val="superscript"/>
          <w:lang w:val="sr-Cyrl-RS"/>
        </w:rPr>
        <w:t>o</w:t>
      </w:r>
      <w:r w:rsidRPr="009C19C5">
        <w:rPr>
          <w:rFonts w:ascii="Times New Roman" w:eastAsia="Calibri" w:hAnsi="Times New Roman" w:cs="Times New Roman"/>
          <w:sz w:val="24"/>
          <w:szCs w:val="24"/>
          <w:lang w:val="sr-Cyrl-RS"/>
        </w:rPr>
        <w:t xml:space="preserve">C </w:t>
      </w:r>
      <w:r w:rsidR="00A15BD0" w:rsidRPr="009C19C5">
        <w:rPr>
          <w:rFonts w:ascii="Times New Roman" w:eastAsia="Calibri" w:hAnsi="Times New Roman" w:cs="Times New Roman"/>
          <w:sz w:val="24"/>
          <w:szCs w:val="24"/>
          <w:lang w:val="sr-Cyrl-RS"/>
        </w:rPr>
        <w:t>у</w:t>
      </w:r>
      <w:r w:rsidR="003018C6" w:rsidRPr="009C19C5">
        <w:rPr>
          <w:rFonts w:ascii="Times New Roman" w:eastAsia="Calibri" w:hAnsi="Times New Roman" w:cs="Times New Roman"/>
          <w:sz w:val="24"/>
          <w:szCs w:val="24"/>
          <w:lang w:val="sr-Cyrl-RS"/>
        </w:rPr>
        <w:t xml:space="preserve"> </w:t>
      </w:r>
      <w:r w:rsidR="00A15BD0" w:rsidRPr="009C19C5">
        <w:rPr>
          <w:rFonts w:ascii="Times New Roman" w:eastAsia="Calibri" w:hAnsi="Times New Roman" w:cs="Times New Roman"/>
          <w:sz w:val="24"/>
          <w:szCs w:val="24"/>
          <w:lang w:val="sr-Cyrl-RS"/>
        </w:rPr>
        <w:t>односу на</w:t>
      </w:r>
      <w:r w:rsidRPr="009C19C5">
        <w:rPr>
          <w:rFonts w:ascii="Times New Roman" w:eastAsia="Calibri" w:hAnsi="Times New Roman" w:cs="Times New Roman"/>
          <w:sz w:val="24"/>
          <w:szCs w:val="24"/>
          <w:lang w:val="sr-Cyrl-RS"/>
        </w:rPr>
        <w:t xml:space="preserve"> пре</w:t>
      </w:r>
      <w:r w:rsidR="00A15BD0" w:rsidRPr="009C19C5">
        <w:rPr>
          <w:rFonts w:ascii="Times New Roman" w:eastAsia="Calibri" w:hAnsi="Times New Roman" w:cs="Times New Roman"/>
          <w:sz w:val="24"/>
          <w:szCs w:val="24"/>
          <w:lang w:val="sr-Cyrl-RS"/>
        </w:rPr>
        <w:t>д</w:t>
      </w:r>
      <w:r w:rsidRPr="009C19C5">
        <w:rPr>
          <w:rFonts w:ascii="Times New Roman" w:eastAsia="Calibri" w:hAnsi="Times New Roman" w:cs="Times New Roman"/>
          <w:sz w:val="24"/>
          <w:szCs w:val="24"/>
          <w:lang w:val="sr-Cyrl-RS"/>
        </w:rPr>
        <w:t>индустријски ниво</w:t>
      </w:r>
      <w:r w:rsidR="00F94E9A" w:rsidRPr="009C19C5">
        <w:rPr>
          <w:rFonts w:ascii="Times New Roman" w:hAnsi="Times New Roman" w:cs="Times New Roman"/>
          <w:lang w:val="sr-Cyrl-RS"/>
        </w:rPr>
        <w:t>”</w:t>
      </w:r>
      <w:r w:rsidRPr="009C19C5">
        <w:rPr>
          <w:rFonts w:ascii="Times New Roman" w:eastAsia="Calibri" w:hAnsi="Times New Roman" w:cs="Times New Roman"/>
          <w:sz w:val="24"/>
          <w:szCs w:val="24"/>
          <w:lang w:val="sr-Cyrl-RS"/>
        </w:rPr>
        <w:t xml:space="preserve"> и улагање напора да се „ограничи пораст температуре на 1,5°C </w:t>
      </w:r>
      <w:r w:rsidR="00A15BD0" w:rsidRPr="009C19C5">
        <w:rPr>
          <w:rFonts w:ascii="Times New Roman" w:eastAsia="Calibri" w:hAnsi="Times New Roman" w:cs="Times New Roman"/>
          <w:sz w:val="24"/>
          <w:szCs w:val="24"/>
          <w:lang w:val="sr-Cyrl-RS"/>
        </w:rPr>
        <w:t>у односу на</w:t>
      </w:r>
      <w:r w:rsidRPr="009C19C5">
        <w:rPr>
          <w:rFonts w:ascii="Times New Roman" w:eastAsia="Calibri" w:hAnsi="Times New Roman" w:cs="Times New Roman"/>
          <w:sz w:val="24"/>
          <w:szCs w:val="24"/>
          <w:lang w:val="sr-Cyrl-RS"/>
        </w:rPr>
        <w:t xml:space="preserve"> прединдустријски ниво</w:t>
      </w:r>
      <w:r w:rsidR="00F94E9A" w:rsidRPr="009C19C5">
        <w:rPr>
          <w:rFonts w:ascii="Times New Roman" w:eastAsia="Calibri" w:hAnsi="Times New Roman" w:cs="Times New Roman"/>
          <w:sz w:val="24"/>
          <w:szCs w:val="24"/>
          <w:lang w:val="sr-Cyrl-RS"/>
        </w:rPr>
        <w:t>”</w:t>
      </w:r>
      <w:r w:rsidRPr="009C19C5">
        <w:rPr>
          <w:rFonts w:ascii="Times New Roman" w:eastAsia="Calibri" w:hAnsi="Times New Roman" w:cs="Times New Roman"/>
          <w:sz w:val="24"/>
          <w:szCs w:val="24"/>
          <w:lang w:val="sr-Cyrl-RS"/>
        </w:rPr>
        <w:t>.</w:t>
      </w:r>
    </w:p>
    <w:p w14:paraId="44121EAB" w14:textId="4DF0ABAD" w:rsidR="008F5B30" w:rsidRPr="009C19C5" w:rsidRDefault="008F5B30" w:rsidP="00C12DC5">
      <w:pPr>
        <w:pStyle w:val="basic-paragraph"/>
        <w:spacing w:before="0" w:beforeAutospacing="0" w:after="0" w:afterAutospacing="0"/>
        <w:ind w:firstLine="680"/>
        <w:jc w:val="both"/>
        <w:rPr>
          <w:lang w:val="sr-Cyrl-RS"/>
        </w:rPr>
      </w:pPr>
      <w:r w:rsidRPr="009C19C5">
        <w:rPr>
          <w:rFonts w:eastAsia="Calibri"/>
          <w:lang w:val="sr-Cyrl-RS"/>
        </w:rPr>
        <w:t xml:space="preserve">Као чланица Енергетске заједнице и земља кандидат за приступање Европској </w:t>
      </w:r>
      <w:r w:rsidR="00F45999" w:rsidRPr="009C19C5">
        <w:rPr>
          <w:rFonts w:eastAsia="Calibri"/>
          <w:lang w:val="sr-Cyrl-RS"/>
        </w:rPr>
        <w:t>у</w:t>
      </w:r>
      <w:r w:rsidRPr="009C19C5">
        <w:rPr>
          <w:rFonts w:eastAsia="Calibri"/>
          <w:lang w:val="sr-Cyrl-RS"/>
        </w:rPr>
        <w:t xml:space="preserve">нији, </w:t>
      </w:r>
      <w:r w:rsidR="0006193A" w:rsidRPr="009C19C5">
        <w:rPr>
          <w:rFonts w:eastAsia="Calibri"/>
          <w:lang w:val="sr-Cyrl-RS"/>
        </w:rPr>
        <w:t xml:space="preserve">Република </w:t>
      </w:r>
      <w:r w:rsidRPr="009C19C5">
        <w:rPr>
          <w:rFonts w:eastAsia="Calibri"/>
          <w:lang w:val="sr-Cyrl-RS"/>
        </w:rPr>
        <w:t>Србија</w:t>
      </w:r>
      <w:r w:rsidRPr="009C19C5">
        <w:rPr>
          <w:lang w:val="sr-Cyrl-RS"/>
        </w:rPr>
        <w:t xml:space="preserve"> је потписала Споразум из Париза 2015. године</w:t>
      </w:r>
      <w:r w:rsidR="00805737" w:rsidRPr="009C19C5">
        <w:rPr>
          <w:lang w:val="sr-Cyrl-RS"/>
        </w:rPr>
        <w:t>,</w:t>
      </w:r>
      <w:r w:rsidRPr="009C19C5">
        <w:rPr>
          <w:lang w:val="sr-Cyrl-RS"/>
        </w:rPr>
        <w:t xml:space="preserve"> и његовом ратификацијом у Народној скупштини 2017. године, Република Србија је прихватила да активно делује у правцу смањења емисије гасова са ефектом стаклене баште. Ово опредељење потврђено је 2020. године потписивањем Софијске декларације о Зеленој агенди за Западни Балкан, којом је Република Србија прихватила да заједно са Е</w:t>
      </w:r>
      <w:r w:rsidR="00F45999" w:rsidRPr="009C19C5">
        <w:rPr>
          <w:lang w:val="sr-Cyrl-RS"/>
        </w:rPr>
        <w:t>вропском унијом</w:t>
      </w:r>
      <w:r w:rsidRPr="009C19C5">
        <w:rPr>
          <w:lang w:val="sr-Cyrl-RS"/>
        </w:rPr>
        <w:t xml:space="preserve"> ради на остварењу циља да Европа до 2050.</w:t>
      </w:r>
      <w:r w:rsidR="00805737" w:rsidRPr="009C19C5">
        <w:rPr>
          <w:lang w:val="sr-Cyrl-RS"/>
        </w:rPr>
        <w:t>године</w:t>
      </w:r>
      <w:r w:rsidRPr="009C19C5">
        <w:rPr>
          <w:lang w:val="sr-Cyrl-RS"/>
        </w:rPr>
        <w:t xml:space="preserve"> буде угљенично неутралан континент.</w:t>
      </w:r>
    </w:p>
    <w:p w14:paraId="36EB8118" w14:textId="4EDAEFC2" w:rsidR="008F5B30" w:rsidRPr="009C19C5" w:rsidRDefault="00FC48EA" w:rsidP="00804375">
      <w:pPr>
        <w:pStyle w:val="BodyText"/>
        <w:spacing w:after="0" w:line="240" w:lineRule="auto"/>
        <w:ind w:firstLine="680"/>
        <w:rPr>
          <w:rFonts w:ascii="Times New Roman" w:hAnsi="Times New Roman" w:cs="Times New Roman"/>
          <w:sz w:val="24"/>
          <w:szCs w:val="24"/>
          <w:lang w:val="sr-Cyrl-RS"/>
        </w:rPr>
      </w:pPr>
      <w:r w:rsidRPr="009C19C5">
        <w:rPr>
          <w:rFonts w:ascii="Times New Roman" w:hAnsi="Times New Roman" w:cs="Times New Roman"/>
          <w:sz w:val="24"/>
          <w:szCs w:val="24"/>
          <w:lang w:val="sr-Cyrl-RS"/>
        </w:rPr>
        <w:t>Сагласно томе, Републик</w:t>
      </w:r>
      <w:r w:rsidR="00A15BD0" w:rsidRPr="009C19C5">
        <w:rPr>
          <w:rFonts w:ascii="Times New Roman" w:hAnsi="Times New Roman" w:cs="Times New Roman"/>
          <w:sz w:val="24"/>
          <w:szCs w:val="24"/>
          <w:lang w:val="sr-Cyrl-RS"/>
        </w:rPr>
        <w:t>а</w:t>
      </w:r>
      <w:r w:rsidRPr="009C19C5">
        <w:rPr>
          <w:rFonts w:ascii="Times New Roman" w:hAnsi="Times New Roman" w:cs="Times New Roman"/>
          <w:sz w:val="24"/>
          <w:szCs w:val="24"/>
          <w:lang w:val="sr-Cyrl-RS"/>
        </w:rPr>
        <w:t xml:space="preserve"> Србиј</w:t>
      </w:r>
      <w:r w:rsidR="00A15BD0" w:rsidRPr="009C19C5">
        <w:rPr>
          <w:rFonts w:ascii="Times New Roman" w:hAnsi="Times New Roman" w:cs="Times New Roman"/>
          <w:sz w:val="24"/>
          <w:szCs w:val="24"/>
          <w:lang w:val="sr-Cyrl-RS"/>
        </w:rPr>
        <w:t>а</w:t>
      </w:r>
      <w:r w:rsidRPr="009C19C5">
        <w:rPr>
          <w:rFonts w:ascii="Times New Roman" w:hAnsi="Times New Roman" w:cs="Times New Roman"/>
          <w:sz w:val="24"/>
          <w:szCs w:val="24"/>
          <w:lang w:val="sr-Cyrl-RS"/>
        </w:rPr>
        <w:t xml:space="preserve"> је усвојила </w:t>
      </w:r>
      <w:r w:rsidR="005D4908" w:rsidRPr="009C19C5">
        <w:rPr>
          <w:rFonts w:ascii="Times New Roman" w:eastAsia="Calibri" w:hAnsi="Times New Roman" w:cs="Times New Roman"/>
          <w:sz w:val="24"/>
          <w:szCs w:val="24"/>
          <w:lang w:val="sr-Cyrl-RS"/>
        </w:rPr>
        <w:t>нови законодавни</w:t>
      </w:r>
      <w:r w:rsidR="00FB32FE" w:rsidRPr="009C19C5">
        <w:rPr>
          <w:rFonts w:ascii="Times New Roman" w:eastAsia="Calibri" w:hAnsi="Times New Roman" w:cs="Times New Roman"/>
          <w:sz w:val="24"/>
          <w:szCs w:val="24"/>
          <w:lang w:val="sr-Cyrl-RS"/>
        </w:rPr>
        <w:t xml:space="preserve"> и</w:t>
      </w:r>
      <w:r w:rsidR="005D4908" w:rsidRPr="009C19C5">
        <w:rPr>
          <w:rFonts w:ascii="Times New Roman" w:eastAsia="Calibri" w:hAnsi="Times New Roman" w:cs="Times New Roman"/>
          <w:sz w:val="24"/>
          <w:szCs w:val="24"/>
          <w:lang w:val="sr-Cyrl-RS"/>
        </w:rPr>
        <w:t xml:space="preserve"> стратешки оквир </w:t>
      </w:r>
      <w:r w:rsidR="00783A39" w:rsidRPr="009C19C5">
        <w:rPr>
          <w:rFonts w:ascii="Times New Roman" w:hAnsi="Times New Roman" w:cs="Times New Roman"/>
          <w:sz w:val="24"/>
          <w:szCs w:val="24"/>
          <w:lang w:val="sr-Cyrl-RS"/>
        </w:rPr>
        <w:t>у циљу успостављања процеса декарбони</w:t>
      </w:r>
      <w:r w:rsidR="009C19C5">
        <w:rPr>
          <w:rFonts w:ascii="Times New Roman" w:hAnsi="Times New Roman" w:cs="Times New Roman"/>
          <w:sz w:val="24"/>
          <w:szCs w:val="24"/>
          <w:lang w:val="sr-Cyrl-RS"/>
        </w:rPr>
        <w:t>з</w:t>
      </w:r>
      <w:r w:rsidR="00783A39" w:rsidRPr="009C19C5">
        <w:rPr>
          <w:rFonts w:ascii="Times New Roman" w:hAnsi="Times New Roman" w:cs="Times New Roman"/>
          <w:sz w:val="24"/>
          <w:szCs w:val="24"/>
          <w:lang w:val="sr-Cyrl-RS"/>
        </w:rPr>
        <w:t>ације:</w:t>
      </w:r>
    </w:p>
    <w:p w14:paraId="6E3AB546" w14:textId="6CB03B8E" w:rsidR="005D4908" w:rsidRPr="00195410" w:rsidRDefault="00CA5F7D" w:rsidP="00195410">
      <w:pPr>
        <w:pStyle w:val="Heading2"/>
        <w:jc w:val="both"/>
        <w:rPr>
          <w:sz w:val="24"/>
          <w:szCs w:val="24"/>
        </w:rPr>
      </w:pPr>
      <w:r w:rsidRPr="00195410">
        <w:rPr>
          <w:sz w:val="24"/>
          <w:szCs w:val="24"/>
        </w:rPr>
        <w:t xml:space="preserve">       - </w:t>
      </w:r>
      <w:r w:rsidR="005D4908" w:rsidRPr="00195410">
        <w:rPr>
          <w:sz w:val="24"/>
          <w:szCs w:val="24"/>
        </w:rPr>
        <w:t>Усвојен</w:t>
      </w:r>
      <w:r w:rsidR="00A732C6" w:rsidRPr="00195410">
        <w:rPr>
          <w:sz w:val="24"/>
          <w:szCs w:val="24"/>
        </w:rPr>
        <w:t>е су</w:t>
      </w:r>
      <w:r w:rsidR="005D4908" w:rsidRPr="00195410">
        <w:rPr>
          <w:sz w:val="24"/>
          <w:szCs w:val="24"/>
        </w:rPr>
        <w:t xml:space="preserve"> измен</w:t>
      </w:r>
      <w:r w:rsidR="00A732C6" w:rsidRPr="00195410">
        <w:rPr>
          <w:sz w:val="24"/>
          <w:szCs w:val="24"/>
        </w:rPr>
        <w:t>е</w:t>
      </w:r>
      <w:r w:rsidR="005D4908" w:rsidRPr="00195410">
        <w:rPr>
          <w:sz w:val="24"/>
          <w:szCs w:val="24"/>
        </w:rPr>
        <w:t xml:space="preserve"> и допун</w:t>
      </w:r>
      <w:r w:rsidR="00A732C6" w:rsidRPr="00195410">
        <w:rPr>
          <w:sz w:val="24"/>
          <w:szCs w:val="24"/>
        </w:rPr>
        <w:t>е</w:t>
      </w:r>
      <w:r w:rsidR="005D4908" w:rsidRPr="00195410">
        <w:rPr>
          <w:sz w:val="24"/>
          <w:szCs w:val="24"/>
        </w:rPr>
        <w:t xml:space="preserve"> Закона о енергетици (</w:t>
      </w:r>
      <w:r w:rsidR="00F13015" w:rsidRPr="00195410">
        <w:rPr>
          <w:sz w:val="24"/>
          <w:szCs w:val="24"/>
        </w:rPr>
        <w:t xml:space="preserve">„Службени гласник </w:t>
      </w:r>
      <w:r w:rsidR="00FB32FE" w:rsidRPr="00195410">
        <w:rPr>
          <w:sz w:val="24"/>
          <w:szCs w:val="24"/>
        </w:rPr>
        <w:t>РС</w:t>
      </w:r>
      <w:r w:rsidR="00F94E9A" w:rsidRPr="00195410">
        <w:rPr>
          <w:sz w:val="24"/>
          <w:szCs w:val="24"/>
        </w:rPr>
        <w:t>”</w:t>
      </w:r>
      <w:r w:rsidRPr="00195410">
        <w:rPr>
          <w:sz w:val="24"/>
          <w:szCs w:val="24"/>
        </w:rPr>
        <w:t xml:space="preserve">, </w:t>
      </w:r>
      <w:r w:rsidR="00534A78" w:rsidRPr="00195410">
        <w:rPr>
          <w:sz w:val="24"/>
          <w:szCs w:val="24"/>
        </w:rPr>
        <w:t>бр</w:t>
      </w:r>
      <w:r w:rsidRPr="00195410">
        <w:rPr>
          <w:sz w:val="24"/>
          <w:szCs w:val="24"/>
        </w:rPr>
        <w:t>.</w:t>
      </w:r>
      <w:r w:rsidR="00F81837" w:rsidRPr="00195410">
        <w:rPr>
          <w:sz w:val="24"/>
          <w:szCs w:val="24"/>
        </w:rPr>
        <w:t xml:space="preserve"> </w:t>
      </w:r>
      <w:r w:rsidR="00F13015" w:rsidRPr="00195410">
        <w:rPr>
          <w:sz w:val="24"/>
          <w:szCs w:val="24"/>
        </w:rPr>
        <w:t xml:space="preserve">145/14, 95/18 </w:t>
      </w:r>
      <w:r w:rsidR="00F45999" w:rsidRPr="00195410">
        <w:rPr>
          <w:sz w:val="24"/>
          <w:szCs w:val="24"/>
        </w:rPr>
        <w:t>–</w:t>
      </w:r>
      <w:r w:rsidR="00F13015" w:rsidRPr="00195410">
        <w:rPr>
          <w:sz w:val="24"/>
          <w:szCs w:val="24"/>
        </w:rPr>
        <w:t xml:space="preserve"> </w:t>
      </w:r>
      <w:r w:rsidR="00F45999" w:rsidRPr="00195410">
        <w:rPr>
          <w:sz w:val="24"/>
          <w:szCs w:val="24"/>
        </w:rPr>
        <w:t>др.закон</w:t>
      </w:r>
      <w:r w:rsidR="00F13015" w:rsidRPr="00195410">
        <w:rPr>
          <w:sz w:val="24"/>
          <w:szCs w:val="24"/>
        </w:rPr>
        <w:t xml:space="preserve">, 40/21, 35/23 </w:t>
      </w:r>
      <w:r w:rsidR="00F45999" w:rsidRPr="00195410">
        <w:rPr>
          <w:sz w:val="24"/>
          <w:szCs w:val="24"/>
        </w:rPr>
        <w:t>–</w:t>
      </w:r>
      <w:r w:rsidR="00F13015" w:rsidRPr="00195410">
        <w:rPr>
          <w:sz w:val="24"/>
          <w:szCs w:val="24"/>
        </w:rPr>
        <w:t xml:space="preserve"> </w:t>
      </w:r>
      <w:r w:rsidR="00F45999" w:rsidRPr="00195410">
        <w:rPr>
          <w:sz w:val="24"/>
          <w:szCs w:val="24"/>
        </w:rPr>
        <w:t>др.закон</w:t>
      </w:r>
      <w:r w:rsidR="00F13015" w:rsidRPr="00195410">
        <w:rPr>
          <w:sz w:val="24"/>
          <w:szCs w:val="24"/>
        </w:rPr>
        <w:t>, 62/23</w:t>
      </w:r>
      <w:r w:rsidRPr="00195410">
        <w:rPr>
          <w:sz w:val="24"/>
          <w:szCs w:val="24"/>
        </w:rPr>
        <w:t xml:space="preserve"> и</w:t>
      </w:r>
      <w:r w:rsidR="00F13015" w:rsidRPr="00195410">
        <w:rPr>
          <w:sz w:val="24"/>
          <w:szCs w:val="24"/>
        </w:rPr>
        <w:t xml:space="preserve"> 94/24) </w:t>
      </w:r>
      <w:r w:rsidR="00F81837" w:rsidRPr="00195410">
        <w:rPr>
          <w:sz w:val="24"/>
          <w:szCs w:val="24"/>
        </w:rPr>
        <w:t>у</w:t>
      </w:r>
      <w:r w:rsidR="005D4908" w:rsidRPr="00195410">
        <w:rPr>
          <w:sz w:val="24"/>
          <w:szCs w:val="24"/>
        </w:rPr>
        <w:t xml:space="preserve"> циљ</w:t>
      </w:r>
      <w:r w:rsidR="00F81837" w:rsidRPr="00195410">
        <w:rPr>
          <w:sz w:val="24"/>
          <w:szCs w:val="24"/>
        </w:rPr>
        <w:t>у</w:t>
      </w:r>
      <w:r w:rsidR="005D4908" w:rsidRPr="00195410">
        <w:rPr>
          <w:sz w:val="24"/>
          <w:szCs w:val="24"/>
        </w:rPr>
        <w:t xml:space="preserve"> </w:t>
      </w:r>
      <w:r w:rsidR="00F81837" w:rsidRPr="00195410">
        <w:rPr>
          <w:sz w:val="24"/>
          <w:szCs w:val="24"/>
        </w:rPr>
        <w:t>регулисања</w:t>
      </w:r>
      <w:r w:rsidR="005D4908" w:rsidRPr="00195410">
        <w:rPr>
          <w:sz w:val="24"/>
          <w:szCs w:val="24"/>
        </w:rPr>
        <w:t xml:space="preserve"> балансно</w:t>
      </w:r>
      <w:r w:rsidR="00F81837" w:rsidRPr="00195410">
        <w:rPr>
          <w:sz w:val="24"/>
          <w:szCs w:val="24"/>
        </w:rPr>
        <w:t>г</w:t>
      </w:r>
      <w:r w:rsidR="005D4908" w:rsidRPr="00195410">
        <w:rPr>
          <w:sz w:val="24"/>
          <w:szCs w:val="24"/>
        </w:rPr>
        <w:t xml:space="preserve"> тржишт</w:t>
      </w:r>
      <w:r w:rsidR="00F81837" w:rsidRPr="00195410">
        <w:rPr>
          <w:sz w:val="24"/>
          <w:szCs w:val="24"/>
        </w:rPr>
        <w:t>а</w:t>
      </w:r>
      <w:r w:rsidR="005D4908" w:rsidRPr="00195410">
        <w:rPr>
          <w:sz w:val="24"/>
          <w:szCs w:val="24"/>
        </w:rPr>
        <w:t xml:space="preserve">, </w:t>
      </w:r>
      <w:r w:rsidR="00F81837" w:rsidRPr="00195410">
        <w:rPr>
          <w:sz w:val="24"/>
          <w:szCs w:val="24"/>
        </w:rPr>
        <w:t>успостављања</w:t>
      </w:r>
      <w:r w:rsidR="003250CD" w:rsidRPr="00195410">
        <w:rPr>
          <w:sz w:val="24"/>
          <w:szCs w:val="24"/>
        </w:rPr>
        <w:t xml:space="preserve"> </w:t>
      </w:r>
      <w:r w:rsidR="005D4908" w:rsidRPr="00195410">
        <w:rPr>
          <w:sz w:val="24"/>
          <w:szCs w:val="24"/>
        </w:rPr>
        <w:t>активни</w:t>
      </w:r>
      <w:r w:rsidR="00F81837" w:rsidRPr="00195410">
        <w:rPr>
          <w:sz w:val="24"/>
          <w:szCs w:val="24"/>
        </w:rPr>
        <w:t>х</w:t>
      </w:r>
      <w:r w:rsidR="005D4908" w:rsidRPr="00195410">
        <w:rPr>
          <w:sz w:val="24"/>
          <w:szCs w:val="24"/>
        </w:rPr>
        <w:t xml:space="preserve"> </w:t>
      </w:r>
      <w:r w:rsidR="00A15BD0" w:rsidRPr="00195410">
        <w:rPr>
          <w:sz w:val="24"/>
          <w:szCs w:val="24"/>
        </w:rPr>
        <w:t>купаца</w:t>
      </w:r>
      <w:r w:rsidRPr="00195410">
        <w:rPr>
          <w:sz w:val="24"/>
          <w:szCs w:val="24"/>
        </w:rPr>
        <w:t xml:space="preserve"> Софијске декларације о Зеленој агенди</w:t>
      </w:r>
      <w:r w:rsidR="00A15BD0" w:rsidRPr="00195410">
        <w:rPr>
          <w:sz w:val="24"/>
          <w:szCs w:val="24"/>
        </w:rPr>
        <w:t xml:space="preserve"> </w:t>
      </w:r>
      <w:r w:rsidR="00F45999" w:rsidRPr="00195410">
        <w:rPr>
          <w:sz w:val="24"/>
          <w:szCs w:val="24"/>
        </w:rPr>
        <w:t>и</w:t>
      </w:r>
      <w:r w:rsidR="005D4908" w:rsidRPr="00195410">
        <w:rPr>
          <w:sz w:val="24"/>
          <w:szCs w:val="24"/>
        </w:rPr>
        <w:t xml:space="preserve"> ув</w:t>
      </w:r>
      <w:r w:rsidR="00F81837" w:rsidRPr="00195410">
        <w:rPr>
          <w:sz w:val="24"/>
          <w:szCs w:val="24"/>
        </w:rPr>
        <w:t>ођења</w:t>
      </w:r>
      <w:r w:rsidR="005D4908" w:rsidRPr="00195410">
        <w:rPr>
          <w:sz w:val="24"/>
          <w:szCs w:val="24"/>
        </w:rPr>
        <w:t xml:space="preserve"> динамичк</w:t>
      </w:r>
      <w:r w:rsidR="00F81837" w:rsidRPr="00195410">
        <w:rPr>
          <w:sz w:val="24"/>
          <w:szCs w:val="24"/>
        </w:rPr>
        <w:t>их</w:t>
      </w:r>
      <w:r w:rsidR="005D4908" w:rsidRPr="00195410">
        <w:rPr>
          <w:sz w:val="24"/>
          <w:szCs w:val="24"/>
        </w:rPr>
        <w:t xml:space="preserve"> тарифн</w:t>
      </w:r>
      <w:r w:rsidR="00F81837" w:rsidRPr="00195410">
        <w:rPr>
          <w:sz w:val="24"/>
          <w:szCs w:val="24"/>
        </w:rPr>
        <w:t>их</w:t>
      </w:r>
      <w:r w:rsidR="005D4908" w:rsidRPr="00195410">
        <w:rPr>
          <w:sz w:val="24"/>
          <w:szCs w:val="24"/>
        </w:rPr>
        <w:t xml:space="preserve"> уговор</w:t>
      </w:r>
      <w:r w:rsidR="00F81837" w:rsidRPr="00195410">
        <w:rPr>
          <w:sz w:val="24"/>
          <w:szCs w:val="24"/>
        </w:rPr>
        <w:t>а</w:t>
      </w:r>
      <w:r w:rsidR="005D4908" w:rsidRPr="00195410">
        <w:rPr>
          <w:sz w:val="24"/>
          <w:szCs w:val="24"/>
        </w:rPr>
        <w:t>. Ове измене такође означавају повратак нуклеарне енергије у енергетски сектор Србије и уводе сертификацију за инсталатере објеката обновљиве енергије.</w:t>
      </w:r>
    </w:p>
    <w:p w14:paraId="5D4943BA" w14:textId="536B2CFB" w:rsidR="005D4908" w:rsidRPr="00195410" w:rsidRDefault="00CA5F7D" w:rsidP="00195410">
      <w:pPr>
        <w:pStyle w:val="Heading2"/>
        <w:jc w:val="both"/>
        <w:rPr>
          <w:sz w:val="24"/>
          <w:szCs w:val="24"/>
        </w:rPr>
      </w:pPr>
      <w:r w:rsidRPr="00195410">
        <w:rPr>
          <w:sz w:val="24"/>
          <w:szCs w:val="24"/>
        </w:rPr>
        <w:tab/>
        <w:t xml:space="preserve">- </w:t>
      </w:r>
      <w:r w:rsidR="005D4908" w:rsidRPr="00195410">
        <w:rPr>
          <w:sz w:val="24"/>
          <w:szCs w:val="24"/>
        </w:rPr>
        <w:t>Закон о коришћењу обновљивих извора енергије (</w:t>
      </w:r>
      <w:r w:rsidR="00F45999" w:rsidRPr="00195410">
        <w:rPr>
          <w:sz w:val="24"/>
          <w:szCs w:val="24"/>
        </w:rPr>
        <w:t>„</w:t>
      </w:r>
      <w:r w:rsidR="00F81837" w:rsidRPr="00195410">
        <w:rPr>
          <w:sz w:val="24"/>
          <w:szCs w:val="24"/>
        </w:rPr>
        <w:t xml:space="preserve">Службени гласник </w:t>
      </w:r>
      <w:r w:rsidR="00FB32FE" w:rsidRPr="00195410">
        <w:rPr>
          <w:sz w:val="24"/>
          <w:szCs w:val="24"/>
        </w:rPr>
        <w:t>РС</w:t>
      </w:r>
      <w:r w:rsidR="00F94E9A" w:rsidRPr="00195410">
        <w:rPr>
          <w:sz w:val="24"/>
          <w:szCs w:val="24"/>
        </w:rPr>
        <w:t>”</w:t>
      </w:r>
      <w:r w:rsidR="00F81837" w:rsidRPr="00195410">
        <w:rPr>
          <w:sz w:val="24"/>
          <w:szCs w:val="24"/>
        </w:rPr>
        <w:t>, бр. 40</w:t>
      </w:r>
      <w:r w:rsidR="00F45999" w:rsidRPr="00195410">
        <w:rPr>
          <w:sz w:val="24"/>
          <w:szCs w:val="24"/>
        </w:rPr>
        <w:t>/</w:t>
      </w:r>
      <w:r w:rsidR="00FB32FE" w:rsidRPr="00195410">
        <w:rPr>
          <w:sz w:val="24"/>
          <w:szCs w:val="24"/>
        </w:rPr>
        <w:t>21,</w:t>
      </w:r>
      <w:r w:rsidRPr="00195410">
        <w:rPr>
          <w:sz w:val="24"/>
          <w:szCs w:val="24"/>
        </w:rPr>
        <w:t xml:space="preserve"> </w:t>
      </w:r>
      <w:r w:rsidR="00F81837" w:rsidRPr="00195410">
        <w:rPr>
          <w:sz w:val="24"/>
          <w:szCs w:val="24"/>
        </w:rPr>
        <w:t>35</w:t>
      </w:r>
      <w:r w:rsidR="00F45999" w:rsidRPr="00195410">
        <w:rPr>
          <w:sz w:val="24"/>
          <w:szCs w:val="24"/>
        </w:rPr>
        <w:t>/</w:t>
      </w:r>
      <w:r w:rsidR="00623EDF" w:rsidRPr="00195410">
        <w:rPr>
          <w:sz w:val="24"/>
          <w:szCs w:val="24"/>
        </w:rPr>
        <w:t>23 и</w:t>
      </w:r>
      <w:r w:rsidR="00F81837" w:rsidRPr="00195410">
        <w:rPr>
          <w:sz w:val="24"/>
          <w:szCs w:val="24"/>
        </w:rPr>
        <w:t xml:space="preserve"> 94</w:t>
      </w:r>
      <w:r w:rsidR="00F45999" w:rsidRPr="00195410">
        <w:rPr>
          <w:sz w:val="24"/>
          <w:szCs w:val="24"/>
        </w:rPr>
        <w:t>/</w:t>
      </w:r>
      <w:r w:rsidR="00F81837" w:rsidRPr="00195410">
        <w:rPr>
          <w:sz w:val="24"/>
          <w:szCs w:val="24"/>
        </w:rPr>
        <w:t xml:space="preserve">24 - </w:t>
      </w:r>
      <w:r w:rsidR="00F81837" w:rsidRPr="00195410">
        <w:rPr>
          <w:rStyle w:val="auto-style4"/>
          <w:sz w:val="24"/>
          <w:szCs w:val="24"/>
        </w:rPr>
        <w:t xml:space="preserve">др. </w:t>
      </w:r>
      <w:r w:rsidR="00F45999" w:rsidRPr="00195410">
        <w:rPr>
          <w:rStyle w:val="auto-style4"/>
          <w:sz w:val="24"/>
          <w:szCs w:val="24"/>
        </w:rPr>
        <w:t>з</w:t>
      </w:r>
      <w:r w:rsidR="00F81837" w:rsidRPr="00195410">
        <w:rPr>
          <w:rStyle w:val="auto-style4"/>
          <w:sz w:val="24"/>
          <w:szCs w:val="24"/>
        </w:rPr>
        <w:t>акон) који</w:t>
      </w:r>
      <w:r w:rsidR="005D4908" w:rsidRPr="00195410">
        <w:rPr>
          <w:sz w:val="24"/>
          <w:szCs w:val="24"/>
        </w:rPr>
        <w:t xml:space="preserve"> омогућава нова улагања у </w:t>
      </w:r>
      <w:r w:rsidR="00F81837" w:rsidRPr="00195410">
        <w:rPr>
          <w:sz w:val="24"/>
          <w:szCs w:val="24"/>
        </w:rPr>
        <w:t xml:space="preserve">обновљиве изворе </w:t>
      </w:r>
      <w:r w:rsidR="00F45999" w:rsidRPr="00195410">
        <w:rPr>
          <w:sz w:val="24"/>
          <w:szCs w:val="24"/>
        </w:rPr>
        <w:t>енергије (у даљем тексту: ОИЕ) и</w:t>
      </w:r>
      <w:r w:rsidR="005D4908" w:rsidRPr="00195410">
        <w:rPr>
          <w:sz w:val="24"/>
          <w:szCs w:val="24"/>
        </w:rPr>
        <w:t xml:space="preserve"> олакшава повећање учешћа обновљивих извора у укупном енергетском миксу. Уводи тржишне премије уместо претходних фид-ин тарифа, које се односе само на мала постројења и демонстрационе пројекте, у складу са правилима Е</w:t>
      </w:r>
      <w:r w:rsidR="00F45999" w:rsidRPr="00195410">
        <w:rPr>
          <w:sz w:val="24"/>
          <w:szCs w:val="24"/>
        </w:rPr>
        <w:t>вропске уније</w:t>
      </w:r>
      <w:r w:rsidR="005D4908" w:rsidRPr="00195410">
        <w:rPr>
          <w:sz w:val="24"/>
          <w:szCs w:val="24"/>
        </w:rPr>
        <w:t xml:space="preserve"> о државној помоћи. Заједно са подзаконским актима, овај закон обезбеђује стабилан и предвидљив правни оквир за инвеститоре, који подразумевају једноставније и брже административне процедуре уз увођење е-енергије. То даље олакшава већи продор </w:t>
      </w:r>
      <w:r w:rsidR="00F45999" w:rsidRPr="00195410">
        <w:rPr>
          <w:sz w:val="24"/>
          <w:szCs w:val="24"/>
        </w:rPr>
        <w:t xml:space="preserve">ОИЕ </w:t>
      </w:r>
      <w:r w:rsidR="005D4908" w:rsidRPr="00195410">
        <w:rPr>
          <w:sz w:val="24"/>
          <w:szCs w:val="24"/>
        </w:rPr>
        <w:t xml:space="preserve">на тржиште, дефинисањем улога енергетских заједница грађана и потрошача. Пратећи подзаконски акти, као што су </w:t>
      </w:r>
      <w:r w:rsidR="00AA0E91" w:rsidRPr="00195410">
        <w:rPr>
          <w:sz w:val="24"/>
          <w:szCs w:val="24"/>
        </w:rPr>
        <w:t>У</w:t>
      </w:r>
      <w:r w:rsidR="005D4908" w:rsidRPr="00195410">
        <w:rPr>
          <w:sz w:val="24"/>
          <w:szCs w:val="24"/>
        </w:rPr>
        <w:t xml:space="preserve">редба о </w:t>
      </w:r>
      <w:r w:rsidR="00AA0E91" w:rsidRPr="00195410">
        <w:rPr>
          <w:sz w:val="24"/>
          <w:szCs w:val="24"/>
        </w:rPr>
        <w:t>преузимању балансне одг</w:t>
      </w:r>
      <w:r w:rsidR="00EE36CE" w:rsidRPr="00195410">
        <w:rPr>
          <w:sz w:val="24"/>
          <w:szCs w:val="24"/>
        </w:rPr>
        <w:t>о</w:t>
      </w:r>
      <w:r w:rsidR="00AA0E91" w:rsidRPr="00195410">
        <w:rPr>
          <w:sz w:val="24"/>
          <w:szCs w:val="24"/>
        </w:rPr>
        <w:t>в</w:t>
      </w:r>
      <w:r w:rsidR="00912867" w:rsidRPr="00195410">
        <w:rPr>
          <w:sz w:val="24"/>
          <w:szCs w:val="24"/>
        </w:rPr>
        <w:t>о</w:t>
      </w:r>
      <w:r w:rsidR="00AA0E91" w:rsidRPr="00195410">
        <w:rPr>
          <w:sz w:val="24"/>
          <w:szCs w:val="24"/>
        </w:rPr>
        <w:t>рности и моделу уговора о преузимању балансне одговорности („Службени гласник РС</w:t>
      </w:r>
      <w:r w:rsidR="00F94E9A" w:rsidRPr="00195410">
        <w:rPr>
          <w:sz w:val="24"/>
          <w:szCs w:val="24"/>
        </w:rPr>
        <w:t>”</w:t>
      </w:r>
      <w:r w:rsidR="00AA0E91" w:rsidRPr="00195410">
        <w:rPr>
          <w:sz w:val="24"/>
          <w:szCs w:val="24"/>
        </w:rPr>
        <w:t>,</w:t>
      </w:r>
      <w:r w:rsidR="003250CD" w:rsidRPr="00195410">
        <w:rPr>
          <w:sz w:val="24"/>
          <w:szCs w:val="24"/>
        </w:rPr>
        <w:t xml:space="preserve"> </w:t>
      </w:r>
      <w:r w:rsidR="00AA0E91" w:rsidRPr="00195410">
        <w:rPr>
          <w:sz w:val="24"/>
          <w:szCs w:val="24"/>
        </w:rPr>
        <w:t>број 45/23)</w:t>
      </w:r>
      <w:r w:rsidR="005D4908" w:rsidRPr="00195410">
        <w:rPr>
          <w:sz w:val="24"/>
          <w:szCs w:val="24"/>
        </w:rPr>
        <w:t xml:space="preserve"> и </w:t>
      </w:r>
      <w:r w:rsidR="00AA0E91" w:rsidRPr="00195410">
        <w:rPr>
          <w:sz w:val="24"/>
          <w:szCs w:val="24"/>
        </w:rPr>
        <w:t>У</w:t>
      </w:r>
      <w:r w:rsidR="005D4908" w:rsidRPr="00195410">
        <w:rPr>
          <w:sz w:val="24"/>
          <w:szCs w:val="24"/>
        </w:rPr>
        <w:t>редба</w:t>
      </w:r>
      <w:r w:rsidR="00AA0E91" w:rsidRPr="00195410">
        <w:rPr>
          <w:sz w:val="24"/>
          <w:szCs w:val="24"/>
        </w:rPr>
        <w:t xml:space="preserve"> о тржишној премији </w:t>
      </w:r>
      <w:r w:rsidR="004637A4" w:rsidRPr="00195410">
        <w:rPr>
          <w:sz w:val="24"/>
          <w:szCs w:val="24"/>
        </w:rPr>
        <w:t>и</w:t>
      </w:r>
      <w:r w:rsidR="005D4908" w:rsidRPr="00195410">
        <w:rPr>
          <w:sz w:val="24"/>
          <w:szCs w:val="24"/>
        </w:rPr>
        <w:t xml:space="preserve"> фид-ин </w:t>
      </w:r>
      <w:r w:rsidR="00AA0E91" w:rsidRPr="00195410">
        <w:rPr>
          <w:sz w:val="24"/>
          <w:szCs w:val="24"/>
        </w:rPr>
        <w:t>тарифи („Службени гласник РС</w:t>
      </w:r>
      <w:r w:rsidR="00F94E9A" w:rsidRPr="00195410">
        <w:rPr>
          <w:sz w:val="24"/>
          <w:szCs w:val="24"/>
        </w:rPr>
        <w:t>”</w:t>
      </w:r>
      <w:r w:rsidR="00AA0E91" w:rsidRPr="00195410">
        <w:rPr>
          <w:sz w:val="24"/>
          <w:szCs w:val="24"/>
        </w:rPr>
        <w:t>, бр</w:t>
      </w:r>
      <w:r w:rsidR="00A732C6" w:rsidRPr="00195410">
        <w:rPr>
          <w:sz w:val="24"/>
          <w:szCs w:val="24"/>
        </w:rPr>
        <w:t xml:space="preserve">ој </w:t>
      </w:r>
      <w:r w:rsidR="00AA0E91" w:rsidRPr="00195410">
        <w:rPr>
          <w:sz w:val="24"/>
          <w:szCs w:val="24"/>
        </w:rPr>
        <w:t>90/24)</w:t>
      </w:r>
      <w:r w:rsidR="005D4908" w:rsidRPr="00195410">
        <w:rPr>
          <w:sz w:val="24"/>
          <w:szCs w:val="24"/>
        </w:rPr>
        <w:t xml:space="preserve">, омогућавају бржу интеграцију нових капацитета ОИЕ у електроенергетски систем и тржиште Србије, уз очување поузданости и стабилности рада система. С таквим законодавним оквиром, </w:t>
      </w:r>
      <w:r w:rsidR="0006193A" w:rsidRPr="00195410">
        <w:rPr>
          <w:sz w:val="24"/>
          <w:szCs w:val="24"/>
        </w:rPr>
        <w:t xml:space="preserve">Република </w:t>
      </w:r>
      <w:r w:rsidR="005D4908" w:rsidRPr="00195410">
        <w:rPr>
          <w:sz w:val="24"/>
          <w:szCs w:val="24"/>
        </w:rPr>
        <w:t xml:space="preserve">Србија је објавила свој трогодишњи план аукције </w:t>
      </w:r>
      <w:r w:rsidR="00F81837" w:rsidRPr="00195410">
        <w:rPr>
          <w:sz w:val="24"/>
          <w:szCs w:val="24"/>
        </w:rPr>
        <w:t>обновљивих извора енергије</w:t>
      </w:r>
      <w:r w:rsidR="005D4908" w:rsidRPr="00195410">
        <w:rPr>
          <w:sz w:val="24"/>
          <w:szCs w:val="24"/>
        </w:rPr>
        <w:t>, који предвиђа укупну алокацију тржишних премија за 1.000 MW капацитета за из енергије ветра и 300 MW за соларну енергију и успешно спровела прву аукцију за 400 MW енергије ветра и 50 MW соларне енергије у 2023.</w:t>
      </w:r>
      <w:r w:rsidR="00EE36CE" w:rsidRPr="00195410">
        <w:rPr>
          <w:sz w:val="24"/>
          <w:szCs w:val="24"/>
        </w:rPr>
        <w:t xml:space="preserve"> години</w:t>
      </w:r>
      <w:r w:rsidR="005D4908" w:rsidRPr="00195410">
        <w:rPr>
          <w:sz w:val="24"/>
          <w:szCs w:val="24"/>
        </w:rPr>
        <w:t xml:space="preserve"> уз подршку </w:t>
      </w:r>
      <w:r w:rsidR="00F45999" w:rsidRPr="00195410">
        <w:rPr>
          <w:sz w:val="24"/>
          <w:szCs w:val="24"/>
        </w:rPr>
        <w:t xml:space="preserve">Европске банке за </w:t>
      </w:r>
      <w:r w:rsidR="00534A78" w:rsidRPr="00195410">
        <w:rPr>
          <w:sz w:val="24"/>
          <w:szCs w:val="24"/>
        </w:rPr>
        <w:t>обнову и</w:t>
      </w:r>
      <w:r w:rsidR="00F45999" w:rsidRPr="00195410">
        <w:rPr>
          <w:sz w:val="24"/>
          <w:szCs w:val="24"/>
        </w:rPr>
        <w:t xml:space="preserve"> развој (у</w:t>
      </w:r>
      <w:r w:rsidR="00AC3465" w:rsidRPr="00195410">
        <w:rPr>
          <w:sz w:val="24"/>
          <w:szCs w:val="24"/>
        </w:rPr>
        <w:t xml:space="preserve"> </w:t>
      </w:r>
      <w:r w:rsidR="00F45999" w:rsidRPr="00195410">
        <w:rPr>
          <w:sz w:val="24"/>
          <w:szCs w:val="24"/>
        </w:rPr>
        <w:t>даљем тексту</w:t>
      </w:r>
      <w:r w:rsidR="004637A4" w:rsidRPr="00195410">
        <w:rPr>
          <w:sz w:val="24"/>
          <w:szCs w:val="24"/>
        </w:rPr>
        <w:t>:</w:t>
      </w:r>
      <w:r w:rsidR="00F45999" w:rsidRPr="00195410">
        <w:rPr>
          <w:sz w:val="24"/>
          <w:szCs w:val="24"/>
        </w:rPr>
        <w:t xml:space="preserve"> ЕБРД</w:t>
      </w:r>
      <w:r w:rsidR="00FB32FE" w:rsidRPr="00195410">
        <w:rPr>
          <w:sz w:val="24"/>
          <w:szCs w:val="24"/>
        </w:rPr>
        <w:t>)</w:t>
      </w:r>
      <w:r w:rsidR="00F17E06" w:rsidRPr="00195410">
        <w:rPr>
          <w:sz w:val="24"/>
          <w:szCs w:val="24"/>
        </w:rPr>
        <w:t>, као и другу аукцију у 2024.</w:t>
      </w:r>
      <w:r w:rsidR="00EE36CE" w:rsidRPr="00195410">
        <w:rPr>
          <w:sz w:val="24"/>
          <w:szCs w:val="24"/>
        </w:rPr>
        <w:t xml:space="preserve"> </w:t>
      </w:r>
      <w:r w:rsidR="00F17E06" w:rsidRPr="00195410">
        <w:rPr>
          <w:sz w:val="24"/>
          <w:szCs w:val="24"/>
        </w:rPr>
        <w:t>години за 645 MW</w:t>
      </w:r>
      <w:r w:rsidR="00FB32FE" w:rsidRPr="00195410">
        <w:rPr>
          <w:sz w:val="24"/>
          <w:szCs w:val="24"/>
        </w:rPr>
        <w:t>.</w:t>
      </w:r>
    </w:p>
    <w:p w14:paraId="5EB815CD" w14:textId="6AC43E1F" w:rsidR="005D4908" w:rsidRPr="00195410" w:rsidRDefault="00CA5F7D" w:rsidP="00195410">
      <w:pPr>
        <w:pStyle w:val="Heading2"/>
        <w:jc w:val="both"/>
        <w:rPr>
          <w:sz w:val="24"/>
          <w:szCs w:val="24"/>
        </w:rPr>
      </w:pPr>
      <w:r w:rsidRPr="00195410">
        <w:rPr>
          <w:sz w:val="24"/>
          <w:szCs w:val="24"/>
        </w:rPr>
        <w:lastRenderedPageBreak/>
        <w:tab/>
      </w:r>
      <w:r w:rsidR="005D4908" w:rsidRPr="00195410">
        <w:rPr>
          <w:sz w:val="24"/>
          <w:szCs w:val="24"/>
        </w:rPr>
        <w:t xml:space="preserve">Закон о енергетској ефикасности и рационалном коришћењу енергије </w:t>
      </w:r>
      <w:r w:rsidR="00F81837" w:rsidRPr="00195410">
        <w:rPr>
          <w:sz w:val="24"/>
          <w:szCs w:val="24"/>
        </w:rPr>
        <w:t>(</w:t>
      </w:r>
      <w:r w:rsidR="00F45999" w:rsidRPr="00195410">
        <w:rPr>
          <w:sz w:val="24"/>
          <w:szCs w:val="24"/>
        </w:rPr>
        <w:t>„</w:t>
      </w:r>
      <w:r w:rsidR="00F81837" w:rsidRPr="00195410">
        <w:rPr>
          <w:sz w:val="24"/>
          <w:szCs w:val="24"/>
        </w:rPr>
        <w:t xml:space="preserve">Службени гласник </w:t>
      </w:r>
      <w:r w:rsidR="00FB32FE" w:rsidRPr="00195410">
        <w:rPr>
          <w:sz w:val="24"/>
          <w:szCs w:val="24"/>
        </w:rPr>
        <w:t>РС</w:t>
      </w:r>
      <w:r w:rsidR="00F94E9A" w:rsidRPr="00195410">
        <w:rPr>
          <w:sz w:val="24"/>
          <w:szCs w:val="24"/>
        </w:rPr>
        <w:t>”</w:t>
      </w:r>
      <w:r w:rsidR="00F81837" w:rsidRPr="00195410">
        <w:rPr>
          <w:sz w:val="24"/>
          <w:szCs w:val="24"/>
        </w:rPr>
        <w:t xml:space="preserve">, број 40/21) је </w:t>
      </w:r>
      <w:r w:rsidR="005D4908" w:rsidRPr="00195410">
        <w:rPr>
          <w:sz w:val="24"/>
          <w:szCs w:val="24"/>
        </w:rPr>
        <w:t xml:space="preserve">усвојен </w:t>
      </w:r>
      <w:r w:rsidR="00FB32FE" w:rsidRPr="00195410">
        <w:rPr>
          <w:sz w:val="24"/>
          <w:szCs w:val="24"/>
        </w:rPr>
        <w:t>2</w:t>
      </w:r>
      <w:r w:rsidR="005D4908" w:rsidRPr="00195410">
        <w:rPr>
          <w:sz w:val="24"/>
          <w:szCs w:val="24"/>
        </w:rPr>
        <w:t>021. године са циљем усаглашавања са регулативом ЕУ у области енергетске ефикасности. Овај закон представља кључни део законодавног оквира у области енергетске ефикасности</w:t>
      </w:r>
      <w:r w:rsidR="00F81837" w:rsidRPr="00195410">
        <w:rPr>
          <w:sz w:val="24"/>
          <w:szCs w:val="24"/>
        </w:rPr>
        <w:t xml:space="preserve"> </w:t>
      </w:r>
      <w:r w:rsidR="005D4908" w:rsidRPr="00195410">
        <w:rPr>
          <w:sz w:val="24"/>
          <w:szCs w:val="24"/>
        </w:rPr>
        <w:t>и успостављања услов</w:t>
      </w:r>
      <w:r w:rsidR="00F81837" w:rsidRPr="00195410">
        <w:rPr>
          <w:sz w:val="24"/>
          <w:szCs w:val="24"/>
        </w:rPr>
        <w:t>а</w:t>
      </w:r>
      <w:r w:rsidR="005D4908" w:rsidRPr="00195410">
        <w:rPr>
          <w:sz w:val="24"/>
          <w:szCs w:val="24"/>
        </w:rPr>
        <w:t xml:space="preserve"> за ефикасно коришћење енергије и енергетских ресурса, политику ефикасног коришћења енергије; систем енергетског менаџмента; мере политике енергетске ефикасности (коришћење енергије у зградама, у енергетским делатностима и код крајњих потрошача, за енергетска постројења и енергетске услуге); енергетско обележавање и захтеви који се односе на еко-дизајн; финансирање, подстицаје и друге мере на том пољу. Његова главна сврха је да створи услове за ефикасно коришћење енергије и унапређење енергетске ефикасности, чиме се доприноси уштеди енергије, сигурности снабдевања енергијом и смањењу</w:t>
      </w:r>
      <w:r w:rsidR="003D2ACA" w:rsidRPr="00195410">
        <w:rPr>
          <w:sz w:val="24"/>
          <w:szCs w:val="24"/>
        </w:rPr>
        <w:t xml:space="preserve"> </w:t>
      </w:r>
      <w:r w:rsidR="005D4908" w:rsidRPr="00195410">
        <w:rPr>
          <w:sz w:val="24"/>
          <w:szCs w:val="24"/>
        </w:rPr>
        <w:t>утицаја енергетског сектора на животну средину.</w:t>
      </w:r>
      <w:r w:rsidR="00F81837" w:rsidRPr="00195410">
        <w:rPr>
          <w:sz w:val="24"/>
          <w:szCs w:val="24"/>
        </w:rPr>
        <w:t xml:space="preserve"> </w:t>
      </w:r>
      <w:r w:rsidR="005D4908" w:rsidRPr="00195410">
        <w:rPr>
          <w:sz w:val="24"/>
          <w:szCs w:val="24"/>
        </w:rPr>
        <w:t xml:space="preserve">Такође, овим законом је створен правни основ за формирање Управе за финансирање и подстицање енергетске ефикасности са циљем рационализације и повећања финансирања енергетске ефикасности. </w:t>
      </w:r>
    </w:p>
    <w:p w14:paraId="44028C34" w14:textId="02039DE8" w:rsidR="00F81837" w:rsidRPr="009C19C5" w:rsidRDefault="00FB32FE" w:rsidP="00CA5F7D">
      <w:pPr>
        <w:pStyle w:val="ListParagraph"/>
        <w:numPr>
          <w:ilvl w:val="1"/>
          <w:numId w:val="18"/>
        </w:numPr>
        <w:tabs>
          <w:tab w:val="left" w:pos="270"/>
          <w:tab w:val="left" w:pos="900"/>
        </w:tabs>
        <w:spacing w:after="0" w:line="240" w:lineRule="auto"/>
        <w:ind w:left="0" w:firstLine="720"/>
        <w:jc w:val="both"/>
        <w:rPr>
          <w:rFonts w:ascii="Times New Roman" w:eastAsia="Calibri" w:hAnsi="Times New Roman" w:cs="Times New Roman"/>
          <w:kern w:val="0"/>
          <w:sz w:val="24"/>
          <w:szCs w:val="24"/>
          <w:lang w:val="sr-Cyrl-RS"/>
          <w14:ligatures w14:val="none"/>
        </w:rPr>
      </w:pPr>
      <w:r w:rsidRPr="009C19C5">
        <w:rPr>
          <w:rFonts w:ascii="Times New Roman" w:eastAsia="Calibri" w:hAnsi="Times New Roman" w:cs="Times New Roman"/>
          <w:kern w:val="0"/>
          <w:sz w:val="24"/>
          <w:szCs w:val="24"/>
          <w:lang w:val="sr-Cyrl-RS"/>
          <w14:ligatures w14:val="none"/>
        </w:rPr>
        <w:t xml:space="preserve">Усвајањем </w:t>
      </w:r>
      <w:r w:rsidR="00F81837" w:rsidRPr="009C19C5">
        <w:rPr>
          <w:rFonts w:ascii="Times New Roman" w:eastAsia="Calibri" w:hAnsi="Times New Roman" w:cs="Times New Roman"/>
          <w:kern w:val="0"/>
          <w:sz w:val="24"/>
          <w:szCs w:val="24"/>
          <w:lang w:val="sr-Cyrl-RS"/>
          <w14:ligatures w14:val="none"/>
        </w:rPr>
        <w:t>Закон</w:t>
      </w:r>
      <w:r w:rsidRPr="009C19C5">
        <w:rPr>
          <w:rFonts w:ascii="Times New Roman" w:eastAsia="Calibri" w:hAnsi="Times New Roman" w:cs="Times New Roman"/>
          <w:kern w:val="0"/>
          <w:sz w:val="24"/>
          <w:szCs w:val="24"/>
          <w:lang w:val="sr-Cyrl-RS"/>
          <w14:ligatures w14:val="none"/>
        </w:rPr>
        <w:t>а</w:t>
      </w:r>
      <w:r w:rsidR="00F81837" w:rsidRPr="009C19C5">
        <w:rPr>
          <w:rFonts w:ascii="Times New Roman" w:eastAsia="Calibri" w:hAnsi="Times New Roman" w:cs="Times New Roman"/>
          <w:kern w:val="0"/>
          <w:sz w:val="24"/>
          <w:szCs w:val="24"/>
          <w:lang w:val="sr-Cyrl-RS"/>
          <w14:ligatures w14:val="none"/>
        </w:rPr>
        <w:t xml:space="preserve"> о климатским променама</w:t>
      </w:r>
      <w:r w:rsidR="00994E77" w:rsidRPr="009C19C5">
        <w:rPr>
          <w:rFonts w:ascii="Times New Roman" w:eastAsia="Calibri" w:hAnsi="Times New Roman" w:cs="Times New Roman"/>
          <w:kern w:val="0"/>
          <w:sz w:val="24"/>
          <w:szCs w:val="24"/>
          <w:lang w:val="sr-Cyrl-RS"/>
          <w14:ligatures w14:val="none"/>
        </w:rPr>
        <w:t xml:space="preserve"> </w:t>
      </w:r>
      <w:r w:rsidR="00F81837" w:rsidRPr="009C19C5">
        <w:rPr>
          <w:rFonts w:ascii="Times New Roman" w:eastAsia="Calibri" w:hAnsi="Times New Roman" w:cs="Times New Roman"/>
          <w:sz w:val="24"/>
          <w:szCs w:val="24"/>
          <w:lang w:val="sr-Cyrl-RS"/>
        </w:rPr>
        <w:t>(„Сл</w:t>
      </w:r>
      <w:r w:rsidR="00534C8C" w:rsidRPr="009C19C5">
        <w:rPr>
          <w:rFonts w:ascii="Times New Roman" w:eastAsia="Calibri" w:hAnsi="Times New Roman" w:cs="Times New Roman"/>
          <w:sz w:val="24"/>
          <w:szCs w:val="24"/>
          <w:lang w:val="sr-Cyrl-RS"/>
        </w:rPr>
        <w:t>ужбени</w:t>
      </w:r>
      <w:r w:rsidR="00F81837" w:rsidRPr="009C19C5">
        <w:rPr>
          <w:rFonts w:ascii="Times New Roman" w:eastAsia="Calibri" w:hAnsi="Times New Roman" w:cs="Times New Roman"/>
          <w:sz w:val="24"/>
          <w:szCs w:val="24"/>
          <w:lang w:val="sr-Cyrl-RS"/>
        </w:rPr>
        <w:t xml:space="preserve"> гласник РС</w:t>
      </w:r>
      <w:r w:rsidR="00F94E9A" w:rsidRPr="009C19C5">
        <w:rPr>
          <w:rFonts w:ascii="Times New Roman" w:eastAsia="Calibri" w:hAnsi="Times New Roman" w:cs="Times New Roman"/>
          <w:sz w:val="24"/>
          <w:szCs w:val="24"/>
          <w:lang w:val="sr-Cyrl-RS"/>
        </w:rPr>
        <w:t>”</w:t>
      </w:r>
      <w:r w:rsidR="00F81837" w:rsidRPr="009C19C5">
        <w:rPr>
          <w:rFonts w:ascii="Times New Roman" w:eastAsia="Calibri" w:hAnsi="Times New Roman" w:cs="Times New Roman"/>
          <w:sz w:val="24"/>
          <w:szCs w:val="24"/>
          <w:lang w:val="sr-Cyrl-RS"/>
        </w:rPr>
        <w:t>, бр</w:t>
      </w:r>
      <w:r w:rsidR="004637A4" w:rsidRPr="009C19C5">
        <w:rPr>
          <w:rFonts w:ascii="Times New Roman" w:eastAsia="Calibri" w:hAnsi="Times New Roman" w:cs="Times New Roman"/>
          <w:sz w:val="24"/>
          <w:szCs w:val="24"/>
          <w:lang w:val="sr-Cyrl-RS"/>
        </w:rPr>
        <w:t>ој</w:t>
      </w:r>
      <w:r w:rsidR="00F81837" w:rsidRPr="009C19C5">
        <w:rPr>
          <w:rFonts w:ascii="Times New Roman" w:eastAsia="Calibri" w:hAnsi="Times New Roman" w:cs="Times New Roman"/>
          <w:sz w:val="24"/>
          <w:szCs w:val="24"/>
          <w:lang w:val="sr-Cyrl-RS"/>
        </w:rPr>
        <w:t xml:space="preserve"> 26/21)</w:t>
      </w:r>
      <w:r w:rsidR="00F81837" w:rsidRPr="009C19C5">
        <w:rPr>
          <w:rFonts w:ascii="Times New Roman" w:eastAsia="Calibri" w:hAnsi="Times New Roman" w:cs="Times New Roman"/>
          <w:kern w:val="0"/>
          <w:sz w:val="24"/>
          <w:szCs w:val="24"/>
          <w:lang w:val="sr-Cyrl-RS"/>
          <w14:ligatures w14:val="none"/>
        </w:rPr>
        <w:t xml:space="preserve"> </w:t>
      </w:r>
      <w:r w:rsidR="00083380" w:rsidRPr="009C19C5">
        <w:rPr>
          <w:rFonts w:ascii="Times New Roman" w:eastAsia="Calibri" w:hAnsi="Times New Roman" w:cs="Times New Roman"/>
          <w:kern w:val="0"/>
          <w:sz w:val="24"/>
          <w:szCs w:val="24"/>
          <w:lang w:val="sr-Cyrl-RS"/>
          <w14:ligatures w14:val="none"/>
        </w:rPr>
        <w:t>Р</w:t>
      </w:r>
      <w:r w:rsidR="00B24C82" w:rsidRPr="009C19C5">
        <w:rPr>
          <w:rFonts w:ascii="Times New Roman" w:eastAsia="Calibri" w:hAnsi="Times New Roman" w:cs="Times New Roman"/>
          <w:kern w:val="0"/>
          <w:sz w:val="24"/>
          <w:szCs w:val="24"/>
          <w:lang w:val="sr-Cyrl-RS"/>
          <w14:ligatures w14:val="none"/>
        </w:rPr>
        <w:t xml:space="preserve">епублика Србија је утврдила једну од главних компоненти институционалног и правног оквира неопходног за борбу против климатских промена, а то је успостављање система за смањење емисије гасова са ефектом стаклене баште и прилагођавање на измењене климатске услове. Његовим усвајањем, </w:t>
      </w:r>
      <w:r w:rsidR="0006193A" w:rsidRPr="009C19C5">
        <w:rPr>
          <w:rFonts w:ascii="Times New Roman" w:eastAsia="Calibri" w:hAnsi="Times New Roman" w:cs="Times New Roman"/>
          <w:kern w:val="0"/>
          <w:sz w:val="24"/>
          <w:szCs w:val="24"/>
          <w:lang w:val="sr-Cyrl-RS"/>
          <w14:ligatures w14:val="none"/>
        </w:rPr>
        <w:t xml:space="preserve">Република </w:t>
      </w:r>
      <w:r w:rsidR="00B24C82" w:rsidRPr="009C19C5">
        <w:rPr>
          <w:rFonts w:ascii="Times New Roman" w:eastAsia="Calibri" w:hAnsi="Times New Roman" w:cs="Times New Roman"/>
          <w:kern w:val="0"/>
          <w:sz w:val="24"/>
          <w:szCs w:val="24"/>
          <w:lang w:val="sr-Cyrl-RS"/>
          <w14:ligatures w14:val="none"/>
        </w:rPr>
        <w:t>Србија иде ка испуњавању</w:t>
      </w:r>
      <w:r w:rsidR="00083380" w:rsidRPr="009C19C5">
        <w:rPr>
          <w:rFonts w:ascii="Times New Roman" w:eastAsia="Calibri" w:hAnsi="Times New Roman" w:cs="Times New Roman"/>
          <w:kern w:val="0"/>
          <w:sz w:val="24"/>
          <w:szCs w:val="24"/>
          <w:lang w:val="sr-Cyrl-RS"/>
          <w14:ligatures w14:val="none"/>
        </w:rPr>
        <w:t xml:space="preserve"> </w:t>
      </w:r>
      <w:r w:rsidR="00B24C82" w:rsidRPr="009C19C5">
        <w:rPr>
          <w:rFonts w:ascii="Times New Roman" w:eastAsia="Calibri" w:hAnsi="Times New Roman" w:cs="Times New Roman"/>
          <w:kern w:val="0"/>
          <w:sz w:val="24"/>
          <w:szCs w:val="24"/>
          <w:lang w:val="sr-Cyrl-RS"/>
          <w14:ligatures w14:val="none"/>
        </w:rPr>
        <w:t>обавезе према међународној заједници, односно Оквирној Конвенцији У</w:t>
      </w:r>
      <w:r w:rsidR="00CD2B6B" w:rsidRPr="009C19C5">
        <w:rPr>
          <w:rFonts w:ascii="Times New Roman" w:eastAsia="Calibri" w:hAnsi="Times New Roman" w:cs="Times New Roman"/>
          <w:kern w:val="0"/>
          <w:sz w:val="24"/>
          <w:szCs w:val="24"/>
          <w:lang w:val="sr-Cyrl-RS"/>
          <w14:ligatures w14:val="none"/>
        </w:rPr>
        <w:t xml:space="preserve">једињених </w:t>
      </w:r>
      <w:r w:rsidR="00B24C82" w:rsidRPr="009C19C5">
        <w:rPr>
          <w:rFonts w:ascii="Times New Roman" w:eastAsia="Calibri" w:hAnsi="Times New Roman" w:cs="Times New Roman"/>
          <w:kern w:val="0"/>
          <w:sz w:val="24"/>
          <w:szCs w:val="24"/>
          <w:lang w:val="sr-Cyrl-RS"/>
          <w14:ligatures w14:val="none"/>
        </w:rPr>
        <w:t>Н</w:t>
      </w:r>
      <w:r w:rsidR="00CD2B6B" w:rsidRPr="009C19C5">
        <w:rPr>
          <w:rFonts w:ascii="Times New Roman" w:eastAsia="Calibri" w:hAnsi="Times New Roman" w:cs="Times New Roman"/>
          <w:kern w:val="0"/>
          <w:sz w:val="24"/>
          <w:szCs w:val="24"/>
          <w:lang w:val="sr-Cyrl-RS"/>
          <w14:ligatures w14:val="none"/>
        </w:rPr>
        <w:t>ација</w:t>
      </w:r>
      <w:r w:rsidR="00B24C82" w:rsidRPr="009C19C5">
        <w:rPr>
          <w:rFonts w:ascii="Times New Roman" w:eastAsia="Calibri" w:hAnsi="Times New Roman" w:cs="Times New Roman"/>
          <w:kern w:val="0"/>
          <w:sz w:val="24"/>
          <w:szCs w:val="24"/>
          <w:lang w:val="sr-Cyrl-RS"/>
          <w14:ligatures w14:val="none"/>
        </w:rPr>
        <w:t xml:space="preserve"> о промени климе</w:t>
      </w:r>
      <w:r w:rsidR="00083380" w:rsidRPr="009C19C5">
        <w:rPr>
          <w:rFonts w:ascii="Times New Roman" w:eastAsia="Calibri" w:hAnsi="Times New Roman" w:cs="Times New Roman"/>
          <w:kern w:val="0"/>
          <w:sz w:val="24"/>
          <w:szCs w:val="24"/>
          <w:lang w:val="sr-Cyrl-RS"/>
          <w14:ligatures w14:val="none"/>
        </w:rPr>
        <w:t xml:space="preserve"> </w:t>
      </w:r>
      <w:r w:rsidR="00B24C82" w:rsidRPr="009C19C5">
        <w:rPr>
          <w:rFonts w:ascii="Times New Roman" w:eastAsia="Calibri" w:hAnsi="Times New Roman" w:cs="Times New Roman"/>
          <w:kern w:val="0"/>
          <w:sz w:val="24"/>
          <w:szCs w:val="24"/>
          <w:lang w:val="sr-Cyrl-RS"/>
          <w14:ligatures w14:val="none"/>
        </w:rPr>
        <w:t xml:space="preserve"> и Споразуму из Париза. Овим законом </w:t>
      </w:r>
      <w:r w:rsidRPr="009C19C5">
        <w:rPr>
          <w:rFonts w:ascii="Times New Roman" w:eastAsia="Calibri" w:hAnsi="Times New Roman" w:cs="Times New Roman"/>
          <w:kern w:val="0"/>
          <w:sz w:val="24"/>
          <w:szCs w:val="24"/>
          <w:lang w:val="sr-Cyrl-RS"/>
          <w14:ligatures w14:val="none"/>
        </w:rPr>
        <w:t xml:space="preserve">Република </w:t>
      </w:r>
      <w:r w:rsidR="00B24C82" w:rsidRPr="009C19C5">
        <w:rPr>
          <w:rFonts w:ascii="Times New Roman" w:eastAsia="Calibri" w:hAnsi="Times New Roman" w:cs="Times New Roman"/>
          <w:kern w:val="0"/>
          <w:sz w:val="24"/>
          <w:szCs w:val="24"/>
          <w:lang w:val="sr-Cyrl-RS"/>
          <w14:ligatures w14:val="none"/>
        </w:rPr>
        <w:t>Србија задржава право да</w:t>
      </w:r>
      <w:r w:rsidR="00083380" w:rsidRPr="009C19C5">
        <w:rPr>
          <w:rFonts w:ascii="Times New Roman" w:eastAsia="Calibri" w:hAnsi="Times New Roman" w:cs="Times New Roman"/>
          <w:kern w:val="0"/>
          <w:sz w:val="24"/>
          <w:szCs w:val="24"/>
          <w:lang w:val="sr-Cyrl-RS"/>
          <w14:ligatures w14:val="none"/>
        </w:rPr>
        <w:t xml:space="preserve"> </w:t>
      </w:r>
      <w:r w:rsidR="00B24C82" w:rsidRPr="009C19C5">
        <w:rPr>
          <w:rFonts w:ascii="Times New Roman" w:eastAsia="Calibri" w:hAnsi="Times New Roman" w:cs="Times New Roman"/>
          <w:kern w:val="0"/>
          <w:sz w:val="24"/>
          <w:szCs w:val="24"/>
          <w:lang w:val="sr-Cyrl-RS"/>
          <w14:ligatures w14:val="none"/>
        </w:rPr>
        <w:t>креира законодавни оквир и поставља циљеве развоја, узимајући у обзир све специфичности</w:t>
      </w:r>
      <w:r w:rsidR="00083380" w:rsidRPr="009C19C5">
        <w:rPr>
          <w:rFonts w:ascii="Times New Roman" w:eastAsia="Calibri" w:hAnsi="Times New Roman" w:cs="Times New Roman"/>
          <w:kern w:val="0"/>
          <w:sz w:val="24"/>
          <w:szCs w:val="24"/>
          <w:lang w:val="sr-Cyrl-RS"/>
          <w14:ligatures w14:val="none"/>
        </w:rPr>
        <w:t xml:space="preserve"> </w:t>
      </w:r>
      <w:r w:rsidR="00B24C82" w:rsidRPr="009C19C5">
        <w:rPr>
          <w:rFonts w:ascii="Times New Roman" w:eastAsia="Calibri" w:hAnsi="Times New Roman" w:cs="Times New Roman"/>
          <w:kern w:val="0"/>
          <w:sz w:val="24"/>
          <w:szCs w:val="24"/>
          <w:lang w:val="sr-Cyrl-RS"/>
          <w14:ligatures w14:val="none"/>
        </w:rPr>
        <w:t>привредног и енергетског сектора и друге националне социо-економске параметре.</w:t>
      </w:r>
    </w:p>
    <w:p w14:paraId="7A1085FC" w14:textId="12CFB2DF" w:rsidR="005D4908" w:rsidRPr="009C19C5" w:rsidRDefault="005D4908" w:rsidP="008D7F6B">
      <w:pPr>
        <w:pStyle w:val="ListParagraph"/>
        <w:numPr>
          <w:ilvl w:val="1"/>
          <w:numId w:val="18"/>
        </w:numPr>
        <w:tabs>
          <w:tab w:val="left" w:pos="270"/>
          <w:tab w:val="left" w:pos="900"/>
        </w:tabs>
        <w:spacing w:after="0" w:line="240" w:lineRule="auto"/>
        <w:ind w:left="0" w:firstLine="720"/>
        <w:jc w:val="both"/>
        <w:rPr>
          <w:rFonts w:ascii="Times New Roman" w:eastAsia="Calibri" w:hAnsi="Times New Roman" w:cs="Times New Roman"/>
          <w:kern w:val="0"/>
          <w:sz w:val="24"/>
          <w:szCs w:val="24"/>
          <w:lang w:val="sr-Cyrl-RS"/>
          <w14:ligatures w14:val="none"/>
        </w:rPr>
      </w:pPr>
      <w:r w:rsidRPr="009C19C5">
        <w:rPr>
          <w:rFonts w:ascii="Times New Roman" w:eastAsia="Calibri" w:hAnsi="Times New Roman" w:cs="Times New Roman"/>
          <w:kern w:val="0"/>
          <w:sz w:val="24"/>
          <w:szCs w:val="24"/>
          <w:lang w:val="sr-Cyrl-RS"/>
          <w14:ligatures w14:val="none"/>
        </w:rPr>
        <w:t>Република Србија је у септембру 2022.</w:t>
      </w:r>
      <w:r w:rsidR="004E1032" w:rsidRPr="009C19C5">
        <w:rPr>
          <w:rFonts w:ascii="Times New Roman" w:eastAsia="Calibri" w:hAnsi="Times New Roman" w:cs="Times New Roman"/>
          <w:kern w:val="0"/>
          <w:sz w:val="24"/>
          <w:szCs w:val="24"/>
          <w:lang w:val="sr-Cyrl-RS"/>
          <w14:ligatures w14:val="none"/>
        </w:rPr>
        <w:t xml:space="preserve"> </w:t>
      </w:r>
      <w:r w:rsidR="00534C8C" w:rsidRPr="009C19C5">
        <w:rPr>
          <w:rFonts w:ascii="Times New Roman" w:eastAsia="Calibri" w:hAnsi="Times New Roman" w:cs="Times New Roman"/>
          <w:kern w:val="0"/>
          <w:sz w:val="24"/>
          <w:szCs w:val="24"/>
          <w:lang w:val="sr-Cyrl-RS"/>
          <w14:ligatures w14:val="none"/>
        </w:rPr>
        <w:t>г</w:t>
      </w:r>
      <w:r w:rsidR="002E5B4D" w:rsidRPr="009C19C5">
        <w:rPr>
          <w:rFonts w:ascii="Times New Roman" w:eastAsia="Calibri" w:hAnsi="Times New Roman" w:cs="Times New Roman"/>
          <w:kern w:val="0"/>
          <w:sz w:val="24"/>
          <w:szCs w:val="24"/>
          <w:lang w:val="sr-Cyrl-RS"/>
          <w14:ligatures w14:val="none"/>
        </w:rPr>
        <w:t>о</w:t>
      </w:r>
      <w:r w:rsidR="00F45999" w:rsidRPr="009C19C5">
        <w:rPr>
          <w:rFonts w:ascii="Times New Roman" w:eastAsia="Calibri" w:hAnsi="Times New Roman" w:cs="Times New Roman"/>
          <w:kern w:val="0"/>
          <w:sz w:val="24"/>
          <w:szCs w:val="24"/>
          <w:lang w:val="sr-Cyrl-RS"/>
          <w14:ligatures w14:val="none"/>
        </w:rPr>
        <w:t>д</w:t>
      </w:r>
      <w:r w:rsidR="00534C8C" w:rsidRPr="009C19C5">
        <w:rPr>
          <w:rFonts w:ascii="Times New Roman" w:eastAsia="Calibri" w:hAnsi="Times New Roman" w:cs="Times New Roman"/>
          <w:kern w:val="0"/>
          <w:sz w:val="24"/>
          <w:szCs w:val="24"/>
          <w:lang w:val="sr-Cyrl-RS"/>
          <w14:ligatures w14:val="none"/>
        </w:rPr>
        <w:t>ине</w:t>
      </w:r>
      <w:r w:rsidRPr="009C19C5">
        <w:rPr>
          <w:rFonts w:ascii="Times New Roman" w:eastAsia="Calibri" w:hAnsi="Times New Roman" w:cs="Times New Roman"/>
          <w:kern w:val="0"/>
          <w:sz w:val="24"/>
          <w:szCs w:val="24"/>
          <w:lang w:val="sr-Cyrl-RS"/>
          <w14:ligatures w14:val="none"/>
        </w:rPr>
        <w:t xml:space="preserve"> ажурирала свој Национално утврђени допринос </w:t>
      </w:r>
      <w:r w:rsidR="00083380" w:rsidRPr="009C19C5">
        <w:rPr>
          <w:rFonts w:ascii="Times New Roman" w:eastAsia="Calibri" w:hAnsi="Times New Roman" w:cs="Times New Roman"/>
          <w:kern w:val="0"/>
          <w:sz w:val="24"/>
          <w:szCs w:val="24"/>
          <w:lang w:val="sr-Cyrl-RS"/>
          <w14:ligatures w14:val="none"/>
        </w:rPr>
        <w:t>Републике Србије за период 2021-2030.</w:t>
      </w:r>
      <w:r w:rsidR="002A3820">
        <w:rPr>
          <w:rFonts w:ascii="Times New Roman" w:eastAsia="Calibri" w:hAnsi="Times New Roman" w:cs="Times New Roman"/>
          <w:kern w:val="0"/>
          <w:sz w:val="24"/>
          <w:szCs w:val="24"/>
          <w:lang w:val="sr-Cyrl-RS"/>
          <w14:ligatures w14:val="none"/>
        </w:rPr>
        <w:t xml:space="preserve"> </w:t>
      </w:r>
      <w:r w:rsidR="00083380" w:rsidRPr="009C19C5">
        <w:rPr>
          <w:rFonts w:ascii="Times New Roman" w:eastAsia="Calibri" w:hAnsi="Times New Roman" w:cs="Times New Roman"/>
          <w:kern w:val="0"/>
          <w:sz w:val="24"/>
          <w:szCs w:val="24"/>
          <w:lang w:val="sr-Cyrl-RS"/>
          <w14:ligatures w14:val="none"/>
        </w:rPr>
        <w:t>годин</w:t>
      </w:r>
      <w:r w:rsidR="002A3820">
        <w:rPr>
          <w:rFonts w:ascii="Times New Roman" w:eastAsia="Calibri" w:hAnsi="Times New Roman" w:cs="Times New Roman"/>
          <w:kern w:val="0"/>
          <w:sz w:val="24"/>
          <w:szCs w:val="24"/>
          <w:lang w:val="sr-Cyrl-RS"/>
          <w14:ligatures w14:val="none"/>
        </w:rPr>
        <w:t>е</w:t>
      </w:r>
      <w:r w:rsidRPr="009C19C5">
        <w:rPr>
          <w:rFonts w:ascii="Times New Roman" w:eastAsia="Calibri" w:hAnsi="Times New Roman" w:cs="Times New Roman"/>
          <w:kern w:val="0"/>
          <w:sz w:val="24"/>
          <w:szCs w:val="24"/>
          <w:lang w:val="sr-Cyrl-RS"/>
          <w14:ligatures w14:val="none"/>
        </w:rPr>
        <w:t>, у складу са чл</w:t>
      </w:r>
      <w:r w:rsidR="003D2ACA" w:rsidRPr="009C19C5">
        <w:rPr>
          <w:rFonts w:ascii="Times New Roman" w:eastAsia="Calibri" w:hAnsi="Times New Roman" w:cs="Times New Roman"/>
          <w:kern w:val="0"/>
          <w:sz w:val="24"/>
          <w:szCs w:val="24"/>
          <w:lang w:val="sr-Cyrl-RS"/>
          <w14:ligatures w14:val="none"/>
        </w:rPr>
        <w:t>.</w:t>
      </w:r>
      <w:r w:rsidRPr="009C19C5">
        <w:rPr>
          <w:rFonts w:ascii="Times New Roman" w:eastAsia="Calibri" w:hAnsi="Times New Roman" w:cs="Times New Roman"/>
          <w:kern w:val="0"/>
          <w:sz w:val="24"/>
          <w:szCs w:val="24"/>
          <w:lang w:val="sr-Cyrl-RS"/>
          <w14:ligatures w14:val="none"/>
        </w:rPr>
        <w:t xml:space="preserve"> 3. и 4. Париског споразума и ст</w:t>
      </w:r>
      <w:r w:rsidR="00BB5EEF" w:rsidRPr="009C19C5">
        <w:rPr>
          <w:rFonts w:ascii="Times New Roman" w:eastAsia="Calibri" w:hAnsi="Times New Roman" w:cs="Times New Roman"/>
          <w:kern w:val="0"/>
          <w:sz w:val="24"/>
          <w:szCs w:val="24"/>
          <w:lang w:val="sr-Cyrl-RS"/>
          <w14:ligatures w14:val="none"/>
        </w:rPr>
        <w:t>.</w:t>
      </w:r>
      <w:r w:rsidRPr="009C19C5">
        <w:rPr>
          <w:rFonts w:ascii="Times New Roman" w:eastAsia="Calibri" w:hAnsi="Times New Roman" w:cs="Times New Roman"/>
          <w:kern w:val="0"/>
          <w:sz w:val="24"/>
          <w:szCs w:val="24"/>
          <w:lang w:val="sr-Cyrl-RS"/>
          <w14:ligatures w14:val="none"/>
        </w:rPr>
        <w:t xml:space="preserve"> 22. и 24. Одлуке 1 CP/21, повећавајући своју амбицију смањења емисије </w:t>
      </w:r>
      <w:r w:rsidR="00CD2B6B" w:rsidRPr="009C19C5">
        <w:rPr>
          <w:rFonts w:ascii="Times New Roman" w:eastAsia="Calibri" w:hAnsi="Times New Roman" w:cs="Times New Roman"/>
          <w:kern w:val="0"/>
          <w:sz w:val="24"/>
          <w:szCs w:val="24"/>
          <w:lang w:val="sr-Cyrl-RS"/>
          <w14:ligatures w14:val="none"/>
        </w:rPr>
        <w:t xml:space="preserve">гасова са ефектом стаклене баште </w:t>
      </w:r>
      <w:r w:rsidRPr="009C19C5">
        <w:rPr>
          <w:rFonts w:ascii="Times New Roman" w:eastAsia="Calibri" w:hAnsi="Times New Roman" w:cs="Times New Roman"/>
          <w:kern w:val="0"/>
          <w:sz w:val="24"/>
          <w:szCs w:val="24"/>
          <w:lang w:val="sr-Cyrl-RS"/>
          <w14:ligatures w14:val="none"/>
        </w:rPr>
        <w:t>од 13,2% у односу на ниво из 2010. године, односно</w:t>
      </w:r>
      <w:r w:rsidR="00F45999" w:rsidRPr="009C19C5">
        <w:rPr>
          <w:rFonts w:ascii="Times New Roman" w:eastAsia="Calibri" w:hAnsi="Times New Roman" w:cs="Times New Roman"/>
          <w:kern w:val="0"/>
          <w:sz w:val="24"/>
          <w:szCs w:val="24"/>
          <w:lang w:val="sr-Cyrl-RS"/>
          <w14:ligatures w14:val="none"/>
        </w:rPr>
        <w:t xml:space="preserve"> </w:t>
      </w:r>
      <w:r w:rsidRPr="009C19C5">
        <w:rPr>
          <w:rFonts w:ascii="Times New Roman" w:eastAsia="Calibri" w:hAnsi="Times New Roman" w:cs="Times New Roman"/>
          <w:kern w:val="0"/>
          <w:sz w:val="24"/>
          <w:szCs w:val="24"/>
          <w:lang w:val="sr-Cyrl-RS"/>
          <w14:ligatures w14:val="none"/>
        </w:rPr>
        <w:t xml:space="preserve">33,3% у односу на 1990. годину, до 2030. године. </w:t>
      </w:r>
    </w:p>
    <w:p w14:paraId="7A05E44B" w14:textId="2C121386" w:rsidR="005D4908" w:rsidRPr="009C19C5" w:rsidRDefault="005D4908" w:rsidP="008D7F6B">
      <w:pPr>
        <w:pStyle w:val="ListParagraph"/>
        <w:numPr>
          <w:ilvl w:val="1"/>
          <w:numId w:val="18"/>
        </w:numPr>
        <w:tabs>
          <w:tab w:val="left" w:pos="270"/>
          <w:tab w:val="left" w:pos="900"/>
        </w:tabs>
        <w:spacing w:after="0" w:line="240" w:lineRule="auto"/>
        <w:ind w:left="0" w:firstLine="720"/>
        <w:jc w:val="both"/>
        <w:rPr>
          <w:rFonts w:ascii="Times New Roman" w:hAnsi="Times New Roman" w:cs="Times New Roman"/>
          <w:sz w:val="24"/>
          <w:szCs w:val="24"/>
          <w:lang w:val="sr-Cyrl-RS"/>
        </w:rPr>
      </w:pPr>
      <w:r w:rsidRPr="009C19C5">
        <w:rPr>
          <w:rFonts w:ascii="Times New Roman" w:eastAsia="Calibri" w:hAnsi="Times New Roman" w:cs="Times New Roman"/>
          <w:kern w:val="0"/>
          <w:sz w:val="24"/>
          <w:szCs w:val="24"/>
          <w:lang w:val="sr-Cyrl-RS"/>
          <w14:ligatures w14:val="none"/>
        </w:rPr>
        <w:t xml:space="preserve">Влада </w:t>
      </w:r>
      <w:r w:rsidR="00F87F51">
        <w:rPr>
          <w:rFonts w:ascii="Times New Roman" w:eastAsia="Calibri" w:hAnsi="Times New Roman" w:cs="Times New Roman"/>
          <w:kern w:val="0"/>
          <w:sz w:val="24"/>
          <w:szCs w:val="24"/>
          <w:lang w:val="sr-Cyrl-RS"/>
          <w14:ligatures w14:val="none"/>
        </w:rPr>
        <w:t xml:space="preserve">је </w:t>
      </w:r>
      <w:r w:rsidRPr="009C19C5">
        <w:rPr>
          <w:rFonts w:ascii="Times New Roman" w:eastAsia="Calibri" w:hAnsi="Times New Roman" w:cs="Times New Roman"/>
          <w:kern w:val="0"/>
          <w:sz w:val="24"/>
          <w:szCs w:val="24"/>
          <w:lang w:val="sr-Cyrl-RS"/>
          <w14:ligatures w14:val="none"/>
        </w:rPr>
        <w:t>усвојила 1. јуна 2023. године Стратегију нискоугљеничног развоја Републике Србије за период од 2023. до 2030. године, са пројекцијама до 2050. године</w:t>
      </w:r>
      <w:r w:rsidR="002E5B4D" w:rsidRPr="009C19C5">
        <w:rPr>
          <w:rFonts w:ascii="Times New Roman" w:eastAsia="Calibri" w:hAnsi="Times New Roman" w:cs="Times New Roman"/>
          <w:kern w:val="0"/>
          <w:sz w:val="24"/>
          <w:szCs w:val="24"/>
          <w:lang w:val="sr-Cyrl-RS"/>
          <w14:ligatures w14:val="none"/>
        </w:rPr>
        <w:t xml:space="preserve"> („Служб</w:t>
      </w:r>
      <w:r w:rsidR="00894B94">
        <w:rPr>
          <w:rFonts w:ascii="Times New Roman" w:eastAsia="Calibri" w:hAnsi="Times New Roman" w:cs="Times New Roman"/>
          <w:kern w:val="0"/>
          <w:sz w:val="24"/>
          <w:szCs w:val="24"/>
          <w:lang w:val="sr-Cyrl-RS"/>
          <w14:ligatures w14:val="none"/>
        </w:rPr>
        <w:t>е</w:t>
      </w:r>
      <w:r w:rsidR="002E5B4D" w:rsidRPr="009C19C5">
        <w:rPr>
          <w:rFonts w:ascii="Times New Roman" w:eastAsia="Calibri" w:hAnsi="Times New Roman" w:cs="Times New Roman"/>
          <w:kern w:val="0"/>
          <w:sz w:val="24"/>
          <w:szCs w:val="24"/>
          <w:lang w:val="sr-Cyrl-RS"/>
          <w14:ligatures w14:val="none"/>
        </w:rPr>
        <w:t>ни гласник РС</w:t>
      </w:r>
      <w:r w:rsidR="00F94E9A" w:rsidRPr="009C19C5">
        <w:rPr>
          <w:rFonts w:ascii="Times New Roman" w:hAnsi="Times New Roman" w:cs="Times New Roman"/>
          <w:lang w:val="sr-Cyrl-RS"/>
        </w:rPr>
        <w:t>”</w:t>
      </w:r>
      <w:r w:rsidR="00BB5EEF" w:rsidRPr="009C19C5">
        <w:rPr>
          <w:rFonts w:ascii="Times New Roman" w:eastAsia="Calibri" w:hAnsi="Times New Roman" w:cs="Times New Roman"/>
          <w:kern w:val="0"/>
          <w:sz w:val="24"/>
          <w:szCs w:val="24"/>
          <w:lang w:val="sr-Cyrl-RS"/>
          <w14:ligatures w14:val="none"/>
        </w:rPr>
        <w:t>, број 46/</w:t>
      </w:r>
      <w:r w:rsidR="002E5B4D" w:rsidRPr="009C19C5">
        <w:rPr>
          <w:rFonts w:ascii="Times New Roman" w:eastAsia="Calibri" w:hAnsi="Times New Roman" w:cs="Times New Roman"/>
          <w:kern w:val="0"/>
          <w:sz w:val="24"/>
          <w:szCs w:val="24"/>
          <w:lang w:val="sr-Cyrl-RS"/>
          <w14:ligatures w14:val="none"/>
        </w:rPr>
        <w:t>23)</w:t>
      </w:r>
      <w:r w:rsidRPr="009C19C5">
        <w:rPr>
          <w:rFonts w:ascii="Times New Roman" w:eastAsia="Calibri" w:hAnsi="Times New Roman" w:cs="Times New Roman"/>
          <w:kern w:val="0"/>
          <w:sz w:val="24"/>
          <w:szCs w:val="24"/>
          <w:lang w:val="sr-Cyrl-RS"/>
          <w14:ligatures w14:val="none"/>
        </w:rPr>
        <w:t xml:space="preserve">. Доношење Стратегије нискоугљеничног развоја </w:t>
      </w:r>
      <w:r w:rsidR="00083380" w:rsidRPr="009C19C5">
        <w:rPr>
          <w:rFonts w:ascii="Times New Roman" w:eastAsia="Calibri" w:hAnsi="Times New Roman" w:cs="Times New Roman"/>
          <w:kern w:val="0"/>
          <w:sz w:val="24"/>
          <w:szCs w:val="24"/>
          <w:lang w:val="sr-Cyrl-RS"/>
          <w14:ligatures w14:val="none"/>
        </w:rPr>
        <w:t xml:space="preserve">има за </w:t>
      </w:r>
      <w:r w:rsidRPr="009C19C5">
        <w:rPr>
          <w:rFonts w:ascii="Times New Roman" w:eastAsia="Calibri" w:hAnsi="Times New Roman" w:cs="Times New Roman"/>
          <w:kern w:val="0"/>
          <w:sz w:val="24"/>
          <w:szCs w:val="24"/>
          <w:lang w:val="sr-Cyrl-RS"/>
          <w14:ligatures w14:val="none"/>
        </w:rPr>
        <w:t xml:space="preserve">циљ успостављање стратешких праваца деловања и јавних политика за смањење емисије гасова са ефектом стаклене баште у читавој привреди. </w:t>
      </w:r>
    </w:p>
    <w:p w14:paraId="3E5578CA" w14:textId="024B68F1" w:rsidR="00783A39" w:rsidRPr="009C19C5" w:rsidRDefault="00783A39" w:rsidP="008D7F6B">
      <w:pPr>
        <w:pStyle w:val="basic-paragraph"/>
        <w:numPr>
          <w:ilvl w:val="1"/>
          <w:numId w:val="18"/>
        </w:numPr>
        <w:tabs>
          <w:tab w:val="left" w:pos="270"/>
          <w:tab w:val="left" w:pos="720"/>
          <w:tab w:val="left" w:pos="900"/>
        </w:tabs>
        <w:spacing w:before="0" w:beforeAutospacing="0" w:after="0" w:afterAutospacing="0"/>
        <w:ind w:left="0" w:firstLine="720"/>
        <w:jc w:val="both"/>
        <w:rPr>
          <w:lang w:val="sr-Cyrl-RS"/>
        </w:rPr>
      </w:pPr>
      <w:r w:rsidRPr="009C19C5">
        <w:rPr>
          <w:lang w:val="sr-Cyrl-RS"/>
        </w:rPr>
        <w:t>Интегрисани национални енергетски и климатски план Републике Србије до 2030.</w:t>
      </w:r>
      <w:r w:rsidR="004E1032" w:rsidRPr="009C19C5">
        <w:rPr>
          <w:lang w:val="sr-Cyrl-RS"/>
        </w:rPr>
        <w:t xml:space="preserve"> </w:t>
      </w:r>
      <w:r w:rsidRPr="009C19C5">
        <w:rPr>
          <w:lang w:val="sr-Cyrl-RS"/>
        </w:rPr>
        <w:t>године са пројекцијама до 2050.</w:t>
      </w:r>
      <w:r w:rsidR="004E1032" w:rsidRPr="009C19C5">
        <w:rPr>
          <w:lang w:val="sr-Cyrl-RS"/>
        </w:rPr>
        <w:t xml:space="preserve"> </w:t>
      </w:r>
      <w:r w:rsidRPr="009C19C5">
        <w:rPr>
          <w:lang w:val="sr-Cyrl-RS"/>
        </w:rPr>
        <w:t>године (у даљем тексту</w:t>
      </w:r>
      <w:r w:rsidR="00922F2E">
        <w:rPr>
          <w:lang w:val="sr-Cyrl-RS"/>
        </w:rPr>
        <w:t>:</w:t>
      </w:r>
      <w:r w:rsidRPr="009C19C5">
        <w:rPr>
          <w:lang w:val="sr-Cyrl-RS"/>
        </w:rPr>
        <w:t xml:space="preserve"> ИНЕКП), („Службени гласник </w:t>
      </w:r>
      <w:r w:rsidR="001863F3" w:rsidRPr="009C19C5">
        <w:rPr>
          <w:lang w:val="sr-Cyrl-RS"/>
        </w:rPr>
        <w:t>РС</w:t>
      </w:r>
      <w:r w:rsidR="00F94E9A" w:rsidRPr="009C19C5">
        <w:rPr>
          <w:lang w:val="sr-Cyrl-RS"/>
        </w:rPr>
        <w:t>”</w:t>
      </w:r>
      <w:r w:rsidR="004E1032" w:rsidRPr="009C19C5">
        <w:rPr>
          <w:lang w:val="sr-Cyrl-RS"/>
        </w:rPr>
        <w:t>, број 70/</w:t>
      </w:r>
      <w:r w:rsidRPr="009C19C5">
        <w:rPr>
          <w:lang w:val="sr-Cyrl-RS"/>
        </w:rPr>
        <w:t xml:space="preserve">24), </w:t>
      </w:r>
      <w:r w:rsidR="002E5B4D" w:rsidRPr="009C19C5">
        <w:rPr>
          <w:lang w:val="sr-Cyrl-RS"/>
        </w:rPr>
        <w:t>н</w:t>
      </w:r>
      <w:r w:rsidR="004E1032" w:rsidRPr="009C19C5">
        <w:rPr>
          <w:lang w:val="sr-Cyrl-RS"/>
        </w:rPr>
        <w:t>а основу члана 8a</w:t>
      </w:r>
      <w:r w:rsidRPr="009C19C5">
        <w:rPr>
          <w:lang w:val="sr-Cyrl-RS"/>
        </w:rPr>
        <w:t xml:space="preserve"> став 3</w:t>
      </w:r>
      <w:r w:rsidR="004E1032" w:rsidRPr="009C19C5">
        <w:rPr>
          <w:lang w:val="sr-Cyrl-RS"/>
        </w:rPr>
        <w:t>.</w:t>
      </w:r>
      <w:r w:rsidRPr="009C19C5">
        <w:rPr>
          <w:lang w:val="sr-Cyrl-RS"/>
        </w:rPr>
        <w:t xml:space="preserve"> Закона о</w:t>
      </w:r>
      <w:r w:rsidR="002E5B4D" w:rsidRPr="009C19C5">
        <w:rPr>
          <w:lang w:val="sr-Cyrl-RS"/>
        </w:rPr>
        <w:t xml:space="preserve"> енергетици</w:t>
      </w:r>
      <w:r w:rsidRPr="009C19C5">
        <w:rPr>
          <w:lang w:val="sr-Cyrl-RS"/>
        </w:rPr>
        <w:t xml:space="preserve">, а у вези са Уговором о оснивању Енергетске заједнице између Европске заједнице и Републике Албаније, Републике Бугарске, Босне и Херцеговине, Републике Хрватске, Бивше Југословенске Републике Македоније, Републике Црне Горе, Румуније, Републике Србије и </w:t>
      </w:r>
      <w:bookmarkStart w:id="4" w:name="_Hlk202273500"/>
      <w:bookmarkStart w:id="5" w:name="_Hlk202270731"/>
      <w:r w:rsidRPr="009C19C5">
        <w:rPr>
          <w:lang w:val="sr-Cyrl-RS"/>
        </w:rPr>
        <w:t>Привремене Мисије Уједињених нација на Косову у складу са Резолуцијом 1244 Савета безбедности Уједињених нација (</w:t>
      </w:r>
      <w:r w:rsidR="00F45999" w:rsidRPr="009C19C5">
        <w:rPr>
          <w:lang w:val="sr-Cyrl-RS"/>
        </w:rPr>
        <w:t>„</w:t>
      </w:r>
      <w:r w:rsidRPr="009C19C5">
        <w:rPr>
          <w:lang w:val="sr-Cyrl-RS"/>
        </w:rPr>
        <w:t>Службени гласник РС</w:t>
      </w:r>
      <w:r w:rsidR="004E1032" w:rsidRPr="009C19C5">
        <w:rPr>
          <w:bCs/>
          <w:color w:val="000000"/>
          <w:lang w:val="sr-Cyrl-RS" w:eastAsia="sr-Latn-CS"/>
        </w:rPr>
        <w:t>”</w:t>
      </w:r>
      <w:r w:rsidRPr="009C19C5">
        <w:rPr>
          <w:lang w:val="sr-Cyrl-RS"/>
        </w:rPr>
        <w:t>, број 62</w:t>
      </w:r>
      <w:r w:rsidR="004E1032" w:rsidRPr="009C19C5">
        <w:rPr>
          <w:lang w:val="sr-Cyrl-RS"/>
        </w:rPr>
        <w:t>/</w:t>
      </w:r>
      <w:r w:rsidR="00805737" w:rsidRPr="009C19C5">
        <w:rPr>
          <w:lang w:val="sr-Cyrl-RS"/>
        </w:rPr>
        <w:t>06</w:t>
      </w:r>
      <w:r w:rsidRPr="009C19C5">
        <w:rPr>
          <w:lang w:val="sr-Cyrl-RS"/>
        </w:rPr>
        <w:t>)</w:t>
      </w:r>
      <w:bookmarkEnd w:id="4"/>
      <w:r w:rsidRPr="009C19C5">
        <w:rPr>
          <w:lang w:val="sr-Cyrl-RS"/>
        </w:rPr>
        <w:t xml:space="preserve"> </w:t>
      </w:r>
      <w:bookmarkEnd w:id="5"/>
      <w:r w:rsidRPr="009C19C5">
        <w:rPr>
          <w:lang w:val="sr-Cyrl-RS"/>
        </w:rPr>
        <w:t>и члана 50</w:t>
      </w:r>
      <w:r w:rsidR="004E1032" w:rsidRPr="009C19C5">
        <w:rPr>
          <w:lang w:val="sr-Cyrl-RS"/>
        </w:rPr>
        <w:t>.</w:t>
      </w:r>
      <w:r w:rsidRPr="009C19C5">
        <w:rPr>
          <w:lang w:val="sr-Cyrl-RS"/>
        </w:rPr>
        <w:t xml:space="preserve"> Закона о планском систему Републике Србије („Службени гласник РС</w:t>
      </w:r>
      <w:r w:rsidR="00F94E9A" w:rsidRPr="009C19C5">
        <w:rPr>
          <w:lang w:val="sr-Cyrl-RS"/>
        </w:rPr>
        <w:t>”</w:t>
      </w:r>
      <w:r w:rsidR="002E5B4D" w:rsidRPr="009C19C5">
        <w:rPr>
          <w:lang w:val="sr-Cyrl-RS"/>
        </w:rPr>
        <w:t>,</w:t>
      </w:r>
      <w:r w:rsidRPr="009C19C5">
        <w:rPr>
          <w:lang w:val="sr-Cyrl-RS"/>
        </w:rPr>
        <w:t xml:space="preserve"> бр</w:t>
      </w:r>
      <w:r w:rsidR="00805737" w:rsidRPr="009C19C5">
        <w:rPr>
          <w:lang w:val="sr-Cyrl-RS"/>
        </w:rPr>
        <w:t>ој</w:t>
      </w:r>
      <w:r w:rsidRPr="009C19C5">
        <w:rPr>
          <w:lang w:val="sr-Cyrl-RS"/>
        </w:rPr>
        <w:t xml:space="preserve"> 30/18)</w:t>
      </w:r>
      <w:r w:rsidR="00083380" w:rsidRPr="009C19C5">
        <w:rPr>
          <w:lang w:val="sr-Cyrl-RS"/>
        </w:rPr>
        <w:t>.</w:t>
      </w:r>
    </w:p>
    <w:p w14:paraId="31CFB10B" w14:textId="6D9E3416" w:rsidR="00783A39" w:rsidRPr="009C19C5" w:rsidRDefault="00783A39" w:rsidP="008D7F6B">
      <w:pPr>
        <w:pStyle w:val="basic-paragraph"/>
        <w:numPr>
          <w:ilvl w:val="1"/>
          <w:numId w:val="18"/>
        </w:numPr>
        <w:tabs>
          <w:tab w:val="left" w:pos="270"/>
          <w:tab w:val="left" w:pos="900"/>
        </w:tabs>
        <w:spacing w:before="0" w:beforeAutospacing="0" w:after="0" w:afterAutospacing="0"/>
        <w:ind w:left="0" w:firstLine="720"/>
        <w:jc w:val="both"/>
        <w:rPr>
          <w:lang w:val="sr-Cyrl-RS"/>
        </w:rPr>
      </w:pPr>
      <w:r w:rsidRPr="009C19C5">
        <w:rPr>
          <w:lang w:val="sr-Cyrl-RS"/>
        </w:rPr>
        <w:t>Стратегија развоја енергетике Републике Србије до 2040.</w:t>
      </w:r>
      <w:r w:rsidR="00BB5EEF" w:rsidRPr="009C19C5">
        <w:rPr>
          <w:lang w:val="sr-Cyrl-RS"/>
        </w:rPr>
        <w:t xml:space="preserve"> </w:t>
      </w:r>
      <w:r w:rsidRPr="009C19C5">
        <w:rPr>
          <w:lang w:val="sr-Cyrl-RS"/>
        </w:rPr>
        <w:t>године са пројекцијама до 2050.</w:t>
      </w:r>
      <w:r w:rsidR="004E1032" w:rsidRPr="009C19C5">
        <w:rPr>
          <w:lang w:val="sr-Cyrl-RS"/>
        </w:rPr>
        <w:t xml:space="preserve"> </w:t>
      </w:r>
      <w:r w:rsidRPr="009C19C5">
        <w:rPr>
          <w:lang w:val="sr-Cyrl-RS"/>
        </w:rPr>
        <w:t>године</w:t>
      </w:r>
      <w:r w:rsidR="00FD6206" w:rsidRPr="009C19C5">
        <w:rPr>
          <w:lang w:val="sr-Cyrl-RS"/>
        </w:rPr>
        <w:t xml:space="preserve"> </w:t>
      </w:r>
      <w:r w:rsidR="00233678" w:rsidRPr="009C19C5">
        <w:rPr>
          <w:lang w:val="sr-Cyrl-RS"/>
        </w:rPr>
        <w:t xml:space="preserve"> („Службени гласник РС”, број 94/24 - </w:t>
      </w:r>
      <w:r w:rsidR="00FD6206" w:rsidRPr="009C19C5">
        <w:rPr>
          <w:lang w:val="sr-Cyrl-RS"/>
        </w:rPr>
        <w:t>у даљем тексту: Стратегија развоја енергетике)</w:t>
      </w:r>
      <w:r w:rsidRPr="009C19C5">
        <w:rPr>
          <w:lang w:val="sr-Cyrl-RS"/>
        </w:rPr>
        <w:t>.</w:t>
      </w:r>
    </w:p>
    <w:p w14:paraId="34A09F66" w14:textId="6035EEED" w:rsidR="00083380" w:rsidRPr="009C19C5" w:rsidRDefault="00083380" w:rsidP="00534A78">
      <w:pPr>
        <w:spacing w:after="0" w:line="240" w:lineRule="auto"/>
        <w:ind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Зелена Агенда обухвата разне области деловања како би се реализовала транзиција ка зеленој, одрживој и циркуларној економији. Суштину ове транзиције чини процес декарбонизације у коме кључну улогу игра енергетски сектор. У циљу спровођења процеса дек</w:t>
      </w:r>
      <w:r w:rsidR="00F02577" w:rsidRPr="009C19C5">
        <w:rPr>
          <w:rFonts w:ascii="Times New Roman" w:hAnsi="Times New Roman" w:cs="Times New Roman"/>
          <w:sz w:val="24"/>
          <w:szCs w:val="24"/>
          <w:lang w:val="sr-Cyrl-RS"/>
        </w:rPr>
        <w:t>а</w:t>
      </w:r>
      <w:r w:rsidRPr="009C19C5">
        <w:rPr>
          <w:rFonts w:ascii="Times New Roman" w:hAnsi="Times New Roman" w:cs="Times New Roman"/>
          <w:sz w:val="24"/>
          <w:szCs w:val="24"/>
          <w:lang w:val="sr-Cyrl-RS"/>
        </w:rPr>
        <w:t>рбонизације неопходно је дефинисати енергетску и праведну транзициј</w:t>
      </w:r>
      <w:r w:rsidR="00F87F51">
        <w:rPr>
          <w:rFonts w:ascii="Times New Roman" w:hAnsi="Times New Roman" w:cs="Times New Roman"/>
          <w:sz w:val="24"/>
          <w:szCs w:val="24"/>
          <w:lang w:val="sr-Cyrl-RS"/>
        </w:rPr>
        <w:t>у</w:t>
      </w:r>
      <w:r w:rsidRPr="009C19C5">
        <w:rPr>
          <w:rFonts w:ascii="Times New Roman" w:hAnsi="Times New Roman" w:cs="Times New Roman"/>
          <w:sz w:val="24"/>
          <w:szCs w:val="24"/>
          <w:lang w:val="sr-Cyrl-RS"/>
        </w:rPr>
        <w:t>. Два су кључна документа којим</w:t>
      </w:r>
      <w:r w:rsidR="00F87F51">
        <w:rPr>
          <w:rFonts w:ascii="Times New Roman" w:hAnsi="Times New Roman" w:cs="Times New Roman"/>
          <w:sz w:val="24"/>
          <w:szCs w:val="24"/>
          <w:lang w:val="sr-Cyrl-RS"/>
        </w:rPr>
        <w:t>а</w:t>
      </w:r>
      <w:r w:rsidRPr="009C19C5">
        <w:rPr>
          <w:rFonts w:ascii="Times New Roman" w:hAnsi="Times New Roman" w:cs="Times New Roman"/>
          <w:sz w:val="24"/>
          <w:szCs w:val="24"/>
          <w:lang w:val="sr-Cyrl-RS"/>
        </w:rPr>
        <w:t xml:space="preserve"> је дефинисан процес декарбонизације у </w:t>
      </w:r>
      <w:bookmarkStart w:id="6" w:name="_Hlk202355027"/>
      <w:r w:rsidR="007D4593" w:rsidRPr="009C19C5">
        <w:rPr>
          <w:rFonts w:ascii="Times New Roman" w:hAnsi="Times New Roman" w:cs="Times New Roman"/>
          <w:sz w:val="24"/>
          <w:szCs w:val="24"/>
          <w:lang w:val="sr-Cyrl-RS"/>
        </w:rPr>
        <w:t>Републици</w:t>
      </w:r>
      <w:bookmarkEnd w:id="6"/>
      <w:r w:rsidR="007D4593" w:rsidRPr="009C19C5">
        <w:rPr>
          <w:rFonts w:ascii="Times New Roman" w:hAnsi="Times New Roman" w:cs="Times New Roman"/>
          <w:sz w:val="24"/>
          <w:szCs w:val="24"/>
          <w:lang w:val="sr-Cyrl-RS"/>
        </w:rPr>
        <w:t xml:space="preserve"> </w:t>
      </w:r>
      <w:r w:rsidRPr="009C19C5">
        <w:rPr>
          <w:rFonts w:ascii="Times New Roman" w:hAnsi="Times New Roman" w:cs="Times New Roman"/>
          <w:sz w:val="24"/>
          <w:szCs w:val="24"/>
          <w:lang w:val="sr-Cyrl-RS"/>
        </w:rPr>
        <w:t xml:space="preserve">Србији, а то су ИНЕКП и </w:t>
      </w:r>
      <w:bookmarkStart w:id="7" w:name="_Hlk202530375"/>
      <w:r w:rsidRPr="009C19C5">
        <w:rPr>
          <w:rFonts w:ascii="Times New Roman" w:hAnsi="Times New Roman" w:cs="Times New Roman"/>
          <w:sz w:val="24"/>
          <w:szCs w:val="24"/>
          <w:lang w:val="sr-Cyrl-RS"/>
        </w:rPr>
        <w:t>Стратегија развоја енергетике</w:t>
      </w:r>
      <w:bookmarkEnd w:id="7"/>
      <w:r w:rsidRPr="009C19C5">
        <w:rPr>
          <w:rFonts w:ascii="Times New Roman" w:hAnsi="Times New Roman" w:cs="Times New Roman"/>
          <w:sz w:val="24"/>
          <w:szCs w:val="24"/>
          <w:lang w:val="sr-Cyrl-RS"/>
        </w:rPr>
        <w:t xml:space="preserve">.  </w:t>
      </w:r>
    </w:p>
    <w:p w14:paraId="39FAA37E" w14:textId="0FB7430F" w:rsidR="00A030B3" w:rsidRPr="009C19C5" w:rsidRDefault="00A030B3" w:rsidP="00534A78">
      <w:pPr>
        <w:pStyle w:val="basic-paragraph"/>
        <w:spacing w:before="0" w:beforeAutospacing="0" w:after="0" w:afterAutospacing="0"/>
        <w:ind w:firstLine="720"/>
        <w:jc w:val="both"/>
        <w:rPr>
          <w:lang w:val="sr-Cyrl-RS"/>
        </w:rPr>
      </w:pPr>
      <w:r w:rsidRPr="009C19C5">
        <w:rPr>
          <w:lang w:val="sr-Cyrl-RS"/>
        </w:rPr>
        <w:t>Одлуком Министарског савета D/2021/14/MC-EnC усвојена је адаптирана регулатива</w:t>
      </w:r>
      <w:r w:rsidR="00F45999" w:rsidRPr="009C19C5">
        <w:rPr>
          <w:lang w:val="sr-Cyrl-RS"/>
        </w:rPr>
        <w:t xml:space="preserve"> ЕУ</w:t>
      </w:r>
      <w:r w:rsidRPr="009C19C5">
        <w:rPr>
          <w:lang w:val="sr-Cyrl-RS"/>
        </w:rPr>
        <w:t xml:space="preserve"> 2018/1999 којом се прописује обавеза израде Интегрисаног националног енергетског и климатског плана за све Уговорне стране.</w:t>
      </w:r>
      <w:r w:rsidR="00650B8E" w:rsidRPr="009C19C5">
        <w:rPr>
          <w:lang w:val="sr-Cyrl-RS"/>
        </w:rPr>
        <w:t xml:space="preserve"> Адаптирана регулатива</w:t>
      </w:r>
      <w:r w:rsidR="00F45999" w:rsidRPr="009C19C5">
        <w:rPr>
          <w:lang w:val="sr-Cyrl-RS"/>
        </w:rPr>
        <w:t xml:space="preserve"> ЕУ</w:t>
      </w:r>
      <w:r w:rsidR="00650B8E" w:rsidRPr="009C19C5">
        <w:rPr>
          <w:lang w:val="sr-Cyrl-RS"/>
        </w:rPr>
        <w:t xml:space="preserve"> 2018/1999 прописује сагледавање </w:t>
      </w:r>
      <w:r w:rsidR="002817BE" w:rsidRPr="009C19C5">
        <w:rPr>
          <w:lang w:val="sr-Cyrl-RS"/>
        </w:rPr>
        <w:t>аспекта праведне транзиције.</w:t>
      </w:r>
    </w:p>
    <w:p w14:paraId="2D591145" w14:textId="657E574A" w:rsidR="00CA0616" w:rsidRPr="009C19C5" w:rsidRDefault="00CA0616" w:rsidP="00534A78">
      <w:pPr>
        <w:spacing w:after="0" w:line="240" w:lineRule="auto"/>
        <w:ind w:firstLine="720"/>
        <w:jc w:val="both"/>
        <w:rPr>
          <w:rFonts w:ascii="Times New Roman" w:eastAsia="Times New Roman" w:hAnsi="Times New Roman" w:cs="Times New Roman"/>
          <w:sz w:val="24"/>
          <w:szCs w:val="24"/>
          <w:lang w:val="sr-Cyrl-RS" w:eastAsia="el-GR"/>
        </w:rPr>
      </w:pPr>
      <w:r w:rsidRPr="009C19C5">
        <w:rPr>
          <w:rFonts w:ascii="Times New Roman" w:hAnsi="Times New Roman" w:cs="Times New Roman"/>
          <w:sz w:val="24"/>
          <w:szCs w:val="24"/>
          <w:lang w:val="sr-Cyrl-RS"/>
        </w:rPr>
        <w:t>ИНЕКП дефинише</w:t>
      </w:r>
      <w:r w:rsidR="00A4173D" w:rsidRPr="009C19C5">
        <w:rPr>
          <w:rFonts w:ascii="Times New Roman" w:hAnsi="Times New Roman" w:cs="Times New Roman"/>
          <w:sz w:val="24"/>
          <w:szCs w:val="24"/>
          <w:lang w:val="sr-Cyrl-RS"/>
        </w:rPr>
        <w:t xml:space="preserve"> циљеве, мерe и политикe, структуру енергетског сектора, потребан капацитет нових постројења, потребну производња енергије као и потрошња финалне енергиje за период до 2030.</w:t>
      </w:r>
      <w:r w:rsidR="00BB5EEF" w:rsidRPr="009C19C5">
        <w:rPr>
          <w:rFonts w:ascii="Times New Roman" w:hAnsi="Times New Roman" w:cs="Times New Roman"/>
          <w:sz w:val="24"/>
          <w:szCs w:val="24"/>
          <w:lang w:val="sr-Cyrl-RS"/>
        </w:rPr>
        <w:t xml:space="preserve"> </w:t>
      </w:r>
      <w:r w:rsidR="00A4173D" w:rsidRPr="009C19C5">
        <w:rPr>
          <w:rFonts w:ascii="Times New Roman" w:hAnsi="Times New Roman" w:cs="Times New Roman"/>
          <w:sz w:val="24"/>
          <w:szCs w:val="24"/>
          <w:lang w:val="sr-Cyrl-RS"/>
        </w:rPr>
        <w:t xml:space="preserve">године а које је потребно реализовати ради спровођења процеса енергетске транзиције.  </w:t>
      </w:r>
      <w:r w:rsidR="006A4C1E" w:rsidRPr="009C19C5">
        <w:rPr>
          <w:rFonts w:ascii="Times New Roman" w:hAnsi="Times New Roman" w:cs="Times New Roman"/>
          <w:sz w:val="24"/>
          <w:szCs w:val="24"/>
          <w:lang w:val="sr-Cyrl-RS"/>
        </w:rPr>
        <w:t xml:space="preserve">Овим документом се приказује и макроекономски утицај и, у мери у којој је то изводљиво, утицај на здравство, животну средину, запошљавање и образовање, вештине, као и друштво, планираних </w:t>
      </w:r>
      <w:r w:rsidR="006A4C1E" w:rsidRPr="009C19C5">
        <w:rPr>
          <w:rFonts w:ascii="Times New Roman" w:hAnsi="Times New Roman" w:cs="Times New Roman"/>
          <w:sz w:val="24"/>
          <w:szCs w:val="24"/>
          <w:lang w:val="sr-Cyrl-RS"/>
        </w:rPr>
        <w:lastRenderedPageBreak/>
        <w:t>политика и мера,</w:t>
      </w:r>
      <w:r w:rsidR="00A4173D" w:rsidRPr="009C19C5">
        <w:rPr>
          <w:rFonts w:ascii="Times New Roman" w:hAnsi="Times New Roman" w:cs="Times New Roman"/>
          <w:sz w:val="24"/>
          <w:szCs w:val="24"/>
          <w:lang w:val="sr-Cyrl-RS"/>
        </w:rPr>
        <w:t xml:space="preserve"> </w:t>
      </w:r>
      <w:r w:rsidR="006A4C1E" w:rsidRPr="009C19C5">
        <w:rPr>
          <w:rFonts w:ascii="Times New Roman" w:hAnsi="Times New Roman" w:cs="Times New Roman"/>
          <w:sz w:val="24"/>
          <w:szCs w:val="24"/>
          <w:lang w:val="sr-Cyrl-RS"/>
        </w:rPr>
        <w:t>с</w:t>
      </w:r>
      <w:r w:rsidR="00200375" w:rsidRPr="009C19C5">
        <w:rPr>
          <w:rFonts w:ascii="Times New Roman" w:hAnsi="Times New Roman" w:cs="Times New Roman"/>
          <w:sz w:val="24"/>
          <w:szCs w:val="24"/>
          <w:lang w:val="sr-Cyrl-RS"/>
        </w:rPr>
        <w:t xml:space="preserve"> </w:t>
      </w:r>
      <w:r w:rsidR="006A4C1E" w:rsidRPr="009C19C5">
        <w:rPr>
          <w:rFonts w:ascii="Times New Roman" w:hAnsi="Times New Roman" w:cs="Times New Roman"/>
          <w:sz w:val="24"/>
          <w:szCs w:val="24"/>
          <w:lang w:val="sr-Cyrl-RS"/>
        </w:rPr>
        <w:t>тим да је дефинисано да ће се дета</w:t>
      </w:r>
      <w:r w:rsidR="006A4C1E" w:rsidRPr="009C19C5">
        <w:rPr>
          <w:rFonts w:ascii="Times New Roman" w:eastAsia="Times New Roman" w:hAnsi="Times New Roman" w:cs="Times New Roman"/>
          <w:sz w:val="24"/>
          <w:szCs w:val="24"/>
          <w:lang w:val="sr-Cyrl-RS" w:eastAsia="el-GR"/>
        </w:rPr>
        <w:t xml:space="preserve">љнија анализа утицаја на запошљавање у одређеним областима дефинисати  </w:t>
      </w:r>
      <w:r w:rsidR="00CD2B6B" w:rsidRPr="009C19C5">
        <w:rPr>
          <w:rFonts w:ascii="Times New Roman" w:eastAsia="Times New Roman" w:hAnsi="Times New Roman" w:cs="Times New Roman"/>
          <w:sz w:val="24"/>
          <w:szCs w:val="24"/>
          <w:lang w:val="sr-Cyrl-RS" w:eastAsia="el-GR"/>
        </w:rPr>
        <w:t>П</w:t>
      </w:r>
      <w:r w:rsidR="006A4C1E" w:rsidRPr="009C19C5">
        <w:rPr>
          <w:rFonts w:ascii="Times New Roman" w:eastAsia="Times New Roman" w:hAnsi="Times New Roman" w:cs="Times New Roman"/>
          <w:sz w:val="24"/>
          <w:szCs w:val="24"/>
          <w:lang w:val="sr-Cyrl-RS" w:eastAsia="el-GR"/>
        </w:rPr>
        <w:t xml:space="preserve">ланом праведне </w:t>
      </w:r>
      <w:r w:rsidR="00CD2B6B" w:rsidRPr="009C19C5">
        <w:rPr>
          <w:rFonts w:ascii="Times New Roman" w:eastAsia="Times New Roman" w:hAnsi="Times New Roman" w:cs="Times New Roman"/>
          <w:sz w:val="24"/>
          <w:szCs w:val="24"/>
          <w:lang w:val="sr-Cyrl-RS" w:eastAsia="el-GR"/>
        </w:rPr>
        <w:t xml:space="preserve">енергетске </w:t>
      </w:r>
      <w:r w:rsidR="006A4C1E" w:rsidRPr="009C19C5">
        <w:rPr>
          <w:rFonts w:ascii="Times New Roman" w:eastAsia="Times New Roman" w:hAnsi="Times New Roman" w:cs="Times New Roman"/>
          <w:sz w:val="24"/>
          <w:szCs w:val="24"/>
          <w:lang w:val="sr-Cyrl-RS" w:eastAsia="el-GR"/>
        </w:rPr>
        <w:t>транзиције</w:t>
      </w:r>
      <w:r w:rsidR="00CD2B6B" w:rsidRPr="009C19C5">
        <w:rPr>
          <w:rFonts w:ascii="Times New Roman" w:eastAsia="Times New Roman" w:hAnsi="Times New Roman" w:cs="Times New Roman"/>
          <w:sz w:val="24"/>
          <w:szCs w:val="24"/>
          <w:lang w:val="sr-Cyrl-RS" w:eastAsia="el-GR"/>
        </w:rPr>
        <w:t xml:space="preserve"> Републике Србије до 2030.</w:t>
      </w:r>
      <w:r w:rsidR="00F02577" w:rsidRPr="009C19C5">
        <w:rPr>
          <w:rFonts w:ascii="Times New Roman" w:eastAsia="Times New Roman" w:hAnsi="Times New Roman" w:cs="Times New Roman"/>
          <w:sz w:val="24"/>
          <w:szCs w:val="24"/>
          <w:lang w:val="sr-Cyrl-RS" w:eastAsia="el-GR"/>
        </w:rPr>
        <w:t xml:space="preserve"> </w:t>
      </w:r>
      <w:r w:rsidR="00CD2B6B" w:rsidRPr="009C19C5">
        <w:rPr>
          <w:rFonts w:ascii="Times New Roman" w:eastAsia="Times New Roman" w:hAnsi="Times New Roman" w:cs="Times New Roman"/>
          <w:sz w:val="24"/>
          <w:szCs w:val="24"/>
          <w:lang w:val="sr-Cyrl-RS" w:eastAsia="el-GR"/>
        </w:rPr>
        <w:t>године (у даљем тексту: ППЕТ)</w:t>
      </w:r>
      <w:r w:rsidR="006A4C1E" w:rsidRPr="009C19C5">
        <w:rPr>
          <w:rFonts w:ascii="Times New Roman" w:eastAsia="Times New Roman" w:hAnsi="Times New Roman" w:cs="Times New Roman"/>
          <w:sz w:val="24"/>
          <w:szCs w:val="24"/>
          <w:lang w:val="sr-Cyrl-RS" w:eastAsia="el-GR"/>
        </w:rPr>
        <w:t>.</w:t>
      </w:r>
    </w:p>
    <w:p w14:paraId="36DF4148" w14:textId="61F35A24" w:rsidR="008306FE" w:rsidRPr="009C19C5" w:rsidRDefault="00CA0616" w:rsidP="00534A78">
      <w:pPr>
        <w:spacing w:after="0" w:line="240" w:lineRule="auto"/>
        <w:ind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 xml:space="preserve">Стратегија развоја енергетике </w:t>
      </w:r>
      <w:r w:rsidR="002817BE" w:rsidRPr="009C19C5">
        <w:rPr>
          <w:rFonts w:ascii="Times New Roman" w:hAnsi="Times New Roman" w:cs="Times New Roman"/>
          <w:sz w:val="24"/>
          <w:szCs w:val="24"/>
          <w:lang w:val="sr-Cyrl-RS"/>
        </w:rPr>
        <w:t xml:space="preserve">дефинише </w:t>
      </w:r>
      <w:r w:rsidRPr="009C19C5">
        <w:rPr>
          <w:rFonts w:ascii="Times New Roman" w:hAnsi="Times New Roman" w:cs="Times New Roman"/>
          <w:sz w:val="24"/>
          <w:szCs w:val="24"/>
          <w:lang w:val="sr-Cyrl-RS"/>
        </w:rPr>
        <w:t xml:space="preserve">да </w:t>
      </w:r>
      <w:r w:rsidR="002817BE" w:rsidRPr="009C19C5">
        <w:rPr>
          <w:rFonts w:ascii="Times New Roman" w:hAnsi="Times New Roman" w:cs="Times New Roman"/>
          <w:sz w:val="24"/>
          <w:szCs w:val="24"/>
          <w:lang w:val="sr-Cyrl-RS"/>
        </w:rPr>
        <w:t xml:space="preserve">процес спровођења енергетске транзиције мора бити постепен, али и одлучан, транспарентан и инклузиван, стручно, социјално и економски утемељен, заснован на добром стручном дијалогу, међународним обавезама и прихватљивим решењима која ће </w:t>
      </w:r>
      <w:r w:rsidR="002817BE" w:rsidRPr="009C19C5">
        <w:rPr>
          <w:rFonts w:ascii="Times New Roman" w:eastAsia="Cambria" w:hAnsi="Times New Roman" w:cs="Times New Roman"/>
          <w:sz w:val="24"/>
          <w:szCs w:val="24"/>
          <w:lang w:val="sr-Cyrl-RS"/>
        </w:rPr>
        <w:t xml:space="preserve">осигурати сигурно снабдевање енергијом, поштовање стандарда заштите животне средине и људских права. </w:t>
      </w:r>
      <w:r w:rsidR="002817BE" w:rsidRPr="009C19C5">
        <w:rPr>
          <w:rFonts w:ascii="Times New Roman" w:hAnsi="Times New Roman" w:cs="Times New Roman"/>
          <w:sz w:val="24"/>
          <w:szCs w:val="24"/>
          <w:lang w:val="sr-Cyrl-RS"/>
        </w:rPr>
        <w:t xml:space="preserve">Кључни изазов транзиције у Републици Србији је решавање проблема рударских басена, односно стварање нове развојне парадигме за регионе чија економија доминантно зависи од угља. Зато је </w:t>
      </w:r>
      <w:r w:rsidR="002817BE" w:rsidRPr="009C19C5">
        <w:rPr>
          <w:rFonts w:ascii="Times New Roman" w:eastAsia="Cambria" w:hAnsi="Times New Roman" w:cs="Times New Roman"/>
          <w:sz w:val="24"/>
          <w:szCs w:val="24"/>
          <w:lang w:val="sr-Cyrl-RS"/>
        </w:rPr>
        <w:t xml:space="preserve">један од најважнијих циљева друштвеног дијалога о енергетској транзицији, постизање договора о праведној транзицији енергетике. </w:t>
      </w:r>
      <w:r w:rsidR="008306FE" w:rsidRPr="009C19C5">
        <w:rPr>
          <w:rFonts w:ascii="Times New Roman" w:hAnsi="Times New Roman" w:cs="Times New Roman"/>
          <w:sz w:val="24"/>
          <w:szCs w:val="24"/>
          <w:lang w:val="sr-Cyrl-RS"/>
        </w:rPr>
        <w:t xml:space="preserve">који захтева одговарајући правно-политички, социо-културни и стратешки оквир, уз координацију струке, руководства енергетских компанија, запослених и цивилног сектора. Стратегијом развоја енергетике је размотрен аспект праведне транзиције и дефинисано усвајање плана за праведну транзицију као првог корака у процесу успостављања праведне енергетске транзиције. </w:t>
      </w:r>
    </w:p>
    <w:p w14:paraId="5E7BD82A" w14:textId="161D08FB" w:rsidR="002817BE" w:rsidRPr="009C19C5" w:rsidRDefault="002817BE" w:rsidP="00534A78">
      <w:pPr>
        <w:spacing w:after="0" w:line="240" w:lineRule="auto"/>
        <w:ind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 xml:space="preserve">Имајући у виду обим и комплексност процеса енергетске транзиције Србије, аспект праведне транзиције је </w:t>
      </w:r>
      <w:r w:rsidR="008306FE" w:rsidRPr="009C19C5">
        <w:rPr>
          <w:rFonts w:ascii="Times New Roman" w:hAnsi="Times New Roman" w:cs="Times New Roman"/>
          <w:sz w:val="24"/>
          <w:szCs w:val="24"/>
          <w:lang w:val="sr-Cyrl-RS"/>
        </w:rPr>
        <w:t>посебно разматран и анализиран у оквиру пројекта Студија Дијагностике праведне транзиције Србије у оквиру којег је припр</w:t>
      </w:r>
      <w:r w:rsidR="00D13883" w:rsidRPr="009C19C5">
        <w:rPr>
          <w:rFonts w:ascii="Times New Roman" w:hAnsi="Times New Roman" w:cs="Times New Roman"/>
          <w:sz w:val="24"/>
          <w:szCs w:val="24"/>
          <w:lang w:val="sr-Cyrl-RS"/>
        </w:rPr>
        <w:t>е</w:t>
      </w:r>
      <w:r w:rsidR="008306FE" w:rsidRPr="009C19C5">
        <w:rPr>
          <w:rFonts w:ascii="Times New Roman" w:hAnsi="Times New Roman" w:cs="Times New Roman"/>
          <w:sz w:val="24"/>
          <w:szCs w:val="24"/>
          <w:lang w:val="sr-Cyrl-RS"/>
        </w:rPr>
        <w:t xml:space="preserve">мљен </w:t>
      </w:r>
      <w:r w:rsidR="00CD2B6B" w:rsidRPr="009C19C5">
        <w:rPr>
          <w:rFonts w:ascii="Times New Roman" w:hAnsi="Times New Roman" w:cs="Times New Roman"/>
          <w:sz w:val="24"/>
          <w:szCs w:val="24"/>
          <w:lang w:val="sr-Cyrl-RS"/>
        </w:rPr>
        <w:t>ППЕТ</w:t>
      </w:r>
      <w:r w:rsidR="00534C8C" w:rsidRPr="009C19C5">
        <w:rPr>
          <w:rFonts w:ascii="Times New Roman" w:hAnsi="Times New Roman" w:cs="Times New Roman"/>
          <w:sz w:val="24"/>
          <w:szCs w:val="24"/>
          <w:lang w:val="sr-Cyrl-RS"/>
        </w:rPr>
        <w:t xml:space="preserve"> Републике Србије до 2030.</w:t>
      </w:r>
      <w:r w:rsidR="00566ED4" w:rsidRPr="009C19C5">
        <w:rPr>
          <w:rFonts w:ascii="Times New Roman" w:hAnsi="Times New Roman" w:cs="Times New Roman"/>
          <w:sz w:val="24"/>
          <w:szCs w:val="24"/>
          <w:lang w:val="sr-Cyrl-RS"/>
        </w:rPr>
        <w:t xml:space="preserve"> </w:t>
      </w:r>
      <w:r w:rsidR="00534C8C" w:rsidRPr="009C19C5">
        <w:rPr>
          <w:rFonts w:ascii="Times New Roman" w:hAnsi="Times New Roman" w:cs="Times New Roman"/>
          <w:sz w:val="24"/>
          <w:szCs w:val="24"/>
          <w:lang w:val="sr-Cyrl-RS"/>
        </w:rPr>
        <w:t>године</w:t>
      </w:r>
      <w:r w:rsidR="00CD2B6B" w:rsidRPr="009C19C5">
        <w:rPr>
          <w:rFonts w:ascii="Times New Roman" w:hAnsi="Times New Roman" w:cs="Times New Roman"/>
          <w:sz w:val="24"/>
          <w:szCs w:val="24"/>
          <w:lang w:val="sr-Cyrl-RS"/>
        </w:rPr>
        <w:t xml:space="preserve"> као оп</w:t>
      </w:r>
      <w:r w:rsidR="005C6F6E">
        <w:rPr>
          <w:rFonts w:ascii="Times New Roman" w:hAnsi="Times New Roman" w:cs="Times New Roman"/>
          <w:sz w:val="24"/>
          <w:szCs w:val="24"/>
          <w:lang w:val="sr-Cyrl-RS"/>
        </w:rPr>
        <w:t>е</w:t>
      </w:r>
      <w:r w:rsidR="00CD2B6B" w:rsidRPr="009C19C5">
        <w:rPr>
          <w:rFonts w:ascii="Times New Roman" w:hAnsi="Times New Roman" w:cs="Times New Roman"/>
          <w:sz w:val="24"/>
          <w:szCs w:val="24"/>
          <w:lang w:val="sr-Cyrl-RS"/>
        </w:rPr>
        <w:t>р</w:t>
      </w:r>
      <w:r w:rsidR="005E5769" w:rsidRPr="009C19C5">
        <w:rPr>
          <w:rFonts w:ascii="Times New Roman" w:hAnsi="Times New Roman" w:cs="Times New Roman"/>
          <w:sz w:val="24"/>
          <w:szCs w:val="24"/>
          <w:lang w:val="sr-Cyrl-RS"/>
        </w:rPr>
        <w:t>а</w:t>
      </w:r>
      <w:r w:rsidR="00CD2B6B" w:rsidRPr="009C19C5">
        <w:rPr>
          <w:rFonts w:ascii="Times New Roman" w:hAnsi="Times New Roman" w:cs="Times New Roman"/>
          <w:sz w:val="24"/>
          <w:szCs w:val="24"/>
          <w:lang w:val="sr-Cyrl-RS"/>
        </w:rPr>
        <w:t xml:space="preserve">тивни документ Републике </w:t>
      </w:r>
      <w:r w:rsidR="00F5792C" w:rsidRPr="009C19C5">
        <w:rPr>
          <w:rFonts w:ascii="Times New Roman" w:hAnsi="Times New Roman" w:cs="Times New Roman"/>
          <w:sz w:val="24"/>
          <w:szCs w:val="24"/>
          <w:lang w:val="sr-Cyrl-RS"/>
        </w:rPr>
        <w:t>С</w:t>
      </w:r>
      <w:r w:rsidR="00CD2B6B" w:rsidRPr="009C19C5">
        <w:rPr>
          <w:rFonts w:ascii="Times New Roman" w:hAnsi="Times New Roman" w:cs="Times New Roman"/>
          <w:sz w:val="24"/>
          <w:szCs w:val="24"/>
          <w:lang w:val="sr-Cyrl-RS"/>
        </w:rPr>
        <w:t>рбије за успостављање процеса праведне енергетске транзиције за период до 2030.</w:t>
      </w:r>
      <w:r w:rsidR="00566ED4" w:rsidRPr="009C19C5">
        <w:rPr>
          <w:rFonts w:ascii="Times New Roman" w:hAnsi="Times New Roman" w:cs="Times New Roman"/>
          <w:sz w:val="24"/>
          <w:szCs w:val="24"/>
          <w:lang w:val="sr-Cyrl-RS"/>
        </w:rPr>
        <w:t xml:space="preserve"> </w:t>
      </w:r>
      <w:r w:rsidR="00CD2B6B" w:rsidRPr="009C19C5">
        <w:rPr>
          <w:rFonts w:ascii="Times New Roman" w:hAnsi="Times New Roman" w:cs="Times New Roman"/>
          <w:sz w:val="24"/>
          <w:szCs w:val="24"/>
          <w:lang w:val="sr-Cyrl-RS"/>
        </w:rPr>
        <w:t>године</w:t>
      </w:r>
      <w:r w:rsidR="00BB576A" w:rsidRPr="009C19C5">
        <w:rPr>
          <w:rFonts w:ascii="Times New Roman" w:hAnsi="Times New Roman" w:cs="Times New Roman"/>
          <w:sz w:val="24"/>
          <w:szCs w:val="24"/>
          <w:lang w:val="sr-Cyrl-RS"/>
        </w:rPr>
        <w:t>.</w:t>
      </w:r>
    </w:p>
    <w:p w14:paraId="280EEC7B" w14:textId="77777777" w:rsidR="006E0AD5" w:rsidRPr="009C19C5" w:rsidRDefault="006E0AD5" w:rsidP="00231DCA">
      <w:pPr>
        <w:spacing w:after="0" w:line="240" w:lineRule="auto"/>
        <w:jc w:val="both"/>
        <w:rPr>
          <w:rFonts w:ascii="Times New Roman" w:hAnsi="Times New Roman" w:cs="Times New Roman"/>
          <w:sz w:val="24"/>
          <w:szCs w:val="24"/>
          <w:lang w:val="sr-Cyrl-RS"/>
        </w:rPr>
      </w:pPr>
    </w:p>
    <w:p w14:paraId="3336ECD1" w14:textId="77777777" w:rsidR="0021486A" w:rsidRPr="009C19C5" w:rsidRDefault="0021486A" w:rsidP="00231DCA">
      <w:pPr>
        <w:spacing w:after="0" w:line="240" w:lineRule="auto"/>
        <w:jc w:val="both"/>
        <w:rPr>
          <w:rFonts w:ascii="Times New Roman" w:hAnsi="Times New Roman" w:cs="Times New Roman"/>
          <w:sz w:val="24"/>
          <w:szCs w:val="24"/>
          <w:lang w:val="sr-Cyrl-RS"/>
        </w:rPr>
      </w:pPr>
    </w:p>
    <w:p w14:paraId="48B2A258" w14:textId="218D07CD" w:rsidR="00A030B3" w:rsidRPr="009C19C5" w:rsidRDefault="006E0AD5" w:rsidP="00231DCA">
      <w:pPr>
        <w:pStyle w:val="basic-paragraph"/>
        <w:spacing w:before="0" w:beforeAutospacing="0" w:after="0" w:afterAutospacing="0"/>
        <w:ind w:left="720"/>
        <w:jc w:val="center"/>
        <w:rPr>
          <w:lang w:val="sr-Cyrl-RS"/>
        </w:rPr>
      </w:pPr>
      <w:r w:rsidRPr="009C19C5">
        <w:rPr>
          <w:rStyle w:val="italik"/>
          <w:lang w:val="sr-Cyrl-RS"/>
        </w:rPr>
        <w:t>1.</w:t>
      </w:r>
      <w:r w:rsidR="0034265E" w:rsidRPr="009C19C5">
        <w:rPr>
          <w:rStyle w:val="italik"/>
          <w:lang w:val="sr-Cyrl-RS"/>
        </w:rPr>
        <w:t>3</w:t>
      </w:r>
      <w:r w:rsidRPr="009C19C5">
        <w:rPr>
          <w:rStyle w:val="italik"/>
          <w:lang w:val="sr-Cyrl-RS"/>
        </w:rPr>
        <w:t>.</w:t>
      </w:r>
      <w:bookmarkStart w:id="8" w:name="_Hlk202346750"/>
      <w:r w:rsidR="00566ED4" w:rsidRPr="009C19C5">
        <w:rPr>
          <w:rStyle w:val="italik"/>
          <w:lang w:val="sr-Cyrl-RS"/>
        </w:rPr>
        <w:t xml:space="preserve"> </w:t>
      </w:r>
      <w:r w:rsidRPr="009C19C5">
        <w:rPr>
          <w:rStyle w:val="italik"/>
          <w:lang w:val="sr-Cyrl-RS"/>
        </w:rPr>
        <w:t xml:space="preserve">Веза циљева политике у области енергетике и климе са </w:t>
      </w:r>
      <w:r w:rsidR="00534C8C" w:rsidRPr="009C19C5">
        <w:rPr>
          <w:rStyle w:val="italik"/>
          <w:lang w:val="sr-Cyrl-RS"/>
        </w:rPr>
        <w:t>П</w:t>
      </w:r>
      <w:r w:rsidRPr="009C19C5">
        <w:rPr>
          <w:rStyle w:val="italik"/>
          <w:lang w:val="sr-Cyrl-RS"/>
        </w:rPr>
        <w:t>ланом праведне</w:t>
      </w:r>
      <w:r w:rsidR="00534C8C" w:rsidRPr="009C19C5">
        <w:rPr>
          <w:rStyle w:val="italik"/>
          <w:lang w:val="sr-Cyrl-RS"/>
        </w:rPr>
        <w:t xml:space="preserve"> енергетске</w:t>
      </w:r>
      <w:r w:rsidRPr="009C19C5">
        <w:rPr>
          <w:rStyle w:val="italik"/>
          <w:lang w:val="sr-Cyrl-RS"/>
        </w:rPr>
        <w:t xml:space="preserve"> транзиције</w:t>
      </w:r>
      <w:r w:rsidR="00534C8C" w:rsidRPr="009C19C5">
        <w:rPr>
          <w:rStyle w:val="italik"/>
          <w:lang w:val="sr-Cyrl-RS"/>
        </w:rPr>
        <w:t xml:space="preserve"> Републике Србије до 2030.</w:t>
      </w:r>
      <w:r w:rsidR="00566ED4" w:rsidRPr="009C19C5">
        <w:rPr>
          <w:rStyle w:val="italik"/>
          <w:lang w:val="sr-Cyrl-RS"/>
        </w:rPr>
        <w:t xml:space="preserve"> </w:t>
      </w:r>
      <w:r w:rsidR="00534C8C" w:rsidRPr="009C19C5">
        <w:rPr>
          <w:rStyle w:val="italik"/>
          <w:lang w:val="sr-Cyrl-RS"/>
        </w:rPr>
        <w:t>године</w:t>
      </w:r>
      <w:bookmarkEnd w:id="8"/>
    </w:p>
    <w:p w14:paraId="2958C611" w14:textId="77777777" w:rsidR="005D4908" w:rsidRPr="009C19C5" w:rsidRDefault="005D4908" w:rsidP="00231DCA">
      <w:pPr>
        <w:spacing w:after="0" w:line="240" w:lineRule="auto"/>
        <w:jc w:val="both"/>
        <w:rPr>
          <w:rFonts w:ascii="Times New Roman" w:hAnsi="Times New Roman" w:cs="Times New Roman"/>
          <w:sz w:val="24"/>
          <w:szCs w:val="24"/>
          <w:lang w:val="sr-Cyrl-RS"/>
        </w:rPr>
      </w:pPr>
    </w:p>
    <w:p w14:paraId="4CA16691" w14:textId="1F4A2D99" w:rsidR="00D13883" w:rsidRPr="009C19C5" w:rsidRDefault="001E6A8C" w:rsidP="00534A78">
      <w:pPr>
        <w:spacing w:after="0" w:line="240" w:lineRule="auto"/>
        <w:ind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Енергетски и климатски ц</w:t>
      </w:r>
      <w:r w:rsidR="00D13883" w:rsidRPr="009C19C5">
        <w:rPr>
          <w:rFonts w:ascii="Times New Roman" w:hAnsi="Times New Roman" w:cs="Times New Roman"/>
          <w:sz w:val="24"/>
          <w:szCs w:val="24"/>
          <w:lang w:val="sr-Cyrl-RS"/>
        </w:rPr>
        <w:t>иљеви Републике Србије за 2030.</w:t>
      </w:r>
      <w:r w:rsidR="002D271B" w:rsidRPr="009C19C5">
        <w:rPr>
          <w:rFonts w:ascii="Times New Roman" w:hAnsi="Times New Roman" w:cs="Times New Roman"/>
          <w:sz w:val="24"/>
          <w:szCs w:val="24"/>
          <w:lang w:val="sr-Cyrl-RS"/>
        </w:rPr>
        <w:t xml:space="preserve"> </w:t>
      </w:r>
      <w:r w:rsidR="00D13883" w:rsidRPr="009C19C5">
        <w:rPr>
          <w:rFonts w:ascii="Times New Roman" w:hAnsi="Times New Roman" w:cs="Times New Roman"/>
          <w:sz w:val="24"/>
          <w:szCs w:val="24"/>
          <w:lang w:val="sr-Cyrl-RS"/>
        </w:rPr>
        <w:t xml:space="preserve">годину дефинисани </w:t>
      </w:r>
      <w:r w:rsidRPr="009C19C5">
        <w:rPr>
          <w:rFonts w:ascii="Times New Roman" w:hAnsi="Times New Roman" w:cs="Times New Roman"/>
          <w:sz w:val="24"/>
          <w:szCs w:val="24"/>
          <w:lang w:val="sr-Cyrl-RS"/>
        </w:rPr>
        <w:t xml:space="preserve">у </w:t>
      </w:r>
      <w:r w:rsidR="00D13883" w:rsidRPr="009C19C5">
        <w:rPr>
          <w:rFonts w:ascii="Times New Roman" w:hAnsi="Times New Roman" w:cs="Times New Roman"/>
          <w:sz w:val="24"/>
          <w:szCs w:val="24"/>
          <w:lang w:val="sr-Cyrl-RS"/>
        </w:rPr>
        <w:t>ИНЕКП су:</w:t>
      </w:r>
    </w:p>
    <w:p w14:paraId="66E8B6BE" w14:textId="66FEA04D" w:rsidR="00D13883" w:rsidRPr="009C19C5" w:rsidRDefault="00C12DC5" w:rsidP="008D7F6B">
      <w:pPr>
        <w:pStyle w:val="ListParagraph"/>
        <w:numPr>
          <w:ilvl w:val="0"/>
          <w:numId w:val="6"/>
        </w:numPr>
        <w:spacing w:after="0" w:line="240" w:lineRule="auto"/>
        <w:ind w:firstLine="630"/>
        <w:jc w:val="both"/>
        <w:rPr>
          <w:rFonts w:ascii="Times New Roman" w:hAnsi="Times New Roman" w:cs="Times New Roman"/>
          <w:sz w:val="24"/>
          <w:szCs w:val="24"/>
          <w:lang w:val="sr-Cyrl-RS"/>
        </w:rPr>
      </w:pPr>
      <w:bookmarkStart w:id="9" w:name="_Hlk202792835"/>
      <w:r w:rsidRPr="009C19C5">
        <w:rPr>
          <w:rFonts w:ascii="Times New Roman" w:hAnsi="Times New Roman" w:cs="Times New Roman"/>
          <w:sz w:val="24"/>
          <w:szCs w:val="24"/>
          <w:lang w:val="sr-Cyrl-RS"/>
        </w:rPr>
        <w:t xml:space="preserve">   </w:t>
      </w:r>
      <w:r w:rsidR="00D13883" w:rsidRPr="009C19C5">
        <w:rPr>
          <w:rFonts w:ascii="Times New Roman" w:hAnsi="Times New Roman" w:cs="Times New Roman"/>
          <w:sz w:val="24"/>
          <w:szCs w:val="24"/>
          <w:lang w:val="sr-Cyrl-RS"/>
        </w:rPr>
        <w:t>Учешће ОИЕ у бруто финалној потрошњи енергије од 33,6%;</w:t>
      </w:r>
    </w:p>
    <w:p w14:paraId="08B790B6" w14:textId="366AB344" w:rsidR="00D13883" w:rsidRPr="009C19C5" w:rsidRDefault="00C12DC5" w:rsidP="008D7F6B">
      <w:pPr>
        <w:pStyle w:val="ListParagraph"/>
        <w:numPr>
          <w:ilvl w:val="0"/>
          <w:numId w:val="6"/>
        </w:numPr>
        <w:tabs>
          <w:tab w:val="left" w:pos="360"/>
        </w:tabs>
        <w:spacing w:after="0" w:line="240" w:lineRule="auto"/>
        <w:ind w:firstLine="63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 xml:space="preserve">   </w:t>
      </w:r>
      <w:r w:rsidR="00D13883" w:rsidRPr="009C19C5">
        <w:rPr>
          <w:rFonts w:ascii="Times New Roman" w:hAnsi="Times New Roman" w:cs="Times New Roman"/>
          <w:sz w:val="24"/>
          <w:szCs w:val="24"/>
          <w:lang w:val="sr-Cyrl-RS"/>
        </w:rPr>
        <w:t>Повећање учешћа ОИЕ у производњи електричне енергије на 45%, чиме ће, поред угља, ОИЕ постати равноправан домаћи извор електричне енергије;</w:t>
      </w:r>
    </w:p>
    <w:p w14:paraId="053748FF" w14:textId="74E79044" w:rsidR="00D13883" w:rsidRPr="009C19C5" w:rsidRDefault="00C12DC5" w:rsidP="008D7F6B">
      <w:pPr>
        <w:pStyle w:val="ListParagraph"/>
        <w:numPr>
          <w:ilvl w:val="0"/>
          <w:numId w:val="6"/>
        </w:numPr>
        <w:tabs>
          <w:tab w:val="left" w:pos="450"/>
        </w:tabs>
        <w:spacing w:after="0" w:line="240" w:lineRule="auto"/>
        <w:ind w:firstLine="63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 xml:space="preserve">   </w:t>
      </w:r>
      <w:r w:rsidR="00D13883" w:rsidRPr="009C19C5">
        <w:rPr>
          <w:rFonts w:ascii="Times New Roman" w:hAnsi="Times New Roman" w:cs="Times New Roman"/>
          <w:sz w:val="24"/>
          <w:szCs w:val="24"/>
          <w:lang w:val="sr-Cyrl-RS"/>
        </w:rPr>
        <w:t>Значајно повећање енергетске ефикасности: финална потрошња енергије у 2030.</w:t>
      </w:r>
      <w:r w:rsidR="00566ED4" w:rsidRPr="009C19C5">
        <w:rPr>
          <w:rFonts w:ascii="Times New Roman" w:hAnsi="Times New Roman" w:cs="Times New Roman"/>
          <w:sz w:val="24"/>
          <w:szCs w:val="24"/>
          <w:lang w:val="sr-Cyrl-RS"/>
        </w:rPr>
        <w:t xml:space="preserve"> </w:t>
      </w:r>
      <w:r w:rsidR="0021486A" w:rsidRPr="009C19C5">
        <w:rPr>
          <w:rFonts w:ascii="Times New Roman" w:hAnsi="Times New Roman" w:cs="Times New Roman"/>
          <w:sz w:val="24"/>
          <w:szCs w:val="24"/>
          <w:lang w:val="sr-Cyrl-RS"/>
        </w:rPr>
        <w:t>годин</w:t>
      </w:r>
      <w:r w:rsidR="00F51D3A">
        <w:rPr>
          <w:rFonts w:ascii="Times New Roman" w:hAnsi="Times New Roman" w:cs="Times New Roman"/>
          <w:sz w:val="24"/>
          <w:szCs w:val="24"/>
          <w:lang w:val="sr-Cyrl-RS"/>
        </w:rPr>
        <w:t>и</w:t>
      </w:r>
      <w:r w:rsidR="00D13883" w:rsidRPr="009C19C5">
        <w:rPr>
          <w:rFonts w:ascii="Times New Roman" w:hAnsi="Times New Roman" w:cs="Times New Roman"/>
          <w:sz w:val="24"/>
          <w:szCs w:val="24"/>
          <w:lang w:val="sr-Cyrl-RS"/>
        </w:rPr>
        <w:t xml:space="preserve"> износиће највише 9,6 Мtoe, док ће потрошња примарне енергије у 2030.</w:t>
      </w:r>
      <w:r w:rsidR="007B5D93" w:rsidRPr="009C19C5">
        <w:rPr>
          <w:rFonts w:ascii="Times New Roman" w:hAnsi="Times New Roman" w:cs="Times New Roman"/>
          <w:sz w:val="24"/>
          <w:szCs w:val="24"/>
          <w:lang w:val="sr-Cyrl-RS"/>
        </w:rPr>
        <w:t xml:space="preserve"> </w:t>
      </w:r>
      <w:r w:rsidR="0021486A" w:rsidRPr="009C19C5">
        <w:rPr>
          <w:rFonts w:ascii="Times New Roman" w:hAnsi="Times New Roman" w:cs="Times New Roman"/>
          <w:sz w:val="24"/>
          <w:szCs w:val="24"/>
          <w:lang w:val="sr-Cyrl-RS"/>
        </w:rPr>
        <w:t>годин</w:t>
      </w:r>
      <w:r w:rsidR="00F51D3A">
        <w:rPr>
          <w:rFonts w:ascii="Times New Roman" w:hAnsi="Times New Roman" w:cs="Times New Roman"/>
          <w:sz w:val="24"/>
          <w:szCs w:val="24"/>
          <w:lang w:val="sr-Cyrl-RS"/>
        </w:rPr>
        <w:t>и</w:t>
      </w:r>
      <w:r w:rsidR="0021486A" w:rsidRPr="009C19C5">
        <w:rPr>
          <w:rFonts w:ascii="Times New Roman" w:hAnsi="Times New Roman" w:cs="Times New Roman"/>
          <w:sz w:val="24"/>
          <w:szCs w:val="24"/>
          <w:lang w:val="sr-Cyrl-RS"/>
        </w:rPr>
        <w:t xml:space="preserve"> </w:t>
      </w:r>
      <w:r w:rsidR="00D13883" w:rsidRPr="009C19C5">
        <w:rPr>
          <w:rFonts w:ascii="Times New Roman" w:hAnsi="Times New Roman" w:cs="Times New Roman"/>
          <w:sz w:val="24"/>
          <w:szCs w:val="24"/>
          <w:lang w:val="sr-Cyrl-RS"/>
        </w:rPr>
        <w:t>бити највише 14,68 Мtoe;</w:t>
      </w:r>
    </w:p>
    <w:p w14:paraId="34F81EED" w14:textId="5A047F23" w:rsidR="00D13883" w:rsidRPr="009C19C5" w:rsidRDefault="00D13883" w:rsidP="008D7F6B">
      <w:pPr>
        <w:pStyle w:val="ListParagraph"/>
        <w:numPr>
          <w:ilvl w:val="0"/>
          <w:numId w:val="6"/>
        </w:numPr>
        <w:tabs>
          <w:tab w:val="left" w:pos="900"/>
        </w:tabs>
        <w:spacing w:after="0" w:line="240" w:lineRule="auto"/>
        <w:ind w:left="90" w:firstLine="63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Све ове мере треба да резултирају смањењем емисије гасова са ефектом стаклене баште за 40,3% у односу на 1990</w:t>
      </w:r>
      <w:r w:rsidR="0021486A" w:rsidRPr="009C19C5">
        <w:rPr>
          <w:rFonts w:ascii="Times New Roman" w:hAnsi="Times New Roman" w:cs="Times New Roman"/>
          <w:sz w:val="24"/>
          <w:szCs w:val="24"/>
          <w:lang w:val="sr-Cyrl-RS"/>
        </w:rPr>
        <w:t>.</w:t>
      </w:r>
      <w:r w:rsidR="00566ED4" w:rsidRPr="009C19C5">
        <w:rPr>
          <w:rFonts w:ascii="Times New Roman" w:hAnsi="Times New Roman" w:cs="Times New Roman"/>
          <w:sz w:val="24"/>
          <w:szCs w:val="24"/>
          <w:lang w:val="sr-Cyrl-RS"/>
        </w:rPr>
        <w:t xml:space="preserve"> </w:t>
      </w:r>
      <w:r w:rsidR="0021486A" w:rsidRPr="009C19C5">
        <w:rPr>
          <w:rFonts w:ascii="Times New Roman" w:hAnsi="Times New Roman" w:cs="Times New Roman"/>
          <w:sz w:val="24"/>
          <w:szCs w:val="24"/>
          <w:lang w:val="sr-Cyrl-RS"/>
        </w:rPr>
        <w:t>годину</w:t>
      </w:r>
      <w:r w:rsidRPr="009C19C5">
        <w:rPr>
          <w:rFonts w:ascii="Times New Roman" w:hAnsi="Times New Roman" w:cs="Times New Roman"/>
          <w:sz w:val="24"/>
          <w:szCs w:val="24"/>
          <w:lang w:val="sr-Cyrl-RS"/>
        </w:rPr>
        <w:t xml:space="preserve">, </w:t>
      </w:r>
      <w:r w:rsidR="005D4908" w:rsidRPr="009C19C5">
        <w:rPr>
          <w:rFonts w:ascii="Times New Roman" w:hAnsi="Times New Roman" w:cs="Times New Roman"/>
          <w:sz w:val="24"/>
          <w:szCs w:val="24"/>
          <w:lang w:val="sr-Cyrl-RS"/>
        </w:rPr>
        <w:t xml:space="preserve">а </w:t>
      </w:r>
      <w:r w:rsidRPr="009C19C5">
        <w:rPr>
          <w:rFonts w:ascii="Times New Roman" w:hAnsi="Times New Roman" w:cs="Times New Roman"/>
          <w:sz w:val="24"/>
          <w:szCs w:val="24"/>
          <w:lang w:val="sr-Cyrl-RS"/>
        </w:rPr>
        <w:t>што је у складу са усвојеним и достављеним Уједињеним нацијама Национално утврђен</w:t>
      </w:r>
      <w:r w:rsidR="0021486A" w:rsidRPr="009C19C5">
        <w:rPr>
          <w:rFonts w:ascii="Times New Roman" w:hAnsi="Times New Roman" w:cs="Times New Roman"/>
          <w:sz w:val="24"/>
          <w:szCs w:val="24"/>
          <w:lang w:val="sr-Cyrl-RS"/>
        </w:rPr>
        <w:t>им</w:t>
      </w:r>
      <w:r w:rsidRPr="009C19C5">
        <w:rPr>
          <w:rFonts w:ascii="Times New Roman" w:hAnsi="Times New Roman" w:cs="Times New Roman"/>
          <w:sz w:val="24"/>
          <w:szCs w:val="24"/>
          <w:lang w:val="sr-Cyrl-RS"/>
        </w:rPr>
        <w:t xml:space="preserve"> допринос</w:t>
      </w:r>
      <w:r w:rsidR="0021486A" w:rsidRPr="009C19C5">
        <w:rPr>
          <w:rFonts w:ascii="Times New Roman" w:hAnsi="Times New Roman" w:cs="Times New Roman"/>
          <w:sz w:val="24"/>
          <w:szCs w:val="24"/>
          <w:lang w:val="sr-Cyrl-RS"/>
        </w:rPr>
        <w:t>ом</w:t>
      </w:r>
      <w:r w:rsidRPr="009C19C5">
        <w:rPr>
          <w:rFonts w:ascii="Times New Roman" w:hAnsi="Times New Roman" w:cs="Times New Roman"/>
          <w:sz w:val="24"/>
          <w:szCs w:val="24"/>
          <w:lang w:val="sr-Cyrl-RS"/>
        </w:rPr>
        <w:t xml:space="preserve"> смањењ</w:t>
      </w:r>
      <w:r w:rsidR="00272C6F" w:rsidRPr="009C19C5">
        <w:rPr>
          <w:rFonts w:ascii="Times New Roman" w:hAnsi="Times New Roman" w:cs="Times New Roman"/>
          <w:sz w:val="24"/>
          <w:szCs w:val="24"/>
          <w:lang w:val="sr-Cyrl-RS"/>
        </w:rPr>
        <w:t>у</w:t>
      </w:r>
      <w:r w:rsidRPr="009C19C5">
        <w:rPr>
          <w:rFonts w:ascii="Times New Roman" w:hAnsi="Times New Roman" w:cs="Times New Roman"/>
          <w:sz w:val="24"/>
          <w:szCs w:val="24"/>
          <w:lang w:val="sr-Cyrl-RS"/>
        </w:rPr>
        <w:t xml:space="preserve"> емисија гасова</w:t>
      </w:r>
      <w:r w:rsidR="00272C6F" w:rsidRPr="009C19C5">
        <w:rPr>
          <w:rFonts w:ascii="Times New Roman" w:hAnsi="Times New Roman" w:cs="Times New Roman"/>
          <w:sz w:val="24"/>
          <w:szCs w:val="24"/>
          <w:lang w:val="sr-Cyrl-RS"/>
        </w:rPr>
        <w:t xml:space="preserve"> са ефектом стаклене баште Републике Србије за период 2021-2030.</w:t>
      </w:r>
      <w:r w:rsidR="00BB5EEF" w:rsidRPr="009C19C5">
        <w:rPr>
          <w:rFonts w:ascii="Times New Roman" w:hAnsi="Times New Roman" w:cs="Times New Roman"/>
          <w:sz w:val="24"/>
          <w:szCs w:val="24"/>
          <w:lang w:val="sr-Cyrl-RS"/>
        </w:rPr>
        <w:t xml:space="preserve"> </w:t>
      </w:r>
      <w:r w:rsidR="00272C6F" w:rsidRPr="009C19C5">
        <w:rPr>
          <w:rFonts w:ascii="Times New Roman" w:hAnsi="Times New Roman" w:cs="Times New Roman"/>
          <w:sz w:val="24"/>
          <w:szCs w:val="24"/>
          <w:lang w:val="sr-Cyrl-RS"/>
        </w:rPr>
        <w:t>године.</w:t>
      </w:r>
    </w:p>
    <w:bookmarkEnd w:id="9"/>
    <w:p w14:paraId="66E8F6A5" w14:textId="525875B0" w:rsidR="00D32DAF" w:rsidRPr="009C19C5" w:rsidRDefault="00D32DAF" w:rsidP="00534A78">
      <w:pPr>
        <w:spacing w:after="0" w:line="240" w:lineRule="auto"/>
        <w:ind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 xml:space="preserve">Реализација циљева је у директној вези са социјалним, економским и финансијским аспектом будућег развоја </w:t>
      </w:r>
      <w:r w:rsidR="0006193A" w:rsidRPr="009C19C5">
        <w:rPr>
          <w:rFonts w:ascii="Times New Roman" w:hAnsi="Times New Roman" w:cs="Times New Roman"/>
          <w:sz w:val="24"/>
          <w:szCs w:val="24"/>
          <w:lang w:val="sr-Cyrl-RS"/>
        </w:rPr>
        <w:t xml:space="preserve">Републике </w:t>
      </w:r>
      <w:r w:rsidRPr="009C19C5">
        <w:rPr>
          <w:rFonts w:ascii="Times New Roman" w:hAnsi="Times New Roman" w:cs="Times New Roman"/>
          <w:sz w:val="24"/>
          <w:szCs w:val="24"/>
          <w:lang w:val="sr-Cyrl-RS"/>
        </w:rPr>
        <w:t>Србије. Са процесом декарбонизације долази до смањења броја запослених у производњи угља и електричне енергије те је неопходно дефинисати мере и политике ради спречавања негативних последица.</w:t>
      </w:r>
    </w:p>
    <w:p w14:paraId="458B597C" w14:textId="262291F2" w:rsidR="00B0265D" w:rsidRPr="009C19C5" w:rsidRDefault="00D13883" w:rsidP="00534A78">
      <w:pPr>
        <w:spacing w:after="0" w:line="240" w:lineRule="auto"/>
        <w:ind w:firstLine="720"/>
        <w:jc w:val="both"/>
        <w:rPr>
          <w:rFonts w:ascii="Times New Roman" w:hAnsi="Times New Roman" w:cs="Times New Roman"/>
          <w:sz w:val="24"/>
          <w:szCs w:val="24"/>
          <w:lang w:val="sr-Cyrl-RS"/>
        </w:rPr>
      </w:pPr>
      <w:r w:rsidRPr="009C19C5">
        <w:rPr>
          <w:rFonts w:ascii="Times New Roman" w:eastAsia="Calibri" w:hAnsi="Times New Roman" w:cs="Times New Roman"/>
          <w:sz w:val="24"/>
          <w:szCs w:val="24"/>
          <w:lang w:val="sr-Cyrl-RS"/>
        </w:rPr>
        <w:t>Стратегијом развоја енергетике</w:t>
      </w:r>
      <w:r w:rsidR="00D32DAF" w:rsidRPr="009C19C5">
        <w:rPr>
          <w:rFonts w:ascii="Times New Roman" w:hAnsi="Times New Roman" w:cs="Times New Roman"/>
          <w:sz w:val="24"/>
          <w:szCs w:val="24"/>
          <w:lang w:val="sr-Cyrl-RS"/>
        </w:rPr>
        <w:t xml:space="preserve"> утврђени су општи приоритети енергетског развоја и принципи на којима је потребно развијати енергетску политику Републике Србије, а то су: </w:t>
      </w:r>
      <w:r w:rsidR="005A622C" w:rsidRPr="009C19C5">
        <w:rPr>
          <w:rFonts w:ascii="Times New Roman" w:hAnsi="Times New Roman" w:cs="Times New Roman"/>
          <w:sz w:val="24"/>
          <w:szCs w:val="24"/>
          <w:lang w:val="sr-Cyrl-RS"/>
        </w:rPr>
        <w:t>е</w:t>
      </w:r>
      <w:r w:rsidR="00D32DAF" w:rsidRPr="009C19C5">
        <w:rPr>
          <w:rFonts w:ascii="Times New Roman" w:hAnsi="Times New Roman" w:cs="Times New Roman"/>
          <w:sz w:val="24"/>
          <w:szCs w:val="24"/>
          <w:lang w:val="sr-Cyrl-RS"/>
        </w:rPr>
        <w:t>нергетска безбедност, декарбонизација и економска конкурентност енергетског сектора</w:t>
      </w:r>
      <w:r w:rsidR="007B5D93" w:rsidRPr="009C19C5">
        <w:rPr>
          <w:rFonts w:ascii="Times New Roman" w:hAnsi="Times New Roman" w:cs="Times New Roman"/>
          <w:sz w:val="24"/>
          <w:szCs w:val="24"/>
          <w:lang w:val="sr-Cyrl-RS"/>
        </w:rPr>
        <w:t xml:space="preserve">. </w:t>
      </w:r>
      <w:r w:rsidR="00D32DAF" w:rsidRPr="009C19C5">
        <w:rPr>
          <w:rFonts w:ascii="Times New Roman" w:hAnsi="Times New Roman" w:cs="Times New Roman"/>
          <w:sz w:val="24"/>
          <w:szCs w:val="24"/>
          <w:lang w:val="sr-Cyrl-RS"/>
        </w:rPr>
        <w:t>Један од предуслова за реал</w:t>
      </w:r>
      <w:r w:rsidR="00B0265D" w:rsidRPr="009C19C5">
        <w:rPr>
          <w:rFonts w:ascii="Times New Roman" w:hAnsi="Times New Roman" w:cs="Times New Roman"/>
          <w:sz w:val="24"/>
          <w:szCs w:val="24"/>
          <w:lang w:val="sr-Cyrl-RS"/>
        </w:rPr>
        <w:t xml:space="preserve">изацију ових приоритета је интензивирање активности на праведној друштвено-економској транзицији угљарских региона. </w:t>
      </w:r>
      <w:bookmarkStart w:id="10" w:name="_Hlk202346733"/>
      <w:r w:rsidR="00B0265D" w:rsidRPr="009C19C5">
        <w:rPr>
          <w:rFonts w:ascii="Times New Roman" w:hAnsi="Times New Roman" w:cs="Times New Roman"/>
          <w:sz w:val="24"/>
          <w:szCs w:val="24"/>
          <w:lang w:val="sr-Cyrl-RS"/>
        </w:rPr>
        <w:t xml:space="preserve">Неопходно је што раније започети припремне активности које укључују законодавне промене, увођење потребних промена у секторима као што су образовање, туризам и пољопривреда, планирање економског развоја погођених општина/региона на алтернативни начин и отворено информисање заинтересованих страна на терену о променама које ће доћи у наредних неколико деценија како би се на време припремили за промене. </w:t>
      </w:r>
    </w:p>
    <w:p w14:paraId="3AADB613" w14:textId="77777777" w:rsidR="00BB5EEF" w:rsidRPr="009C19C5" w:rsidRDefault="00BB5EEF" w:rsidP="00534A78">
      <w:pPr>
        <w:spacing w:after="0" w:line="240" w:lineRule="auto"/>
        <w:ind w:firstLine="720"/>
        <w:jc w:val="both"/>
        <w:rPr>
          <w:rFonts w:ascii="Times New Roman" w:hAnsi="Times New Roman" w:cs="Times New Roman"/>
          <w:sz w:val="24"/>
          <w:szCs w:val="24"/>
          <w:lang w:val="sr-Cyrl-RS"/>
        </w:rPr>
      </w:pPr>
    </w:p>
    <w:bookmarkEnd w:id="10"/>
    <w:p w14:paraId="7ABBF9B6" w14:textId="4FF13A37" w:rsidR="00231DCA" w:rsidRPr="009C19C5" w:rsidRDefault="00231DCA" w:rsidP="00231DCA">
      <w:pPr>
        <w:spacing w:after="0" w:line="240" w:lineRule="auto"/>
        <w:ind w:firstLine="450"/>
        <w:jc w:val="both"/>
        <w:rPr>
          <w:rFonts w:ascii="Times New Roman" w:hAnsi="Times New Roman" w:cs="Times New Roman"/>
          <w:sz w:val="24"/>
          <w:szCs w:val="24"/>
          <w:lang w:val="sr-Cyrl-RS"/>
        </w:rPr>
      </w:pPr>
    </w:p>
    <w:p w14:paraId="7453295E" w14:textId="3E49AF2E" w:rsidR="00472F0F" w:rsidRPr="009C19C5" w:rsidRDefault="00472F0F" w:rsidP="00231DCA">
      <w:pPr>
        <w:spacing w:after="0" w:line="240" w:lineRule="auto"/>
        <w:ind w:firstLine="450"/>
        <w:jc w:val="both"/>
        <w:rPr>
          <w:rFonts w:ascii="Times New Roman" w:hAnsi="Times New Roman" w:cs="Times New Roman"/>
          <w:sz w:val="24"/>
          <w:szCs w:val="24"/>
          <w:lang w:val="sr-Cyrl-RS"/>
        </w:rPr>
      </w:pPr>
    </w:p>
    <w:p w14:paraId="13F66A38" w14:textId="3061099F" w:rsidR="00472F0F" w:rsidRPr="009C19C5" w:rsidRDefault="00472F0F" w:rsidP="00BE195F">
      <w:pPr>
        <w:pStyle w:val="Heading2"/>
      </w:pPr>
    </w:p>
    <w:p w14:paraId="5CCE5427" w14:textId="1C4448E0" w:rsidR="00472F0F" w:rsidRPr="00A732C6" w:rsidRDefault="003C15F8" w:rsidP="00BE195F">
      <w:pPr>
        <w:pStyle w:val="Heading2"/>
      </w:pPr>
      <w:r w:rsidRPr="00A732C6">
        <w:lastRenderedPageBreak/>
        <w:t>2.</w:t>
      </w:r>
      <w:r w:rsidR="00BB5EEF" w:rsidRPr="00A732C6">
        <w:t xml:space="preserve"> </w:t>
      </w:r>
      <w:r w:rsidR="006E247C" w:rsidRPr="00A732C6">
        <w:t xml:space="preserve">ЗАШТО ЈЕ ПОТРЕБНА </w:t>
      </w:r>
      <w:r w:rsidR="00472F0F" w:rsidRPr="00A732C6">
        <w:t>ПРАВЕДНА ТРАНЗИЦИЈА</w:t>
      </w:r>
    </w:p>
    <w:p w14:paraId="1A3D8B19" w14:textId="77777777" w:rsidR="00F11A97" w:rsidRPr="00A732C6" w:rsidRDefault="00F11A97" w:rsidP="00F11A97">
      <w:pPr>
        <w:spacing w:after="0" w:line="240" w:lineRule="auto"/>
        <w:rPr>
          <w:sz w:val="24"/>
          <w:szCs w:val="24"/>
          <w:lang w:val="sr-Cyrl-RS" w:eastAsia="el-GR"/>
        </w:rPr>
      </w:pPr>
    </w:p>
    <w:p w14:paraId="612B0BEE" w14:textId="53136ADF" w:rsidR="00D00EAF" w:rsidRPr="009C19C5" w:rsidRDefault="00D00EAF" w:rsidP="00231DCA">
      <w:pPr>
        <w:spacing w:after="0" w:line="240" w:lineRule="auto"/>
        <w:ind w:firstLine="680"/>
        <w:jc w:val="both"/>
        <w:rPr>
          <w:rFonts w:ascii="Times New Roman" w:eastAsia="Calibri" w:hAnsi="Times New Roman" w:cs="Times New Roman"/>
          <w:sz w:val="24"/>
          <w:szCs w:val="24"/>
          <w:lang w:val="sr-Cyrl-RS"/>
        </w:rPr>
      </w:pPr>
      <w:r w:rsidRPr="009C19C5">
        <w:rPr>
          <w:rFonts w:ascii="Times New Roman" w:eastAsia="Calibri" w:hAnsi="Times New Roman" w:cs="Times New Roman"/>
          <w:sz w:val="24"/>
          <w:szCs w:val="24"/>
          <w:lang w:val="sr-Cyrl-RS"/>
        </w:rPr>
        <w:t xml:space="preserve">Енергетски сектор </w:t>
      </w:r>
      <w:r w:rsidR="0006193A" w:rsidRPr="009C19C5">
        <w:rPr>
          <w:rFonts w:ascii="Times New Roman" w:eastAsia="Calibri" w:hAnsi="Times New Roman" w:cs="Times New Roman"/>
          <w:sz w:val="24"/>
          <w:szCs w:val="24"/>
          <w:lang w:val="sr-Cyrl-RS"/>
        </w:rPr>
        <w:t xml:space="preserve">Републике </w:t>
      </w:r>
      <w:r w:rsidRPr="009C19C5">
        <w:rPr>
          <w:rFonts w:ascii="Times New Roman" w:eastAsia="Calibri" w:hAnsi="Times New Roman" w:cs="Times New Roman"/>
          <w:sz w:val="24"/>
          <w:szCs w:val="24"/>
          <w:lang w:val="sr-Cyrl-RS"/>
        </w:rPr>
        <w:t xml:space="preserve">Србије највећим делом је базиран на угљу а </w:t>
      </w:r>
      <w:r w:rsidR="0006193A" w:rsidRPr="009C19C5">
        <w:rPr>
          <w:rFonts w:ascii="Times New Roman" w:eastAsia="Calibri" w:hAnsi="Times New Roman" w:cs="Times New Roman"/>
          <w:sz w:val="24"/>
          <w:szCs w:val="24"/>
          <w:lang w:val="sr-Cyrl-RS"/>
        </w:rPr>
        <w:t xml:space="preserve">Република </w:t>
      </w:r>
      <w:r w:rsidRPr="009C19C5">
        <w:rPr>
          <w:rFonts w:ascii="Times New Roman" w:eastAsia="Calibri" w:hAnsi="Times New Roman" w:cs="Times New Roman"/>
          <w:sz w:val="24"/>
          <w:szCs w:val="24"/>
          <w:lang w:val="sr-Cyrl-RS"/>
        </w:rPr>
        <w:t xml:space="preserve">Србија не располаже у значајним количинама другим природним ресурсима као што су нафта и </w:t>
      </w:r>
      <w:r w:rsidR="0021486A" w:rsidRPr="009C19C5">
        <w:rPr>
          <w:rFonts w:ascii="Times New Roman" w:eastAsia="Calibri" w:hAnsi="Times New Roman" w:cs="Times New Roman"/>
          <w:sz w:val="24"/>
          <w:szCs w:val="24"/>
          <w:lang w:val="sr-Cyrl-RS"/>
        </w:rPr>
        <w:t xml:space="preserve">природни </w:t>
      </w:r>
      <w:r w:rsidRPr="009C19C5">
        <w:rPr>
          <w:rFonts w:ascii="Times New Roman" w:eastAsia="Calibri" w:hAnsi="Times New Roman" w:cs="Times New Roman"/>
          <w:sz w:val="24"/>
          <w:szCs w:val="24"/>
          <w:lang w:val="sr-Cyrl-RS"/>
        </w:rPr>
        <w:t>гас. У производњи електричне енергије у термоелектранама користи се домаћи угаљ -</w:t>
      </w:r>
      <w:r w:rsidR="002D271B" w:rsidRPr="009C19C5">
        <w:rPr>
          <w:rFonts w:ascii="Times New Roman" w:eastAsia="Calibri" w:hAnsi="Times New Roman" w:cs="Times New Roman"/>
          <w:sz w:val="24"/>
          <w:szCs w:val="24"/>
          <w:lang w:val="sr-Cyrl-RS"/>
        </w:rPr>
        <w:t xml:space="preserve"> </w:t>
      </w:r>
      <w:r w:rsidRPr="009C19C5">
        <w:rPr>
          <w:rFonts w:ascii="Times New Roman" w:eastAsia="Calibri" w:hAnsi="Times New Roman" w:cs="Times New Roman"/>
          <w:sz w:val="24"/>
          <w:szCs w:val="24"/>
          <w:lang w:val="sr-Cyrl-RS"/>
        </w:rPr>
        <w:t>нискоквалитетни лигнит</w:t>
      </w:r>
      <w:r w:rsidR="002D271B" w:rsidRPr="009C19C5">
        <w:rPr>
          <w:rFonts w:ascii="Times New Roman" w:eastAsia="Calibri" w:hAnsi="Times New Roman" w:cs="Times New Roman"/>
          <w:sz w:val="24"/>
          <w:szCs w:val="24"/>
          <w:lang w:val="sr-Cyrl-RS"/>
        </w:rPr>
        <w:t>,</w:t>
      </w:r>
      <w:r w:rsidRPr="009C19C5">
        <w:rPr>
          <w:rFonts w:ascii="Times New Roman" w:eastAsia="Calibri" w:hAnsi="Times New Roman" w:cs="Times New Roman"/>
          <w:sz w:val="24"/>
          <w:szCs w:val="24"/>
          <w:lang w:val="sr-Cyrl-RS"/>
        </w:rPr>
        <w:t xml:space="preserve"> који се производи на два највећа површинска копа у </w:t>
      </w:r>
      <w:r w:rsidR="007D4593" w:rsidRPr="009C19C5">
        <w:rPr>
          <w:rFonts w:ascii="Times New Roman" w:hAnsi="Times New Roman" w:cs="Times New Roman"/>
          <w:sz w:val="24"/>
          <w:szCs w:val="24"/>
          <w:lang w:val="sr-Cyrl-RS"/>
        </w:rPr>
        <w:t>Републици</w:t>
      </w:r>
      <w:r w:rsidR="007D4593" w:rsidRPr="009C19C5">
        <w:rPr>
          <w:rFonts w:ascii="Times New Roman" w:eastAsia="Calibri" w:hAnsi="Times New Roman" w:cs="Times New Roman"/>
          <w:sz w:val="24"/>
          <w:szCs w:val="24"/>
          <w:lang w:val="sr-Cyrl-RS"/>
        </w:rPr>
        <w:t xml:space="preserve"> </w:t>
      </w:r>
      <w:r w:rsidRPr="009C19C5">
        <w:rPr>
          <w:rFonts w:ascii="Times New Roman" w:eastAsia="Calibri" w:hAnsi="Times New Roman" w:cs="Times New Roman"/>
          <w:sz w:val="24"/>
          <w:szCs w:val="24"/>
          <w:lang w:val="sr-Cyrl-RS"/>
        </w:rPr>
        <w:t xml:space="preserve">Србији: Колубара и Костолац. Поред ових рудника за површинску експлоатацију угља, постоје и рудници са подземном експлоатацијом угља у оквиру ЈП ПЕУ Ресавица као и рудник са подводном експлоатацијом угља </w:t>
      </w:r>
      <w:r w:rsidR="00C12DC5" w:rsidRPr="009C19C5">
        <w:rPr>
          <w:rFonts w:ascii="Times New Roman" w:eastAsia="Calibri" w:hAnsi="Times New Roman" w:cs="Times New Roman"/>
          <w:sz w:val="24"/>
          <w:szCs w:val="24"/>
          <w:lang w:val="sr-Cyrl-RS"/>
        </w:rPr>
        <w:t xml:space="preserve">Привредно друштво „Рудник </w:t>
      </w:r>
      <w:r w:rsidRPr="009C19C5">
        <w:rPr>
          <w:rFonts w:ascii="Times New Roman" w:eastAsia="Calibri" w:hAnsi="Times New Roman" w:cs="Times New Roman"/>
          <w:sz w:val="24"/>
          <w:szCs w:val="24"/>
          <w:lang w:val="sr-Cyrl-RS"/>
        </w:rPr>
        <w:t>Ковин</w:t>
      </w:r>
      <w:r w:rsidR="00F94E9A" w:rsidRPr="009C19C5">
        <w:rPr>
          <w:rFonts w:ascii="Times New Roman" w:hAnsi="Times New Roman" w:cs="Times New Roman"/>
          <w:lang w:val="sr-Cyrl-RS"/>
        </w:rPr>
        <w:t>”</w:t>
      </w:r>
      <w:r w:rsidR="008D34C5" w:rsidRPr="009C19C5">
        <w:rPr>
          <w:rFonts w:ascii="Times New Roman" w:eastAsia="Calibri" w:hAnsi="Times New Roman" w:cs="Times New Roman"/>
          <w:sz w:val="24"/>
          <w:szCs w:val="24"/>
          <w:lang w:val="sr-Cyrl-RS"/>
        </w:rPr>
        <w:t xml:space="preserve"> </w:t>
      </w:r>
      <w:r w:rsidR="00C12DC5" w:rsidRPr="009C19C5">
        <w:rPr>
          <w:rFonts w:ascii="Times New Roman" w:eastAsia="Calibri" w:hAnsi="Times New Roman" w:cs="Times New Roman"/>
          <w:sz w:val="24"/>
          <w:szCs w:val="24"/>
          <w:lang w:val="sr-Cyrl-RS"/>
        </w:rPr>
        <w:t>а.д.</w:t>
      </w:r>
      <w:r w:rsidRPr="009C19C5">
        <w:rPr>
          <w:rFonts w:ascii="Times New Roman" w:eastAsia="Calibri" w:hAnsi="Times New Roman" w:cs="Times New Roman"/>
          <w:sz w:val="24"/>
          <w:szCs w:val="24"/>
          <w:lang w:val="sr-Cyrl-RS"/>
        </w:rPr>
        <w:t xml:space="preserve"> Међутим рудници са подземном и рудник са подводном експлоатацијом угља учествују са свега 1 % у укупној домаћој производњи угља.  </w:t>
      </w:r>
    </w:p>
    <w:p w14:paraId="4B7593EF" w14:textId="29B36BEA" w:rsidR="00D00EAF" w:rsidRPr="009C19C5" w:rsidRDefault="00D00EAF" w:rsidP="00231DCA">
      <w:pPr>
        <w:spacing w:after="0" w:line="240" w:lineRule="auto"/>
        <w:ind w:firstLine="680"/>
        <w:jc w:val="both"/>
        <w:rPr>
          <w:rFonts w:ascii="Times New Roman" w:eastAsia="Calibri" w:hAnsi="Times New Roman" w:cs="Times New Roman"/>
          <w:sz w:val="24"/>
          <w:szCs w:val="24"/>
          <w:lang w:val="sr-Cyrl-RS"/>
        </w:rPr>
      </w:pPr>
      <w:r w:rsidRPr="009C19C5">
        <w:rPr>
          <w:rFonts w:ascii="Times New Roman" w:eastAsia="Calibri" w:hAnsi="Times New Roman" w:cs="Times New Roman"/>
          <w:sz w:val="24"/>
          <w:szCs w:val="24"/>
          <w:lang w:val="sr-Cyrl-RS"/>
        </w:rPr>
        <w:t>Све до децембра 2021. године домаћа производња електричне енергије је задовољава</w:t>
      </w:r>
      <w:r w:rsidR="000D2030" w:rsidRPr="009C19C5">
        <w:rPr>
          <w:rFonts w:ascii="Times New Roman" w:eastAsia="Calibri" w:hAnsi="Times New Roman" w:cs="Times New Roman"/>
          <w:sz w:val="24"/>
          <w:szCs w:val="24"/>
          <w:lang w:val="sr-Cyrl-RS"/>
        </w:rPr>
        <w:t>ла</w:t>
      </w:r>
      <w:r w:rsidRPr="009C19C5">
        <w:rPr>
          <w:rFonts w:ascii="Times New Roman" w:eastAsia="Calibri" w:hAnsi="Times New Roman" w:cs="Times New Roman"/>
          <w:sz w:val="24"/>
          <w:szCs w:val="24"/>
          <w:lang w:val="sr-Cyrl-RS"/>
        </w:rPr>
        <w:t xml:space="preserve"> домаће потребе иако се и пре тога дужи низ година електроенергетски систем максимално напрезао да обезбеди довољне количине електричне енергије односно да обезбеди довољне количине угља за рад термоелектрана.  Чињеница је да постојећа постројења за производњу електричне енергије су стара, а највећи део њих није у складу са новим условима рада и стандардима када је у питању заштита животне средине.</w:t>
      </w:r>
    </w:p>
    <w:p w14:paraId="0AB61F6D" w14:textId="704B348B" w:rsidR="00D00EAF" w:rsidRPr="009C19C5" w:rsidRDefault="00D00EAF" w:rsidP="00231DCA">
      <w:pPr>
        <w:spacing w:after="0" w:line="240" w:lineRule="auto"/>
        <w:ind w:firstLine="680"/>
        <w:jc w:val="both"/>
        <w:rPr>
          <w:rFonts w:ascii="Times New Roman" w:eastAsia="Calibri" w:hAnsi="Times New Roman" w:cs="Times New Roman"/>
          <w:sz w:val="24"/>
          <w:szCs w:val="24"/>
          <w:lang w:val="sr-Cyrl-RS"/>
        </w:rPr>
      </w:pPr>
      <w:r w:rsidRPr="009C19C5">
        <w:rPr>
          <w:rFonts w:ascii="Times New Roman" w:eastAsia="Calibri" w:hAnsi="Times New Roman" w:cs="Times New Roman"/>
          <w:sz w:val="24"/>
          <w:szCs w:val="24"/>
          <w:lang w:val="sr-Cyrl-RS"/>
        </w:rPr>
        <w:t xml:space="preserve">Дакле,  сасвим је јасно да у случају енергетског сектора </w:t>
      </w:r>
      <w:r w:rsidR="0006193A" w:rsidRPr="009C19C5">
        <w:rPr>
          <w:rFonts w:ascii="Times New Roman" w:eastAsia="Calibri" w:hAnsi="Times New Roman" w:cs="Times New Roman"/>
          <w:sz w:val="24"/>
          <w:szCs w:val="24"/>
          <w:lang w:val="sr-Cyrl-RS"/>
        </w:rPr>
        <w:t xml:space="preserve">Републике </w:t>
      </w:r>
      <w:r w:rsidRPr="009C19C5">
        <w:rPr>
          <w:rFonts w:ascii="Times New Roman" w:eastAsia="Calibri" w:hAnsi="Times New Roman" w:cs="Times New Roman"/>
          <w:sz w:val="24"/>
          <w:szCs w:val="24"/>
          <w:lang w:val="sr-Cyrl-RS"/>
        </w:rPr>
        <w:t xml:space="preserve">Србије, енергетска транзиција треба да доведе до радикалне промене структуре извора и начина производње електричне енергије. </w:t>
      </w:r>
    </w:p>
    <w:p w14:paraId="00FD08C6" w14:textId="6E7B3E0D" w:rsidR="006E247C" w:rsidRPr="009C19C5" w:rsidRDefault="00D00EAF" w:rsidP="00231DCA">
      <w:pPr>
        <w:spacing w:after="0" w:line="240" w:lineRule="auto"/>
        <w:ind w:firstLine="680"/>
        <w:jc w:val="both"/>
        <w:rPr>
          <w:rFonts w:ascii="Times New Roman" w:eastAsia="Calibri" w:hAnsi="Times New Roman" w:cs="Times New Roman"/>
          <w:sz w:val="24"/>
          <w:szCs w:val="24"/>
          <w:lang w:val="sr-Cyrl-RS" w:eastAsia="el-GR"/>
        </w:rPr>
      </w:pPr>
      <w:r w:rsidRPr="009C19C5">
        <w:rPr>
          <w:rFonts w:ascii="Times New Roman" w:eastAsia="Calibri" w:hAnsi="Times New Roman" w:cs="Times New Roman"/>
          <w:sz w:val="24"/>
          <w:szCs w:val="24"/>
          <w:lang w:val="sr-Cyrl-RS"/>
        </w:rPr>
        <w:t xml:space="preserve">Затварање старих термоелектрана је свакако неизоставно, а неопходно када је реч о процесу декарбонизације. Затварање старих термоелектрана у циљу смањења коришћења угља, </w:t>
      </w:r>
      <w:r w:rsidR="000C2EE8" w:rsidRPr="009C19C5">
        <w:rPr>
          <w:rFonts w:ascii="Times New Roman" w:eastAsia="Calibri" w:hAnsi="Times New Roman" w:cs="Times New Roman"/>
          <w:sz w:val="24"/>
          <w:szCs w:val="24"/>
          <w:lang w:val="sr-Cyrl-RS"/>
        </w:rPr>
        <w:t>доводи до смањених потреба за угљем, што може утицати на опадање производње у појединим рудницима и промене њиховог статуса из активног у статус резерве.</w:t>
      </w:r>
      <w:r w:rsidR="0013711E" w:rsidRPr="009C19C5">
        <w:rPr>
          <w:rFonts w:ascii="Times New Roman" w:eastAsia="Calibri" w:hAnsi="Times New Roman" w:cs="Times New Roman"/>
          <w:sz w:val="24"/>
          <w:szCs w:val="24"/>
          <w:lang w:val="sr-Cyrl-RS"/>
        </w:rPr>
        <w:t xml:space="preserve"> </w:t>
      </w:r>
      <w:r w:rsidRPr="009C19C5">
        <w:rPr>
          <w:rFonts w:ascii="Times New Roman" w:eastAsia="Calibri" w:hAnsi="Times New Roman" w:cs="Times New Roman"/>
          <w:sz w:val="24"/>
          <w:szCs w:val="24"/>
          <w:lang w:val="sr-Cyrl-RS"/>
        </w:rPr>
        <w:t xml:space="preserve">У том смислу ово утиче на промену структуре привреде , односно гашење  производње угља и може имати утицај и  на друге привредне делатности које су у уској вези са производњом угља. </w:t>
      </w:r>
      <w:r w:rsidR="006E247C" w:rsidRPr="009C19C5">
        <w:rPr>
          <w:rFonts w:ascii="Times New Roman" w:eastAsia="Calibri" w:hAnsi="Times New Roman" w:cs="Times New Roman"/>
          <w:sz w:val="24"/>
          <w:szCs w:val="24"/>
          <w:lang w:val="sr-Cyrl-RS"/>
        </w:rPr>
        <w:t>Главни фактори кој</w:t>
      </w:r>
      <w:r w:rsidR="001E6A8C" w:rsidRPr="009C19C5">
        <w:rPr>
          <w:rFonts w:ascii="Times New Roman" w:eastAsia="Calibri" w:hAnsi="Times New Roman" w:cs="Times New Roman"/>
          <w:sz w:val="24"/>
          <w:szCs w:val="24"/>
          <w:lang w:val="sr-Cyrl-RS"/>
        </w:rPr>
        <w:t>и</w:t>
      </w:r>
      <w:r w:rsidR="006E247C" w:rsidRPr="009C19C5">
        <w:rPr>
          <w:rFonts w:ascii="Times New Roman" w:eastAsia="Calibri" w:hAnsi="Times New Roman" w:cs="Times New Roman"/>
          <w:sz w:val="24"/>
          <w:szCs w:val="24"/>
          <w:lang w:val="sr-Cyrl-RS"/>
        </w:rPr>
        <w:t xml:space="preserve"> доприносе потреби да </w:t>
      </w:r>
      <w:r w:rsidR="0006193A" w:rsidRPr="009C19C5">
        <w:rPr>
          <w:rFonts w:ascii="Times New Roman" w:eastAsia="Calibri" w:hAnsi="Times New Roman" w:cs="Times New Roman"/>
          <w:sz w:val="24"/>
          <w:szCs w:val="24"/>
          <w:lang w:val="sr-Cyrl-RS"/>
        </w:rPr>
        <w:t xml:space="preserve">Република </w:t>
      </w:r>
      <w:r w:rsidR="006E247C" w:rsidRPr="009C19C5">
        <w:rPr>
          <w:rFonts w:ascii="Times New Roman" w:eastAsia="Calibri" w:hAnsi="Times New Roman" w:cs="Times New Roman"/>
          <w:sz w:val="24"/>
          <w:szCs w:val="24"/>
          <w:lang w:val="sr-Cyrl-RS"/>
        </w:rPr>
        <w:t>Србија неодложно донесе план за  декарбонизацију кроз све секторе привреде су:</w:t>
      </w:r>
    </w:p>
    <w:p w14:paraId="0646574B" w14:textId="70F6D04C" w:rsidR="006E247C" w:rsidRPr="009C19C5" w:rsidRDefault="006E247C" w:rsidP="00C12DC5">
      <w:pPr>
        <w:widowControl w:val="0"/>
        <w:numPr>
          <w:ilvl w:val="0"/>
          <w:numId w:val="2"/>
        </w:numPr>
        <w:tabs>
          <w:tab w:val="left" w:pos="900"/>
        </w:tabs>
        <w:spacing w:after="0" w:line="240" w:lineRule="auto"/>
        <w:ind w:left="0" w:firstLine="630"/>
        <w:jc w:val="both"/>
        <w:rPr>
          <w:rFonts w:ascii="Times New Roman" w:eastAsia="Calibri" w:hAnsi="Times New Roman" w:cs="Times New Roman"/>
          <w:sz w:val="24"/>
          <w:szCs w:val="24"/>
          <w:lang w:val="sr-Cyrl-RS" w:eastAsia="el-GR"/>
        </w:rPr>
      </w:pPr>
      <w:r w:rsidRPr="009C19C5">
        <w:rPr>
          <w:rFonts w:ascii="Times New Roman" w:eastAsia="Calibri" w:hAnsi="Times New Roman" w:cs="Times New Roman"/>
          <w:sz w:val="24"/>
          <w:szCs w:val="24"/>
          <w:lang w:val="sr-Cyrl-RS" w:eastAsia="el-GR"/>
        </w:rPr>
        <w:t>Техничко-технолошки</w:t>
      </w:r>
      <w:r w:rsidR="009E27C0" w:rsidRPr="009C19C5">
        <w:rPr>
          <w:rFonts w:ascii="Times New Roman" w:eastAsia="Calibri" w:hAnsi="Times New Roman" w:cs="Times New Roman"/>
          <w:sz w:val="24"/>
          <w:szCs w:val="24"/>
          <w:lang w:val="sr-Cyrl-RS" w:eastAsia="el-GR"/>
        </w:rPr>
        <w:t>:</w:t>
      </w:r>
      <w:r w:rsidRPr="009C19C5">
        <w:rPr>
          <w:rFonts w:ascii="Times New Roman" w:eastAsia="Calibri" w:hAnsi="Times New Roman" w:cs="Times New Roman"/>
          <w:sz w:val="24"/>
          <w:szCs w:val="24"/>
          <w:lang w:val="sr-Cyrl-RS" w:eastAsia="el-GR"/>
        </w:rPr>
        <w:t xml:space="preserve"> </w:t>
      </w:r>
      <w:r w:rsidR="009E27C0" w:rsidRPr="009C19C5">
        <w:rPr>
          <w:rFonts w:ascii="Times New Roman" w:eastAsia="Calibri" w:hAnsi="Times New Roman" w:cs="Times New Roman"/>
          <w:sz w:val="24"/>
          <w:szCs w:val="24"/>
          <w:lang w:val="sr-Cyrl-RS" w:eastAsia="el-GR"/>
        </w:rPr>
        <w:t>м</w:t>
      </w:r>
      <w:r w:rsidRPr="009C19C5">
        <w:rPr>
          <w:rFonts w:ascii="Times New Roman" w:eastAsia="Calibri" w:hAnsi="Times New Roman" w:cs="Times New Roman"/>
          <w:sz w:val="24"/>
          <w:szCs w:val="24"/>
          <w:lang w:val="sr-Cyrl-RS" w:eastAsia="el-GR"/>
        </w:rPr>
        <w:t>одернизација енергетског сектора и успостављање новог концепта рада сагласно савременим технологијама, пракси и важећим политикама, с</w:t>
      </w:r>
      <w:r w:rsidR="009E27C0" w:rsidRPr="009C19C5">
        <w:rPr>
          <w:rFonts w:ascii="Times New Roman" w:eastAsia="Calibri" w:hAnsi="Times New Roman" w:cs="Times New Roman"/>
          <w:sz w:val="24"/>
          <w:szCs w:val="24"/>
          <w:lang w:val="sr-Cyrl-RS" w:eastAsia="el-GR"/>
        </w:rPr>
        <w:t xml:space="preserve"> </w:t>
      </w:r>
      <w:r w:rsidRPr="009C19C5">
        <w:rPr>
          <w:rFonts w:ascii="Times New Roman" w:eastAsia="Calibri" w:hAnsi="Times New Roman" w:cs="Times New Roman"/>
          <w:sz w:val="24"/>
          <w:szCs w:val="24"/>
          <w:lang w:val="sr-Cyrl-RS" w:eastAsia="el-GR"/>
        </w:rPr>
        <w:t>обзир</w:t>
      </w:r>
      <w:r w:rsidR="009E27C0" w:rsidRPr="009C19C5">
        <w:rPr>
          <w:rFonts w:ascii="Times New Roman" w:eastAsia="Calibri" w:hAnsi="Times New Roman" w:cs="Times New Roman"/>
          <w:sz w:val="24"/>
          <w:szCs w:val="24"/>
          <w:lang w:val="sr-Cyrl-RS" w:eastAsia="el-GR"/>
        </w:rPr>
        <w:t>о</w:t>
      </w:r>
      <w:r w:rsidRPr="009C19C5">
        <w:rPr>
          <w:rFonts w:ascii="Times New Roman" w:eastAsia="Calibri" w:hAnsi="Times New Roman" w:cs="Times New Roman"/>
          <w:sz w:val="24"/>
          <w:szCs w:val="24"/>
          <w:lang w:val="sr-Cyrl-RS" w:eastAsia="el-GR"/>
        </w:rPr>
        <w:t>м да је постојећа структура стара и базирана на угљу лошег квалитета</w:t>
      </w:r>
      <w:r w:rsidR="009E27C0" w:rsidRPr="009C19C5">
        <w:rPr>
          <w:rFonts w:ascii="Times New Roman" w:eastAsia="Calibri" w:hAnsi="Times New Roman" w:cs="Times New Roman"/>
          <w:sz w:val="24"/>
          <w:szCs w:val="24"/>
          <w:lang w:val="sr-Cyrl-RS" w:eastAsia="el-GR"/>
        </w:rPr>
        <w:t>,</w:t>
      </w:r>
      <w:r w:rsidRPr="009C19C5">
        <w:rPr>
          <w:rFonts w:ascii="Times New Roman" w:eastAsia="Calibri" w:hAnsi="Times New Roman" w:cs="Times New Roman"/>
          <w:sz w:val="24"/>
          <w:szCs w:val="24"/>
          <w:lang w:val="sr-Cyrl-RS" w:eastAsia="el-GR"/>
        </w:rPr>
        <w:t xml:space="preserve"> а да </w:t>
      </w:r>
      <w:r w:rsidR="0006193A" w:rsidRPr="009C19C5">
        <w:rPr>
          <w:rFonts w:ascii="Times New Roman" w:eastAsia="Calibri" w:hAnsi="Times New Roman" w:cs="Times New Roman"/>
          <w:sz w:val="24"/>
          <w:szCs w:val="24"/>
          <w:lang w:val="sr-Cyrl-RS" w:eastAsia="el-GR"/>
        </w:rPr>
        <w:t xml:space="preserve">Република </w:t>
      </w:r>
      <w:r w:rsidRPr="009C19C5">
        <w:rPr>
          <w:rFonts w:ascii="Times New Roman" w:eastAsia="Calibri" w:hAnsi="Times New Roman" w:cs="Times New Roman"/>
          <w:sz w:val="24"/>
          <w:szCs w:val="24"/>
          <w:lang w:val="sr-Cyrl-RS" w:eastAsia="el-GR"/>
        </w:rPr>
        <w:t>Србија нема других значајнијих резерви фосилних горива</w:t>
      </w:r>
      <w:r w:rsidR="00BB576A" w:rsidRPr="009C19C5">
        <w:rPr>
          <w:rFonts w:ascii="Times New Roman" w:eastAsia="Calibri" w:hAnsi="Times New Roman" w:cs="Times New Roman"/>
          <w:sz w:val="24"/>
          <w:szCs w:val="24"/>
          <w:lang w:val="sr-Cyrl-RS" w:eastAsia="el-GR"/>
        </w:rPr>
        <w:t>.</w:t>
      </w:r>
      <w:r w:rsidRPr="009C19C5">
        <w:rPr>
          <w:rFonts w:ascii="Times New Roman" w:eastAsia="Calibri" w:hAnsi="Times New Roman" w:cs="Times New Roman"/>
          <w:sz w:val="24"/>
          <w:szCs w:val="24"/>
          <w:lang w:val="sr-Cyrl-RS" w:eastAsia="el-GR"/>
        </w:rPr>
        <w:t xml:space="preserve"> </w:t>
      </w:r>
    </w:p>
    <w:p w14:paraId="538F9709" w14:textId="4F29F00A" w:rsidR="006E247C" w:rsidRPr="009C19C5" w:rsidRDefault="006E247C" w:rsidP="00C12DC5">
      <w:pPr>
        <w:widowControl w:val="0"/>
        <w:numPr>
          <w:ilvl w:val="0"/>
          <w:numId w:val="2"/>
        </w:numPr>
        <w:tabs>
          <w:tab w:val="left" w:pos="900"/>
        </w:tabs>
        <w:spacing w:after="0" w:line="240" w:lineRule="auto"/>
        <w:ind w:left="0" w:firstLine="630"/>
        <w:jc w:val="both"/>
        <w:rPr>
          <w:rFonts w:ascii="Times New Roman" w:eastAsia="Calibri" w:hAnsi="Times New Roman" w:cs="Times New Roman"/>
          <w:sz w:val="24"/>
          <w:szCs w:val="24"/>
          <w:lang w:val="sr-Cyrl-RS" w:eastAsia="el-GR"/>
        </w:rPr>
      </w:pPr>
      <w:r w:rsidRPr="009C19C5">
        <w:rPr>
          <w:rFonts w:ascii="Times New Roman" w:eastAsia="Calibri" w:hAnsi="Times New Roman" w:cs="Times New Roman"/>
          <w:sz w:val="24"/>
          <w:szCs w:val="24"/>
          <w:lang w:val="sr-Cyrl-RS"/>
        </w:rPr>
        <w:t>Унапређење заштите ж</w:t>
      </w:r>
      <w:r w:rsidRPr="009C19C5">
        <w:rPr>
          <w:rFonts w:ascii="Times New Roman" w:eastAsia="Calibri" w:hAnsi="Times New Roman" w:cs="Times New Roman"/>
          <w:sz w:val="24"/>
          <w:szCs w:val="24"/>
          <w:lang w:val="sr-Cyrl-RS" w:eastAsia="el-GR"/>
        </w:rPr>
        <w:t xml:space="preserve">ивотне средине и квалитета живота у условима климатских промена (и испуњавању међународних обавеза </w:t>
      </w:r>
      <w:r w:rsidR="0006193A" w:rsidRPr="009C19C5">
        <w:rPr>
          <w:rFonts w:ascii="Times New Roman" w:eastAsia="Calibri" w:hAnsi="Times New Roman" w:cs="Times New Roman"/>
          <w:sz w:val="24"/>
          <w:szCs w:val="24"/>
          <w:lang w:val="sr-Cyrl-RS" w:eastAsia="el-GR"/>
        </w:rPr>
        <w:t xml:space="preserve">Републике </w:t>
      </w:r>
      <w:r w:rsidRPr="009C19C5">
        <w:rPr>
          <w:rFonts w:ascii="Times New Roman" w:eastAsia="Calibri" w:hAnsi="Times New Roman" w:cs="Times New Roman"/>
          <w:sz w:val="24"/>
          <w:szCs w:val="24"/>
          <w:lang w:val="sr-Cyrl-RS" w:eastAsia="el-GR"/>
        </w:rPr>
        <w:t>Србије у тој области), као и веома важно, побољшање лошег квалитета ваздуха на погођеним територијама.</w:t>
      </w:r>
    </w:p>
    <w:p w14:paraId="46A221D9" w14:textId="77777777" w:rsidR="006E247C" w:rsidRPr="009C19C5" w:rsidRDefault="006E247C" w:rsidP="00C12DC5">
      <w:pPr>
        <w:widowControl w:val="0"/>
        <w:numPr>
          <w:ilvl w:val="0"/>
          <w:numId w:val="2"/>
        </w:numPr>
        <w:tabs>
          <w:tab w:val="left" w:pos="900"/>
        </w:tabs>
        <w:autoSpaceDE w:val="0"/>
        <w:autoSpaceDN w:val="0"/>
        <w:spacing w:after="0" w:line="240" w:lineRule="auto"/>
        <w:ind w:left="0" w:firstLine="630"/>
        <w:jc w:val="both"/>
        <w:rPr>
          <w:rFonts w:ascii="Times New Roman" w:eastAsia="Calibri" w:hAnsi="Times New Roman" w:cs="Times New Roman"/>
          <w:sz w:val="24"/>
          <w:szCs w:val="24"/>
          <w:lang w:val="sr-Cyrl-RS" w:eastAsia="el-GR"/>
        </w:rPr>
      </w:pPr>
      <w:r w:rsidRPr="009C19C5">
        <w:rPr>
          <w:rFonts w:ascii="Times New Roman" w:eastAsia="Calibri" w:hAnsi="Times New Roman" w:cs="Times New Roman"/>
          <w:sz w:val="24"/>
          <w:szCs w:val="24"/>
          <w:lang w:val="sr-Cyrl-RS" w:eastAsia="el-GR"/>
        </w:rPr>
        <w:t>Економски фактори, због тенденције пораста цена енергената, ниже нивелисане цене електричне енергије из обновљивих извора у поређењу са угљем, виших економских трошкова при одређивању цена екстерних фактора (као што је опорезивање угљеника) и старости електрана на угаљ што доводи до њихове ниске ефикасности.</w:t>
      </w:r>
    </w:p>
    <w:p w14:paraId="54F959CC" w14:textId="5238BA39" w:rsidR="006E247C" w:rsidRPr="009C19C5" w:rsidRDefault="006E247C" w:rsidP="00C12DC5">
      <w:pPr>
        <w:widowControl w:val="0"/>
        <w:numPr>
          <w:ilvl w:val="0"/>
          <w:numId w:val="2"/>
        </w:numPr>
        <w:tabs>
          <w:tab w:val="left" w:pos="900"/>
        </w:tabs>
        <w:spacing w:after="0" w:line="240" w:lineRule="auto"/>
        <w:ind w:left="0" w:firstLine="630"/>
        <w:jc w:val="both"/>
        <w:rPr>
          <w:rFonts w:ascii="Times New Roman" w:eastAsia="Calibri" w:hAnsi="Times New Roman" w:cs="Times New Roman"/>
          <w:sz w:val="24"/>
          <w:szCs w:val="24"/>
          <w:lang w:val="sr-Cyrl-RS" w:eastAsia="el-GR"/>
        </w:rPr>
      </w:pPr>
      <w:r w:rsidRPr="009C19C5">
        <w:rPr>
          <w:rFonts w:ascii="Times New Roman" w:eastAsia="Calibri" w:hAnsi="Times New Roman" w:cs="Times New Roman"/>
          <w:sz w:val="24"/>
          <w:szCs w:val="24"/>
          <w:lang w:val="sr-Cyrl-RS" w:eastAsia="el-GR"/>
        </w:rPr>
        <w:t>Друштвени ефекти, тако што средства „</w:t>
      </w:r>
      <w:r w:rsidR="00272C6F" w:rsidRPr="009C19C5">
        <w:rPr>
          <w:rFonts w:ascii="Times New Roman" w:eastAsia="Calibri" w:hAnsi="Times New Roman" w:cs="Times New Roman"/>
          <w:sz w:val="24"/>
          <w:szCs w:val="24"/>
          <w:lang w:val="sr-Cyrl-RS" w:eastAsia="el-GR"/>
        </w:rPr>
        <w:t>заробљена</w:t>
      </w:r>
      <w:r w:rsidR="00F94E9A" w:rsidRPr="009C19C5">
        <w:rPr>
          <w:rFonts w:ascii="Times New Roman" w:hAnsi="Times New Roman" w:cs="Times New Roman"/>
          <w:lang w:val="sr-Cyrl-RS"/>
        </w:rPr>
        <w:t>”</w:t>
      </w:r>
      <w:r w:rsidR="001E6A8C" w:rsidRPr="009C19C5">
        <w:rPr>
          <w:rFonts w:ascii="Times New Roman" w:eastAsia="Calibri" w:hAnsi="Times New Roman" w:cs="Times New Roman"/>
          <w:sz w:val="24"/>
          <w:szCs w:val="24"/>
          <w:lang w:val="sr-Cyrl-RS" w:eastAsia="el-GR"/>
        </w:rPr>
        <w:t xml:space="preserve"> </w:t>
      </w:r>
      <w:r w:rsidR="00272C6F" w:rsidRPr="009C19C5">
        <w:rPr>
          <w:rFonts w:ascii="Times New Roman" w:eastAsia="Calibri" w:hAnsi="Times New Roman" w:cs="Times New Roman"/>
          <w:sz w:val="24"/>
          <w:szCs w:val="24"/>
          <w:lang w:val="sr-Cyrl-RS" w:eastAsia="el-GR"/>
        </w:rPr>
        <w:t>у</w:t>
      </w:r>
      <w:r w:rsidRPr="009C19C5">
        <w:rPr>
          <w:rFonts w:ascii="Times New Roman" w:eastAsia="Calibri" w:hAnsi="Times New Roman" w:cs="Times New Roman"/>
          <w:sz w:val="24"/>
          <w:szCs w:val="24"/>
          <w:lang w:val="sr-Cyrl-RS" w:eastAsia="el-GR"/>
        </w:rPr>
        <w:t xml:space="preserve"> производњи угља ограничавају развој заједница и региона. Ту је и потенцијални отпор према транзицији ка зеленој енергији у угроженим заједницама. То би имало последице на временски оквир транзиције, уколико планиране активности за ублажавање не буду спроведене ефикасно и уз подстицање друштвене кохезије. Друштвени ефекти ће стога првенствено захтевати правилно темпиран сет интервенција које ће деловати као мрежа социјалне</w:t>
      </w:r>
      <w:r w:rsidR="009E27C0" w:rsidRPr="009C19C5">
        <w:rPr>
          <w:rFonts w:ascii="Times New Roman" w:eastAsia="Calibri" w:hAnsi="Times New Roman" w:cs="Times New Roman"/>
          <w:sz w:val="24"/>
          <w:szCs w:val="24"/>
          <w:lang w:val="sr-Cyrl-RS" w:eastAsia="el-GR"/>
        </w:rPr>
        <w:t xml:space="preserve"> </w:t>
      </w:r>
      <w:r w:rsidRPr="009C19C5">
        <w:rPr>
          <w:rFonts w:ascii="Times New Roman" w:eastAsia="Calibri" w:hAnsi="Times New Roman" w:cs="Times New Roman"/>
          <w:sz w:val="24"/>
          <w:szCs w:val="24"/>
          <w:lang w:val="sr-Cyrl-RS" w:eastAsia="el-GR"/>
        </w:rPr>
        <w:t>сигурности за погођене, а паралелно са тим, добро планирану и спр</w:t>
      </w:r>
      <w:r w:rsidR="00E1424C" w:rsidRPr="009C19C5">
        <w:rPr>
          <w:rFonts w:ascii="Times New Roman" w:eastAsia="Calibri" w:hAnsi="Times New Roman" w:cs="Times New Roman"/>
          <w:sz w:val="24"/>
          <w:szCs w:val="24"/>
          <w:lang w:val="sr-Cyrl-RS" w:eastAsia="el-GR"/>
        </w:rPr>
        <w:t>оведену кампању подизања свести</w:t>
      </w:r>
      <w:r w:rsidRPr="009C19C5">
        <w:rPr>
          <w:rFonts w:ascii="Times New Roman" w:eastAsia="Calibri" w:hAnsi="Times New Roman" w:cs="Times New Roman"/>
          <w:sz w:val="24"/>
          <w:szCs w:val="24"/>
          <w:lang w:val="sr-Cyrl-RS" w:eastAsia="el-GR"/>
        </w:rPr>
        <w:t>/јавног информисања, како би се грађанима омогућило не само да разумеју и прихвате неопходност промена, већ и доступност мера за ублажавање њиховог ефекта, које ће омогућити праведну транзицију за све, али посебно за социјално угрожене. Ово је посебно важно у претежно рударским општинама</w:t>
      </w:r>
      <w:r w:rsidR="00A43440" w:rsidRPr="009C19C5">
        <w:rPr>
          <w:rFonts w:ascii="Times New Roman" w:eastAsia="Calibri" w:hAnsi="Times New Roman" w:cs="Times New Roman"/>
          <w:sz w:val="24"/>
          <w:szCs w:val="24"/>
          <w:lang w:val="sr-Cyrl-RS" w:eastAsia="el-GR"/>
        </w:rPr>
        <w:t xml:space="preserve"> у оквиру којих се производи угаљ.</w:t>
      </w:r>
    </w:p>
    <w:p w14:paraId="27ECC82B" w14:textId="77777777" w:rsidR="001E6A8C" w:rsidRPr="009C19C5" w:rsidRDefault="001E6A8C" w:rsidP="00E46BE8">
      <w:pPr>
        <w:widowControl w:val="0"/>
        <w:spacing w:after="0" w:line="240" w:lineRule="auto"/>
        <w:ind w:left="360"/>
        <w:jc w:val="both"/>
        <w:rPr>
          <w:rFonts w:ascii="Times New Roman" w:eastAsia="Calibri" w:hAnsi="Times New Roman" w:cs="Times New Roman"/>
          <w:sz w:val="24"/>
          <w:szCs w:val="24"/>
          <w:lang w:val="sr-Cyrl-RS" w:eastAsia="el-GR"/>
        </w:rPr>
      </w:pPr>
    </w:p>
    <w:p w14:paraId="597EE506" w14:textId="77777777" w:rsidR="00BB5EEF" w:rsidRPr="009C19C5" w:rsidRDefault="00BB5EEF" w:rsidP="00231DCA">
      <w:pPr>
        <w:pStyle w:val="ListParagraph"/>
        <w:widowControl w:val="0"/>
        <w:autoSpaceDE w:val="0"/>
        <w:autoSpaceDN w:val="0"/>
        <w:spacing w:after="0" w:line="240" w:lineRule="auto"/>
        <w:jc w:val="center"/>
        <w:rPr>
          <w:rFonts w:ascii="Times New Roman" w:eastAsia="Calibri" w:hAnsi="Times New Roman" w:cs="Times New Roman"/>
          <w:sz w:val="24"/>
          <w:szCs w:val="24"/>
          <w:lang w:val="sr-Cyrl-RS" w:eastAsia="el-GR"/>
        </w:rPr>
      </w:pPr>
    </w:p>
    <w:p w14:paraId="5B235E79" w14:textId="77777777" w:rsidR="00BB5EEF" w:rsidRPr="009C19C5" w:rsidRDefault="00BB5EEF" w:rsidP="00231DCA">
      <w:pPr>
        <w:pStyle w:val="ListParagraph"/>
        <w:widowControl w:val="0"/>
        <w:autoSpaceDE w:val="0"/>
        <w:autoSpaceDN w:val="0"/>
        <w:spacing w:after="0" w:line="240" w:lineRule="auto"/>
        <w:jc w:val="center"/>
        <w:rPr>
          <w:rFonts w:ascii="Times New Roman" w:eastAsia="Calibri" w:hAnsi="Times New Roman" w:cs="Times New Roman"/>
          <w:sz w:val="24"/>
          <w:szCs w:val="24"/>
          <w:lang w:val="sr-Cyrl-RS" w:eastAsia="el-GR"/>
        </w:rPr>
      </w:pPr>
    </w:p>
    <w:p w14:paraId="4072A59B" w14:textId="77777777" w:rsidR="00BB5EEF" w:rsidRPr="009C19C5" w:rsidRDefault="00BB5EEF" w:rsidP="00231DCA">
      <w:pPr>
        <w:pStyle w:val="ListParagraph"/>
        <w:widowControl w:val="0"/>
        <w:autoSpaceDE w:val="0"/>
        <w:autoSpaceDN w:val="0"/>
        <w:spacing w:after="0" w:line="240" w:lineRule="auto"/>
        <w:jc w:val="center"/>
        <w:rPr>
          <w:rFonts w:ascii="Times New Roman" w:eastAsia="Calibri" w:hAnsi="Times New Roman" w:cs="Times New Roman"/>
          <w:sz w:val="24"/>
          <w:szCs w:val="24"/>
          <w:lang w:val="sr-Cyrl-RS" w:eastAsia="el-GR"/>
        </w:rPr>
      </w:pPr>
    </w:p>
    <w:p w14:paraId="627007A3" w14:textId="77777777" w:rsidR="00BB5EEF" w:rsidRPr="009C19C5" w:rsidRDefault="00BB5EEF" w:rsidP="00231DCA">
      <w:pPr>
        <w:pStyle w:val="ListParagraph"/>
        <w:widowControl w:val="0"/>
        <w:autoSpaceDE w:val="0"/>
        <w:autoSpaceDN w:val="0"/>
        <w:spacing w:after="0" w:line="240" w:lineRule="auto"/>
        <w:jc w:val="center"/>
        <w:rPr>
          <w:rFonts w:ascii="Times New Roman" w:eastAsia="Calibri" w:hAnsi="Times New Roman" w:cs="Times New Roman"/>
          <w:sz w:val="24"/>
          <w:szCs w:val="24"/>
          <w:lang w:val="sr-Cyrl-RS" w:eastAsia="el-GR"/>
        </w:rPr>
      </w:pPr>
    </w:p>
    <w:p w14:paraId="35A86848" w14:textId="77777777" w:rsidR="00BB5EEF" w:rsidRPr="009C19C5" w:rsidRDefault="00BB5EEF" w:rsidP="00231DCA">
      <w:pPr>
        <w:pStyle w:val="ListParagraph"/>
        <w:widowControl w:val="0"/>
        <w:autoSpaceDE w:val="0"/>
        <w:autoSpaceDN w:val="0"/>
        <w:spacing w:after="0" w:line="240" w:lineRule="auto"/>
        <w:jc w:val="center"/>
        <w:rPr>
          <w:rFonts w:ascii="Times New Roman" w:eastAsia="Calibri" w:hAnsi="Times New Roman" w:cs="Times New Roman"/>
          <w:sz w:val="24"/>
          <w:szCs w:val="24"/>
          <w:lang w:val="sr-Cyrl-RS" w:eastAsia="el-GR"/>
        </w:rPr>
      </w:pPr>
    </w:p>
    <w:p w14:paraId="00B8B5A1" w14:textId="0EFCDF27" w:rsidR="005A622C" w:rsidRPr="009C19C5" w:rsidRDefault="00D00EAF" w:rsidP="00231DCA">
      <w:pPr>
        <w:pStyle w:val="ListParagraph"/>
        <w:widowControl w:val="0"/>
        <w:autoSpaceDE w:val="0"/>
        <w:autoSpaceDN w:val="0"/>
        <w:spacing w:after="0" w:line="240" w:lineRule="auto"/>
        <w:jc w:val="center"/>
        <w:rPr>
          <w:rFonts w:ascii="Times New Roman" w:eastAsia="Calibri" w:hAnsi="Times New Roman" w:cs="Times New Roman"/>
          <w:sz w:val="24"/>
          <w:szCs w:val="24"/>
          <w:lang w:val="sr-Cyrl-RS" w:eastAsia="el-GR"/>
        </w:rPr>
      </w:pPr>
      <w:r w:rsidRPr="009C19C5">
        <w:rPr>
          <w:rFonts w:ascii="Times New Roman" w:eastAsia="Calibri" w:hAnsi="Times New Roman" w:cs="Times New Roman"/>
          <w:sz w:val="24"/>
          <w:szCs w:val="24"/>
          <w:lang w:val="sr-Cyrl-RS" w:eastAsia="el-GR"/>
        </w:rPr>
        <w:lastRenderedPageBreak/>
        <w:t>3</w:t>
      </w:r>
      <w:r w:rsidR="005A622C" w:rsidRPr="009C19C5">
        <w:rPr>
          <w:rFonts w:ascii="Times New Roman" w:eastAsia="Calibri" w:hAnsi="Times New Roman" w:cs="Times New Roman"/>
          <w:sz w:val="24"/>
          <w:szCs w:val="24"/>
          <w:lang w:val="sr-Cyrl-RS" w:eastAsia="el-GR"/>
        </w:rPr>
        <w:t>.</w:t>
      </w:r>
      <w:r w:rsidR="00BB5EEF" w:rsidRPr="009C19C5">
        <w:rPr>
          <w:rFonts w:ascii="Times New Roman" w:eastAsia="Calibri" w:hAnsi="Times New Roman" w:cs="Times New Roman"/>
          <w:sz w:val="24"/>
          <w:szCs w:val="24"/>
          <w:lang w:val="sr-Cyrl-RS" w:eastAsia="el-GR"/>
        </w:rPr>
        <w:t xml:space="preserve"> </w:t>
      </w:r>
      <w:r w:rsidRPr="009C19C5">
        <w:rPr>
          <w:rFonts w:ascii="Times New Roman" w:eastAsia="Calibri" w:hAnsi="Times New Roman" w:cs="Times New Roman"/>
          <w:sz w:val="24"/>
          <w:szCs w:val="24"/>
          <w:lang w:val="sr-Cyrl-RS" w:eastAsia="el-GR"/>
        </w:rPr>
        <w:t>ПОЛАЗНЕ ОСНОВЕ ЗА ИЗРАДУ ПЛАНА ПРАВЕДНЕ</w:t>
      </w:r>
      <w:r w:rsidR="00CD2B6B" w:rsidRPr="009C19C5">
        <w:rPr>
          <w:rFonts w:ascii="Times New Roman" w:eastAsia="Calibri" w:hAnsi="Times New Roman" w:cs="Times New Roman"/>
          <w:sz w:val="24"/>
          <w:szCs w:val="24"/>
          <w:lang w:val="sr-Cyrl-RS" w:eastAsia="el-GR"/>
        </w:rPr>
        <w:t xml:space="preserve"> ЕНЕРГЕТСКЕ</w:t>
      </w:r>
      <w:r w:rsidRPr="009C19C5">
        <w:rPr>
          <w:rFonts w:ascii="Times New Roman" w:eastAsia="Calibri" w:hAnsi="Times New Roman" w:cs="Times New Roman"/>
          <w:sz w:val="24"/>
          <w:szCs w:val="24"/>
          <w:lang w:val="sr-Cyrl-RS" w:eastAsia="el-GR"/>
        </w:rPr>
        <w:t xml:space="preserve"> ТРАНЗИЦИЈЕ</w:t>
      </w:r>
      <w:r w:rsidR="00CD2B6B" w:rsidRPr="009C19C5">
        <w:rPr>
          <w:rFonts w:ascii="Times New Roman" w:eastAsia="Calibri" w:hAnsi="Times New Roman" w:cs="Times New Roman"/>
          <w:sz w:val="24"/>
          <w:szCs w:val="24"/>
          <w:lang w:val="sr-Cyrl-RS" w:eastAsia="el-GR"/>
        </w:rPr>
        <w:t xml:space="preserve"> РЕПУБЛИКЕ СРБИЈЕ ДО 2030.</w:t>
      </w:r>
      <w:r w:rsidR="002B44FA" w:rsidRPr="009C19C5">
        <w:rPr>
          <w:rFonts w:ascii="Times New Roman" w:eastAsia="Calibri" w:hAnsi="Times New Roman" w:cs="Times New Roman"/>
          <w:sz w:val="24"/>
          <w:szCs w:val="24"/>
          <w:lang w:val="sr-Cyrl-RS" w:eastAsia="el-GR"/>
        </w:rPr>
        <w:t xml:space="preserve"> </w:t>
      </w:r>
      <w:r w:rsidR="00CD2B6B" w:rsidRPr="009C19C5">
        <w:rPr>
          <w:rFonts w:ascii="Times New Roman" w:eastAsia="Calibri" w:hAnsi="Times New Roman" w:cs="Times New Roman"/>
          <w:sz w:val="24"/>
          <w:szCs w:val="24"/>
          <w:lang w:val="sr-Cyrl-RS" w:eastAsia="el-GR"/>
        </w:rPr>
        <w:t>ГОДИНЕ</w:t>
      </w:r>
    </w:p>
    <w:p w14:paraId="40164812" w14:textId="77777777" w:rsidR="00E46BE8" w:rsidRPr="009C19C5" w:rsidRDefault="00E46BE8" w:rsidP="00231DCA">
      <w:pPr>
        <w:pStyle w:val="ListParagraph"/>
        <w:widowControl w:val="0"/>
        <w:autoSpaceDE w:val="0"/>
        <w:autoSpaceDN w:val="0"/>
        <w:spacing w:after="0" w:line="240" w:lineRule="auto"/>
        <w:jc w:val="center"/>
        <w:rPr>
          <w:rFonts w:ascii="Times New Roman" w:eastAsia="Calibri" w:hAnsi="Times New Roman" w:cs="Times New Roman"/>
          <w:sz w:val="24"/>
          <w:szCs w:val="24"/>
          <w:lang w:val="sr-Cyrl-RS" w:eastAsia="el-GR"/>
        </w:rPr>
      </w:pPr>
    </w:p>
    <w:p w14:paraId="0CEAE1ED" w14:textId="59ED582B" w:rsidR="00F276BC" w:rsidRPr="009C19C5" w:rsidRDefault="00534C8C" w:rsidP="00231DCA">
      <w:pPr>
        <w:widowControl w:val="0"/>
        <w:autoSpaceDE w:val="0"/>
        <w:autoSpaceDN w:val="0"/>
        <w:spacing w:after="0" w:line="240" w:lineRule="auto"/>
        <w:ind w:firstLine="680"/>
        <w:jc w:val="both"/>
        <w:rPr>
          <w:rFonts w:ascii="Times New Roman" w:eastAsia="Calibri" w:hAnsi="Times New Roman" w:cs="Times New Roman"/>
          <w:sz w:val="24"/>
          <w:szCs w:val="24"/>
          <w:lang w:val="sr-Cyrl-RS" w:eastAsia="el-GR"/>
        </w:rPr>
      </w:pPr>
      <w:r w:rsidRPr="009C19C5">
        <w:rPr>
          <w:rFonts w:ascii="Times New Roman" w:eastAsia="Calibri" w:hAnsi="Times New Roman" w:cs="Times New Roman"/>
          <w:sz w:val="24"/>
          <w:szCs w:val="24"/>
          <w:lang w:val="sr-Cyrl-RS" w:eastAsia="el-GR"/>
        </w:rPr>
        <w:t>П</w:t>
      </w:r>
      <w:r w:rsidR="000A0E4E" w:rsidRPr="009C19C5">
        <w:rPr>
          <w:rFonts w:ascii="Times New Roman" w:eastAsia="Calibri" w:hAnsi="Times New Roman" w:cs="Times New Roman"/>
          <w:sz w:val="24"/>
          <w:szCs w:val="24"/>
          <w:lang w:val="sr-Cyrl-RS" w:eastAsia="el-GR"/>
        </w:rPr>
        <w:t xml:space="preserve">лан </w:t>
      </w:r>
      <w:r w:rsidRPr="009C19C5">
        <w:rPr>
          <w:rFonts w:ascii="Times New Roman" w:eastAsia="Calibri" w:hAnsi="Times New Roman" w:cs="Times New Roman"/>
          <w:sz w:val="24"/>
          <w:szCs w:val="24"/>
          <w:lang w:val="sr-Cyrl-RS" w:eastAsia="el-GR"/>
        </w:rPr>
        <w:t>праведне енергетске транзиције Републике Србије до 2030.</w:t>
      </w:r>
      <w:r w:rsidR="00F94E9A" w:rsidRPr="009C19C5">
        <w:rPr>
          <w:rFonts w:ascii="Times New Roman" w:eastAsia="Calibri" w:hAnsi="Times New Roman" w:cs="Times New Roman"/>
          <w:sz w:val="24"/>
          <w:szCs w:val="24"/>
          <w:lang w:val="sr-Cyrl-RS" w:eastAsia="el-GR"/>
        </w:rPr>
        <w:t xml:space="preserve"> </w:t>
      </w:r>
      <w:r w:rsidRPr="009C19C5">
        <w:rPr>
          <w:rFonts w:ascii="Times New Roman" w:eastAsia="Calibri" w:hAnsi="Times New Roman" w:cs="Times New Roman"/>
          <w:sz w:val="24"/>
          <w:szCs w:val="24"/>
          <w:lang w:val="sr-Cyrl-RS" w:eastAsia="el-GR"/>
        </w:rPr>
        <w:t xml:space="preserve">године </w:t>
      </w:r>
      <w:r w:rsidR="000A0E4E" w:rsidRPr="009C19C5">
        <w:rPr>
          <w:rFonts w:ascii="Times New Roman" w:eastAsia="Calibri" w:hAnsi="Times New Roman" w:cs="Times New Roman"/>
          <w:sz w:val="24"/>
          <w:szCs w:val="24"/>
          <w:lang w:val="sr-Cyrl-RS" w:eastAsia="el-GR"/>
        </w:rPr>
        <w:t>је из</w:t>
      </w:r>
      <w:r w:rsidR="008D5D72" w:rsidRPr="009C19C5">
        <w:rPr>
          <w:rFonts w:ascii="Times New Roman" w:eastAsia="Calibri" w:hAnsi="Times New Roman" w:cs="Times New Roman"/>
          <w:sz w:val="24"/>
          <w:szCs w:val="24"/>
          <w:lang w:val="sr-Cyrl-RS" w:eastAsia="el-GR"/>
        </w:rPr>
        <w:t xml:space="preserve">рађен </w:t>
      </w:r>
      <w:r w:rsidR="000A0E4E" w:rsidRPr="009C19C5">
        <w:rPr>
          <w:rFonts w:ascii="Times New Roman" w:eastAsia="Calibri" w:hAnsi="Times New Roman" w:cs="Times New Roman"/>
          <w:sz w:val="24"/>
          <w:szCs w:val="24"/>
          <w:lang w:val="sr-Cyrl-RS" w:eastAsia="el-GR"/>
        </w:rPr>
        <w:t>у складу са концептом „праведне транзиције</w:t>
      </w:r>
      <w:r w:rsidR="00F94E9A" w:rsidRPr="009C19C5">
        <w:rPr>
          <w:rFonts w:ascii="Times New Roman" w:eastAsia="Calibri" w:hAnsi="Times New Roman" w:cs="Times New Roman"/>
          <w:bCs/>
          <w:color w:val="000000"/>
          <w:sz w:val="24"/>
          <w:szCs w:val="24"/>
          <w:lang w:val="sr-Cyrl-RS" w:eastAsia="sr-Latn-CS"/>
        </w:rPr>
        <w:t>”</w:t>
      </w:r>
      <w:r w:rsidR="00F94E9A" w:rsidRPr="009C19C5">
        <w:rPr>
          <w:lang w:val="sr-Cyrl-RS"/>
        </w:rPr>
        <w:t xml:space="preserve"> </w:t>
      </w:r>
      <w:r w:rsidR="000A0E4E" w:rsidRPr="009C19C5">
        <w:rPr>
          <w:rFonts w:ascii="Times New Roman" w:eastAsia="Calibri" w:hAnsi="Times New Roman" w:cs="Times New Roman"/>
          <w:sz w:val="24"/>
          <w:szCs w:val="24"/>
          <w:lang w:val="sr-Cyrl-RS" w:eastAsia="el-GR"/>
        </w:rPr>
        <w:t xml:space="preserve">Европске комисије (ЕК), који обухвата чисту енергију, социјалне, демографске, економске, здравствене и еколошке димензије транзиције </w:t>
      </w:r>
      <w:r w:rsidR="008D5D72" w:rsidRPr="009C19C5">
        <w:rPr>
          <w:rFonts w:ascii="Times New Roman" w:eastAsia="Calibri" w:hAnsi="Times New Roman" w:cs="Times New Roman"/>
          <w:sz w:val="24"/>
          <w:szCs w:val="24"/>
          <w:lang w:val="sr-Cyrl-RS" w:eastAsia="el-GR"/>
        </w:rPr>
        <w:t>ка</w:t>
      </w:r>
      <w:r w:rsidR="000A0E4E" w:rsidRPr="009C19C5">
        <w:rPr>
          <w:rFonts w:ascii="Times New Roman" w:eastAsia="Calibri" w:hAnsi="Times New Roman" w:cs="Times New Roman"/>
          <w:sz w:val="24"/>
          <w:szCs w:val="24"/>
          <w:lang w:val="sr-Cyrl-RS" w:eastAsia="el-GR"/>
        </w:rPr>
        <w:t xml:space="preserve"> климатски неутралн</w:t>
      </w:r>
      <w:r w:rsidR="008D5D72" w:rsidRPr="009C19C5">
        <w:rPr>
          <w:rFonts w:ascii="Times New Roman" w:eastAsia="Calibri" w:hAnsi="Times New Roman" w:cs="Times New Roman"/>
          <w:sz w:val="24"/>
          <w:szCs w:val="24"/>
          <w:lang w:val="sr-Cyrl-RS" w:eastAsia="el-GR"/>
        </w:rPr>
        <w:t xml:space="preserve">ој </w:t>
      </w:r>
      <w:r w:rsidR="000A0E4E" w:rsidRPr="009C19C5">
        <w:rPr>
          <w:rFonts w:ascii="Times New Roman" w:eastAsia="Calibri" w:hAnsi="Times New Roman" w:cs="Times New Roman"/>
          <w:sz w:val="24"/>
          <w:szCs w:val="24"/>
          <w:lang w:val="sr-Cyrl-RS" w:eastAsia="el-GR"/>
        </w:rPr>
        <w:t>економиј</w:t>
      </w:r>
      <w:r w:rsidR="008D5D72" w:rsidRPr="009C19C5">
        <w:rPr>
          <w:rFonts w:ascii="Times New Roman" w:eastAsia="Calibri" w:hAnsi="Times New Roman" w:cs="Times New Roman"/>
          <w:sz w:val="24"/>
          <w:szCs w:val="24"/>
          <w:lang w:val="sr-Cyrl-RS" w:eastAsia="el-GR"/>
        </w:rPr>
        <w:t>и</w:t>
      </w:r>
      <w:r w:rsidR="000A0E4E" w:rsidRPr="009C19C5">
        <w:rPr>
          <w:rFonts w:ascii="Times New Roman" w:eastAsia="Calibri" w:hAnsi="Times New Roman" w:cs="Times New Roman"/>
          <w:sz w:val="24"/>
          <w:szCs w:val="24"/>
          <w:lang w:val="sr-Cyrl-RS" w:eastAsia="el-GR"/>
        </w:rPr>
        <w:t>, а који је изражен кроз регулаторни оквир (ЕК 2021/1056 о оснивању Фонда за праведну транзицију) и Платформу праведне транзиције.</w:t>
      </w:r>
    </w:p>
    <w:p w14:paraId="161D60FE" w14:textId="4A0AECD3" w:rsidR="00F131DF" w:rsidRPr="009C19C5" w:rsidRDefault="00F131DF" w:rsidP="00231DCA">
      <w:pPr>
        <w:spacing w:after="0" w:line="240" w:lineRule="auto"/>
        <w:ind w:firstLine="68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 xml:space="preserve">Основне информације на којима  је базиран </w:t>
      </w:r>
      <w:r w:rsidR="000A0E4E" w:rsidRPr="009C19C5">
        <w:rPr>
          <w:rFonts w:ascii="Times New Roman" w:hAnsi="Times New Roman" w:cs="Times New Roman"/>
          <w:sz w:val="24"/>
          <w:szCs w:val="24"/>
          <w:lang w:val="sr-Cyrl-RS"/>
        </w:rPr>
        <w:t xml:space="preserve"> </w:t>
      </w:r>
      <w:r w:rsidR="00CD2B6B" w:rsidRPr="009C19C5">
        <w:rPr>
          <w:rFonts w:ascii="Times New Roman" w:eastAsia="Calibri" w:hAnsi="Times New Roman" w:cs="Times New Roman"/>
          <w:sz w:val="24"/>
          <w:szCs w:val="24"/>
          <w:lang w:val="sr-Cyrl-RS" w:eastAsia="el-GR"/>
        </w:rPr>
        <w:t>ППЕТ</w:t>
      </w:r>
      <w:r w:rsidR="000F2F92" w:rsidRPr="009C19C5">
        <w:rPr>
          <w:rFonts w:ascii="Times New Roman" w:hAnsi="Times New Roman" w:cs="Times New Roman"/>
          <w:sz w:val="24"/>
          <w:szCs w:val="24"/>
          <w:lang w:val="sr-Cyrl-RS"/>
        </w:rPr>
        <w:t xml:space="preserve"> </w:t>
      </w:r>
      <w:r w:rsidRPr="009C19C5">
        <w:rPr>
          <w:rFonts w:ascii="Times New Roman" w:hAnsi="Times New Roman" w:cs="Times New Roman"/>
          <w:sz w:val="24"/>
          <w:szCs w:val="24"/>
          <w:lang w:val="sr-Cyrl-RS"/>
        </w:rPr>
        <w:t>су:</w:t>
      </w:r>
    </w:p>
    <w:p w14:paraId="5DB8CD6B" w14:textId="42B13C8B" w:rsidR="006505D7" w:rsidRPr="009C19C5" w:rsidRDefault="00F131DF" w:rsidP="001E6A8C">
      <w:pPr>
        <w:pStyle w:val="ListParagraph"/>
        <w:numPr>
          <w:ilvl w:val="0"/>
          <w:numId w:val="9"/>
        </w:numPr>
        <w:tabs>
          <w:tab w:val="left" w:pos="900"/>
        </w:tabs>
        <w:spacing w:after="0" w:line="240" w:lineRule="auto"/>
        <w:ind w:left="0" w:firstLine="720"/>
        <w:jc w:val="both"/>
        <w:rPr>
          <w:rFonts w:ascii="Times New Roman" w:eastAsia="Calibri" w:hAnsi="Times New Roman" w:cs="Times New Roman"/>
          <w:sz w:val="24"/>
          <w:szCs w:val="24"/>
          <w:lang w:val="sr-Cyrl-RS" w:eastAsia="el-GR"/>
        </w:rPr>
      </w:pPr>
      <w:r w:rsidRPr="009C19C5">
        <w:rPr>
          <w:rFonts w:ascii="Times New Roman" w:hAnsi="Times New Roman" w:cs="Times New Roman"/>
          <w:sz w:val="24"/>
          <w:szCs w:val="24"/>
          <w:lang w:val="sr-Cyrl-RS"/>
        </w:rPr>
        <w:t>Циљ</w:t>
      </w:r>
      <w:r w:rsidR="00CF3CE1" w:rsidRPr="009C19C5">
        <w:rPr>
          <w:rFonts w:ascii="Times New Roman" w:hAnsi="Times New Roman" w:cs="Times New Roman"/>
          <w:sz w:val="24"/>
          <w:szCs w:val="24"/>
          <w:lang w:val="sr-Cyrl-RS"/>
        </w:rPr>
        <w:t xml:space="preserve">еви енергетског сектора </w:t>
      </w:r>
      <w:r w:rsidR="0006193A" w:rsidRPr="009C19C5">
        <w:rPr>
          <w:rFonts w:ascii="Times New Roman" w:hAnsi="Times New Roman" w:cs="Times New Roman"/>
          <w:sz w:val="24"/>
          <w:szCs w:val="24"/>
          <w:lang w:val="sr-Cyrl-RS"/>
        </w:rPr>
        <w:t xml:space="preserve">Републике </w:t>
      </w:r>
      <w:r w:rsidR="00CF3CE1" w:rsidRPr="009C19C5">
        <w:rPr>
          <w:rFonts w:ascii="Times New Roman" w:hAnsi="Times New Roman" w:cs="Times New Roman"/>
          <w:sz w:val="24"/>
          <w:szCs w:val="24"/>
          <w:lang w:val="sr-Cyrl-RS"/>
        </w:rPr>
        <w:t>Србије за 2030.</w:t>
      </w:r>
      <w:r w:rsidR="009E27C0" w:rsidRPr="009C19C5">
        <w:rPr>
          <w:rFonts w:ascii="Times New Roman" w:hAnsi="Times New Roman" w:cs="Times New Roman"/>
          <w:sz w:val="24"/>
          <w:szCs w:val="24"/>
          <w:lang w:val="sr-Cyrl-RS"/>
        </w:rPr>
        <w:t xml:space="preserve"> </w:t>
      </w:r>
      <w:r w:rsidR="00CF3CE1" w:rsidRPr="009C19C5">
        <w:rPr>
          <w:rFonts w:ascii="Times New Roman" w:hAnsi="Times New Roman" w:cs="Times New Roman"/>
          <w:sz w:val="24"/>
          <w:szCs w:val="24"/>
          <w:lang w:val="sr-Cyrl-RS"/>
        </w:rPr>
        <w:t xml:space="preserve">годину дефинисани </w:t>
      </w:r>
      <w:r w:rsidR="001E6A8C" w:rsidRPr="009C19C5">
        <w:rPr>
          <w:rFonts w:ascii="Times New Roman" w:hAnsi="Times New Roman" w:cs="Times New Roman"/>
          <w:sz w:val="24"/>
          <w:szCs w:val="24"/>
          <w:lang w:val="sr-Cyrl-RS"/>
        </w:rPr>
        <w:t xml:space="preserve">у </w:t>
      </w:r>
      <w:r w:rsidR="00CF3CE1" w:rsidRPr="009C19C5">
        <w:rPr>
          <w:rFonts w:ascii="Times New Roman" w:hAnsi="Times New Roman" w:cs="Times New Roman"/>
          <w:sz w:val="24"/>
          <w:szCs w:val="24"/>
          <w:lang w:val="sr-Cyrl-RS"/>
        </w:rPr>
        <w:t>ИН</w:t>
      </w:r>
      <w:r w:rsidR="006505D7" w:rsidRPr="009C19C5">
        <w:rPr>
          <w:rFonts w:ascii="Times New Roman" w:hAnsi="Times New Roman" w:cs="Times New Roman"/>
          <w:sz w:val="24"/>
          <w:szCs w:val="24"/>
          <w:lang w:val="sr-Cyrl-RS"/>
        </w:rPr>
        <w:t>ЕК</w:t>
      </w:r>
      <w:r w:rsidR="005A622C" w:rsidRPr="009C19C5">
        <w:rPr>
          <w:rFonts w:ascii="Times New Roman" w:hAnsi="Times New Roman" w:cs="Times New Roman"/>
          <w:sz w:val="24"/>
          <w:szCs w:val="24"/>
          <w:lang w:val="sr-Cyrl-RS"/>
        </w:rPr>
        <w:t>П.</w:t>
      </w:r>
      <w:r w:rsidR="00272C6F" w:rsidRPr="009C19C5">
        <w:rPr>
          <w:rFonts w:ascii="Times New Roman" w:hAnsi="Times New Roman" w:cs="Times New Roman"/>
          <w:sz w:val="24"/>
          <w:szCs w:val="24"/>
          <w:lang w:val="sr-Cyrl-RS"/>
        </w:rPr>
        <w:t xml:space="preserve"> </w:t>
      </w:r>
      <w:r w:rsidR="006505D7" w:rsidRPr="009C19C5">
        <w:rPr>
          <w:rFonts w:ascii="Times New Roman" w:hAnsi="Times New Roman" w:cs="Times New Roman"/>
          <w:sz w:val="24"/>
          <w:szCs w:val="24"/>
          <w:lang w:val="sr-Cyrl-RS"/>
        </w:rPr>
        <w:t xml:space="preserve">Политика и циљеви смањења емисија </w:t>
      </w:r>
      <w:r w:rsidR="00CD2B6B" w:rsidRPr="009C19C5">
        <w:rPr>
          <w:rFonts w:ascii="Times New Roman" w:hAnsi="Times New Roman" w:cs="Times New Roman"/>
          <w:sz w:val="24"/>
          <w:szCs w:val="24"/>
          <w:lang w:val="sr-Cyrl-RS"/>
        </w:rPr>
        <w:t xml:space="preserve">гасова са ефектом стаклене баште </w:t>
      </w:r>
      <w:r w:rsidR="006505D7" w:rsidRPr="009C19C5">
        <w:rPr>
          <w:rFonts w:ascii="Times New Roman" w:hAnsi="Times New Roman" w:cs="Times New Roman"/>
          <w:sz w:val="24"/>
          <w:szCs w:val="24"/>
          <w:lang w:val="sr-Cyrl-RS"/>
        </w:rPr>
        <w:t xml:space="preserve">су у директној вези са радом енергетског сектора и енергетском безбедношћу земље, те у том смислу имају посебан значај за енергетику </w:t>
      </w:r>
      <w:r w:rsidR="0006193A" w:rsidRPr="009C19C5">
        <w:rPr>
          <w:rFonts w:ascii="Times New Roman" w:hAnsi="Times New Roman" w:cs="Times New Roman"/>
          <w:sz w:val="24"/>
          <w:szCs w:val="24"/>
          <w:lang w:val="sr-Cyrl-RS"/>
        </w:rPr>
        <w:t xml:space="preserve">Републике </w:t>
      </w:r>
      <w:r w:rsidR="006505D7" w:rsidRPr="009C19C5">
        <w:rPr>
          <w:rFonts w:ascii="Times New Roman" w:hAnsi="Times New Roman" w:cs="Times New Roman"/>
          <w:sz w:val="24"/>
          <w:szCs w:val="24"/>
          <w:lang w:val="sr-Cyrl-RS"/>
        </w:rPr>
        <w:t xml:space="preserve">Србије. У том смислу у Анексу II </w:t>
      </w:r>
      <w:r w:rsidR="006505D7" w:rsidRPr="009C19C5">
        <w:rPr>
          <w:rFonts w:ascii="Times New Roman" w:eastAsia="Calibri" w:hAnsi="Times New Roman" w:cs="Times New Roman"/>
          <w:sz w:val="24"/>
          <w:szCs w:val="24"/>
          <w:lang w:val="sr-Cyrl-RS"/>
        </w:rPr>
        <w:t xml:space="preserve">ИНЕКП приказани су резултати анализе узимајући у обзир првенствено аспект сигурности снабдевања, а </w:t>
      </w:r>
      <w:r w:rsidR="006505D7" w:rsidRPr="009C19C5">
        <w:rPr>
          <w:rFonts w:ascii="Times New Roman" w:eastAsia="Calibri" w:hAnsi="Times New Roman" w:cs="Times New Roman"/>
          <w:sz w:val="24"/>
          <w:szCs w:val="24"/>
          <w:lang w:val="sr-Cyrl-RS" w:eastAsia="el-GR"/>
        </w:rPr>
        <w:t>која покрива ризике повезане са несигурностима сектора енергетике на међународном нивоу.</w:t>
      </w:r>
      <w:r w:rsidR="00CF3CE1" w:rsidRPr="009C19C5">
        <w:rPr>
          <w:rFonts w:ascii="Times New Roman" w:eastAsia="Calibri" w:hAnsi="Times New Roman" w:cs="Times New Roman"/>
          <w:sz w:val="24"/>
          <w:szCs w:val="24"/>
          <w:lang w:val="sr-Cyrl-RS" w:eastAsia="el-GR"/>
        </w:rPr>
        <w:t xml:space="preserve"> </w:t>
      </w:r>
      <w:r w:rsidR="006505D7" w:rsidRPr="009C19C5">
        <w:rPr>
          <w:rFonts w:ascii="Times New Roman" w:eastAsia="Calibri" w:hAnsi="Times New Roman" w:cs="Times New Roman"/>
          <w:sz w:val="24"/>
          <w:szCs w:val="24"/>
          <w:lang w:val="sr-Cyrl-RS" w:eastAsia="el-GR"/>
        </w:rPr>
        <w:t xml:space="preserve">ИНЕКП пре свега </w:t>
      </w:r>
      <w:r w:rsidR="00CF3CE1" w:rsidRPr="009C19C5">
        <w:rPr>
          <w:rFonts w:ascii="Times New Roman" w:eastAsia="Calibri" w:hAnsi="Times New Roman" w:cs="Times New Roman"/>
          <w:sz w:val="24"/>
          <w:szCs w:val="24"/>
          <w:lang w:val="sr-Cyrl-RS" w:eastAsia="el-GR"/>
        </w:rPr>
        <w:t xml:space="preserve">дефинише структуру производње електричне енергије имајући у виду циљ смањења емисија </w:t>
      </w:r>
      <w:r w:rsidR="00CD2B6B" w:rsidRPr="009C19C5">
        <w:rPr>
          <w:rFonts w:ascii="Times New Roman" w:eastAsia="Calibri" w:hAnsi="Times New Roman" w:cs="Times New Roman"/>
          <w:sz w:val="24"/>
          <w:szCs w:val="24"/>
          <w:lang w:val="sr-Cyrl-RS" w:eastAsia="el-GR"/>
        </w:rPr>
        <w:t>гасова са ефектом стаклене баште</w:t>
      </w:r>
      <w:r w:rsidR="00CF3CE1" w:rsidRPr="009C19C5">
        <w:rPr>
          <w:rFonts w:ascii="Times New Roman" w:eastAsia="Calibri" w:hAnsi="Times New Roman" w:cs="Times New Roman"/>
          <w:sz w:val="24"/>
          <w:szCs w:val="24"/>
          <w:lang w:val="sr-Cyrl-RS" w:eastAsia="el-GR"/>
        </w:rPr>
        <w:t>.</w:t>
      </w:r>
    </w:p>
    <w:p w14:paraId="35D69D15" w14:textId="6FCAAA8F" w:rsidR="00CF3CE1" w:rsidRPr="009C19C5" w:rsidRDefault="006505D7" w:rsidP="001E6A8C">
      <w:pPr>
        <w:pStyle w:val="ListParagraph"/>
        <w:numPr>
          <w:ilvl w:val="0"/>
          <w:numId w:val="7"/>
        </w:numPr>
        <w:tabs>
          <w:tab w:val="left" w:pos="900"/>
        </w:tabs>
        <w:spacing w:after="0" w:line="240" w:lineRule="auto"/>
        <w:ind w:left="0" w:firstLine="720"/>
        <w:jc w:val="both"/>
        <w:rPr>
          <w:rFonts w:ascii="Times New Roman" w:hAnsi="Times New Roman" w:cs="Times New Roman"/>
          <w:sz w:val="24"/>
          <w:szCs w:val="24"/>
          <w:lang w:val="sr-Cyrl-RS"/>
        </w:rPr>
      </w:pPr>
      <w:r w:rsidRPr="009C19C5">
        <w:rPr>
          <w:rFonts w:ascii="Times New Roman" w:eastAsia="Calibri" w:hAnsi="Times New Roman" w:cs="Times New Roman"/>
          <w:sz w:val="24"/>
          <w:szCs w:val="24"/>
          <w:lang w:val="sr-Cyrl-RS"/>
        </w:rPr>
        <w:t>Стратегиј</w:t>
      </w:r>
      <w:r w:rsidR="00CF3CE1" w:rsidRPr="009C19C5">
        <w:rPr>
          <w:rFonts w:ascii="Times New Roman" w:eastAsia="Calibri" w:hAnsi="Times New Roman" w:cs="Times New Roman"/>
          <w:sz w:val="24"/>
          <w:szCs w:val="24"/>
          <w:lang w:val="sr-Cyrl-RS"/>
        </w:rPr>
        <w:t>ом</w:t>
      </w:r>
      <w:r w:rsidRPr="009C19C5">
        <w:rPr>
          <w:rFonts w:ascii="Times New Roman" w:eastAsia="Calibri" w:hAnsi="Times New Roman" w:cs="Times New Roman"/>
          <w:sz w:val="24"/>
          <w:szCs w:val="24"/>
          <w:lang w:val="sr-Cyrl-RS"/>
        </w:rPr>
        <w:t xml:space="preserve"> развоја енергетике Републике Србије до 2040.</w:t>
      </w:r>
      <w:r w:rsidR="009E27C0" w:rsidRPr="009C19C5">
        <w:rPr>
          <w:rFonts w:ascii="Times New Roman" w:eastAsia="Calibri" w:hAnsi="Times New Roman" w:cs="Times New Roman"/>
          <w:sz w:val="24"/>
          <w:szCs w:val="24"/>
          <w:lang w:val="sr-Cyrl-RS"/>
        </w:rPr>
        <w:t xml:space="preserve"> </w:t>
      </w:r>
      <w:r w:rsidRPr="009C19C5">
        <w:rPr>
          <w:rFonts w:ascii="Times New Roman" w:eastAsia="Calibri" w:hAnsi="Times New Roman" w:cs="Times New Roman"/>
          <w:sz w:val="24"/>
          <w:szCs w:val="24"/>
          <w:lang w:val="sr-Cyrl-RS"/>
        </w:rPr>
        <w:t>године са пројекцијама до 2050.</w:t>
      </w:r>
      <w:r w:rsidR="009E27C0" w:rsidRPr="009C19C5">
        <w:rPr>
          <w:rFonts w:ascii="Times New Roman" w:eastAsia="Calibri" w:hAnsi="Times New Roman" w:cs="Times New Roman"/>
          <w:sz w:val="24"/>
          <w:szCs w:val="24"/>
          <w:lang w:val="sr-Cyrl-RS"/>
        </w:rPr>
        <w:t xml:space="preserve"> </w:t>
      </w:r>
      <w:r w:rsidRPr="009C19C5">
        <w:rPr>
          <w:rFonts w:ascii="Times New Roman" w:eastAsia="Calibri" w:hAnsi="Times New Roman" w:cs="Times New Roman"/>
          <w:sz w:val="24"/>
          <w:szCs w:val="24"/>
          <w:lang w:val="sr-Cyrl-RS"/>
        </w:rPr>
        <w:t xml:space="preserve">године </w:t>
      </w:r>
      <w:r w:rsidR="00CF3CE1" w:rsidRPr="009C19C5">
        <w:rPr>
          <w:rFonts w:ascii="Times New Roman" w:eastAsia="Calibri" w:hAnsi="Times New Roman" w:cs="Times New Roman"/>
          <w:sz w:val="24"/>
          <w:szCs w:val="24"/>
          <w:lang w:val="sr-Cyrl-RS"/>
        </w:rPr>
        <w:t xml:space="preserve">одређено је да </w:t>
      </w:r>
      <w:r w:rsidR="00CF3CE1" w:rsidRPr="009C19C5">
        <w:rPr>
          <w:rFonts w:ascii="Times New Roman" w:hAnsi="Times New Roman" w:cs="Times New Roman"/>
          <w:sz w:val="24"/>
          <w:szCs w:val="24"/>
          <w:lang w:val="sr-Cyrl-RS"/>
        </w:rPr>
        <w:t xml:space="preserve">ће динамика рада термоелектрана зависити пре свега од енергетске безбедности, како она ни у једном тренутку не би била угрожена. Рад термоелектрана биће прилагођен тренутним потребама за електричном енергијом. То значи да ће неки блокови радити максимално у складу са својим перформансама, док ће један број њих радити са смањеном снагом или, у каснијем периоду, бити у статусу резерве. Да би рад ових електрана био у складу са потребама декарбонизације, потребно је размотрити и примену технологија за прикупљање и складиштење угљендиоксида. Могућност рада са смањеном снагом омогућиће варијабилност у укупном портфолију производње електричне енергије. Наравно, све ово подразумева претпоставку да ће се у производном портфолију наћи ОИЕ са циљаним (или већим) учешћем у производњи електричне енергије од 45% у 2030. години, односно 73% у 2040. години. </w:t>
      </w:r>
    </w:p>
    <w:p w14:paraId="490242C1" w14:textId="090864D9" w:rsidR="000F2F92" w:rsidRPr="009C19C5" w:rsidRDefault="000C2EE8" w:rsidP="00592779">
      <w:pPr>
        <w:pStyle w:val="ListParagraph"/>
        <w:numPr>
          <w:ilvl w:val="0"/>
          <w:numId w:val="7"/>
        </w:numPr>
        <w:tabs>
          <w:tab w:val="left" w:pos="900"/>
        </w:tabs>
        <w:autoSpaceDE w:val="0"/>
        <w:autoSpaceDN w:val="0"/>
        <w:adjustRightInd w:val="0"/>
        <w:spacing w:after="0" w:line="240" w:lineRule="auto"/>
        <w:ind w:left="0" w:firstLine="720"/>
        <w:jc w:val="both"/>
        <w:rPr>
          <w:rFonts w:ascii="Times New Roman" w:eastAsia="Calibri" w:hAnsi="Times New Roman" w:cs="Times New Roman"/>
          <w:sz w:val="24"/>
          <w:szCs w:val="24"/>
          <w:lang w:val="sr-Cyrl-RS" w:eastAsia="el-GR"/>
        </w:rPr>
      </w:pPr>
      <w:r w:rsidRPr="009C19C5">
        <w:rPr>
          <w:rFonts w:ascii="Times New Roman" w:hAnsi="Times New Roman" w:cs="Times New Roman"/>
          <w:sz w:val="24"/>
          <w:szCs w:val="24"/>
          <w:lang w:val="sr-Cyrl-RS"/>
        </w:rPr>
        <w:t>План декарбонизације</w:t>
      </w:r>
      <w:r w:rsidR="0013711E" w:rsidRPr="009C19C5">
        <w:rPr>
          <w:rFonts w:ascii="Times New Roman" w:hAnsi="Times New Roman" w:cs="Times New Roman"/>
          <w:sz w:val="24"/>
          <w:szCs w:val="24"/>
          <w:lang w:val="sr-Cyrl-RS"/>
        </w:rPr>
        <w:t>,</w:t>
      </w:r>
      <w:r w:rsidRPr="009C19C5">
        <w:rPr>
          <w:rFonts w:ascii="Times New Roman" w:hAnsi="Times New Roman" w:cs="Times New Roman"/>
          <w:sz w:val="24"/>
          <w:szCs w:val="24"/>
          <w:lang w:val="sr-Cyrl-RS"/>
        </w:rPr>
        <w:t xml:space="preserve"> односно повлачење из рада термоелектрана као и транзициони план за поједине руднике </w:t>
      </w:r>
      <w:r w:rsidR="00592779" w:rsidRPr="009C19C5">
        <w:rPr>
          <w:rFonts w:ascii="Times New Roman" w:hAnsi="Times New Roman" w:cs="Times New Roman"/>
          <w:sz w:val="24"/>
          <w:szCs w:val="24"/>
          <w:lang w:val="sr-Cyrl-RS"/>
        </w:rPr>
        <w:t xml:space="preserve">у </w:t>
      </w:r>
      <w:r w:rsidRPr="009C19C5">
        <w:rPr>
          <w:rFonts w:ascii="Times New Roman" w:hAnsi="Times New Roman" w:cs="Times New Roman"/>
          <w:sz w:val="24"/>
          <w:szCs w:val="24"/>
          <w:lang w:val="sr-Cyrl-RS"/>
        </w:rPr>
        <w:t>оквиру ЈП ПЕУ Ресавица биће дефинисан у наредном</w:t>
      </w:r>
      <w:r w:rsidR="005510B0" w:rsidRPr="009C19C5">
        <w:rPr>
          <w:rFonts w:ascii="Times New Roman" w:hAnsi="Times New Roman" w:cs="Times New Roman"/>
          <w:sz w:val="24"/>
          <w:szCs w:val="24"/>
          <w:lang w:val="sr-Cyrl-RS"/>
        </w:rPr>
        <w:t xml:space="preserve"> периоду</w:t>
      </w:r>
      <w:r w:rsidR="00190E9D" w:rsidRPr="009C19C5">
        <w:rPr>
          <w:rFonts w:ascii="Times New Roman" w:hAnsi="Times New Roman" w:cs="Times New Roman"/>
          <w:sz w:val="24"/>
          <w:szCs w:val="24"/>
          <w:lang w:val="sr-Cyrl-RS"/>
        </w:rPr>
        <w:t xml:space="preserve">. </w:t>
      </w:r>
      <w:r w:rsidR="00DC13B5" w:rsidRPr="009C19C5">
        <w:rPr>
          <w:rFonts w:ascii="Times New Roman" w:hAnsi="Times New Roman" w:cs="Times New Roman"/>
          <w:sz w:val="24"/>
          <w:szCs w:val="24"/>
          <w:lang w:val="sr-Cyrl-RS"/>
        </w:rPr>
        <w:t xml:space="preserve">Процес енергетске транзиције у </w:t>
      </w:r>
      <w:r w:rsidR="007D4593" w:rsidRPr="009C19C5">
        <w:rPr>
          <w:rFonts w:ascii="Times New Roman" w:hAnsi="Times New Roman" w:cs="Times New Roman"/>
          <w:sz w:val="24"/>
          <w:szCs w:val="24"/>
          <w:lang w:val="sr-Cyrl-RS"/>
        </w:rPr>
        <w:t xml:space="preserve">Републици </w:t>
      </w:r>
      <w:r w:rsidR="00DC13B5" w:rsidRPr="009C19C5">
        <w:rPr>
          <w:rFonts w:ascii="Times New Roman" w:hAnsi="Times New Roman" w:cs="Times New Roman"/>
          <w:sz w:val="24"/>
          <w:szCs w:val="24"/>
          <w:lang w:val="sr-Cyrl-RS"/>
        </w:rPr>
        <w:t xml:space="preserve">Србији је сложен и налази се на почетку јер се ради о енергетском систему који је базиран првенствено на домаћем угљу </w:t>
      </w:r>
      <w:r w:rsidR="004A75F7" w:rsidRPr="009C19C5">
        <w:rPr>
          <w:rFonts w:ascii="Times New Roman" w:hAnsi="Times New Roman" w:cs="Times New Roman"/>
          <w:sz w:val="24"/>
          <w:szCs w:val="24"/>
          <w:lang w:val="sr-Cyrl-RS"/>
        </w:rPr>
        <w:t xml:space="preserve">и постројењима која су стара. Такав систем има велики утицај на социјални и економски аспект друштва и државе. С друге стране процес енергетске транзиције у </w:t>
      </w:r>
      <w:r w:rsidR="007D4593" w:rsidRPr="009C19C5">
        <w:rPr>
          <w:rFonts w:ascii="Times New Roman" w:hAnsi="Times New Roman" w:cs="Times New Roman"/>
          <w:sz w:val="24"/>
          <w:szCs w:val="24"/>
          <w:lang w:val="sr-Cyrl-RS"/>
        </w:rPr>
        <w:t xml:space="preserve">Републици </w:t>
      </w:r>
      <w:r w:rsidR="004A75F7" w:rsidRPr="009C19C5">
        <w:rPr>
          <w:rFonts w:ascii="Times New Roman" w:hAnsi="Times New Roman" w:cs="Times New Roman"/>
          <w:sz w:val="24"/>
          <w:szCs w:val="24"/>
          <w:lang w:val="sr-Cyrl-RS"/>
        </w:rPr>
        <w:t>Србији је почео и одвија се у врло неизвесном времену, са непредвидивом и несигурном међународном енергетском ситуацијом.</w:t>
      </w:r>
    </w:p>
    <w:p w14:paraId="116781D3" w14:textId="50AADD44" w:rsidR="00AD4DE7" w:rsidRPr="009C19C5" w:rsidRDefault="00AD4DE7" w:rsidP="00592779">
      <w:pPr>
        <w:pStyle w:val="ListParagraph"/>
        <w:numPr>
          <w:ilvl w:val="0"/>
          <w:numId w:val="6"/>
        </w:numPr>
        <w:tabs>
          <w:tab w:val="left" w:pos="900"/>
        </w:tabs>
        <w:spacing w:after="0" w:line="240" w:lineRule="auto"/>
        <w:ind w:firstLine="720"/>
        <w:jc w:val="both"/>
        <w:rPr>
          <w:rFonts w:ascii="Times New Roman" w:hAnsi="Times New Roman" w:cs="Times New Roman"/>
          <w:sz w:val="24"/>
          <w:szCs w:val="24"/>
          <w:lang w:val="sr-Cyrl-RS"/>
        </w:rPr>
      </w:pPr>
      <w:r w:rsidRPr="009C19C5">
        <w:rPr>
          <w:rFonts w:ascii="Times New Roman" w:hAnsi="Times New Roman" w:cs="Times New Roman"/>
          <w:noProof/>
          <w:color w:val="0D0D0D" w:themeColor="text1" w:themeTint="F2"/>
          <w:sz w:val="24"/>
          <w:szCs w:val="24"/>
          <w:lang w:val="sr-Cyrl-RS" w:eastAsia="sr-Latn-RS"/>
        </w:rPr>
        <w:t xml:space="preserve">Република Србија није чланица Европске </w:t>
      </w:r>
      <w:r w:rsidR="001D444A" w:rsidRPr="009C19C5">
        <w:rPr>
          <w:rFonts w:ascii="Times New Roman" w:hAnsi="Times New Roman" w:cs="Times New Roman"/>
          <w:noProof/>
          <w:color w:val="0D0D0D" w:themeColor="text1" w:themeTint="F2"/>
          <w:sz w:val="24"/>
          <w:szCs w:val="24"/>
          <w:lang w:val="sr-Cyrl-RS" w:eastAsia="sr-Latn-RS"/>
        </w:rPr>
        <w:t>у</w:t>
      </w:r>
      <w:r w:rsidRPr="009C19C5">
        <w:rPr>
          <w:rFonts w:ascii="Times New Roman" w:hAnsi="Times New Roman" w:cs="Times New Roman"/>
          <w:noProof/>
          <w:color w:val="0D0D0D" w:themeColor="text1" w:themeTint="F2"/>
          <w:sz w:val="24"/>
          <w:szCs w:val="24"/>
          <w:lang w:val="sr-Cyrl-RS" w:eastAsia="sr-Latn-RS"/>
        </w:rPr>
        <w:t xml:space="preserve">није те у том смислу није имала обавезу смањења емисија </w:t>
      </w:r>
      <w:r w:rsidR="00CD2B6B" w:rsidRPr="009C19C5">
        <w:rPr>
          <w:rFonts w:ascii="Times New Roman" w:hAnsi="Times New Roman" w:cs="Times New Roman"/>
          <w:noProof/>
          <w:color w:val="0D0D0D" w:themeColor="text1" w:themeTint="F2"/>
          <w:sz w:val="24"/>
          <w:szCs w:val="24"/>
          <w:lang w:val="sr-Cyrl-RS" w:eastAsia="sr-Latn-RS"/>
        </w:rPr>
        <w:t xml:space="preserve">гасова са ефектом стаклене баште  </w:t>
      </w:r>
      <w:r w:rsidRPr="009C19C5">
        <w:rPr>
          <w:rFonts w:ascii="Times New Roman" w:hAnsi="Times New Roman" w:cs="Times New Roman"/>
          <w:noProof/>
          <w:color w:val="0D0D0D" w:themeColor="text1" w:themeTint="F2"/>
          <w:sz w:val="24"/>
          <w:szCs w:val="24"/>
          <w:lang w:val="sr-Cyrl-RS" w:eastAsia="sr-Latn-RS"/>
        </w:rPr>
        <w:t xml:space="preserve">у односу на земље које су чланице Европске </w:t>
      </w:r>
      <w:r w:rsidR="001D444A" w:rsidRPr="009C19C5">
        <w:rPr>
          <w:rFonts w:ascii="Times New Roman" w:hAnsi="Times New Roman" w:cs="Times New Roman"/>
          <w:noProof/>
          <w:color w:val="0D0D0D" w:themeColor="text1" w:themeTint="F2"/>
          <w:sz w:val="24"/>
          <w:szCs w:val="24"/>
          <w:lang w:val="sr-Cyrl-RS" w:eastAsia="sr-Latn-RS"/>
        </w:rPr>
        <w:t>у</w:t>
      </w:r>
      <w:r w:rsidRPr="009C19C5">
        <w:rPr>
          <w:rFonts w:ascii="Times New Roman" w:hAnsi="Times New Roman" w:cs="Times New Roman"/>
          <w:noProof/>
          <w:color w:val="0D0D0D" w:themeColor="text1" w:themeTint="F2"/>
          <w:sz w:val="24"/>
          <w:szCs w:val="24"/>
          <w:lang w:val="sr-Cyrl-RS" w:eastAsia="sr-Latn-RS"/>
        </w:rPr>
        <w:t>није, све до усвајања Намераваног националног доприноса из 2015. године</w:t>
      </w:r>
      <w:r w:rsidR="000800B6">
        <w:rPr>
          <w:rFonts w:ascii="Times New Roman" w:hAnsi="Times New Roman" w:cs="Times New Roman"/>
          <w:noProof/>
          <w:color w:val="0D0D0D" w:themeColor="text1" w:themeTint="F2"/>
          <w:sz w:val="24"/>
          <w:szCs w:val="24"/>
          <w:lang w:val="sr-Cyrl-RS" w:eastAsia="sr-Latn-RS"/>
        </w:rPr>
        <w:t>.</w:t>
      </w:r>
      <w:r w:rsidRPr="009C19C5">
        <w:rPr>
          <w:rFonts w:ascii="Times New Roman" w:hAnsi="Times New Roman" w:cs="Times New Roman"/>
          <w:noProof/>
          <w:color w:val="0D0D0D" w:themeColor="text1" w:themeTint="F2"/>
          <w:sz w:val="24"/>
          <w:szCs w:val="24"/>
          <w:lang w:val="sr-Cyrl-RS" w:eastAsia="sr-Latn-RS"/>
        </w:rPr>
        <w:t xml:space="preserve"> </w:t>
      </w:r>
      <w:r w:rsidRPr="009C19C5">
        <w:rPr>
          <w:rFonts w:ascii="Times New Roman" w:hAnsi="Times New Roman" w:cs="Times New Roman"/>
          <w:noProof/>
          <w:sz w:val="24"/>
          <w:szCs w:val="24"/>
          <w:lang w:val="sr-Cyrl-RS" w:eastAsia="sr-Latn-RS"/>
        </w:rPr>
        <w:t>Република Србија није део система Е</w:t>
      </w:r>
      <w:r w:rsidR="00CD2B6B" w:rsidRPr="009C19C5">
        <w:rPr>
          <w:rFonts w:ascii="Times New Roman" w:hAnsi="Times New Roman" w:cs="Times New Roman"/>
          <w:noProof/>
          <w:sz w:val="24"/>
          <w:szCs w:val="24"/>
          <w:lang w:val="sr-Cyrl-RS" w:eastAsia="sr-Latn-RS"/>
        </w:rPr>
        <w:t xml:space="preserve">вропске </w:t>
      </w:r>
      <w:r w:rsidR="001D444A" w:rsidRPr="009C19C5">
        <w:rPr>
          <w:rFonts w:ascii="Times New Roman" w:hAnsi="Times New Roman" w:cs="Times New Roman"/>
          <w:noProof/>
          <w:sz w:val="24"/>
          <w:szCs w:val="24"/>
          <w:lang w:val="sr-Cyrl-RS" w:eastAsia="sr-Latn-RS"/>
        </w:rPr>
        <w:t>у</w:t>
      </w:r>
      <w:r w:rsidR="00CD2B6B" w:rsidRPr="009C19C5">
        <w:rPr>
          <w:rFonts w:ascii="Times New Roman" w:hAnsi="Times New Roman" w:cs="Times New Roman"/>
          <w:noProof/>
          <w:sz w:val="24"/>
          <w:szCs w:val="24"/>
          <w:lang w:val="sr-Cyrl-RS" w:eastAsia="sr-Latn-RS"/>
        </w:rPr>
        <w:t>није</w:t>
      </w:r>
      <w:r w:rsidRPr="009C19C5">
        <w:rPr>
          <w:rFonts w:ascii="Times New Roman" w:hAnsi="Times New Roman" w:cs="Times New Roman"/>
          <w:noProof/>
          <w:sz w:val="24"/>
          <w:szCs w:val="24"/>
          <w:lang w:val="sr-Cyrl-RS" w:eastAsia="sr-Latn-RS"/>
        </w:rPr>
        <w:t xml:space="preserve"> за трговину емисијама са ефектом стаклене баште и нема успостављен систем опорезивања ем</w:t>
      </w:r>
      <w:r w:rsidR="002B44FA" w:rsidRPr="009C19C5">
        <w:rPr>
          <w:rFonts w:ascii="Times New Roman" w:hAnsi="Times New Roman" w:cs="Times New Roman"/>
          <w:noProof/>
          <w:sz w:val="24"/>
          <w:szCs w:val="24"/>
          <w:lang w:val="sr-Cyrl-RS" w:eastAsia="sr-Latn-RS"/>
        </w:rPr>
        <w:t>и</w:t>
      </w:r>
      <w:r w:rsidRPr="009C19C5">
        <w:rPr>
          <w:rFonts w:ascii="Times New Roman" w:hAnsi="Times New Roman" w:cs="Times New Roman"/>
          <w:noProof/>
          <w:sz w:val="24"/>
          <w:szCs w:val="24"/>
          <w:lang w:val="sr-Cyrl-RS" w:eastAsia="sr-Latn-RS"/>
        </w:rPr>
        <w:t>сија са ефектом стаклене баште. Трговина емисијама гасова са ефектом стаклене баште као и опорезивање ем</w:t>
      </w:r>
      <w:r w:rsidR="0030466B" w:rsidRPr="009C19C5">
        <w:rPr>
          <w:rFonts w:ascii="Times New Roman" w:hAnsi="Times New Roman" w:cs="Times New Roman"/>
          <w:noProof/>
          <w:sz w:val="24"/>
          <w:szCs w:val="24"/>
          <w:lang w:val="sr-Cyrl-RS" w:eastAsia="sr-Latn-RS"/>
        </w:rPr>
        <w:t>и</w:t>
      </w:r>
      <w:r w:rsidRPr="009C19C5">
        <w:rPr>
          <w:rFonts w:ascii="Times New Roman" w:hAnsi="Times New Roman" w:cs="Times New Roman"/>
          <w:noProof/>
          <w:sz w:val="24"/>
          <w:szCs w:val="24"/>
          <w:lang w:val="sr-Cyrl-RS" w:eastAsia="sr-Latn-RS"/>
        </w:rPr>
        <w:t>сиј</w:t>
      </w:r>
      <w:r w:rsidR="0030466B" w:rsidRPr="009C19C5">
        <w:rPr>
          <w:rFonts w:ascii="Times New Roman" w:hAnsi="Times New Roman" w:cs="Times New Roman"/>
          <w:noProof/>
          <w:sz w:val="24"/>
          <w:szCs w:val="24"/>
          <w:lang w:val="sr-Cyrl-RS" w:eastAsia="sr-Latn-RS"/>
        </w:rPr>
        <w:t>а</w:t>
      </w:r>
      <w:r w:rsidRPr="009C19C5">
        <w:rPr>
          <w:rFonts w:ascii="Times New Roman" w:hAnsi="Times New Roman" w:cs="Times New Roman"/>
          <w:noProof/>
          <w:sz w:val="24"/>
          <w:szCs w:val="24"/>
          <w:lang w:val="sr-Cyrl-RS" w:eastAsia="sr-Latn-RS"/>
        </w:rPr>
        <w:t xml:space="preserve"> са ефектом стаклене баште утичу на брзину спровођења процеса декарбони</w:t>
      </w:r>
      <w:r w:rsidR="0030466B" w:rsidRPr="009C19C5">
        <w:rPr>
          <w:rFonts w:ascii="Times New Roman" w:hAnsi="Times New Roman" w:cs="Times New Roman"/>
          <w:noProof/>
          <w:sz w:val="24"/>
          <w:szCs w:val="24"/>
          <w:lang w:val="sr-Cyrl-RS" w:eastAsia="sr-Latn-RS"/>
        </w:rPr>
        <w:t>з</w:t>
      </w:r>
      <w:r w:rsidRPr="009C19C5">
        <w:rPr>
          <w:rFonts w:ascii="Times New Roman" w:hAnsi="Times New Roman" w:cs="Times New Roman"/>
          <w:noProof/>
          <w:sz w:val="24"/>
          <w:szCs w:val="24"/>
          <w:lang w:val="sr-Cyrl-RS" w:eastAsia="sr-Latn-RS"/>
        </w:rPr>
        <w:t>ације и динамику повлачења из рада тер</w:t>
      </w:r>
      <w:r w:rsidR="002B44FA" w:rsidRPr="009C19C5">
        <w:rPr>
          <w:rFonts w:ascii="Times New Roman" w:hAnsi="Times New Roman" w:cs="Times New Roman"/>
          <w:noProof/>
          <w:sz w:val="24"/>
          <w:szCs w:val="24"/>
          <w:lang w:val="sr-Cyrl-RS" w:eastAsia="sr-Latn-RS"/>
        </w:rPr>
        <w:t>м</w:t>
      </w:r>
      <w:r w:rsidRPr="009C19C5">
        <w:rPr>
          <w:rFonts w:ascii="Times New Roman" w:hAnsi="Times New Roman" w:cs="Times New Roman"/>
          <w:noProof/>
          <w:sz w:val="24"/>
          <w:szCs w:val="24"/>
          <w:lang w:val="sr-Cyrl-RS" w:eastAsia="sr-Latn-RS"/>
        </w:rPr>
        <w:t>оелектрана. Сагласно томе ово има и значај утицај на сагледавање процеса праведне транзиције.</w:t>
      </w:r>
    </w:p>
    <w:p w14:paraId="3E12E993" w14:textId="31756597" w:rsidR="00AD4DE7" w:rsidRPr="009C19C5" w:rsidRDefault="00AD4DE7" w:rsidP="008D7F6B">
      <w:pPr>
        <w:pStyle w:val="ListParagraph"/>
        <w:numPr>
          <w:ilvl w:val="0"/>
          <w:numId w:val="6"/>
        </w:numPr>
        <w:tabs>
          <w:tab w:val="left" w:pos="990"/>
        </w:tabs>
        <w:spacing w:after="0" w:line="240" w:lineRule="auto"/>
        <w:ind w:firstLine="810"/>
        <w:jc w:val="both"/>
        <w:rPr>
          <w:rFonts w:ascii="Times New Roman" w:hAnsi="Times New Roman" w:cs="Times New Roman"/>
          <w:sz w:val="24"/>
          <w:szCs w:val="24"/>
          <w:lang w:val="sr-Cyrl-RS"/>
        </w:rPr>
      </w:pPr>
      <w:r w:rsidRPr="009C19C5">
        <w:rPr>
          <w:rFonts w:ascii="Times New Roman" w:eastAsia="Calibri" w:hAnsi="Times New Roman" w:cs="Times New Roman"/>
          <w:kern w:val="0"/>
          <w:sz w:val="24"/>
          <w:szCs w:val="24"/>
          <w:lang w:val="sr-Cyrl-RS"/>
          <w14:ligatures w14:val="none"/>
        </w:rPr>
        <w:t>Механизам Е</w:t>
      </w:r>
      <w:r w:rsidR="00CD2B6B" w:rsidRPr="009C19C5">
        <w:rPr>
          <w:rFonts w:ascii="Times New Roman" w:eastAsia="Calibri" w:hAnsi="Times New Roman" w:cs="Times New Roman"/>
          <w:kern w:val="0"/>
          <w:sz w:val="24"/>
          <w:szCs w:val="24"/>
          <w:lang w:val="sr-Cyrl-RS"/>
          <w14:ligatures w14:val="none"/>
        </w:rPr>
        <w:t xml:space="preserve">вропске </w:t>
      </w:r>
      <w:r w:rsidR="001D444A" w:rsidRPr="009C19C5">
        <w:rPr>
          <w:rFonts w:ascii="Times New Roman" w:eastAsia="Calibri" w:hAnsi="Times New Roman" w:cs="Times New Roman"/>
          <w:kern w:val="0"/>
          <w:sz w:val="24"/>
          <w:szCs w:val="24"/>
          <w:lang w:val="sr-Cyrl-RS"/>
          <w14:ligatures w14:val="none"/>
        </w:rPr>
        <w:t>у</w:t>
      </w:r>
      <w:r w:rsidR="00CD2B6B" w:rsidRPr="009C19C5">
        <w:rPr>
          <w:rFonts w:ascii="Times New Roman" w:eastAsia="Calibri" w:hAnsi="Times New Roman" w:cs="Times New Roman"/>
          <w:kern w:val="0"/>
          <w:sz w:val="24"/>
          <w:szCs w:val="24"/>
          <w:lang w:val="sr-Cyrl-RS"/>
          <w14:ligatures w14:val="none"/>
        </w:rPr>
        <w:t>није</w:t>
      </w:r>
      <w:r w:rsidRPr="009C19C5">
        <w:rPr>
          <w:rFonts w:ascii="Times New Roman" w:eastAsia="Calibri" w:hAnsi="Times New Roman" w:cs="Times New Roman"/>
          <w:kern w:val="0"/>
          <w:sz w:val="24"/>
          <w:szCs w:val="24"/>
          <w:lang w:val="sr-Cyrl-RS"/>
          <w14:ligatures w14:val="none"/>
        </w:rPr>
        <w:t xml:space="preserve"> за прекогранично прилагођавање угљеника - (</w:t>
      </w:r>
      <w:r w:rsidR="00CD2B6B" w:rsidRPr="009C19C5">
        <w:rPr>
          <w:rFonts w:ascii="Times New Roman" w:eastAsia="Calibri" w:hAnsi="Times New Roman" w:cs="Times New Roman"/>
          <w:kern w:val="0"/>
          <w:sz w:val="24"/>
          <w:szCs w:val="24"/>
          <w:lang w:val="sr-Cyrl-RS"/>
          <w14:ligatures w14:val="none"/>
        </w:rPr>
        <w:t>енгл</w:t>
      </w:r>
      <w:r w:rsidR="00BB576A" w:rsidRPr="009C19C5">
        <w:rPr>
          <w:rFonts w:ascii="Times New Roman" w:eastAsia="Calibri" w:hAnsi="Times New Roman" w:cs="Times New Roman"/>
          <w:kern w:val="0"/>
          <w:sz w:val="24"/>
          <w:szCs w:val="24"/>
          <w:lang w:val="sr-Cyrl-RS"/>
          <w14:ligatures w14:val="none"/>
        </w:rPr>
        <w:t>е</w:t>
      </w:r>
      <w:r w:rsidR="00CD2B6B" w:rsidRPr="009C19C5">
        <w:rPr>
          <w:rFonts w:ascii="Times New Roman" w:eastAsia="Calibri" w:hAnsi="Times New Roman" w:cs="Times New Roman"/>
          <w:kern w:val="0"/>
          <w:sz w:val="24"/>
          <w:szCs w:val="24"/>
          <w:lang w:val="sr-Cyrl-RS"/>
          <w14:ligatures w14:val="none"/>
        </w:rPr>
        <w:t xml:space="preserve">ски: </w:t>
      </w:r>
      <w:r w:rsidRPr="009C19C5">
        <w:rPr>
          <w:rFonts w:ascii="Times New Roman" w:eastAsia="Calibri" w:hAnsi="Times New Roman" w:cs="Times New Roman"/>
          <w:kern w:val="0"/>
          <w:sz w:val="24"/>
          <w:szCs w:val="24"/>
          <w:lang w:val="sr-Cyrl-RS"/>
          <w14:ligatures w14:val="none"/>
        </w:rPr>
        <w:t>Carbon Border Adjustment Mechanism - CBAM)</w:t>
      </w:r>
      <w:r w:rsidR="006B4895" w:rsidRPr="009C19C5">
        <w:rPr>
          <w:rFonts w:ascii="Times New Roman" w:eastAsia="Calibri" w:hAnsi="Times New Roman" w:cs="Times New Roman"/>
          <w:kern w:val="0"/>
          <w:sz w:val="24"/>
          <w:szCs w:val="24"/>
          <w:lang w:val="sr-Cyrl-RS"/>
          <w14:ligatures w14:val="none"/>
        </w:rPr>
        <w:t xml:space="preserve">, (у даљем тексту: ЦБАМ) </w:t>
      </w:r>
      <w:r w:rsidR="00592779" w:rsidRPr="009C19C5">
        <w:rPr>
          <w:rFonts w:ascii="Times New Roman" w:eastAsia="Calibri" w:hAnsi="Times New Roman" w:cs="Times New Roman"/>
          <w:kern w:val="0"/>
          <w:sz w:val="24"/>
          <w:szCs w:val="24"/>
          <w:lang w:val="sr-Cyrl-RS"/>
          <w14:ligatures w14:val="none"/>
        </w:rPr>
        <w:t>који је</w:t>
      </w:r>
      <w:r w:rsidR="00867E4F" w:rsidRPr="009C19C5">
        <w:rPr>
          <w:rFonts w:ascii="Times New Roman" w:eastAsia="Calibri" w:hAnsi="Times New Roman" w:cs="Times New Roman"/>
          <w:kern w:val="0"/>
          <w:sz w:val="24"/>
          <w:szCs w:val="24"/>
          <w:lang w:val="sr-Cyrl-RS"/>
          <w14:ligatures w14:val="none"/>
        </w:rPr>
        <w:t xml:space="preserve"> ступио на снагу </w:t>
      </w:r>
      <w:r w:rsidRPr="009C19C5">
        <w:rPr>
          <w:rFonts w:ascii="Times New Roman" w:eastAsia="Calibri" w:hAnsi="Times New Roman" w:cs="Times New Roman"/>
          <w:kern w:val="0"/>
          <w:sz w:val="24"/>
          <w:szCs w:val="24"/>
          <w:lang w:val="sr-Cyrl-RS"/>
          <w14:ligatures w14:val="none"/>
        </w:rPr>
        <w:t>1.</w:t>
      </w:r>
      <w:r w:rsidR="00867E4F" w:rsidRPr="009C19C5">
        <w:rPr>
          <w:rFonts w:ascii="Times New Roman" w:eastAsia="Calibri" w:hAnsi="Times New Roman" w:cs="Times New Roman"/>
          <w:kern w:val="0"/>
          <w:sz w:val="24"/>
          <w:szCs w:val="24"/>
          <w:lang w:val="sr-Cyrl-RS"/>
          <w14:ligatures w14:val="none"/>
        </w:rPr>
        <w:t xml:space="preserve"> октобра </w:t>
      </w:r>
      <w:r w:rsidRPr="009C19C5">
        <w:rPr>
          <w:rFonts w:ascii="Times New Roman" w:eastAsia="Calibri" w:hAnsi="Times New Roman" w:cs="Times New Roman"/>
          <w:kern w:val="0"/>
          <w:sz w:val="24"/>
          <w:szCs w:val="24"/>
          <w:lang w:val="sr-Cyrl-RS"/>
          <w14:ligatures w14:val="none"/>
        </w:rPr>
        <w:t>2023.</w:t>
      </w:r>
      <w:r w:rsidR="009E27C0" w:rsidRPr="009C19C5">
        <w:rPr>
          <w:rFonts w:ascii="Times New Roman" w:eastAsia="Calibri" w:hAnsi="Times New Roman" w:cs="Times New Roman"/>
          <w:kern w:val="0"/>
          <w:sz w:val="24"/>
          <w:szCs w:val="24"/>
          <w:lang w:val="sr-Cyrl-RS"/>
          <w14:ligatures w14:val="none"/>
        </w:rPr>
        <w:t xml:space="preserve"> </w:t>
      </w:r>
      <w:r w:rsidRPr="009C19C5">
        <w:rPr>
          <w:rFonts w:ascii="Times New Roman" w:eastAsia="Calibri" w:hAnsi="Times New Roman" w:cs="Times New Roman"/>
          <w:kern w:val="0"/>
          <w:sz w:val="24"/>
          <w:szCs w:val="24"/>
          <w:lang w:val="sr-Cyrl-RS"/>
          <w14:ligatures w14:val="none"/>
        </w:rPr>
        <w:t>године</w:t>
      </w:r>
      <w:r w:rsidR="009E27C0" w:rsidRPr="009C19C5">
        <w:rPr>
          <w:rFonts w:ascii="Times New Roman" w:eastAsia="Calibri" w:hAnsi="Times New Roman" w:cs="Times New Roman"/>
          <w:kern w:val="0"/>
          <w:sz w:val="24"/>
          <w:szCs w:val="24"/>
          <w:lang w:val="sr-Cyrl-RS"/>
          <w14:ligatures w14:val="none"/>
        </w:rPr>
        <w:t xml:space="preserve"> </w:t>
      </w:r>
      <w:r w:rsidRPr="009C19C5">
        <w:rPr>
          <w:rFonts w:ascii="Times New Roman" w:eastAsia="Calibri" w:hAnsi="Times New Roman" w:cs="Times New Roman"/>
          <w:kern w:val="0"/>
          <w:sz w:val="24"/>
          <w:szCs w:val="24"/>
          <w:lang w:val="sr-Cyrl-RS"/>
          <w14:ligatures w14:val="none"/>
        </w:rPr>
        <w:t>као механизам који има за циљ решавање ризика од „цурења угљеника</w:t>
      </w:r>
      <w:r w:rsidR="00F94E9A" w:rsidRPr="009C19C5">
        <w:rPr>
          <w:rFonts w:ascii="Times New Roman" w:hAnsi="Times New Roman" w:cs="Times New Roman"/>
          <w:lang w:val="sr-Cyrl-RS"/>
        </w:rPr>
        <w:t>”</w:t>
      </w:r>
      <w:r w:rsidR="009E27C0" w:rsidRPr="009C19C5">
        <w:rPr>
          <w:rFonts w:ascii="Times New Roman" w:eastAsia="Calibri" w:hAnsi="Times New Roman" w:cs="Times New Roman"/>
          <w:kern w:val="0"/>
          <w:sz w:val="24"/>
          <w:szCs w:val="24"/>
          <w:lang w:val="sr-Cyrl-RS"/>
          <w14:ligatures w14:val="none"/>
        </w:rPr>
        <w:t>,</w:t>
      </w:r>
      <w:r w:rsidRPr="009C19C5">
        <w:rPr>
          <w:rFonts w:ascii="Times New Roman" w:eastAsia="Calibri" w:hAnsi="Times New Roman" w:cs="Times New Roman"/>
          <w:kern w:val="0"/>
          <w:sz w:val="24"/>
          <w:szCs w:val="24"/>
          <w:lang w:val="sr-Cyrl-RS"/>
          <w14:ligatures w14:val="none"/>
        </w:rPr>
        <w:t xml:space="preserve"> успостављањем цене угљеника приликом увоза одређене робе из држава ван Е</w:t>
      </w:r>
      <w:r w:rsidR="00CD2B6B" w:rsidRPr="009C19C5">
        <w:rPr>
          <w:rFonts w:ascii="Times New Roman" w:eastAsia="Calibri" w:hAnsi="Times New Roman" w:cs="Times New Roman"/>
          <w:kern w:val="0"/>
          <w:sz w:val="24"/>
          <w:szCs w:val="24"/>
          <w:lang w:val="sr-Cyrl-RS"/>
          <w14:ligatures w14:val="none"/>
        </w:rPr>
        <w:t xml:space="preserve">вропске </w:t>
      </w:r>
      <w:r w:rsidR="001D444A" w:rsidRPr="009C19C5">
        <w:rPr>
          <w:rFonts w:ascii="Times New Roman" w:eastAsia="Calibri" w:hAnsi="Times New Roman" w:cs="Times New Roman"/>
          <w:kern w:val="0"/>
          <w:sz w:val="24"/>
          <w:szCs w:val="24"/>
          <w:lang w:val="sr-Cyrl-RS"/>
          <w14:ligatures w14:val="none"/>
        </w:rPr>
        <w:t>у</w:t>
      </w:r>
      <w:r w:rsidR="003D6B13" w:rsidRPr="009C19C5">
        <w:rPr>
          <w:rFonts w:ascii="Times New Roman" w:eastAsia="Calibri" w:hAnsi="Times New Roman" w:cs="Times New Roman"/>
          <w:kern w:val="0"/>
          <w:sz w:val="24"/>
          <w:szCs w:val="24"/>
          <w:lang w:val="sr-Cyrl-RS"/>
          <w14:ligatures w14:val="none"/>
        </w:rPr>
        <w:t>није</w:t>
      </w:r>
      <w:r w:rsidRPr="009C19C5">
        <w:rPr>
          <w:rFonts w:ascii="Times New Roman" w:eastAsia="Calibri" w:hAnsi="Times New Roman" w:cs="Times New Roman"/>
          <w:kern w:val="0"/>
          <w:sz w:val="24"/>
          <w:szCs w:val="24"/>
          <w:lang w:val="sr-Cyrl-RS"/>
          <w14:ligatures w14:val="none"/>
        </w:rPr>
        <w:t xml:space="preserve">. Кључни циљ механизма је да изједначи услове за европске произвођаче који се суочавају са ценом угљеника за своје емисије у оквиру </w:t>
      </w:r>
      <w:r w:rsidR="00CD2B6B" w:rsidRPr="009C19C5">
        <w:rPr>
          <w:rFonts w:ascii="Times New Roman" w:hAnsi="Times New Roman" w:cs="Times New Roman"/>
          <w:noProof/>
          <w:sz w:val="24"/>
          <w:szCs w:val="24"/>
          <w:lang w:val="sr-Cyrl-RS" w:eastAsia="sr-Latn-RS"/>
        </w:rPr>
        <w:t xml:space="preserve">Европске </w:t>
      </w:r>
      <w:r w:rsidR="002B44FA" w:rsidRPr="009C19C5">
        <w:rPr>
          <w:rFonts w:ascii="Times New Roman" w:hAnsi="Times New Roman" w:cs="Times New Roman"/>
          <w:noProof/>
          <w:sz w:val="24"/>
          <w:szCs w:val="24"/>
          <w:lang w:val="sr-Cyrl-RS" w:eastAsia="sr-Latn-RS"/>
        </w:rPr>
        <w:t>у</w:t>
      </w:r>
      <w:r w:rsidR="00CD2B6B" w:rsidRPr="009C19C5">
        <w:rPr>
          <w:rFonts w:ascii="Times New Roman" w:hAnsi="Times New Roman" w:cs="Times New Roman"/>
          <w:noProof/>
          <w:sz w:val="24"/>
          <w:szCs w:val="24"/>
          <w:lang w:val="sr-Cyrl-RS" w:eastAsia="sr-Latn-RS"/>
        </w:rPr>
        <w:t>није за трговину емисијама са ефектом стаклене баште</w:t>
      </w:r>
      <w:r w:rsidRPr="009C19C5">
        <w:rPr>
          <w:rFonts w:ascii="Times New Roman" w:eastAsia="Calibri" w:hAnsi="Times New Roman" w:cs="Times New Roman"/>
          <w:kern w:val="0"/>
          <w:sz w:val="24"/>
          <w:szCs w:val="24"/>
          <w:lang w:val="sr-Cyrl-RS"/>
          <w14:ligatures w14:val="none"/>
        </w:rPr>
        <w:t>, истовремено подстичући декарбонизацију индустрије на глобалном нивоу.</w:t>
      </w:r>
    </w:p>
    <w:p w14:paraId="7FC71B35" w14:textId="77777777" w:rsidR="00571E71" w:rsidRPr="009C19C5" w:rsidRDefault="00571E71" w:rsidP="00571E71">
      <w:pPr>
        <w:pStyle w:val="ListParagraph"/>
        <w:tabs>
          <w:tab w:val="left" w:pos="990"/>
        </w:tabs>
        <w:spacing w:after="0" w:line="240" w:lineRule="auto"/>
        <w:ind w:left="810"/>
        <w:jc w:val="both"/>
        <w:rPr>
          <w:rFonts w:ascii="Times New Roman" w:hAnsi="Times New Roman" w:cs="Times New Roman"/>
          <w:sz w:val="24"/>
          <w:szCs w:val="24"/>
          <w:lang w:val="sr-Cyrl-RS"/>
        </w:rPr>
      </w:pPr>
    </w:p>
    <w:p w14:paraId="4603ACD5" w14:textId="77777777" w:rsidR="007703CC" w:rsidRPr="009C19C5" w:rsidRDefault="007703CC" w:rsidP="007703CC">
      <w:pPr>
        <w:pStyle w:val="ListParagraph"/>
        <w:tabs>
          <w:tab w:val="left" w:pos="990"/>
        </w:tabs>
        <w:spacing w:after="0" w:line="240" w:lineRule="auto"/>
        <w:ind w:left="810"/>
        <w:jc w:val="both"/>
        <w:rPr>
          <w:rFonts w:ascii="Times New Roman" w:hAnsi="Times New Roman" w:cs="Times New Roman"/>
          <w:sz w:val="24"/>
          <w:szCs w:val="24"/>
          <w:lang w:val="sr-Cyrl-RS"/>
        </w:rPr>
      </w:pPr>
    </w:p>
    <w:p w14:paraId="76977441" w14:textId="1FFC98C6" w:rsidR="00AD4DE7" w:rsidRPr="009C19C5" w:rsidRDefault="00AD4DE7" w:rsidP="006B4895">
      <w:pPr>
        <w:pStyle w:val="ListParagraph"/>
        <w:spacing w:after="0" w:line="240" w:lineRule="auto"/>
        <w:ind w:left="0" w:firstLine="720"/>
        <w:jc w:val="both"/>
        <w:rPr>
          <w:rFonts w:ascii="Times New Roman" w:eastAsia="Calibri" w:hAnsi="Times New Roman" w:cs="Times New Roman"/>
          <w:kern w:val="0"/>
          <w:sz w:val="24"/>
          <w:szCs w:val="24"/>
          <w:lang w:val="sr-Cyrl-RS"/>
          <w14:ligatures w14:val="none"/>
        </w:rPr>
      </w:pPr>
      <w:r w:rsidRPr="009C19C5">
        <w:rPr>
          <w:rFonts w:ascii="Times New Roman" w:eastAsia="Calibri" w:hAnsi="Times New Roman" w:cs="Times New Roman"/>
          <w:kern w:val="0"/>
          <w:sz w:val="24"/>
          <w:szCs w:val="24"/>
          <w:lang w:val="sr-Cyrl-RS"/>
          <w14:ligatures w14:val="none"/>
        </w:rPr>
        <w:lastRenderedPageBreak/>
        <w:t>ЦБАМ иницијално покрива шест индустријских сектора: гвожђе и челик, цемент, ђубрива, алуминијум, производњу електричне енергије и водоник. У прелазној фази, од 1. октобра 2023. године, увозници из Е</w:t>
      </w:r>
      <w:r w:rsidR="001D444A" w:rsidRPr="009C19C5">
        <w:rPr>
          <w:rFonts w:ascii="Times New Roman" w:eastAsia="Calibri" w:hAnsi="Times New Roman" w:cs="Times New Roman"/>
          <w:kern w:val="0"/>
          <w:sz w:val="24"/>
          <w:szCs w:val="24"/>
          <w:lang w:val="sr-Cyrl-RS"/>
          <w14:ligatures w14:val="none"/>
        </w:rPr>
        <w:t>вропске уније</w:t>
      </w:r>
      <w:r w:rsidRPr="009C19C5">
        <w:rPr>
          <w:rFonts w:ascii="Times New Roman" w:eastAsia="Calibri" w:hAnsi="Times New Roman" w:cs="Times New Roman"/>
          <w:kern w:val="0"/>
          <w:sz w:val="24"/>
          <w:szCs w:val="24"/>
          <w:lang w:val="sr-Cyrl-RS"/>
          <w14:ligatures w14:val="none"/>
        </w:rPr>
        <w:t xml:space="preserve"> су у обавези да за робу обухваћену ЦБАМ, са пореклом у земљама које нису чланице Е</w:t>
      </w:r>
      <w:r w:rsidR="001D444A" w:rsidRPr="009C19C5">
        <w:rPr>
          <w:rFonts w:ascii="Times New Roman" w:eastAsia="Calibri" w:hAnsi="Times New Roman" w:cs="Times New Roman"/>
          <w:kern w:val="0"/>
          <w:sz w:val="24"/>
          <w:szCs w:val="24"/>
          <w:lang w:val="sr-Cyrl-RS"/>
          <w14:ligatures w14:val="none"/>
        </w:rPr>
        <w:t>вропске уније</w:t>
      </w:r>
      <w:r w:rsidRPr="009C19C5">
        <w:rPr>
          <w:rFonts w:ascii="Times New Roman" w:eastAsia="Calibri" w:hAnsi="Times New Roman" w:cs="Times New Roman"/>
          <w:kern w:val="0"/>
          <w:sz w:val="24"/>
          <w:szCs w:val="24"/>
          <w:lang w:val="sr-Cyrl-RS"/>
          <w14:ligatures w14:val="none"/>
        </w:rPr>
        <w:t xml:space="preserve">, у пријаве урачунате емисије свог увоза, без преузимања било каквих финансијских обавеза. Обавеза куповине и предаје ЦБАМ сертификата ће се потом примењивати од 1. јануара 2026. године, ефективно успостављајући цену угљеника која би требало да одражава ниво цене угљеника у </w:t>
      </w:r>
      <w:r w:rsidR="003D6B13" w:rsidRPr="009C19C5">
        <w:rPr>
          <w:rFonts w:ascii="Times New Roman" w:eastAsia="Calibri" w:hAnsi="Times New Roman" w:cs="Times New Roman"/>
          <w:kern w:val="0"/>
          <w:sz w:val="24"/>
          <w:szCs w:val="24"/>
          <w:lang w:val="sr-Cyrl-RS"/>
          <w14:ligatures w14:val="none"/>
        </w:rPr>
        <w:t xml:space="preserve">Европске </w:t>
      </w:r>
      <w:r w:rsidR="001D444A" w:rsidRPr="009C19C5">
        <w:rPr>
          <w:rFonts w:ascii="Times New Roman" w:eastAsia="Calibri" w:hAnsi="Times New Roman" w:cs="Times New Roman"/>
          <w:kern w:val="0"/>
          <w:sz w:val="24"/>
          <w:szCs w:val="24"/>
          <w:lang w:val="sr-Cyrl-RS"/>
          <w14:ligatures w14:val="none"/>
        </w:rPr>
        <w:t>у</w:t>
      </w:r>
      <w:r w:rsidR="003D6B13" w:rsidRPr="009C19C5">
        <w:rPr>
          <w:rFonts w:ascii="Times New Roman" w:eastAsia="Calibri" w:hAnsi="Times New Roman" w:cs="Times New Roman"/>
          <w:kern w:val="0"/>
          <w:sz w:val="24"/>
          <w:szCs w:val="24"/>
          <w:lang w:val="sr-Cyrl-RS"/>
          <w14:ligatures w14:val="none"/>
        </w:rPr>
        <w:t>није за трговину емисијама са ефектом стаклене баште</w:t>
      </w:r>
      <w:r w:rsidRPr="009C19C5">
        <w:rPr>
          <w:rFonts w:ascii="Times New Roman" w:eastAsia="Calibri" w:hAnsi="Times New Roman" w:cs="Times New Roman"/>
          <w:kern w:val="0"/>
          <w:sz w:val="24"/>
          <w:szCs w:val="24"/>
          <w:lang w:val="sr-Cyrl-RS"/>
          <w14:ligatures w14:val="none"/>
        </w:rPr>
        <w:t>.</w:t>
      </w:r>
    </w:p>
    <w:p w14:paraId="2B53E93C" w14:textId="278E5962" w:rsidR="00AD4DE7" w:rsidRPr="009C19C5" w:rsidRDefault="00AD4DE7" w:rsidP="006B4895">
      <w:pPr>
        <w:pStyle w:val="ListParagraph"/>
        <w:spacing w:after="0" w:line="240" w:lineRule="auto"/>
        <w:ind w:left="0" w:firstLine="720"/>
        <w:jc w:val="both"/>
        <w:rPr>
          <w:rFonts w:ascii="Times New Roman" w:eastAsia="Calibri" w:hAnsi="Times New Roman" w:cs="Times New Roman"/>
          <w:kern w:val="0"/>
          <w:sz w:val="24"/>
          <w:szCs w:val="24"/>
          <w:lang w:val="sr-Cyrl-RS"/>
          <w14:ligatures w14:val="none"/>
        </w:rPr>
      </w:pPr>
      <w:r w:rsidRPr="009C19C5">
        <w:rPr>
          <w:rFonts w:ascii="Times New Roman" w:eastAsia="Calibri" w:hAnsi="Times New Roman" w:cs="Times New Roman"/>
          <w:kern w:val="0"/>
          <w:sz w:val="24"/>
          <w:szCs w:val="24"/>
          <w:lang w:val="sr-Cyrl-RS"/>
          <w14:ligatures w14:val="none"/>
        </w:rPr>
        <w:t>Постоје два начина за изузеће од примене ЦБАМ на увоз електричне енергије: (I) учешће</w:t>
      </w:r>
      <w:r w:rsidR="0030466B" w:rsidRPr="009C19C5">
        <w:rPr>
          <w:rFonts w:ascii="Times New Roman" w:eastAsia="Calibri" w:hAnsi="Times New Roman" w:cs="Times New Roman"/>
          <w:kern w:val="0"/>
          <w:sz w:val="24"/>
          <w:szCs w:val="24"/>
          <w:lang w:val="sr-Cyrl-RS"/>
          <w14:ligatures w14:val="none"/>
        </w:rPr>
        <w:t xml:space="preserve"> </w:t>
      </w:r>
      <w:r w:rsidRPr="009C19C5">
        <w:rPr>
          <w:rFonts w:ascii="Times New Roman" w:eastAsia="Calibri" w:hAnsi="Times New Roman" w:cs="Times New Roman"/>
          <w:kern w:val="0"/>
          <w:sz w:val="24"/>
          <w:szCs w:val="24"/>
          <w:lang w:val="sr-Cyrl-RS"/>
          <w14:ligatures w14:val="none"/>
        </w:rPr>
        <w:t xml:space="preserve">у </w:t>
      </w:r>
      <w:bookmarkStart w:id="11" w:name="_Hlk201231441"/>
      <w:r w:rsidR="003D6B13" w:rsidRPr="009C19C5">
        <w:rPr>
          <w:rFonts w:ascii="Times New Roman" w:hAnsi="Times New Roman" w:cs="Times New Roman"/>
          <w:noProof/>
          <w:sz w:val="24"/>
          <w:szCs w:val="24"/>
          <w:lang w:val="sr-Cyrl-RS" w:eastAsia="sr-Latn-RS"/>
        </w:rPr>
        <w:t>трговини емисијама са ефектом стаклене баште</w:t>
      </w:r>
      <w:r w:rsidR="003D6B13" w:rsidRPr="009C19C5" w:rsidDel="003D6B13">
        <w:rPr>
          <w:rFonts w:ascii="Times New Roman" w:eastAsia="Calibri" w:hAnsi="Times New Roman" w:cs="Times New Roman"/>
          <w:kern w:val="0"/>
          <w:sz w:val="24"/>
          <w:szCs w:val="24"/>
          <w:lang w:val="sr-Cyrl-RS"/>
          <w14:ligatures w14:val="none"/>
        </w:rPr>
        <w:t xml:space="preserve"> </w:t>
      </w:r>
      <w:r w:rsidR="003D6B13" w:rsidRPr="009C19C5">
        <w:rPr>
          <w:rFonts w:ascii="Times New Roman" w:hAnsi="Times New Roman" w:cs="Times New Roman"/>
          <w:noProof/>
          <w:sz w:val="24"/>
          <w:szCs w:val="24"/>
          <w:lang w:val="sr-Cyrl-RS" w:eastAsia="sr-Latn-RS"/>
        </w:rPr>
        <w:t xml:space="preserve">Европске </w:t>
      </w:r>
      <w:r w:rsidR="001D444A" w:rsidRPr="009C19C5">
        <w:rPr>
          <w:rFonts w:ascii="Times New Roman" w:hAnsi="Times New Roman" w:cs="Times New Roman"/>
          <w:noProof/>
          <w:sz w:val="24"/>
          <w:szCs w:val="24"/>
          <w:lang w:val="sr-Cyrl-RS" w:eastAsia="sr-Latn-RS"/>
        </w:rPr>
        <w:t>у</w:t>
      </w:r>
      <w:r w:rsidR="003D6B13" w:rsidRPr="009C19C5">
        <w:rPr>
          <w:rFonts w:ascii="Times New Roman" w:hAnsi="Times New Roman" w:cs="Times New Roman"/>
          <w:noProof/>
          <w:sz w:val="24"/>
          <w:szCs w:val="24"/>
          <w:lang w:val="sr-Cyrl-RS" w:eastAsia="sr-Latn-RS"/>
        </w:rPr>
        <w:t xml:space="preserve">није </w:t>
      </w:r>
      <w:bookmarkEnd w:id="11"/>
      <w:r w:rsidRPr="009C19C5">
        <w:rPr>
          <w:rFonts w:ascii="Times New Roman" w:eastAsia="Calibri" w:hAnsi="Times New Roman" w:cs="Times New Roman"/>
          <w:kern w:val="0"/>
          <w:sz w:val="24"/>
          <w:szCs w:val="24"/>
          <w:lang w:val="sr-Cyrl-RS"/>
          <w14:ligatures w14:val="none"/>
        </w:rPr>
        <w:t xml:space="preserve">или успостављен систем трговања емисијама повезан са </w:t>
      </w:r>
      <w:r w:rsidR="003D6B13" w:rsidRPr="009C19C5">
        <w:rPr>
          <w:rFonts w:ascii="Times New Roman" w:hAnsi="Times New Roman" w:cs="Times New Roman"/>
          <w:noProof/>
          <w:sz w:val="24"/>
          <w:szCs w:val="24"/>
          <w:lang w:val="sr-Cyrl-RS" w:eastAsia="sr-Latn-RS"/>
        </w:rPr>
        <w:t>трговином емисијама са ефектом стаклене баште</w:t>
      </w:r>
      <w:r w:rsidR="003D6B13" w:rsidRPr="009C19C5" w:rsidDel="003D6B13">
        <w:rPr>
          <w:rFonts w:ascii="Times New Roman" w:eastAsia="Calibri" w:hAnsi="Times New Roman" w:cs="Times New Roman"/>
          <w:kern w:val="0"/>
          <w:sz w:val="24"/>
          <w:szCs w:val="24"/>
          <w:lang w:val="sr-Cyrl-RS"/>
          <w14:ligatures w14:val="none"/>
        </w:rPr>
        <w:t xml:space="preserve"> </w:t>
      </w:r>
      <w:r w:rsidR="003D6B13" w:rsidRPr="009C19C5">
        <w:rPr>
          <w:rFonts w:ascii="Times New Roman" w:hAnsi="Times New Roman" w:cs="Times New Roman"/>
          <w:noProof/>
          <w:sz w:val="24"/>
          <w:szCs w:val="24"/>
          <w:lang w:val="sr-Cyrl-RS" w:eastAsia="sr-Latn-RS"/>
        </w:rPr>
        <w:t xml:space="preserve">Европске </w:t>
      </w:r>
      <w:r w:rsidR="001D444A" w:rsidRPr="009C19C5">
        <w:rPr>
          <w:rFonts w:ascii="Times New Roman" w:hAnsi="Times New Roman" w:cs="Times New Roman"/>
          <w:noProof/>
          <w:sz w:val="24"/>
          <w:szCs w:val="24"/>
          <w:lang w:val="sr-Cyrl-RS" w:eastAsia="sr-Latn-RS"/>
        </w:rPr>
        <w:t>у</w:t>
      </w:r>
      <w:r w:rsidR="003D6B13" w:rsidRPr="009C19C5">
        <w:rPr>
          <w:rFonts w:ascii="Times New Roman" w:hAnsi="Times New Roman" w:cs="Times New Roman"/>
          <w:noProof/>
          <w:sz w:val="24"/>
          <w:szCs w:val="24"/>
          <w:lang w:val="sr-Cyrl-RS" w:eastAsia="sr-Latn-RS"/>
        </w:rPr>
        <w:t>није</w:t>
      </w:r>
      <w:r w:rsidRPr="009C19C5">
        <w:rPr>
          <w:rFonts w:ascii="Times New Roman" w:eastAsia="Calibri" w:hAnsi="Times New Roman" w:cs="Times New Roman"/>
          <w:kern w:val="0"/>
          <w:sz w:val="24"/>
          <w:szCs w:val="24"/>
          <w:lang w:val="sr-Cyrl-RS"/>
          <w14:ligatures w14:val="none"/>
        </w:rPr>
        <w:t>, или (II) успостављено национално тржиште електричне енергије које је интегрисано са унутрашњим тржиштем електричне енергије Е</w:t>
      </w:r>
      <w:r w:rsidR="003D6B13" w:rsidRPr="009C19C5">
        <w:rPr>
          <w:rFonts w:ascii="Times New Roman" w:eastAsia="Calibri" w:hAnsi="Times New Roman" w:cs="Times New Roman"/>
          <w:kern w:val="0"/>
          <w:sz w:val="24"/>
          <w:szCs w:val="24"/>
          <w:lang w:val="sr-Cyrl-RS"/>
          <w14:ligatures w14:val="none"/>
        </w:rPr>
        <w:t xml:space="preserve">вропске </w:t>
      </w:r>
      <w:r w:rsidR="001D444A" w:rsidRPr="009C19C5">
        <w:rPr>
          <w:rFonts w:ascii="Times New Roman" w:eastAsia="Calibri" w:hAnsi="Times New Roman" w:cs="Times New Roman"/>
          <w:kern w:val="0"/>
          <w:sz w:val="24"/>
          <w:szCs w:val="24"/>
          <w:lang w:val="sr-Cyrl-RS"/>
          <w14:ligatures w14:val="none"/>
        </w:rPr>
        <w:t>у</w:t>
      </w:r>
      <w:r w:rsidR="003D6B13" w:rsidRPr="009C19C5">
        <w:rPr>
          <w:rFonts w:ascii="Times New Roman" w:eastAsia="Calibri" w:hAnsi="Times New Roman" w:cs="Times New Roman"/>
          <w:kern w:val="0"/>
          <w:sz w:val="24"/>
          <w:szCs w:val="24"/>
          <w:lang w:val="sr-Cyrl-RS"/>
          <w14:ligatures w14:val="none"/>
        </w:rPr>
        <w:t>није</w:t>
      </w:r>
      <w:r w:rsidRPr="009C19C5">
        <w:rPr>
          <w:rFonts w:ascii="Times New Roman" w:eastAsia="Calibri" w:hAnsi="Times New Roman" w:cs="Times New Roman"/>
          <w:kern w:val="0"/>
          <w:sz w:val="24"/>
          <w:szCs w:val="24"/>
          <w:lang w:val="sr-Cyrl-RS"/>
          <w14:ligatures w14:val="none"/>
        </w:rPr>
        <w:t xml:space="preserve"> путем спајања тржишта, благовремено транспоновати релевантне правне тековине Е</w:t>
      </w:r>
      <w:r w:rsidR="003D6B13" w:rsidRPr="009C19C5">
        <w:rPr>
          <w:rFonts w:ascii="Times New Roman" w:eastAsia="Calibri" w:hAnsi="Times New Roman" w:cs="Times New Roman"/>
          <w:kern w:val="0"/>
          <w:sz w:val="24"/>
          <w:szCs w:val="24"/>
          <w:lang w:val="sr-Cyrl-RS"/>
          <w14:ligatures w14:val="none"/>
        </w:rPr>
        <w:t xml:space="preserve">вропске </w:t>
      </w:r>
      <w:r w:rsidR="001D444A" w:rsidRPr="009C19C5">
        <w:rPr>
          <w:rFonts w:ascii="Times New Roman" w:eastAsia="Calibri" w:hAnsi="Times New Roman" w:cs="Times New Roman"/>
          <w:kern w:val="0"/>
          <w:sz w:val="24"/>
          <w:szCs w:val="24"/>
          <w:lang w:val="sr-Cyrl-RS"/>
          <w14:ligatures w14:val="none"/>
        </w:rPr>
        <w:t>у</w:t>
      </w:r>
      <w:r w:rsidR="003D6B13" w:rsidRPr="009C19C5">
        <w:rPr>
          <w:rFonts w:ascii="Times New Roman" w:eastAsia="Calibri" w:hAnsi="Times New Roman" w:cs="Times New Roman"/>
          <w:kern w:val="0"/>
          <w:sz w:val="24"/>
          <w:szCs w:val="24"/>
          <w:lang w:val="sr-Cyrl-RS"/>
          <w14:ligatures w14:val="none"/>
        </w:rPr>
        <w:t>није</w:t>
      </w:r>
      <w:r w:rsidRPr="009C19C5">
        <w:rPr>
          <w:rFonts w:ascii="Times New Roman" w:eastAsia="Calibri" w:hAnsi="Times New Roman" w:cs="Times New Roman"/>
          <w:kern w:val="0"/>
          <w:sz w:val="24"/>
          <w:szCs w:val="24"/>
          <w:lang w:val="sr-Cyrl-RS"/>
          <w14:ligatures w14:val="none"/>
        </w:rPr>
        <w:t xml:space="preserve"> у области енергетике, посвећено радити на постизању климатске неутралности до 2050. године и обавезати се на имплементацију система трговања емисијама електричне енергије, са ценом еквивалентном </w:t>
      </w:r>
      <w:r w:rsidR="003D6B13" w:rsidRPr="009C19C5">
        <w:rPr>
          <w:rFonts w:ascii="Times New Roman" w:hAnsi="Times New Roman" w:cs="Times New Roman"/>
          <w:noProof/>
          <w:sz w:val="24"/>
          <w:szCs w:val="24"/>
          <w:lang w:val="sr-Cyrl-RS" w:eastAsia="sr-Latn-RS"/>
        </w:rPr>
        <w:t>трговини емисијама са ефектом стаклене баште</w:t>
      </w:r>
      <w:r w:rsidR="003D6B13" w:rsidRPr="009C19C5" w:rsidDel="003D6B13">
        <w:rPr>
          <w:rFonts w:ascii="Times New Roman" w:eastAsia="Calibri" w:hAnsi="Times New Roman" w:cs="Times New Roman"/>
          <w:kern w:val="0"/>
          <w:sz w:val="24"/>
          <w:szCs w:val="24"/>
          <w:lang w:val="sr-Cyrl-RS"/>
          <w14:ligatures w14:val="none"/>
        </w:rPr>
        <w:t xml:space="preserve"> </w:t>
      </w:r>
      <w:r w:rsidR="003D6B13" w:rsidRPr="009C19C5">
        <w:rPr>
          <w:rFonts w:ascii="Times New Roman" w:hAnsi="Times New Roman" w:cs="Times New Roman"/>
          <w:noProof/>
          <w:sz w:val="24"/>
          <w:szCs w:val="24"/>
          <w:lang w:val="sr-Cyrl-RS" w:eastAsia="sr-Latn-RS"/>
        </w:rPr>
        <w:t xml:space="preserve">Европске </w:t>
      </w:r>
      <w:r w:rsidR="001D444A" w:rsidRPr="009C19C5">
        <w:rPr>
          <w:rFonts w:ascii="Times New Roman" w:hAnsi="Times New Roman" w:cs="Times New Roman"/>
          <w:noProof/>
          <w:sz w:val="24"/>
          <w:szCs w:val="24"/>
          <w:lang w:val="sr-Cyrl-RS" w:eastAsia="sr-Latn-RS"/>
        </w:rPr>
        <w:t>у</w:t>
      </w:r>
      <w:r w:rsidR="003D6B13" w:rsidRPr="009C19C5">
        <w:rPr>
          <w:rFonts w:ascii="Times New Roman" w:hAnsi="Times New Roman" w:cs="Times New Roman"/>
          <w:noProof/>
          <w:sz w:val="24"/>
          <w:szCs w:val="24"/>
          <w:lang w:val="sr-Cyrl-RS" w:eastAsia="sr-Latn-RS"/>
        </w:rPr>
        <w:t xml:space="preserve">није </w:t>
      </w:r>
      <w:r w:rsidRPr="009C19C5">
        <w:rPr>
          <w:rFonts w:ascii="Times New Roman" w:eastAsia="Calibri" w:hAnsi="Times New Roman" w:cs="Times New Roman"/>
          <w:kern w:val="0"/>
          <w:sz w:val="24"/>
          <w:szCs w:val="24"/>
          <w:lang w:val="sr-Cyrl-RS"/>
          <w14:ligatures w14:val="none"/>
        </w:rPr>
        <w:t>до 1. јануара 2030. године.</w:t>
      </w:r>
    </w:p>
    <w:p w14:paraId="7D97D9E3" w14:textId="1FFD972B" w:rsidR="00AD4DE7" w:rsidRPr="009C19C5" w:rsidRDefault="00AD4DE7" w:rsidP="006B4895">
      <w:pPr>
        <w:pStyle w:val="ListParagraph"/>
        <w:spacing w:after="0" w:line="240" w:lineRule="auto"/>
        <w:ind w:left="0" w:firstLine="720"/>
        <w:jc w:val="both"/>
        <w:rPr>
          <w:rFonts w:ascii="Times New Roman" w:eastAsia="Calibri" w:hAnsi="Times New Roman" w:cs="Times New Roman"/>
          <w:sz w:val="24"/>
          <w:szCs w:val="24"/>
          <w:lang w:val="sr-Cyrl-RS"/>
        </w:rPr>
      </w:pPr>
      <w:r w:rsidRPr="009C19C5">
        <w:rPr>
          <w:rFonts w:ascii="Times New Roman" w:eastAsia="Calibri" w:hAnsi="Times New Roman" w:cs="Times New Roman"/>
          <w:sz w:val="24"/>
          <w:szCs w:val="24"/>
          <w:lang w:val="sr-Cyrl-RS"/>
        </w:rPr>
        <w:t xml:space="preserve">Увођење домаћих цена угљеника у </w:t>
      </w:r>
      <w:r w:rsidR="007D4593" w:rsidRPr="009C19C5">
        <w:rPr>
          <w:rFonts w:ascii="Times New Roman" w:hAnsi="Times New Roman" w:cs="Times New Roman"/>
          <w:sz w:val="24"/>
          <w:szCs w:val="24"/>
          <w:lang w:val="sr-Cyrl-RS"/>
        </w:rPr>
        <w:t>Републици</w:t>
      </w:r>
      <w:r w:rsidR="007D4593" w:rsidRPr="009C19C5">
        <w:rPr>
          <w:rFonts w:ascii="Times New Roman" w:eastAsia="Calibri" w:hAnsi="Times New Roman" w:cs="Times New Roman"/>
          <w:sz w:val="24"/>
          <w:szCs w:val="24"/>
          <w:lang w:val="sr-Cyrl-RS"/>
        </w:rPr>
        <w:t xml:space="preserve"> </w:t>
      </w:r>
      <w:r w:rsidRPr="009C19C5">
        <w:rPr>
          <w:rFonts w:ascii="Times New Roman" w:eastAsia="Calibri" w:hAnsi="Times New Roman" w:cs="Times New Roman"/>
          <w:sz w:val="24"/>
          <w:szCs w:val="24"/>
          <w:lang w:val="sr-Cyrl-RS"/>
        </w:rPr>
        <w:t>Србији као стратегије за ублажавање ефеката ЦБАМ Е</w:t>
      </w:r>
      <w:r w:rsidR="003D6B13" w:rsidRPr="009C19C5">
        <w:rPr>
          <w:rFonts w:ascii="Times New Roman" w:eastAsia="Calibri" w:hAnsi="Times New Roman" w:cs="Times New Roman"/>
          <w:sz w:val="24"/>
          <w:szCs w:val="24"/>
          <w:lang w:val="sr-Cyrl-RS"/>
        </w:rPr>
        <w:t xml:space="preserve">вропске </w:t>
      </w:r>
      <w:r w:rsidR="001D444A" w:rsidRPr="009C19C5">
        <w:rPr>
          <w:rFonts w:ascii="Times New Roman" w:eastAsia="Calibri" w:hAnsi="Times New Roman" w:cs="Times New Roman"/>
          <w:sz w:val="24"/>
          <w:szCs w:val="24"/>
          <w:lang w:val="sr-Cyrl-RS"/>
        </w:rPr>
        <w:t>у</w:t>
      </w:r>
      <w:r w:rsidR="003D6B13" w:rsidRPr="009C19C5">
        <w:rPr>
          <w:rFonts w:ascii="Times New Roman" w:eastAsia="Calibri" w:hAnsi="Times New Roman" w:cs="Times New Roman"/>
          <w:sz w:val="24"/>
          <w:szCs w:val="24"/>
          <w:lang w:val="sr-Cyrl-RS"/>
        </w:rPr>
        <w:t>није</w:t>
      </w:r>
      <w:r w:rsidRPr="009C19C5">
        <w:rPr>
          <w:rFonts w:ascii="Times New Roman" w:eastAsia="Calibri" w:hAnsi="Times New Roman" w:cs="Times New Roman"/>
          <w:sz w:val="24"/>
          <w:szCs w:val="24"/>
          <w:lang w:val="sr-Cyrl-RS"/>
        </w:rPr>
        <w:t xml:space="preserve"> могло би да обезбеди значајне еколошке и економске користи, усклађујући земљу са међународним климатским политикама и штитећи њене трговинске интересе. Међутим, то доноси и одређене изазове, као што су економски трошкови, потенцијални проблеми и сложеност имплементације. Балансирање ових фактора ће бити од кључног значаја за осигурање успеха политике и њеног прихватања од стране привреде и јавности. Како би се избалансирали економски и еколошки утицаји увођења домаћих цена угљеника у </w:t>
      </w:r>
      <w:r w:rsidR="007D4593" w:rsidRPr="009C19C5">
        <w:rPr>
          <w:rFonts w:ascii="Times New Roman" w:hAnsi="Times New Roman" w:cs="Times New Roman"/>
          <w:sz w:val="24"/>
          <w:szCs w:val="24"/>
          <w:lang w:val="sr-Cyrl-RS"/>
        </w:rPr>
        <w:t>Републици</w:t>
      </w:r>
      <w:r w:rsidR="007D4593" w:rsidRPr="009C19C5">
        <w:rPr>
          <w:rFonts w:ascii="Times New Roman" w:eastAsia="Calibri" w:hAnsi="Times New Roman" w:cs="Times New Roman"/>
          <w:sz w:val="24"/>
          <w:szCs w:val="24"/>
          <w:lang w:val="sr-Cyrl-RS"/>
        </w:rPr>
        <w:t xml:space="preserve"> </w:t>
      </w:r>
      <w:r w:rsidRPr="009C19C5">
        <w:rPr>
          <w:rFonts w:ascii="Times New Roman" w:eastAsia="Calibri" w:hAnsi="Times New Roman" w:cs="Times New Roman"/>
          <w:sz w:val="24"/>
          <w:szCs w:val="24"/>
          <w:lang w:val="sr-Cyrl-RS"/>
        </w:rPr>
        <w:t xml:space="preserve">Србији, могао би се усвојити фазни приступ, почевши од скромне цене угљеника и њеног постепеног повећања. Подршка погођеним индустријама, као што су субвенције за нискоугљеничне технологије и програми преквалификације радника, заједно са рециклирањем прихода за финансирање зелених пројеката и пружање директних рабата грађанима, могу ублажити негативне ефекте. </w:t>
      </w:r>
      <w:bookmarkStart w:id="12" w:name="_Hlk202345222"/>
      <w:r w:rsidRPr="009C19C5">
        <w:rPr>
          <w:rFonts w:ascii="Times New Roman" w:eastAsia="Calibri" w:hAnsi="Times New Roman" w:cs="Times New Roman"/>
          <w:sz w:val="24"/>
          <w:szCs w:val="24"/>
          <w:lang w:val="sr-Cyrl-RS"/>
        </w:rPr>
        <w:t>Ангажовање заинтересованих страна, обезбеђивање транспарентне комуникације и комбиновање цена угљеника са комплементарним политикама као што су програми енергетске ефикасности и стандардизације емисије од суштинског су значаја. Редовна преиспитивања политикa и прилагодљиво управљање помоћи ће да се систем прецизно подеси како би се постигла економска одрживост и обезбедила подршка јавности.</w:t>
      </w:r>
      <w:bookmarkEnd w:id="12"/>
    </w:p>
    <w:p w14:paraId="458EC48A" w14:textId="28E5584D" w:rsidR="00AD4DE7" w:rsidRPr="009C19C5" w:rsidRDefault="00AD4DE7" w:rsidP="006B4895">
      <w:pPr>
        <w:pStyle w:val="ListParagraph"/>
        <w:spacing w:after="0" w:line="240" w:lineRule="auto"/>
        <w:ind w:left="0" w:firstLine="720"/>
        <w:jc w:val="both"/>
        <w:rPr>
          <w:rFonts w:ascii="Times New Roman" w:eastAsia="Calibri" w:hAnsi="Times New Roman" w:cs="Times New Roman"/>
          <w:sz w:val="24"/>
          <w:szCs w:val="24"/>
          <w:lang w:val="sr-Cyrl-RS"/>
        </w:rPr>
      </w:pPr>
      <w:r w:rsidRPr="009C19C5">
        <w:rPr>
          <w:rFonts w:ascii="Times New Roman" w:eastAsia="Calibri" w:hAnsi="Times New Roman" w:cs="Times New Roman"/>
          <w:sz w:val="24"/>
          <w:szCs w:val="24"/>
          <w:lang w:val="sr-Cyrl-RS"/>
        </w:rPr>
        <w:t>Увођењем механизма за опорезивање угљеника домаће термоелектране на угаљ биће све неконкурентније, посебно на регионалним тржиштима електричне енергије. То ће имати утицај  на рад термоел</w:t>
      </w:r>
      <w:r w:rsidR="006D4594" w:rsidRPr="009C19C5">
        <w:rPr>
          <w:rFonts w:ascii="Times New Roman" w:eastAsia="Calibri" w:hAnsi="Times New Roman" w:cs="Times New Roman"/>
          <w:sz w:val="24"/>
          <w:szCs w:val="24"/>
          <w:lang w:val="sr-Cyrl-RS"/>
        </w:rPr>
        <w:t>е</w:t>
      </w:r>
      <w:r w:rsidRPr="009C19C5">
        <w:rPr>
          <w:rFonts w:ascii="Times New Roman" w:eastAsia="Calibri" w:hAnsi="Times New Roman" w:cs="Times New Roman"/>
          <w:sz w:val="24"/>
          <w:szCs w:val="24"/>
          <w:lang w:val="sr-Cyrl-RS"/>
        </w:rPr>
        <w:t>ктрана као и на сагледавање аспекта праведне транзиције</w:t>
      </w:r>
      <w:r w:rsidR="00867E4F" w:rsidRPr="009C19C5">
        <w:rPr>
          <w:rFonts w:ascii="Times New Roman" w:eastAsia="Calibri" w:hAnsi="Times New Roman" w:cs="Times New Roman"/>
          <w:sz w:val="24"/>
          <w:szCs w:val="24"/>
          <w:lang w:val="sr-Cyrl-RS"/>
        </w:rPr>
        <w:t>:</w:t>
      </w:r>
    </w:p>
    <w:p w14:paraId="536B421A" w14:textId="77777777" w:rsidR="00C12DC5" w:rsidRPr="009C19C5" w:rsidRDefault="00994E77" w:rsidP="008D7F6B">
      <w:pPr>
        <w:pStyle w:val="ListParagraph"/>
        <w:numPr>
          <w:ilvl w:val="0"/>
          <w:numId w:val="6"/>
        </w:numPr>
        <w:tabs>
          <w:tab w:val="left" w:pos="990"/>
        </w:tabs>
        <w:spacing w:after="0" w:line="240" w:lineRule="auto"/>
        <w:ind w:firstLine="720"/>
        <w:jc w:val="both"/>
        <w:rPr>
          <w:rFonts w:ascii="Times New Roman" w:eastAsia="Calibri" w:hAnsi="Times New Roman" w:cs="Times New Roman"/>
          <w:sz w:val="24"/>
          <w:szCs w:val="24"/>
          <w:lang w:val="sr-Cyrl-RS"/>
        </w:rPr>
      </w:pPr>
      <w:r w:rsidRPr="009C19C5">
        <w:rPr>
          <w:rFonts w:ascii="Times New Roman" w:eastAsia="Calibri" w:hAnsi="Times New Roman" w:cs="Times New Roman"/>
          <w:sz w:val="24"/>
          <w:szCs w:val="24"/>
          <w:lang w:val="sr-Cyrl-RS" w:eastAsia="el-GR"/>
        </w:rPr>
        <w:t>Д</w:t>
      </w:r>
      <w:r w:rsidR="00AD4DE7" w:rsidRPr="009C19C5">
        <w:rPr>
          <w:rFonts w:ascii="Times New Roman" w:eastAsia="Calibri" w:hAnsi="Times New Roman" w:cs="Times New Roman"/>
          <w:sz w:val="24"/>
          <w:szCs w:val="24"/>
          <w:lang w:val="sr-Cyrl-RS" w:eastAsia="el-GR"/>
        </w:rPr>
        <w:t>руштвено-економскa анализa региона у којима се производи угаљ и користи за производњу електричне енергије.</w:t>
      </w:r>
      <w:r w:rsidR="00AD4DE7" w:rsidRPr="009C19C5">
        <w:rPr>
          <w:rFonts w:ascii="Times New Roman" w:hAnsi="Times New Roman" w:cs="Times New Roman"/>
          <w:sz w:val="24"/>
          <w:szCs w:val="24"/>
          <w:lang w:val="sr-Cyrl-RS"/>
        </w:rPr>
        <w:t xml:space="preserve"> </w:t>
      </w:r>
    </w:p>
    <w:p w14:paraId="6DC83BB0" w14:textId="00AEF7F6" w:rsidR="007C252F" w:rsidRPr="009C19C5" w:rsidRDefault="007C252F" w:rsidP="008D7F6B">
      <w:pPr>
        <w:pStyle w:val="ListParagraph"/>
        <w:numPr>
          <w:ilvl w:val="0"/>
          <w:numId w:val="6"/>
        </w:numPr>
        <w:tabs>
          <w:tab w:val="left" w:pos="990"/>
        </w:tabs>
        <w:spacing w:after="0" w:line="240" w:lineRule="auto"/>
        <w:ind w:firstLine="720"/>
        <w:jc w:val="both"/>
        <w:rPr>
          <w:rFonts w:ascii="Times New Roman" w:eastAsia="Calibri" w:hAnsi="Times New Roman" w:cs="Times New Roman"/>
          <w:sz w:val="24"/>
          <w:szCs w:val="24"/>
          <w:lang w:val="sr-Cyrl-RS"/>
        </w:rPr>
      </w:pPr>
      <w:r w:rsidRPr="009C19C5">
        <w:rPr>
          <w:rFonts w:ascii="Times New Roman" w:eastAsia="Calibri" w:hAnsi="Times New Roman" w:cs="Times New Roman"/>
          <w:sz w:val="24"/>
          <w:szCs w:val="24"/>
          <w:lang w:val="sr-Cyrl-RS"/>
        </w:rPr>
        <w:t xml:space="preserve">Аспект сигурности снабдевања пре свега због глобалне ескалације геополитичких сукоба, посебно рата Русије и Украјине, почетком 2022. године, а што је у </w:t>
      </w:r>
      <w:r w:rsidR="003D6B13" w:rsidRPr="009C19C5">
        <w:rPr>
          <w:rFonts w:ascii="Times New Roman" w:eastAsia="Calibri" w:hAnsi="Times New Roman" w:cs="Times New Roman"/>
          <w:sz w:val="24"/>
          <w:szCs w:val="24"/>
          <w:lang w:val="sr-Cyrl-RS"/>
        </w:rPr>
        <w:t>потпуности изменило</w:t>
      </w:r>
      <w:r w:rsidRPr="009C19C5">
        <w:rPr>
          <w:rFonts w:ascii="Times New Roman" w:eastAsia="Calibri" w:hAnsi="Times New Roman" w:cs="Times New Roman"/>
          <w:sz w:val="24"/>
          <w:szCs w:val="24"/>
          <w:lang w:val="sr-Cyrl-RS"/>
        </w:rPr>
        <w:t xml:space="preserve"> међународне околности у енергетском сектору, пре свега на европском континенту. Услед санкција и ембарга на увоз енергената из Русије, као и физичких саботажа, дошло је до прекида устаљених рута снабдевања Европе природним гасом и нафтом.</w:t>
      </w:r>
    </w:p>
    <w:p w14:paraId="472DF4AD" w14:textId="645B53DE" w:rsidR="006E247C" w:rsidRPr="009C19C5" w:rsidRDefault="006E247C" w:rsidP="00534A78">
      <w:pPr>
        <w:spacing w:after="0" w:line="240" w:lineRule="auto"/>
        <w:ind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Важно је истаћи да је енергетска праведна транзиција процес у оквиру којег треба створити нову структуру привредног и друштвеног ра</w:t>
      </w:r>
      <w:r w:rsidR="000D6A82" w:rsidRPr="009C19C5">
        <w:rPr>
          <w:rFonts w:ascii="Times New Roman" w:hAnsi="Times New Roman" w:cs="Times New Roman"/>
          <w:sz w:val="24"/>
          <w:szCs w:val="24"/>
          <w:lang w:val="sr-Cyrl-RS"/>
        </w:rPr>
        <w:t>з</w:t>
      </w:r>
      <w:r w:rsidRPr="009C19C5">
        <w:rPr>
          <w:rFonts w:ascii="Times New Roman" w:hAnsi="Times New Roman" w:cs="Times New Roman"/>
          <w:sz w:val="24"/>
          <w:szCs w:val="24"/>
          <w:lang w:val="sr-Cyrl-RS"/>
        </w:rPr>
        <w:t>воја</w:t>
      </w:r>
      <w:r w:rsidR="009F61F4" w:rsidRPr="009C19C5">
        <w:rPr>
          <w:rFonts w:ascii="Times New Roman" w:hAnsi="Times New Roman" w:cs="Times New Roman"/>
          <w:sz w:val="24"/>
          <w:szCs w:val="24"/>
          <w:lang w:val="sr-Cyrl-RS"/>
        </w:rPr>
        <w:t>.</w:t>
      </w:r>
    </w:p>
    <w:p w14:paraId="2EA26944" w14:textId="3428211D" w:rsidR="00F276BC" w:rsidRPr="009C19C5" w:rsidRDefault="00CF3CE1" w:rsidP="00534A78">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 xml:space="preserve">Имајући   </w:t>
      </w:r>
      <w:r w:rsidR="007C252F" w:rsidRPr="009C19C5">
        <w:rPr>
          <w:rFonts w:ascii="Times New Roman" w:hAnsi="Times New Roman" w:cs="Times New Roman"/>
          <w:sz w:val="24"/>
          <w:szCs w:val="24"/>
          <w:lang w:val="sr-Cyrl-RS"/>
        </w:rPr>
        <w:t xml:space="preserve">у </w:t>
      </w:r>
      <w:r w:rsidRPr="009C19C5">
        <w:rPr>
          <w:rFonts w:ascii="Times New Roman" w:hAnsi="Times New Roman" w:cs="Times New Roman"/>
          <w:sz w:val="24"/>
          <w:szCs w:val="24"/>
          <w:lang w:val="sr-Cyrl-RS"/>
        </w:rPr>
        <w:t xml:space="preserve">виду </w:t>
      </w:r>
      <w:r w:rsidR="007C252F" w:rsidRPr="009C19C5">
        <w:rPr>
          <w:rFonts w:ascii="Times New Roman" w:hAnsi="Times New Roman" w:cs="Times New Roman"/>
          <w:sz w:val="24"/>
          <w:szCs w:val="24"/>
          <w:lang w:val="sr-Cyrl-RS"/>
        </w:rPr>
        <w:t xml:space="preserve">законодавни и стратешки оквир, као и да се дефинисање политика </w:t>
      </w:r>
      <w:r w:rsidR="006E247C" w:rsidRPr="009C19C5">
        <w:rPr>
          <w:rFonts w:ascii="Times New Roman" w:hAnsi="Times New Roman" w:cs="Times New Roman"/>
          <w:sz w:val="24"/>
          <w:szCs w:val="24"/>
          <w:lang w:val="sr-Cyrl-RS"/>
        </w:rPr>
        <w:t>које</w:t>
      </w:r>
      <w:r w:rsidR="007C252F" w:rsidRPr="009C19C5">
        <w:rPr>
          <w:rFonts w:ascii="Times New Roman" w:hAnsi="Times New Roman" w:cs="Times New Roman"/>
          <w:sz w:val="24"/>
          <w:szCs w:val="24"/>
          <w:lang w:val="sr-Cyrl-RS"/>
        </w:rPr>
        <w:t xml:space="preserve"> су кључни параметар за процес декарбонизације и аспект </w:t>
      </w:r>
      <w:r w:rsidR="006E247C" w:rsidRPr="009C19C5">
        <w:rPr>
          <w:rFonts w:ascii="Times New Roman" w:hAnsi="Times New Roman" w:cs="Times New Roman"/>
          <w:sz w:val="24"/>
          <w:szCs w:val="24"/>
          <w:lang w:val="sr-Cyrl-RS"/>
        </w:rPr>
        <w:t>праведне</w:t>
      </w:r>
      <w:r w:rsidR="007C252F" w:rsidRPr="009C19C5">
        <w:rPr>
          <w:rFonts w:ascii="Times New Roman" w:hAnsi="Times New Roman" w:cs="Times New Roman"/>
          <w:sz w:val="24"/>
          <w:szCs w:val="24"/>
          <w:lang w:val="sr-Cyrl-RS"/>
        </w:rPr>
        <w:t xml:space="preserve"> транзиције очекује у наредном периоду</w:t>
      </w:r>
      <w:r w:rsidR="006E247C" w:rsidRPr="009C19C5">
        <w:rPr>
          <w:rFonts w:ascii="Times New Roman" w:hAnsi="Times New Roman" w:cs="Times New Roman"/>
          <w:sz w:val="24"/>
          <w:szCs w:val="24"/>
          <w:lang w:val="sr-Cyrl-RS"/>
        </w:rPr>
        <w:t xml:space="preserve">, </w:t>
      </w:r>
      <w:r w:rsidR="007C252F" w:rsidRPr="009C19C5">
        <w:rPr>
          <w:rFonts w:ascii="Times New Roman" w:hAnsi="Times New Roman" w:cs="Times New Roman"/>
          <w:sz w:val="24"/>
          <w:szCs w:val="24"/>
          <w:lang w:val="sr-Cyrl-RS"/>
        </w:rPr>
        <w:t xml:space="preserve"> Република Србија </w:t>
      </w:r>
      <w:r w:rsidR="006E247C" w:rsidRPr="009C19C5">
        <w:rPr>
          <w:rFonts w:ascii="Times New Roman" w:hAnsi="Times New Roman" w:cs="Times New Roman"/>
          <w:sz w:val="24"/>
          <w:szCs w:val="24"/>
          <w:lang w:val="sr-Cyrl-RS"/>
        </w:rPr>
        <w:t xml:space="preserve">је </w:t>
      </w:r>
      <w:r w:rsidR="007C252F" w:rsidRPr="009C19C5">
        <w:rPr>
          <w:rFonts w:ascii="Times New Roman" w:hAnsi="Times New Roman" w:cs="Times New Roman"/>
          <w:sz w:val="24"/>
          <w:szCs w:val="24"/>
          <w:lang w:val="sr-Cyrl-RS"/>
        </w:rPr>
        <w:t>тек на почетку процеса декарбонизације</w:t>
      </w:r>
      <w:r w:rsidR="00347460" w:rsidRPr="009C19C5">
        <w:rPr>
          <w:rFonts w:ascii="Times New Roman" w:hAnsi="Times New Roman" w:cs="Times New Roman"/>
          <w:sz w:val="24"/>
          <w:szCs w:val="24"/>
          <w:lang w:val="sr-Cyrl-RS"/>
        </w:rPr>
        <w:t>,</w:t>
      </w:r>
      <w:r w:rsidR="007C252F" w:rsidRPr="009C19C5">
        <w:rPr>
          <w:rFonts w:ascii="Times New Roman" w:hAnsi="Times New Roman" w:cs="Times New Roman"/>
          <w:sz w:val="24"/>
          <w:szCs w:val="24"/>
          <w:lang w:val="sr-Cyrl-RS"/>
        </w:rPr>
        <w:t xml:space="preserve"> односно енергетске транзиције</w:t>
      </w:r>
      <w:r w:rsidR="006E247C" w:rsidRPr="009C19C5">
        <w:rPr>
          <w:rFonts w:ascii="Times New Roman" w:hAnsi="Times New Roman" w:cs="Times New Roman"/>
          <w:sz w:val="24"/>
          <w:szCs w:val="24"/>
          <w:lang w:val="sr-Cyrl-RS"/>
        </w:rPr>
        <w:t xml:space="preserve">. Сагласно томе </w:t>
      </w:r>
      <w:r w:rsidR="007C252F" w:rsidRPr="009C19C5">
        <w:rPr>
          <w:rFonts w:ascii="Times New Roman" w:hAnsi="Times New Roman" w:cs="Times New Roman"/>
          <w:sz w:val="24"/>
          <w:szCs w:val="24"/>
          <w:lang w:val="sr-Cyrl-RS"/>
        </w:rPr>
        <w:t xml:space="preserve"> </w:t>
      </w:r>
      <w:r w:rsidR="00534C8C" w:rsidRPr="009C19C5">
        <w:rPr>
          <w:rFonts w:ascii="Times New Roman" w:hAnsi="Times New Roman" w:cs="Times New Roman"/>
          <w:sz w:val="24"/>
          <w:szCs w:val="24"/>
          <w:lang w:val="sr-Cyrl-RS"/>
        </w:rPr>
        <w:t>ППЕТ</w:t>
      </w:r>
      <w:r w:rsidRPr="009C19C5">
        <w:rPr>
          <w:rFonts w:ascii="Times New Roman" w:hAnsi="Times New Roman" w:cs="Times New Roman"/>
          <w:sz w:val="24"/>
          <w:szCs w:val="24"/>
          <w:lang w:val="sr-Cyrl-RS"/>
        </w:rPr>
        <w:t xml:space="preserve"> </w:t>
      </w:r>
      <w:r w:rsidR="006E247C" w:rsidRPr="009C19C5">
        <w:rPr>
          <w:rFonts w:ascii="Times New Roman" w:hAnsi="Times New Roman" w:cs="Times New Roman"/>
          <w:sz w:val="24"/>
          <w:szCs w:val="24"/>
          <w:lang w:val="sr-Cyrl-RS"/>
        </w:rPr>
        <w:t>представља увод у процес праведне енергетске транзиције и</w:t>
      </w:r>
      <w:r w:rsidR="00190E9D" w:rsidRPr="009C19C5">
        <w:rPr>
          <w:rFonts w:ascii="Times New Roman" w:hAnsi="Times New Roman" w:cs="Times New Roman"/>
          <w:sz w:val="24"/>
          <w:szCs w:val="24"/>
          <w:lang w:val="sr-Cyrl-RS"/>
        </w:rPr>
        <w:t xml:space="preserve"> </w:t>
      </w:r>
      <w:r w:rsidR="00DC13B5" w:rsidRPr="009C19C5">
        <w:rPr>
          <w:rFonts w:ascii="Times New Roman" w:hAnsi="Times New Roman" w:cs="Times New Roman"/>
          <w:sz w:val="24"/>
          <w:szCs w:val="24"/>
          <w:lang w:val="sr-Cyrl-RS"/>
        </w:rPr>
        <w:t xml:space="preserve">дефинише мере и активности које је потребно реализовати како би се успоставило управљање праведном транзицијом </w:t>
      </w:r>
      <w:r w:rsidR="00190E9D" w:rsidRPr="009C19C5">
        <w:rPr>
          <w:rFonts w:ascii="Times New Roman" w:hAnsi="Times New Roman" w:cs="Times New Roman"/>
          <w:sz w:val="24"/>
          <w:szCs w:val="24"/>
          <w:lang w:val="sr-Cyrl-RS"/>
        </w:rPr>
        <w:t>као и</w:t>
      </w:r>
      <w:r w:rsidR="00DC13B5" w:rsidRPr="009C19C5">
        <w:rPr>
          <w:rFonts w:ascii="Times New Roman" w:hAnsi="Times New Roman" w:cs="Times New Roman"/>
          <w:sz w:val="24"/>
          <w:szCs w:val="24"/>
          <w:lang w:val="sr-Cyrl-RS"/>
        </w:rPr>
        <w:t xml:space="preserve"> </w:t>
      </w:r>
      <w:r w:rsidR="00190E9D" w:rsidRPr="009C19C5">
        <w:rPr>
          <w:rFonts w:ascii="Times New Roman" w:hAnsi="Times New Roman" w:cs="Times New Roman"/>
          <w:sz w:val="24"/>
          <w:szCs w:val="24"/>
          <w:lang w:val="sr-Cyrl-RS"/>
        </w:rPr>
        <w:t xml:space="preserve">припремне активности за  </w:t>
      </w:r>
      <w:r w:rsidR="00DC13B5" w:rsidRPr="009C19C5">
        <w:rPr>
          <w:rFonts w:ascii="Times New Roman" w:hAnsi="Times New Roman" w:cs="Times New Roman"/>
          <w:sz w:val="24"/>
          <w:szCs w:val="24"/>
          <w:lang w:val="sr-Cyrl-RS"/>
        </w:rPr>
        <w:t xml:space="preserve">спречавање негативних последица енергетске транзиције и подстицање развоја региона. </w:t>
      </w:r>
      <w:r w:rsidRPr="009C19C5">
        <w:rPr>
          <w:rFonts w:ascii="Times New Roman" w:hAnsi="Times New Roman" w:cs="Times New Roman"/>
          <w:sz w:val="24"/>
          <w:szCs w:val="24"/>
          <w:lang w:val="sr-Cyrl-RS"/>
        </w:rPr>
        <w:t xml:space="preserve"> </w:t>
      </w:r>
    </w:p>
    <w:p w14:paraId="494353A7" w14:textId="6E2E1A46" w:rsidR="00BA7CED" w:rsidRPr="009C19C5" w:rsidRDefault="00BA7CED" w:rsidP="00231DCA">
      <w:pPr>
        <w:pStyle w:val="Heading3"/>
        <w:keepNext w:val="0"/>
        <w:keepLines w:val="0"/>
        <w:spacing w:line="240" w:lineRule="auto"/>
        <w:ind w:right="1151"/>
        <w:rPr>
          <w:rFonts w:ascii="Times New Roman" w:eastAsiaTheme="minorEastAsia" w:hAnsi="Times New Roman" w:cs="Times New Roman"/>
          <w:b w:val="0"/>
          <w:i/>
          <w:iCs/>
          <w:color w:val="auto"/>
          <w:kern w:val="0"/>
          <w:lang w:val="sr-Cyrl-RS"/>
          <w14:ligatures w14:val="none"/>
        </w:rPr>
      </w:pPr>
      <w:bookmarkStart w:id="13" w:name="_Toc183082931"/>
    </w:p>
    <w:p w14:paraId="79B2E178" w14:textId="77777777" w:rsidR="007703CC" w:rsidRPr="009C19C5" w:rsidRDefault="007703CC" w:rsidP="007703CC">
      <w:pPr>
        <w:rPr>
          <w:lang w:val="sr-Cyrl-RS"/>
        </w:rPr>
      </w:pPr>
    </w:p>
    <w:p w14:paraId="67D884D3" w14:textId="77777777" w:rsidR="000D6A82" w:rsidRPr="009C19C5" w:rsidRDefault="000D6A82" w:rsidP="000D6A82">
      <w:pPr>
        <w:rPr>
          <w:lang w:val="sr-Cyrl-RS"/>
        </w:rPr>
      </w:pPr>
    </w:p>
    <w:p w14:paraId="2BA16D3E" w14:textId="636B52CD" w:rsidR="00BA7CED" w:rsidRPr="002D22A5" w:rsidRDefault="00DB040D" w:rsidP="00BE195F">
      <w:pPr>
        <w:pStyle w:val="Heading2"/>
      </w:pPr>
      <w:r w:rsidRPr="002D22A5">
        <w:lastRenderedPageBreak/>
        <w:t>4.</w:t>
      </w:r>
      <w:r w:rsidR="00994E77" w:rsidRPr="002D22A5">
        <w:t xml:space="preserve"> </w:t>
      </w:r>
      <w:r w:rsidR="00BA7CED" w:rsidRPr="002D22A5">
        <w:t>АНАЛИЗА СТАЊА</w:t>
      </w:r>
    </w:p>
    <w:p w14:paraId="4B77FEDA" w14:textId="77777777" w:rsidR="006D4594" w:rsidRPr="009C19C5" w:rsidRDefault="006D4594" w:rsidP="00534A78">
      <w:pPr>
        <w:spacing w:after="0" w:line="240" w:lineRule="auto"/>
        <w:ind w:firstLine="720"/>
        <w:jc w:val="both"/>
        <w:rPr>
          <w:rFonts w:ascii="Times New Roman" w:hAnsi="Times New Roman" w:cs="Times New Roman"/>
          <w:sz w:val="24"/>
          <w:szCs w:val="24"/>
          <w:lang w:val="sr-Cyrl-RS"/>
        </w:rPr>
      </w:pPr>
    </w:p>
    <w:p w14:paraId="52A85E4D" w14:textId="779AFD7B" w:rsidR="00DB040D" w:rsidRPr="009C19C5" w:rsidRDefault="00DB040D" w:rsidP="00534A78">
      <w:pPr>
        <w:spacing w:after="0" w:line="240" w:lineRule="auto"/>
        <w:ind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 xml:space="preserve">Aнализa </w:t>
      </w:r>
      <w:r w:rsidR="00BF541A" w:rsidRPr="009C19C5">
        <w:rPr>
          <w:rFonts w:ascii="Times New Roman" w:hAnsi="Times New Roman" w:cs="Times New Roman"/>
          <w:sz w:val="24"/>
          <w:szCs w:val="24"/>
          <w:lang w:val="sr-Cyrl-RS"/>
        </w:rPr>
        <w:t>je везан</w:t>
      </w:r>
      <w:r w:rsidRPr="009C19C5">
        <w:rPr>
          <w:rFonts w:ascii="Times New Roman" w:hAnsi="Times New Roman" w:cs="Times New Roman"/>
          <w:sz w:val="24"/>
          <w:szCs w:val="24"/>
          <w:lang w:val="sr-Cyrl-RS"/>
        </w:rPr>
        <w:t xml:space="preserve">a </w:t>
      </w:r>
      <w:r w:rsidR="006D4594" w:rsidRPr="009C19C5">
        <w:rPr>
          <w:rFonts w:ascii="Times New Roman" w:hAnsi="Times New Roman" w:cs="Times New Roman"/>
          <w:sz w:val="24"/>
          <w:szCs w:val="24"/>
          <w:lang w:val="sr-Cyrl-RS"/>
        </w:rPr>
        <w:t xml:space="preserve">само </w:t>
      </w:r>
      <w:r w:rsidRPr="009C19C5">
        <w:rPr>
          <w:rFonts w:ascii="Times New Roman" w:hAnsi="Times New Roman" w:cs="Times New Roman"/>
          <w:sz w:val="24"/>
          <w:szCs w:val="24"/>
          <w:lang w:val="sr-Cyrl-RS"/>
        </w:rPr>
        <w:t xml:space="preserve">за процес затварања ТЕ Колубара А и ТЕ Морава, као најстаријих постројења. Доношењем Плана декарбонизације </w:t>
      </w:r>
      <w:r w:rsidR="00D928EE" w:rsidRPr="009C19C5">
        <w:rPr>
          <w:rFonts w:ascii="Times New Roman" w:hAnsi="Times New Roman" w:cs="Times New Roman"/>
          <w:sz w:val="24"/>
          <w:szCs w:val="24"/>
          <w:lang w:val="sr-Cyrl-RS"/>
        </w:rPr>
        <w:t xml:space="preserve">Акционарског друштва </w:t>
      </w:r>
      <w:r w:rsidRPr="009C19C5">
        <w:rPr>
          <w:rFonts w:ascii="Times New Roman" w:hAnsi="Times New Roman" w:cs="Times New Roman"/>
          <w:sz w:val="24"/>
          <w:szCs w:val="24"/>
          <w:lang w:val="sr-Cyrl-RS"/>
        </w:rPr>
        <w:t>„Електропривред</w:t>
      </w:r>
      <w:r w:rsidR="00875F48" w:rsidRPr="009C19C5">
        <w:rPr>
          <w:rFonts w:ascii="Times New Roman" w:hAnsi="Times New Roman" w:cs="Times New Roman"/>
          <w:sz w:val="24"/>
          <w:szCs w:val="24"/>
          <w:lang w:val="sr-Cyrl-RS"/>
        </w:rPr>
        <w:t>а</w:t>
      </w:r>
      <w:r w:rsidRPr="009C19C5">
        <w:rPr>
          <w:rFonts w:ascii="Times New Roman" w:hAnsi="Times New Roman" w:cs="Times New Roman"/>
          <w:sz w:val="24"/>
          <w:szCs w:val="24"/>
          <w:lang w:val="sr-Cyrl-RS"/>
        </w:rPr>
        <w:t xml:space="preserve"> Србије</w:t>
      </w:r>
      <w:r w:rsidR="00F94E9A" w:rsidRPr="009C19C5">
        <w:rPr>
          <w:rFonts w:ascii="Times New Roman" w:hAnsi="Times New Roman" w:cs="Times New Roman"/>
          <w:sz w:val="24"/>
          <w:szCs w:val="24"/>
          <w:lang w:val="sr-Cyrl-RS"/>
        </w:rPr>
        <w:t>”</w:t>
      </w:r>
      <w:r w:rsidR="00D928EE" w:rsidRPr="009C19C5">
        <w:rPr>
          <w:rFonts w:ascii="Times New Roman" w:hAnsi="Times New Roman" w:cs="Times New Roman"/>
          <w:sz w:val="24"/>
          <w:szCs w:val="24"/>
          <w:lang w:val="sr-Cyrl-RS"/>
        </w:rPr>
        <w:t xml:space="preserve"> (у даљем тексту: </w:t>
      </w:r>
      <w:bookmarkStart w:id="14" w:name="_Hlk202355748"/>
      <w:r w:rsidR="00D928EE" w:rsidRPr="009C19C5">
        <w:rPr>
          <w:rFonts w:ascii="Times New Roman" w:hAnsi="Times New Roman" w:cs="Times New Roman"/>
          <w:sz w:val="24"/>
          <w:szCs w:val="24"/>
          <w:lang w:val="sr-Cyrl-RS"/>
        </w:rPr>
        <w:t xml:space="preserve">ЕПС </w:t>
      </w:r>
      <w:r w:rsidR="00A7582E" w:rsidRPr="009C19C5">
        <w:rPr>
          <w:rFonts w:ascii="Times New Roman" w:hAnsi="Times New Roman" w:cs="Times New Roman"/>
          <w:sz w:val="24"/>
          <w:szCs w:val="24"/>
          <w:lang w:val="sr-Cyrl-RS"/>
        </w:rPr>
        <w:t>АД</w:t>
      </w:r>
      <w:bookmarkEnd w:id="14"/>
      <w:r w:rsidR="00A7582E" w:rsidRPr="009C19C5">
        <w:rPr>
          <w:rFonts w:ascii="Times New Roman" w:hAnsi="Times New Roman" w:cs="Times New Roman"/>
          <w:sz w:val="24"/>
          <w:szCs w:val="24"/>
          <w:lang w:val="sr-Cyrl-RS"/>
        </w:rPr>
        <w:t>)</w:t>
      </w:r>
      <w:r w:rsidRPr="009C19C5">
        <w:rPr>
          <w:rFonts w:ascii="Times New Roman" w:hAnsi="Times New Roman" w:cs="Times New Roman"/>
          <w:sz w:val="24"/>
          <w:szCs w:val="24"/>
          <w:lang w:val="sr-Cyrl-RS"/>
        </w:rPr>
        <w:t xml:space="preserve"> и </w:t>
      </w:r>
      <w:r w:rsidR="00DE5172" w:rsidRPr="009C19C5">
        <w:rPr>
          <w:rFonts w:ascii="Times New Roman" w:hAnsi="Times New Roman" w:cs="Times New Roman"/>
          <w:sz w:val="24"/>
          <w:szCs w:val="24"/>
          <w:lang w:val="sr-Cyrl-RS"/>
        </w:rPr>
        <w:t>т</w:t>
      </w:r>
      <w:r w:rsidR="000C2EE8" w:rsidRPr="009C19C5">
        <w:rPr>
          <w:rFonts w:ascii="Times New Roman" w:hAnsi="Times New Roman" w:cs="Times New Roman"/>
          <w:sz w:val="24"/>
          <w:szCs w:val="24"/>
          <w:lang w:val="sr-Cyrl-RS"/>
        </w:rPr>
        <w:t xml:space="preserve">ранзиционог плана за поједине руднике у оквиру </w:t>
      </w:r>
      <w:r w:rsidRPr="009C19C5">
        <w:rPr>
          <w:rFonts w:ascii="Times New Roman" w:hAnsi="Times New Roman" w:cs="Times New Roman"/>
          <w:sz w:val="24"/>
          <w:szCs w:val="24"/>
          <w:lang w:val="sr-Cyrl-RS"/>
        </w:rPr>
        <w:t xml:space="preserve">ЈП ПЕУ Ресавица, сагледавањем последица ЦБАМ и </w:t>
      </w:r>
      <w:r w:rsidR="00BF541A" w:rsidRPr="009C19C5">
        <w:rPr>
          <w:rFonts w:ascii="Times New Roman" w:hAnsi="Times New Roman" w:cs="Times New Roman"/>
          <w:sz w:val="24"/>
          <w:szCs w:val="24"/>
          <w:lang w:val="sr-Cyrl-RS"/>
        </w:rPr>
        <w:t>успостављањем</w:t>
      </w:r>
      <w:r w:rsidRPr="009C19C5">
        <w:rPr>
          <w:rFonts w:ascii="Times New Roman" w:hAnsi="Times New Roman" w:cs="Times New Roman"/>
          <w:sz w:val="24"/>
          <w:szCs w:val="24"/>
          <w:lang w:val="sr-Cyrl-RS"/>
        </w:rPr>
        <w:t xml:space="preserve"> политика везано зa примену ЦБАМ и опорезивања угљеника неопходно је урадити детаљну анализу целокупног процеса енергетске транзиције и сагласно</w:t>
      </w:r>
      <w:r w:rsidR="00E46BE8" w:rsidRPr="009C19C5">
        <w:rPr>
          <w:rFonts w:ascii="Times New Roman" w:hAnsi="Times New Roman" w:cs="Times New Roman"/>
          <w:sz w:val="24"/>
          <w:szCs w:val="24"/>
          <w:lang w:val="sr-Cyrl-RS"/>
        </w:rPr>
        <w:t xml:space="preserve"> </w:t>
      </w:r>
      <w:r w:rsidRPr="009C19C5">
        <w:rPr>
          <w:rFonts w:ascii="Times New Roman" w:hAnsi="Times New Roman" w:cs="Times New Roman"/>
          <w:sz w:val="24"/>
          <w:szCs w:val="24"/>
          <w:lang w:val="sr-Cyrl-RS"/>
        </w:rPr>
        <w:t>томе</w:t>
      </w:r>
      <w:r w:rsidR="00BF541A" w:rsidRPr="009C19C5">
        <w:rPr>
          <w:rFonts w:ascii="Times New Roman" w:hAnsi="Times New Roman" w:cs="Times New Roman"/>
          <w:sz w:val="24"/>
          <w:szCs w:val="24"/>
          <w:lang w:val="sr-Cyrl-RS"/>
        </w:rPr>
        <w:t xml:space="preserve"> </w:t>
      </w:r>
      <w:r w:rsidRPr="009C19C5">
        <w:rPr>
          <w:rFonts w:ascii="Times New Roman" w:hAnsi="Times New Roman" w:cs="Times New Roman"/>
          <w:sz w:val="24"/>
          <w:szCs w:val="24"/>
          <w:lang w:val="sr-Cyrl-RS"/>
        </w:rPr>
        <w:t xml:space="preserve">дефинисати све друге мере и активности </w:t>
      </w:r>
      <w:r w:rsidR="00BF541A" w:rsidRPr="009C19C5">
        <w:rPr>
          <w:rFonts w:ascii="Times New Roman" w:hAnsi="Times New Roman" w:cs="Times New Roman"/>
          <w:sz w:val="24"/>
          <w:szCs w:val="24"/>
          <w:lang w:val="sr-Cyrl-RS"/>
        </w:rPr>
        <w:t>које</w:t>
      </w:r>
      <w:r w:rsidRPr="009C19C5">
        <w:rPr>
          <w:rFonts w:ascii="Times New Roman" w:hAnsi="Times New Roman" w:cs="Times New Roman"/>
          <w:sz w:val="24"/>
          <w:szCs w:val="24"/>
          <w:lang w:val="sr-Cyrl-RS"/>
        </w:rPr>
        <w:t xml:space="preserve"> је потребно даље реализовати.</w:t>
      </w:r>
    </w:p>
    <w:p w14:paraId="59E28559" w14:textId="77777777" w:rsidR="00023E2C" w:rsidRPr="009C19C5" w:rsidRDefault="00023E2C" w:rsidP="00023E2C">
      <w:pPr>
        <w:spacing w:after="0" w:line="240" w:lineRule="auto"/>
        <w:jc w:val="both"/>
        <w:rPr>
          <w:lang w:val="sr-Cyrl-RS" w:eastAsia="el-GR"/>
        </w:rPr>
      </w:pPr>
    </w:p>
    <w:p w14:paraId="3A697614" w14:textId="00D1934F" w:rsidR="00023E2C" w:rsidRPr="009C19C5" w:rsidRDefault="00BA7CED" w:rsidP="001908C1">
      <w:pPr>
        <w:pStyle w:val="Heading3"/>
        <w:keepNext w:val="0"/>
        <w:keepLines w:val="0"/>
        <w:spacing w:line="240" w:lineRule="auto"/>
        <w:ind w:left="1440" w:right="1151"/>
        <w:jc w:val="center"/>
        <w:rPr>
          <w:rFonts w:ascii="Times New Roman" w:eastAsiaTheme="minorEastAsia" w:hAnsi="Times New Roman" w:cs="Times New Roman"/>
          <w:b w:val="0"/>
          <w:color w:val="auto"/>
          <w:kern w:val="0"/>
          <w:lang w:val="sr-Cyrl-RS"/>
          <w14:ligatures w14:val="none"/>
        </w:rPr>
      </w:pPr>
      <w:r w:rsidRPr="009C19C5">
        <w:rPr>
          <w:rFonts w:ascii="Times New Roman" w:eastAsiaTheme="minorEastAsia" w:hAnsi="Times New Roman" w:cs="Times New Roman"/>
          <w:b w:val="0"/>
          <w:color w:val="auto"/>
          <w:kern w:val="0"/>
          <w:lang w:val="sr-Cyrl-RS"/>
          <w14:ligatures w14:val="none"/>
        </w:rPr>
        <w:t>4.1.</w:t>
      </w:r>
      <w:bookmarkEnd w:id="13"/>
      <w:r w:rsidR="00850A90" w:rsidRPr="009C19C5">
        <w:rPr>
          <w:rFonts w:ascii="Times New Roman" w:eastAsiaTheme="minorEastAsia" w:hAnsi="Times New Roman" w:cs="Times New Roman"/>
          <w:b w:val="0"/>
          <w:color w:val="auto"/>
          <w:kern w:val="0"/>
          <w:lang w:val="sr-Cyrl-RS"/>
          <w14:ligatures w14:val="none"/>
        </w:rPr>
        <w:t xml:space="preserve"> </w:t>
      </w:r>
      <w:r w:rsidRPr="009C19C5">
        <w:rPr>
          <w:rFonts w:ascii="Times New Roman" w:eastAsiaTheme="minorEastAsia" w:hAnsi="Times New Roman" w:cs="Times New Roman"/>
          <w:b w:val="0"/>
          <w:color w:val="auto"/>
          <w:kern w:val="0"/>
          <w:lang w:val="sr-Cyrl-RS"/>
          <w14:ligatures w14:val="none"/>
        </w:rPr>
        <w:t>Површинска експлоатација угља</w:t>
      </w:r>
    </w:p>
    <w:p w14:paraId="766CD0F4" w14:textId="77777777" w:rsidR="009D7D7A" w:rsidRPr="009C19C5" w:rsidRDefault="009D7D7A" w:rsidP="009D7D7A">
      <w:pPr>
        <w:spacing w:after="0"/>
        <w:rPr>
          <w:lang w:val="sr-Cyrl-RS"/>
        </w:rPr>
      </w:pPr>
    </w:p>
    <w:p w14:paraId="4AE93575" w14:textId="3C76F8EB" w:rsidR="00023E2C" w:rsidRPr="009C19C5" w:rsidRDefault="00023E2C" w:rsidP="009D7D7A">
      <w:pPr>
        <w:spacing w:after="0" w:line="240" w:lineRule="auto"/>
        <w:ind w:firstLine="720"/>
        <w:jc w:val="both"/>
        <w:rPr>
          <w:rFonts w:ascii="Times New Roman" w:eastAsia="Calibri" w:hAnsi="Times New Roman" w:cs="Times New Roman"/>
          <w:sz w:val="24"/>
          <w:szCs w:val="24"/>
          <w:lang w:val="sr-Cyrl-RS" w:eastAsia="el-GR"/>
        </w:rPr>
      </w:pPr>
      <w:r w:rsidRPr="009C19C5">
        <w:rPr>
          <w:rFonts w:ascii="Times New Roman" w:eastAsia="Calibri" w:hAnsi="Times New Roman" w:cs="Times New Roman"/>
          <w:sz w:val="24"/>
          <w:szCs w:val="24"/>
          <w:lang w:val="sr-Cyrl-RS" w:eastAsia="el-GR"/>
        </w:rPr>
        <w:t>Најстарија термоелектрана је Колубара А (239</w:t>
      </w:r>
      <w:r w:rsidRPr="009C19C5">
        <w:rPr>
          <w:rFonts w:ascii="Times New Roman" w:eastAsia="Calibri" w:hAnsi="Times New Roman" w:cs="Times New Roman"/>
          <w:spacing w:val="-12"/>
          <w:sz w:val="24"/>
          <w:szCs w:val="24"/>
          <w:lang w:val="sr-Cyrl-RS" w:eastAsia="el-GR"/>
        </w:rPr>
        <w:t xml:space="preserve"> </w:t>
      </w:r>
      <w:r w:rsidRPr="009C19C5">
        <w:rPr>
          <w:rFonts w:ascii="Times New Roman" w:eastAsia="Calibri" w:hAnsi="Times New Roman" w:cs="Times New Roman"/>
          <w:sz w:val="24"/>
          <w:szCs w:val="24"/>
          <w:lang w:val="sr-Cyrl-RS" w:eastAsia="el-GR"/>
        </w:rPr>
        <w:t>MW) саграђена 1956</w:t>
      </w:r>
      <w:r w:rsidR="00E20D33" w:rsidRPr="009C19C5">
        <w:rPr>
          <w:rFonts w:ascii="Times New Roman" w:eastAsia="Calibri" w:hAnsi="Times New Roman" w:cs="Times New Roman"/>
          <w:sz w:val="24"/>
          <w:szCs w:val="24"/>
          <w:lang w:val="sr-Cyrl-RS" w:eastAsia="el-GR"/>
        </w:rPr>
        <w:t>.</w:t>
      </w:r>
      <w:r w:rsidR="00217CEF" w:rsidRPr="009C19C5">
        <w:rPr>
          <w:rFonts w:ascii="Times New Roman" w:eastAsia="Calibri" w:hAnsi="Times New Roman" w:cs="Times New Roman"/>
          <w:sz w:val="24"/>
          <w:szCs w:val="24"/>
          <w:lang w:val="sr-Cyrl-RS" w:eastAsia="el-GR"/>
        </w:rPr>
        <w:t xml:space="preserve"> </w:t>
      </w:r>
      <w:r w:rsidR="00E20D33" w:rsidRPr="009C19C5">
        <w:rPr>
          <w:rFonts w:ascii="Times New Roman" w:eastAsia="Calibri" w:hAnsi="Times New Roman" w:cs="Times New Roman"/>
          <w:sz w:val="24"/>
          <w:szCs w:val="24"/>
          <w:lang w:val="sr-Cyrl-RS" w:eastAsia="el-GR"/>
        </w:rPr>
        <w:t>године</w:t>
      </w:r>
      <w:r w:rsidRPr="009C19C5">
        <w:rPr>
          <w:rFonts w:ascii="Times New Roman" w:eastAsia="Calibri" w:hAnsi="Times New Roman" w:cs="Times New Roman"/>
          <w:sz w:val="24"/>
          <w:szCs w:val="24"/>
          <w:lang w:val="sr-Cyrl-RS" w:eastAsia="el-GR"/>
        </w:rPr>
        <w:t xml:space="preserve">, а најмлађа </w:t>
      </w:r>
      <w:r w:rsidR="00E20D33" w:rsidRPr="009C19C5">
        <w:rPr>
          <w:rFonts w:ascii="Times New Roman" w:eastAsia="Calibri" w:hAnsi="Times New Roman" w:cs="Times New Roman"/>
          <w:sz w:val="24"/>
          <w:szCs w:val="24"/>
          <w:lang w:val="sr-Cyrl-RS" w:eastAsia="el-GR"/>
        </w:rPr>
        <w:t xml:space="preserve">термоелектрана </w:t>
      </w:r>
      <w:r w:rsidRPr="009C19C5">
        <w:rPr>
          <w:rFonts w:ascii="Times New Roman" w:eastAsia="Calibri" w:hAnsi="Times New Roman" w:cs="Times New Roman"/>
          <w:sz w:val="24"/>
          <w:szCs w:val="24"/>
          <w:lang w:val="sr-Cyrl-RS" w:eastAsia="el-GR"/>
        </w:rPr>
        <w:t>Костолац Б3 од  350 MW је почела са радом у 2024. години.</w:t>
      </w:r>
    </w:p>
    <w:p w14:paraId="6FB4B59F" w14:textId="01008657" w:rsidR="00023E2C" w:rsidRPr="009C19C5" w:rsidRDefault="00023E2C" w:rsidP="00534A78">
      <w:pPr>
        <w:spacing w:after="0" w:line="240" w:lineRule="auto"/>
        <w:ind w:firstLine="720"/>
        <w:jc w:val="both"/>
        <w:rPr>
          <w:rFonts w:ascii="Times New Roman" w:eastAsia="Calibri" w:hAnsi="Times New Roman" w:cs="Times New Roman"/>
          <w:sz w:val="24"/>
          <w:szCs w:val="24"/>
          <w:lang w:val="sr-Cyrl-RS" w:eastAsia="el-GR"/>
        </w:rPr>
      </w:pPr>
      <w:bookmarkStart w:id="15" w:name="Coal_supply"/>
      <w:bookmarkEnd w:id="15"/>
      <w:r w:rsidRPr="009C19C5">
        <w:rPr>
          <w:rFonts w:ascii="Times New Roman" w:eastAsia="Calibri" w:hAnsi="Times New Roman" w:cs="Times New Roman"/>
          <w:sz w:val="24"/>
          <w:szCs w:val="24"/>
          <w:lang w:val="sr-Cyrl-RS" w:eastAsia="el-GR"/>
        </w:rPr>
        <w:t xml:space="preserve">Највећи део резерви угља налази се у два главна угљена басена: Колубарском и Костолцу, који снабдевају термоелектране у </w:t>
      </w:r>
      <w:r w:rsidR="007D4593" w:rsidRPr="009C19C5">
        <w:rPr>
          <w:rFonts w:ascii="Times New Roman" w:hAnsi="Times New Roman" w:cs="Times New Roman"/>
          <w:sz w:val="24"/>
          <w:szCs w:val="24"/>
          <w:lang w:val="sr-Cyrl-RS"/>
        </w:rPr>
        <w:t>Републици</w:t>
      </w:r>
      <w:r w:rsidR="007D4593" w:rsidRPr="009C19C5">
        <w:rPr>
          <w:rFonts w:ascii="Times New Roman" w:eastAsia="Calibri" w:hAnsi="Times New Roman" w:cs="Times New Roman"/>
          <w:sz w:val="24"/>
          <w:szCs w:val="24"/>
          <w:lang w:val="sr-Cyrl-RS" w:eastAsia="el-GR"/>
        </w:rPr>
        <w:t xml:space="preserve"> </w:t>
      </w:r>
      <w:r w:rsidRPr="009C19C5">
        <w:rPr>
          <w:rFonts w:ascii="Times New Roman" w:eastAsia="Calibri" w:hAnsi="Times New Roman" w:cs="Times New Roman"/>
          <w:sz w:val="24"/>
          <w:szCs w:val="24"/>
          <w:lang w:val="sr-Cyrl-RS" w:eastAsia="el-GR"/>
        </w:rPr>
        <w:t>Србији. Ова два рударска басена, смештена у Колубарском и Браничевском округу, заједно производе око 3</w:t>
      </w:r>
      <w:r w:rsidR="000C2EE8" w:rsidRPr="009C19C5">
        <w:rPr>
          <w:rFonts w:ascii="Times New Roman" w:eastAsia="Calibri" w:hAnsi="Times New Roman" w:cs="Times New Roman"/>
          <w:sz w:val="24"/>
          <w:szCs w:val="24"/>
          <w:lang w:val="sr-Cyrl-RS" w:eastAsia="el-GR"/>
        </w:rPr>
        <w:t>2</w:t>
      </w:r>
      <w:r w:rsidRPr="009C19C5">
        <w:rPr>
          <w:rFonts w:ascii="Times New Roman" w:eastAsia="Calibri" w:hAnsi="Times New Roman" w:cs="Times New Roman"/>
          <w:sz w:val="24"/>
          <w:szCs w:val="24"/>
          <w:lang w:val="sr-Cyrl-RS" w:eastAsia="el-GR"/>
        </w:rPr>
        <w:t xml:space="preserve"> милиона тона угља годишње (75% Колубара и 25% Костолац). Рударски басен Колубара снабдева три термоелектране (ТЕ Никола Тесла А и Б и ТЕ Колубара, укупно 12 јединица), а Костолац две термоелек</w:t>
      </w:r>
      <w:r w:rsidR="001417E8" w:rsidRPr="009C19C5">
        <w:rPr>
          <w:rFonts w:ascii="Times New Roman" w:eastAsia="Calibri" w:hAnsi="Times New Roman" w:cs="Times New Roman"/>
          <w:sz w:val="24"/>
          <w:szCs w:val="24"/>
          <w:lang w:val="sr-Cyrl-RS" w:eastAsia="el-GR"/>
        </w:rPr>
        <w:t>т</w:t>
      </w:r>
      <w:r w:rsidRPr="009C19C5">
        <w:rPr>
          <w:rFonts w:ascii="Times New Roman" w:eastAsia="Calibri" w:hAnsi="Times New Roman" w:cs="Times New Roman"/>
          <w:sz w:val="24"/>
          <w:szCs w:val="24"/>
          <w:lang w:val="sr-Cyrl-RS" w:eastAsia="el-GR"/>
        </w:rPr>
        <w:t>ране</w:t>
      </w:r>
      <w:r w:rsidR="00217CEF" w:rsidRPr="009C19C5">
        <w:rPr>
          <w:rFonts w:ascii="Times New Roman" w:eastAsia="Calibri" w:hAnsi="Times New Roman" w:cs="Times New Roman"/>
          <w:sz w:val="24"/>
          <w:szCs w:val="24"/>
          <w:lang w:val="sr-Cyrl-RS" w:eastAsia="el-GR"/>
        </w:rPr>
        <w:t xml:space="preserve"> </w:t>
      </w:r>
      <w:r w:rsidRPr="009C19C5">
        <w:rPr>
          <w:rFonts w:ascii="Times New Roman" w:eastAsia="Calibri" w:hAnsi="Times New Roman" w:cs="Times New Roman"/>
          <w:sz w:val="24"/>
          <w:szCs w:val="24"/>
          <w:lang w:val="sr-Cyrl-RS" w:eastAsia="el-GR"/>
        </w:rPr>
        <w:t xml:space="preserve">(ТЕ Костолац А и Б, укупно 5 јединица). Осим са површинских копова који се налазе у близини ТЕ, угаљ се допрема и из </w:t>
      </w:r>
      <w:r w:rsidR="00E20D33" w:rsidRPr="009C19C5">
        <w:rPr>
          <w:rFonts w:ascii="Times New Roman" w:eastAsia="Calibri" w:hAnsi="Times New Roman" w:cs="Times New Roman"/>
          <w:sz w:val="24"/>
          <w:szCs w:val="24"/>
          <w:lang w:val="sr-Cyrl-RS" w:eastAsia="el-GR"/>
        </w:rPr>
        <w:t>подземних рудника</w:t>
      </w:r>
      <w:r w:rsidRPr="009C19C5">
        <w:rPr>
          <w:rFonts w:ascii="Times New Roman" w:eastAsia="Calibri" w:hAnsi="Times New Roman" w:cs="Times New Roman"/>
          <w:sz w:val="24"/>
          <w:szCs w:val="24"/>
          <w:lang w:val="sr-Cyrl-RS" w:eastAsia="el-GR"/>
        </w:rPr>
        <w:t xml:space="preserve"> угља у власништву предузећа у државном власништву ЈП ПЕУ Ресавица, које </w:t>
      </w:r>
      <w:r w:rsidR="00E20D33" w:rsidRPr="009C19C5">
        <w:rPr>
          <w:rFonts w:ascii="Times New Roman" w:eastAsia="Calibri" w:hAnsi="Times New Roman" w:cs="Times New Roman"/>
          <w:sz w:val="24"/>
          <w:szCs w:val="24"/>
          <w:lang w:val="sr-Cyrl-RS" w:eastAsia="el-GR"/>
        </w:rPr>
        <w:t xml:space="preserve">снабдева термоелектране </w:t>
      </w:r>
      <w:r w:rsidR="00A7582E" w:rsidRPr="009C19C5">
        <w:rPr>
          <w:rFonts w:ascii="Times New Roman" w:eastAsia="Calibri" w:hAnsi="Times New Roman" w:cs="Times New Roman"/>
          <w:sz w:val="24"/>
          <w:szCs w:val="24"/>
          <w:lang w:val="sr-Cyrl-RS" w:eastAsia="el-GR"/>
        </w:rPr>
        <w:t>ЕПС АД</w:t>
      </w:r>
      <w:r w:rsidRPr="009C19C5">
        <w:rPr>
          <w:rFonts w:ascii="Times New Roman" w:eastAsia="Calibri" w:hAnsi="Times New Roman" w:cs="Times New Roman"/>
          <w:sz w:val="24"/>
          <w:szCs w:val="24"/>
          <w:lang w:val="sr-Cyrl-RS" w:eastAsia="el-GR"/>
        </w:rPr>
        <w:t xml:space="preserve">. ЈП ПЕУ Ресавица обједињује и одржава </w:t>
      </w:r>
      <w:r w:rsidR="00867E4F" w:rsidRPr="009C19C5">
        <w:rPr>
          <w:rFonts w:ascii="Times New Roman" w:eastAsia="Calibri" w:hAnsi="Times New Roman" w:cs="Times New Roman"/>
          <w:sz w:val="24"/>
          <w:szCs w:val="24"/>
          <w:lang w:val="sr-Cyrl-RS" w:eastAsia="el-GR"/>
        </w:rPr>
        <w:t>девет</w:t>
      </w:r>
      <w:r w:rsidRPr="009C19C5">
        <w:rPr>
          <w:rFonts w:ascii="Times New Roman" w:eastAsia="Calibri" w:hAnsi="Times New Roman" w:cs="Times New Roman"/>
          <w:sz w:val="24"/>
          <w:szCs w:val="24"/>
          <w:lang w:val="sr-Cyrl-RS" w:eastAsia="el-GR"/>
        </w:rPr>
        <w:t xml:space="preserve"> подземних рудник</w:t>
      </w:r>
      <w:r w:rsidR="00FA3377">
        <w:rPr>
          <w:rFonts w:ascii="Times New Roman" w:eastAsia="Calibri" w:hAnsi="Times New Roman" w:cs="Times New Roman"/>
          <w:sz w:val="24"/>
          <w:szCs w:val="24"/>
          <w:lang w:val="sr-Cyrl-RS" w:eastAsia="el-GR"/>
        </w:rPr>
        <w:t>а</w:t>
      </w:r>
      <w:r w:rsidRPr="009C19C5">
        <w:rPr>
          <w:rFonts w:ascii="Times New Roman" w:eastAsia="Calibri" w:hAnsi="Times New Roman" w:cs="Times New Roman"/>
          <w:sz w:val="24"/>
          <w:szCs w:val="24"/>
          <w:lang w:val="sr-Cyrl-RS" w:eastAsia="el-GR"/>
        </w:rPr>
        <w:t xml:space="preserve"> угља (са укупном годишњом производњом од 0,</w:t>
      </w:r>
      <w:r w:rsidR="000C2EE8" w:rsidRPr="009C19C5">
        <w:rPr>
          <w:rFonts w:ascii="Times New Roman" w:eastAsia="Calibri" w:hAnsi="Times New Roman" w:cs="Times New Roman"/>
          <w:sz w:val="24"/>
          <w:szCs w:val="24"/>
          <w:lang w:val="sr-Cyrl-RS" w:eastAsia="el-GR"/>
        </w:rPr>
        <w:t>3</w:t>
      </w:r>
      <w:r w:rsidRPr="009C19C5">
        <w:rPr>
          <w:rFonts w:ascii="Times New Roman" w:eastAsia="Calibri" w:hAnsi="Times New Roman" w:cs="Times New Roman"/>
          <w:sz w:val="24"/>
          <w:szCs w:val="24"/>
          <w:lang w:val="sr-Cyrl-RS" w:eastAsia="el-GR"/>
        </w:rPr>
        <w:t xml:space="preserve"> до 0,</w:t>
      </w:r>
      <w:r w:rsidR="000C2EE8" w:rsidRPr="009C19C5">
        <w:rPr>
          <w:rFonts w:ascii="Times New Roman" w:eastAsia="Calibri" w:hAnsi="Times New Roman" w:cs="Times New Roman"/>
          <w:sz w:val="24"/>
          <w:szCs w:val="24"/>
          <w:lang w:val="sr-Cyrl-RS" w:eastAsia="el-GR"/>
        </w:rPr>
        <w:t>4</w:t>
      </w:r>
      <w:r w:rsidRPr="009C19C5">
        <w:rPr>
          <w:rFonts w:ascii="Times New Roman" w:eastAsia="Calibri" w:hAnsi="Times New Roman" w:cs="Times New Roman"/>
          <w:sz w:val="24"/>
          <w:szCs w:val="24"/>
          <w:lang w:val="sr-Cyrl-RS" w:eastAsia="el-GR"/>
        </w:rPr>
        <w:t xml:space="preserve"> милиона тона угља). Главни ресурси угља ЈП ПЕУ Ресавица налазе се у регионима Шумадије и Западне Србије, Јужне и Источне Србије.</w:t>
      </w:r>
    </w:p>
    <w:p w14:paraId="1CA63876" w14:textId="523AC08A" w:rsidR="00023E2C" w:rsidRPr="009C19C5" w:rsidRDefault="00023E2C" w:rsidP="00534A78">
      <w:pPr>
        <w:spacing w:after="0" w:line="240" w:lineRule="auto"/>
        <w:ind w:firstLine="720"/>
        <w:jc w:val="both"/>
        <w:rPr>
          <w:rFonts w:ascii="Times New Roman" w:eastAsia="Calibri" w:hAnsi="Times New Roman" w:cs="Times New Roman"/>
          <w:sz w:val="24"/>
          <w:szCs w:val="24"/>
          <w:lang w:val="sr-Cyrl-RS" w:eastAsia="el-GR"/>
        </w:rPr>
      </w:pPr>
      <w:hyperlink w:anchor="_bookmark84" w:history="1">
        <w:r w:rsidRPr="009C19C5">
          <w:rPr>
            <w:rFonts w:ascii="Times New Roman" w:eastAsia="Calibri" w:hAnsi="Times New Roman" w:cs="Times New Roman"/>
            <w:sz w:val="24"/>
            <w:szCs w:val="24"/>
            <w:lang w:val="sr-Cyrl-RS" w:eastAsia="el-GR"/>
          </w:rPr>
          <w:t xml:space="preserve">Следећа табела </w:t>
        </w:r>
      </w:hyperlink>
      <w:r w:rsidRPr="009C19C5">
        <w:rPr>
          <w:rFonts w:ascii="Times New Roman" w:eastAsia="Calibri" w:hAnsi="Times New Roman" w:cs="Times New Roman"/>
          <w:sz w:val="24"/>
          <w:szCs w:val="24"/>
          <w:lang w:val="sr-Cyrl-RS" w:eastAsia="el-GR"/>
        </w:rPr>
        <w:t xml:space="preserve">приказује инсталисане капацитете термоелектрана </w:t>
      </w:r>
      <w:r w:rsidR="00A7582E" w:rsidRPr="009C19C5">
        <w:rPr>
          <w:rFonts w:ascii="Times New Roman" w:eastAsia="Calibri" w:hAnsi="Times New Roman" w:cs="Times New Roman"/>
          <w:sz w:val="24"/>
          <w:szCs w:val="24"/>
          <w:lang w:val="sr-Cyrl-RS" w:eastAsia="el-GR"/>
        </w:rPr>
        <w:t xml:space="preserve">ЕПС АД </w:t>
      </w:r>
      <w:r w:rsidRPr="009C19C5">
        <w:rPr>
          <w:rFonts w:ascii="Times New Roman" w:eastAsia="Calibri" w:hAnsi="Times New Roman" w:cs="Times New Roman"/>
          <w:sz w:val="24"/>
          <w:szCs w:val="24"/>
          <w:lang w:val="sr-Cyrl-RS" w:eastAsia="el-GR"/>
        </w:rPr>
        <w:t xml:space="preserve">које користе угаљ за производњу електричне енергије (на лигнит). </w:t>
      </w:r>
      <w:bookmarkStart w:id="16" w:name="_bookmark84"/>
      <w:bookmarkEnd w:id="16"/>
    </w:p>
    <w:p w14:paraId="4337D9CA" w14:textId="77777777" w:rsidR="00023E2C" w:rsidRPr="009C19C5" w:rsidRDefault="00023E2C" w:rsidP="00023E2C">
      <w:pPr>
        <w:spacing w:after="0" w:line="240" w:lineRule="auto"/>
        <w:jc w:val="both"/>
        <w:rPr>
          <w:rFonts w:ascii="Times New Roman" w:eastAsia="Calibri" w:hAnsi="Times New Roman" w:cs="Times New Roman"/>
          <w:sz w:val="24"/>
          <w:szCs w:val="24"/>
          <w:lang w:val="sr-Cyrl-RS" w:eastAsia="el-GR"/>
        </w:rPr>
      </w:pPr>
    </w:p>
    <w:p w14:paraId="29DB43F4" w14:textId="37982DD8" w:rsidR="00F276BC" w:rsidRPr="009C19C5" w:rsidRDefault="000A0E4E" w:rsidP="006C0EE0">
      <w:pPr>
        <w:pStyle w:val="Caption"/>
        <w:spacing w:after="0" w:line="240" w:lineRule="auto"/>
        <w:ind w:left="720" w:firstLine="180"/>
        <w:jc w:val="left"/>
        <w:rPr>
          <w:rFonts w:ascii="Times New Roman" w:eastAsia="Calibri" w:hAnsi="Times New Roman" w:cs="Times New Roman"/>
          <w:i w:val="0"/>
          <w:iCs w:val="0"/>
          <w:color w:val="auto"/>
          <w:sz w:val="20"/>
          <w:szCs w:val="20"/>
          <w:lang w:val="sr-Cyrl-RS" w:eastAsia="el-GR"/>
        </w:rPr>
      </w:pPr>
      <w:r w:rsidRPr="009C19C5">
        <w:rPr>
          <w:rFonts w:ascii="Times New Roman" w:hAnsi="Times New Roman" w:cs="Times New Roman"/>
          <w:i w:val="0"/>
          <w:iCs w:val="0"/>
          <w:color w:val="auto"/>
          <w:sz w:val="20"/>
          <w:szCs w:val="20"/>
          <w:lang w:val="sr-Cyrl-RS"/>
        </w:rPr>
        <w:t xml:space="preserve">Табела </w:t>
      </w:r>
      <w:r w:rsidRPr="009C19C5">
        <w:rPr>
          <w:rFonts w:ascii="Times New Roman" w:hAnsi="Times New Roman" w:cs="Times New Roman"/>
          <w:i w:val="0"/>
          <w:iCs w:val="0"/>
          <w:color w:val="auto"/>
          <w:sz w:val="20"/>
          <w:szCs w:val="20"/>
          <w:lang w:val="sr-Cyrl-RS"/>
        </w:rPr>
        <w:fldChar w:fldCharType="begin"/>
      </w:r>
      <w:r w:rsidRPr="009C19C5">
        <w:rPr>
          <w:rFonts w:ascii="Times New Roman" w:hAnsi="Times New Roman" w:cs="Times New Roman"/>
          <w:i w:val="0"/>
          <w:iCs w:val="0"/>
          <w:color w:val="auto"/>
          <w:sz w:val="20"/>
          <w:szCs w:val="20"/>
          <w:lang w:val="sr-Cyrl-RS"/>
        </w:rPr>
        <w:instrText xml:space="preserve"> SEQ Table \* ARABIC </w:instrText>
      </w:r>
      <w:r w:rsidRPr="009C19C5">
        <w:rPr>
          <w:rFonts w:ascii="Times New Roman" w:hAnsi="Times New Roman" w:cs="Times New Roman"/>
          <w:i w:val="0"/>
          <w:iCs w:val="0"/>
          <w:color w:val="auto"/>
          <w:sz w:val="20"/>
          <w:szCs w:val="20"/>
          <w:lang w:val="sr-Cyrl-RS"/>
        </w:rPr>
        <w:fldChar w:fldCharType="separate"/>
      </w:r>
      <w:r w:rsidR="00D460A4">
        <w:rPr>
          <w:rFonts w:ascii="Times New Roman" w:hAnsi="Times New Roman" w:cs="Times New Roman"/>
          <w:i w:val="0"/>
          <w:iCs w:val="0"/>
          <w:noProof/>
          <w:color w:val="auto"/>
          <w:sz w:val="20"/>
          <w:szCs w:val="20"/>
          <w:lang w:val="sr-Cyrl-RS"/>
        </w:rPr>
        <w:t>1</w:t>
      </w:r>
      <w:r w:rsidRPr="009C19C5">
        <w:rPr>
          <w:rFonts w:ascii="Times New Roman" w:hAnsi="Times New Roman" w:cs="Times New Roman"/>
          <w:i w:val="0"/>
          <w:iCs w:val="0"/>
          <w:color w:val="auto"/>
          <w:sz w:val="20"/>
          <w:szCs w:val="20"/>
          <w:lang w:val="sr-Cyrl-RS"/>
        </w:rPr>
        <w:fldChar w:fldCharType="end"/>
      </w:r>
      <w:r w:rsidRPr="009C19C5">
        <w:rPr>
          <w:rFonts w:ascii="Times New Roman" w:hAnsi="Times New Roman" w:cs="Times New Roman"/>
          <w:i w:val="0"/>
          <w:iCs w:val="0"/>
          <w:color w:val="auto"/>
          <w:sz w:val="20"/>
          <w:szCs w:val="20"/>
          <w:lang w:val="sr-Cyrl-RS"/>
        </w:rPr>
        <w:t xml:space="preserve">: Изграђене термоелектране у земљи (извор: </w:t>
      </w:r>
      <w:r w:rsidR="00A7582E" w:rsidRPr="009C19C5">
        <w:rPr>
          <w:rFonts w:ascii="Times New Roman" w:hAnsi="Times New Roman" w:cs="Times New Roman"/>
          <w:i w:val="0"/>
          <w:iCs w:val="0"/>
          <w:color w:val="auto"/>
          <w:sz w:val="20"/>
          <w:szCs w:val="20"/>
          <w:lang w:val="sr-Cyrl-RS"/>
        </w:rPr>
        <w:t>ЕПС АД</w:t>
      </w:r>
      <w:r w:rsidRPr="009C19C5">
        <w:rPr>
          <w:rFonts w:ascii="Times New Roman" w:hAnsi="Times New Roman" w:cs="Times New Roman"/>
          <w:i w:val="0"/>
          <w:iCs w:val="0"/>
          <w:color w:val="auto"/>
          <w:sz w:val="20"/>
          <w:szCs w:val="20"/>
          <w:lang w:val="sr-Cyrl-RS"/>
        </w:rPr>
        <w:t>)</w:t>
      </w:r>
    </w:p>
    <w:tbl>
      <w:tblPr>
        <w:tblW w:w="412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821"/>
        <w:gridCol w:w="1505"/>
        <w:gridCol w:w="2791"/>
        <w:gridCol w:w="2521"/>
      </w:tblGrid>
      <w:tr w:rsidR="00F276BC" w:rsidRPr="009C19C5" w14:paraId="38382692" w14:textId="77777777" w:rsidTr="00023E2C">
        <w:trPr>
          <w:trHeight w:val="494"/>
          <w:tblHeader/>
          <w:jc w:val="center"/>
        </w:trPr>
        <w:tc>
          <w:tcPr>
            <w:tcW w:w="1821" w:type="dxa"/>
            <w:shd w:val="clear" w:color="auto" w:fill="auto"/>
            <w:vAlign w:val="center"/>
          </w:tcPr>
          <w:p w14:paraId="5BCABEEE" w14:textId="77777777" w:rsidR="00F276BC" w:rsidRPr="009C19C5" w:rsidRDefault="000A0E4E">
            <w:pPr>
              <w:widowControl w:val="0"/>
              <w:autoSpaceDE w:val="0"/>
              <w:autoSpaceDN w:val="0"/>
              <w:spacing w:after="0" w:line="276" w:lineRule="auto"/>
              <w:jc w:val="center"/>
              <w:rPr>
                <w:rFonts w:ascii="Times New Roman" w:eastAsia="Arial" w:hAnsi="Times New Roman" w:cs="Times New Roman"/>
                <w:b/>
                <w:sz w:val="18"/>
                <w:szCs w:val="18"/>
                <w:lang w:val="sr-Cyrl-RS"/>
              </w:rPr>
            </w:pPr>
            <w:r w:rsidRPr="009C19C5">
              <w:rPr>
                <w:rFonts w:ascii="Times New Roman" w:eastAsia="Arial" w:hAnsi="Times New Roman" w:cs="Times New Roman"/>
                <w:b/>
                <w:spacing w:val="-2"/>
                <w:sz w:val="18"/>
                <w:szCs w:val="18"/>
                <w:lang w:val="sr-Cyrl-RS"/>
              </w:rPr>
              <w:t>Електрана</w:t>
            </w:r>
          </w:p>
        </w:tc>
        <w:tc>
          <w:tcPr>
            <w:tcW w:w="1504" w:type="dxa"/>
            <w:shd w:val="clear" w:color="auto" w:fill="auto"/>
            <w:vAlign w:val="center"/>
          </w:tcPr>
          <w:p w14:paraId="0C0BA1C2" w14:textId="77777777" w:rsidR="00F276BC" w:rsidRPr="009C19C5" w:rsidRDefault="000A0E4E">
            <w:pPr>
              <w:widowControl w:val="0"/>
              <w:autoSpaceDE w:val="0"/>
              <w:autoSpaceDN w:val="0"/>
              <w:spacing w:after="0" w:line="276" w:lineRule="auto"/>
              <w:jc w:val="center"/>
              <w:rPr>
                <w:rFonts w:ascii="Times New Roman" w:eastAsia="Arial" w:hAnsi="Times New Roman" w:cs="Times New Roman"/>
                <w:b/>
                <w:sz w:val="18"/>
                <w:szCs w:val="18"/>
                <w:lang w:val="sr-Cyrl-RS"/>
              </w:rPr>
            </w:pPr>
            <w:r w:rsidRPr="009C19C5">
              <w:rPr>
                <w:rFonts w:ascii="Times New Roman" w:eastAsia="Arial" w:hAnsi="Times New Roman" w:cs="Times New Roman"/>
                <w:b/>
                <w:sz w:val="18"/>
                <w:szCs w:val="18"/>
                <w:lang w:val="sr-Cyrl-RS"/>
              </w:rPr>
              <w:t>Број јединица</w:t>
            </w:r>
          </w:p>
        </w:tc>
        <w:tc>
          <w:tcPr>
            <w:tcW w:w="2790" w:type="dxa"/>
            <w:shd w:val="clear" w:color="auto" w:fill="auto"/>
            <w:vAlign w:val="center"/>
          </w:tcPr>
          <w:p w14:paraId="3549352B" w14:textId="52AA0481" w:rsidR="00F276BC" w:rsidRPr="009C19C5" w:rsidRDefault="00A36B22">
            <w:pPr>
              <w:widowControl w:val="0"/>
              <w:autoSpaceDE w:val="0"/>
              <w:autoSpaceDN w:val="0"/>
              <w:spacing w:after="0" w:line="276" w:lineRule="auto"/>
              <w:jc w:val="center"/>
              <w:rPr>
                <w:rFonts w:ascii="Times New Roman" w:eastAsia="Arial" w:hAnsi="Times New Roman" w:cs="Times New Roman"/>
                <w:b/>
                <w:sz w:val="18"/>
                <w:szCs w:val="18"/>
                <w:lang w:val="sr-Cyrl-RS"/>
              </w:rPr>
            </w:pPr>
            <w:r w:rsidRPr="009C19C5">
              <w:rPr>
                <w:rFonts w:ascii="Times New Roman" w:eastAsia="Arial" w:hAnsi="Times New Roman" w:cs="Times New Roman"/>
                <w:b/>
                <w:sz w:val="18"/>
                <w:szCs w:val="18"/>
                <w:lang w:val="sr-Cyrl-RS"/>
              </w:rPr>
              <w:t>Инсталисани капацитет</w:t>
            </w:r>
            <w:r w:rsidRPr="009C19C5">
              <w:rPr>
                <w:rFonts w:ascii="Times New Roman" w:eastAsia="Arial" w:hAnsi="Times New Roman" w:cs="Times New Roman"/>
                <w:b/>
                <w:spacing w:val="-7"/>
                <w:sz w:val="18"/>
                <w:szCs w:val="18"/>
                <w:lang w:val="sr-Cyrl-RS"/>
              </w:rPr>
              <w:t xml:space="preserve"> </w:t>
            </w:r>
            <w:r w:rsidRPr="009C19C5">
              <w:rPr>
                <w:rFonts w:ascii="Times New Roman" w:eastAsia="Arial" w:hAnsi="Times New Roman" w:cs="Times New Roman"/>
                <w:b/>
                <w:spacing w:val="-4"/>
                <w:sz w:val="18"/>
                <w:szCs w:val="18"/>
                <w:lang w:val="sr-Cyrl-RS"/>
              </w:rPr>
              <w:t>(MW)</w:t>
            </w:r>
          </w:p>
        </w:tc>
        <w:tc>
          <w:tcPr>
            <w:tcW w:w="2520" w:type="dxa"/>
            <w:shd w:val="clear" w:color="auto" w:fill="auto"/>
            <w:vAlign w:val="center"/>
          </w:tcPr>
          <w:p w14:paraId="5489741C" w14:textId="77777777" w:rsidR="00F276BC" w:rsidRPr="009C19C5" w:rsidRDefault="000A0E4E">
            <w:pPr>
              <w:widowControl w:val="0"/>
              <w:autoSpaceDE w:val="0"/>
              <w:autoSpaceDN w:val="0"/>
              <w:spacing w:after="0" w:line="276" w:lineRule="auto"/>
              <w:jc w:val="center"/>
              <w:rPr>
                <w:rFonts w:ascii="Times New Roman" w:eastAsia="Arial" w:hAnsi="Times New Roman" w:cs="Times New Roman"/>
                <w:b/>
                <w:sz w:val="18"/>
                <w:szCs w:val="18"/>
                <w:lang w:val="sr-Cyrl-RS"/>
              </w:rPr>
            </w:pPr>
            <w:r w:rsidRPr="009C19C5">
              <w:rPr>
                <w:rFonts w:ascii="Times New Roman" w:eastAsia="Arial" w:hAnsi="Times New Roman" w:cs="Times New Roman"/>
                <w:b/>
                <w:sz w:val="18"/>
                <w:szCs w:val="18"/>
                <w:lang w:val="sr-Cyrl-RS"/>
              </w:rPr>
              <w:t>Година почетка рада</w:t>
            </w:r>
          </w:p>
        </w:tc>
      </w:tr>
      <w:tr w:rsidR="00F276BC" w:rsidRPr="009C19C5" w14:paraId="6F57ADA5" w14:textId="77777777" w:rsidTr="00023E2C">
        <w:trPr>
          <w:trHeight w:val="236"/>
          <w:jc w:val="center"/>
        </w:trPr>
        <w:tc>
          <w:tcPr>
            <w:tcW w:w="1821" w:type="dxa"/>
            <w:vMerge w:val="restart"/>
            <w:shd w:val="clear" w:color="auto" w:fill="auto"/>
            <w:vAlign w:val="center"/>
          </w:tcPr>
          <w:p w14:paraId="5D2C850E" w14:textId="256861B4" w:rsidR="00F276BC" w:rsidRPr="009C19C5" w:rsidRDefault="00936A07">
            <w:pPr>
              <w:widowControl w:val="0"/>
              <w:autoSpaceDE w:val="0"/>
              <w:autoSpaceDN w:val="0"/>
              <w:spacing w:after="0" w:line="240" w:lineRule="auto"/>
              <w:ind w:left="142"/>
              <w:rPr>
                <w:rFonts w:ascii="Times New Roman" w:eastAsia="Arial" w:hAnsi="Times New Roman" w:cs="Times New Roman"/>
                <w:sz w:val="18"/>
                <w:szCs w:val="18"/>
                <w:lang w:val="sr-Cyrl-RS"/>
              </w:rPr>
            </w:pPr>
            <w:r w:rsidRPr="009C19C5">
              <w:rPr>
                <w:rFonts w:ascii="Times New Roman" w:eastAsia="Arial" w:hAnsi="Times New Roman" w:cs="Times New Roman"/>
                <w:sz w:val="18"/>
                <w:szCs w:val="18"/>
                <w:lang w:val="sr-Cyrl-RS"/>
              </w:rPr>
              <w:t>ТЕ Никола Тесла</w:t>
            </w:r>
            <w:r w:rsidRPr="009C19C5">
              <w:rPr>
                <w:rFonts w:ascii="Times New Roman" w:eastAsia="Arial" w:hAnsi="Times New Roman" w:cs="Times New Roman"/>
                <w:spacing w:val="-1"/>
                <w:sz w:val="18"/>
                <w:szCs w:val="18"/>
                <w:lang w:val="sr-Cyrl-RS"/>
              </w:rPr>
              <w:t xml:space="preserve"> </w:t>
            </w:r>
            <w:r w:rsidRPr="009C19C5">
              <w:rPr>
                <w:rFonts w:ascii="Times New Roman" w:eastAsia="Arial" w:hAnsi="Times New Roman" w:cs="Times New Roman"/>
                <w:sz w:val="18"/>
                <w:szCs w:val="18"/>
                <w:lang w:val="sr-Cyrl-RS"/>
              </w:rPr>
              <w:t>A</w:t>
            </w:r>
          </w:p>
        </w:tc>
        <w:tc>
          <w:tcPr>
            <w:tcW w:w="1504" w:type="dxa"/>
            <w:vMerge w:val="restart"/>
            <w:shd w:val="clear" w:color="auto" w:fill="auto"/>
            <w:vAlign w:val="center"/>
          </w:tcPr>
          <w:p w14:paraId="0FF95802" w14:textId="77777777" w:rsidR="00F276BC" w:rsidRPr="009C19C5" w:rsidRDefault="000A0E4E">
            <w:pPr>
              <w:widowControl w:val="0"/>
              <w:autoSpaceDE w:val="0"/>
              <w:autoSpaceDN w:val="0"/>
              <w:spacing w:after="0" w:line="240" w:lineRule="auto"/>
              <w:jc w:val="center"/>
              <w:rPr>
                <w:rFonts w:ascii="Times New Roman" w:eastAsia="Arial" w:hAnsi="Times New Roman" w:cs="Times New Roman"/>
                <w:sz w:val="18"/>
                <w:szCs w:val="18"/>
                <w:lang w:val="sr-Cyrl-RS"/>
              </w:rPr>
            </w:pPr>
            <w:r w:rsidRPr="009C19C5">
              <w:rPr>
                <w:rFonts w:ascii="Times New Roman" w:eastAsia="Arial" w:hAnsi="Times New Roman" w:cs="Times New Roman"/>
                <w:w w:val="101"/>
                <w:sz w:val="18"/>
                <w:szCs w:val="18"/>
                <w:lang w:val="sr-Cyrl-RS"/>
              </w:rPr>
              <w:t>6</w:t>
            </w:r>
          </w:p>
        </w:tc>
        <w:tc>
          <w:tcPr>
            <w:tcW w:w="2790" w:type="dxa"/>
            <w:vMerge w:val="restart"/>
            <w:shd w:val="clear" w:color="auto" w:fill="auto"/>
            <w:vAlign w:val="center"/>
          </w:tcPr>
          <w:p w14:paraId="6BB20A1C" w14:textId="3078F15C" w:rsidR="00F276BC" w:rsidRPr="009C19C5" w:rsidRDefault="000A0E4E">
            <w:pPr>
              <w:widowControl w:val="0"/>
              <w:autoSpaceDE w:val="0"/>
              <w:autoSpaceDN w:val="0"/>
              <w:spacing w:after="0" w:line="240" w:lineRule="auto"/>
              <w:jc w:val="center"/>
              <w:rPr>
                <w:rFonts w:ascii="Times New Roman" w:eastAsia="Arial" w:hAnsi="Times New Roman" w:cs="Times New Roman"/>
                <w:sz w:val="18"/>
                <w:szCs w:val="18"/>
                <w:lang w:val="sr-Cyrl-RS"/>
              </w:rPr>
            </w:pPr>
            <w:r w:rsidRPr="009C19C5">
              <w:rPr>
                <w:rFonts w:ascii="Times New Roman" w:eastAsia="Arial" w:hAnsi="Times New Roman" w:cs="Times New Roman"/>
                <w:spacing w:val="-2"/>
                <w:sz w:val="18"/>
                <w:szCs w:val="18"/>
                <w:lang w:val="sr-Cyrl-RS"/>
              </w:rPr>
              <w:t>1</w:t>
            </w:r>
            <w:r w:rsidR="00A36B22" w:rsidRPr="009C19C5">
              <w:rPr>
                <w:rFonts w:ascii="Times New Roman" w:eastAsia="Arial" w:hAnsi="Times New Roman" w:cs="Times New Roman"/>
                <w:spacing w:val="-2"/>
                <w:sz w:val="18"/>
                <w:szCs w:val="18"/>
                <w:lang w:val="sr-Cyrl-RS"/>
              </w:rPr>
              <w:t>.</w:t>
            </w:r>
            <w:r w:rsidRPr="009C19C5">
              <w:rPr>
                <w:rFonts w:ascii="Times New Roman" w:eastAsia="Arial" w:hAnsi="Times New Roman" w:cs="Times New Roman"/>
                <w:spacing w:val="-2"/>
                <w:sz w:val="18"/>
                <w:szCs w:val="18"/>
                <w:lang w:val="sr-Cyrl-RS"/>
              </w:rPr>
              <w:t>765</w:t>
            </w:r>
          </w:p>
        </w:tc>
        <w:tc>
          <w:tcPr>
            <w:tcW w:w="2520" w:type="dxa"/>
            <w:tcBorders>
              <w:bottom w:val="nil"/>
            </w:tcBorders>
            <w:shd w:val="clear" w:color="auto" w:fill="auto"/>
            <w:vAlign w:val="center"/>
          </w:tcPr>
          <w:p w14:paraId="283AB5A8" w14:textId="77777777" w:rsidR="00F276BC" w:rsidRPr="009C19C5" w:rsidRDefault="000A0E4E">
            <w:pPr>
              <w:widowControl w:val="0"/>
              <w:autoSpaceDE w:val="0"/>
              <w:autoSpaceDN w:val="0"/>
              <w:spacing w:after="0" w:line="240" w:lineRule="auto"/>
              <w:ind w:left="141"/>
              <w:rPr>
                <w:rFonts w:ascii="Times New Roman" w:eastAsia="Arial" w:hAnsi="Times New Roman" w:cs="Times New Roman"/>
                <w:sz w:val="18"/>
                <w:szCs w:val="18"/>
                <w:lang w:val="sr-Cyrl-RS"/>
              </w:rPr>
            </w:pPr>
            <w:r w:rsidRPr="009C19C5">
              <w:rPr>
                <w:rFonts w:ascii="Times New Roman" w:eastAsia="Arial" w:hAnsi="Times New Roman" w:cs="Times New Roman"/>
                <w:sz w:val="18"/>
                <w:szCs w:val="18"/>
                <w:lang w:val="sr-Cyrl-RS"/>
              </w:rPr>
              <w:t>A1:</w:t>
            </w:r>
            <w:r w:rsidRPr="009C19C5">
              <w:rPr>
                <w:rFonts w:ascii="Times New Roman" w:eastAsia="Arial" w:hAnsi="Times New Roman" w:cs="Times New Roman"/>
                <w:spacing w:val="3"/>
                <w:sz w:val="18"/>
                <w:szCs w:val="18"/>
                <w:lang w:val="sr-Cyrl-RS"/>
              </w:rPr>
              <w:t xml:space="preserve"> </w:t>
            </w:r>
            <w:r w:rsidRPr="009C19C5">
              <w:rPr>
                <w:rFonts w:ascii="Times New Roman" w:eastAsia="Arial" w:hAnsi="Times New Roman" w:cs="Times New Roman"/>
                <w:spacing w:val="-4"/>
                <w:sz w:val="18"/>
                <w:szCs w:val="18"/>
                <w:lang w:val="sr-Cyrl-RS"/>
              </w:rPr>
              <w:t>1970</w:t>
            </w:r>
          </w:p>
        </w:tc>
      </w:tr>
      <w:tr w:rsidR="00F276BC" w:rsidRPr="009C19C5" w14:paraId="652A4933" w14:textId="77777777" w:rsidTr="00023E2C">
        <w:trPr>
          <w:trHeight w:val="211"/>
          <w:jc w:val="center"/>
        </w:trPr>
        <w:tc>
          <w:tcPr>
            <w:tcW w:w="1821" w:type="dxa"/>
            <w:vMerge/>
            <w:shd w:val="clear" w:color="auto" w:fill="auto"/>
            <w:vAlign w:val="center"/>
          </w:tcPr>
          <w:p w14:paraId="11AD74F3" w14:textId="77777777" w:rsidR="00F276BC" w:rsidRPr="009C19C5" w:rsidRDefault="00F276BC">
            <w:pPr>
              <w:widowControl w:val="0"/>
              <w:autoSpaceDE w:val="0"/>
              <w:autoSpaceDN w:val="0"/>
              <w:spacing w:after="0" w:line="240" w:lineRule="auto"/>
              <w:ind w:left="142"/>
              <w:rPr>
                <w:rFonts w:ascii="Times New Roman" w:eastAsia="Arial" w:hAnsi="Times New Roman" w:cs="Times New Roman"/>
                <w:sz w:val="18"/>
                <w:szCs w:val="18"/>
                <w:lang w:val="sr-Cyrl-RS"/>
              </w:rPr>
            </w:pPr>
          </w:p>
        </w:tc>
        <w:tc>
          <w:tcPr>
            <w:tcW w:w="1504" w:type="dxa"/>
            <w:vMerge/>
            <w:shd w:val="clear" w:color="auto" w:fill="auto"/>
            <w:vAlign w:val="center"/>
          </w:tcPr>
          <w:p w14:paraId="466C583B" w14:textId="77777777" w:rsidR="00F276BC" w:rsidRPr="009C19C5" w:rsidRDefault="00F276BC">
            <w:pPr>
              <w:widowControl w:val="0"/>
              <w:autoSpaceDE w:val="0"/>
              <w:autoSpaceDN w:val="0"/>
              <w:spacing w:after="0" w:line="240" w:lineRule="auto"/>
              <w:jc w:val="center"/>
              <w:rPr>
                <w:rFonts w:ascii="Times New Roman" w:eastAsia="Arial" w:hAnsi="Times New Roman" w:cs="Times New Roman"/>
                <w:sz w:val="18"/>
                <w:szCs w:val="18"/>
                <w:lang w:val="sr-Cyrl-RS"/>
              </w:rPr>
            </w:pPr>
          </w:p>
        </w:tc>
        <w:tc>
          <w:tcPr>
            <w:tcW w:w="2790" w:type="dxa"/>
            <w:vMerge/>
            <w:shd w:val="clear" w:color="auto" w:fill="auto"/>
            <w:vAlign w:val="center"/>
          </w:tcPr>
          <w:p w14:paraId="4581B3FD" w14:textId="77777777" w:rsidR="00F276BC" w:rsidRPr="009C19C5" w:rsidRDefault="00F276BC">
            <w:pPr>
              <w:widowControl w:val="0"/>
              <w:autoSpaceDE w:val="0"/>
              <w:autoSpaceDN w:val="0"/>
              <w:spacing w:after="0" w:line="240" w:lineRule="auto"/>
              <w:jc w:val="center"/>
              <w:rPr>
                <w:rFonts w:ascii="Times New Roman" w:eastAsia="Arial" w:hAnsi="Times New Roman" w:cs="Times New Roman"/>
                <w:sz w:val="18"/>
                <w:szCs w:val="18"/>
                <w:lang w:val="sr-Cyrl-RS"/>
              </w:rPr>
            </w:pPr>
          </w:p>
        </w:tc>
        <w:tc>
          <w:tcPr>
            <w:tcW w:w="2520" w:type="dxa"/>
            <w:tcBorders>
              <w:top w:val="nil"/>
              <w:bottom w:val="nil"/>
            </w:tcBorders>
            <w:shd w:val="clear" w:color="auto" w:fill="auto"/>
            <w:vAlign w:val="center"/>
          </w:tcPr>
          <w:p w14:paraId="1BE2C19C" w14:textId="77777777" w:rsidR="00F276BC" w:rsidRPr="009C19C5" w:rsidRDefault="000A0E4E">
            <w:pPr>
              <w:widowControl w:val="0"/>
              <w:autoSpaceDE w:val="0"/>
              <w:autoSpaceDN w:val="0"/>
              <w:spacing w:after="0" w:line="240" w:lineRule="auto"/>
              <w:ind w:left="141"/>
              <w:rPr>
                <w:rFonts w:ascii="Times New Roman" w:eastAsia="Arial" w:hAnsi="Times New Roman" w:cs="Times New Roman"/>
                <w:sz w:val="18"/>
                <w:szCs w:val="18"/>
                <w:lang w:val="sr-Cyrl-RS"/>
              </w:rPr>
            </w:pPr>
            <w:r w:rsidRPr="009C19C5">
              <w:rPr>
                <w:rFonts w:ascii="Times New Roman" w:eastAsia="Arial" w:hAnsi="Times New Roman" w:cs="Times New Roman"/>
                <w:sz w:val="18"/>
                <w:szCs w:val="18"/>
                <w:lang w:val="sr-Cyrl-RS"/>
              </w:rPr>
              <w:t>A2:</w:t>
            </w:r>
            <w:r w:rsidRPr="009C19C5">
              <w:rPr>
                <w:rFonts w:ascii="Times New Roman" w:eastAsia="Arial" w:hAnsi="Times New Roman" w:cs="Times New Roman"/>
                <w:spacing w:val="3"/>
                <w:sz w:val="18"/>
                <w:szCs w:val="18"/>
                <w:lang w:val="sr-Cyrl-RS"/>
              </w:rPr>
              <w:t xml:space="preserve"> </w:t>
            </w:r>
            <w:r w:rsidRPr="009C19C5">
              <w:rPr>
                <w:rFonts w:ascii="Times New Roman" w:eastAsia="Arial" w:hAnsi="Times New Roman" w:cs="Times New Roman"/>
                <w:spacing w:val="-4"/>
                <w:sz w:val="18"/>
                <w:szCs w:val="18"/>
                <w:lang w:val="sr-Cyrl-RS"/>
              </w:rPr>
              <w:t>1970</w:t>
            </w:r>
          </w:p>
        </w:tc>
      </w:tr>
      <w:tr w:rsidR="00F276BC" w:rsidRPr="009C19C5" w14:paraId="7AA3A689" w14:textId="77777777" w:rsidTr="00023E2C">
        <w:trPr>
          <w:trHeight w:val="426"/>
          <w:jc w:val="center"/>
        </w:trPr>
        <w:tc>
          <w:tcPr>
            <w:tcW w:w="1821" w:type="dxa"/>
            <w:vMerge/>
            <w:shd w:val="clear" w:color="auto" w:fill="auto"/>
            <w:vAlign w:val="center"/>
          </w:tcPr>
          <w:p w14:paraId="224706F7" w14:textId="77777777" w:rsidR="00F276BC" w:rsidRPr="009C19C5" w:rsidRDefault="00F276BC">
            <w:pPr>
              <w:widowControl w:val="0"/>
              <w:autoSpaceDE w:val="0"/>
              <w:autoSpaceDN w:val="0"/>
              <w:spacing w:after="0" w:line="240" w:lineRule="auto"/>
              <w:ind w:left="142"/>
              <w:rPr>
                <w:rFonts w:ascii="Times New Roman" w:eastAsia="Arial" w:hAnsi="Times New Roman" w:cs="Times New Roman"/>
                <w:sz w:val="18"/>
                <w:szCs w:val="18"/>
                <w:lang w:val="sr-Cyrl-RS"/>
              </w:rPr>
            </w:pPr>
          </w:p>
        </w:tc>
        <w:tc>
          <w:tcPr>
            <w:tcW w:w="1504" w:type="dxa"/>
            <w:vMerge/>
            <w:shd w:val="clear" w:color="auto" w:fill="auto"/>
            <w:vAlign w:val="center"/>
          </w:tcPr>
          <w:p w14:paraId="19E2F89E" w14:textId="77777777" w:rsidR="00F276BC" w:rsidRPr="009C19C5" w:rsidRDefault="00F276BC">
            <w:pPr>
              <w:widowControl w:val="0"/>
              <w:autoSpaceDE w:val="0"/>
              <w:autoSpaceDN w:val="0"/>
              <w:spacing w:after="0" w:line="240" w:lineRule="auto"/>
              <w:jc w:val="center"/>
              <w:rPr>
                <w:rFonts w:ascii="Times New Roman" w:eastAsia="Arial" w:hAnsi="Times New Roman" w:cs="Times New Roman"/>
                <w:sz w:val="18"/>
                <w:szCs w:val="18"/>
                <w:lang w:val="sr-Cyrl-RS"/>
              </w:rPr>
            </w:pPr>
          </w:p>
        </w:tc>
        <w:tc>
          <w:tcPr>
            <w:tcW w:w="2790" w:type="dxa"/>
            <w:vMerge/>
            <w:shd w:val="clear" w:color="auto" w:fill="auto"/>
            <w:vAlign w:val="center"/>
          </w:tcPr>
          <w:p w14:paraId="3368726E" w14:textId="77777777" w:rsidR="00F276BC" w:rsidRPr="009C19C5" w:rsidRDefault="00F276BC">
            <w:pPr>
              <w:widowControl w:val="0"/>
              <w:autoSpaceDE w:val="0"/>
              <w:autoSpaceDN w:val="0"/>
              <w:spacing w:after="0" w:line="240" w:lineRule="auto"/>
              <w:jc w:val="center"/>
              <w:rPr>
                <w:rFonts w:ascii="Times New Roman" w:eastAsia="Arial" w:hAnsi="Times New Roman" w:cs="Times New Roman"/>
                <w:sz w:val="18"/>
                <w:szCs w:val="18"/>
                <w:lang w:val="sr-Cyrl-RS"/>
              </w:rPr>
            </w:pPr>
          </w:p>
        </w:tc>
        <w:tc>
          <w:tcPr>
            <w:tcW w:w="2520" w:type="dxa"/>
            <w:tcBorders>
              <w:top w:val="nil"/>
              <w:bottom w:val="nil"/>
            </w:tcBorders>
            <w:shd w:val="clear" w:color="auto" w:fill="auto"/>
            <w:vAlign w:val="center"/>
          </w:tcPr>
          <w:p w14:paraId="48FAC62B" w14:textId="77777777" w:rsidR="00F276BC" w:rsidRPr="009C19C5" w:rsidRDefault="000A0E4E">
            <w:pPr>
              <w:widowControl w:val="0"/>
              <w:autoSpaceDE w:val="0"/>
              <w:autoSpaceDN w:val="0"/>
              <w:spacing w:after="0" w:line="240" w:lineRule="auto"/>
              <w:ind w:left="141"/>
              <w:rPr>
                <w:rFonts w:ascii="Times New Roman" w:eastAsia="Arial" w:hAnsi="Times New Roman" w:cs="Times New Roman"/>
                <w:sz w:val="18"/>
                <w:szCs w:val="18"/>
                <w:lang w:val="sr-Cyrl-RS"/>
              </w:rPr>
            </w:pPr>
            <w:r w:rsidRPr="009C19C5">
              <w:rPr>
                <w:rFonts w:ascii="Times New Roman" w:eastAsia="Arial" w:hAnsi="Times New Roman" w:cs="Times New Roman"/>
                <w:sz w:val="18"/>
                <w:szCs w:val="18"/>
                <w:lang w:val="sr-Cyrl-RS"/>
              </w:rPr>
              <w:t>A3:</w:t>
            </w:r>
            <w:r w:rsidRPr="009C19C5">
              <w:rPr>
                <w:rFonts w:ascii="Times New Roman" w:eastAsia="Arial" w:hAnsi="Times New Roman" w:cs="Times New Roman"/>
                <w:spacing w:val="3"/>
                <w:sz w:val="18"/>
                <w:szCs w:val="18"/>
                <w:lang w:val="sr-Cyrl-RS"/>
              </w:rPr>
              <w:t xml:space="preserve"> </w:t>
            </w:r>
            <w:r w:rsidRPr="009C19C5">
              <w:rPr>
                <w:rFonts w:ascii="Times New Roman" w:eastAsia="Arial" w:hAnsi="Times New Roman" w:cs="Times New Roman"/>
                <w:spacing w:val="-4"/>
                <w:sz w:val="18"/>
                <w:szCs w:val="18"/>
                <w:lang w:val="sr-Cyrl-RS"/>
              </w:rPr>
              <w:t>1976</w:t>
            </w:r>
          </w:p>
          <w:p w14:paraId="57914227" w14:textId="77777777" w:rsidR="00F276BC" w:rsidRPr="009C19C5" w:rsidRDefault="000A0E4E">
            <w:pPr>
              <w:widowControl w:val="0"/>
              <w:autoSpaceDE w:val="0"/>
              <w:autoSpaceDN w:val="0"/>
              <w:spacing w:after="0" w:line="240" w:lineRule="auto"/>
              <w:ind w:left="141"/>
              <w:rPr>
                <w:rFonts w:ascii="Times New Roman" w:eastAsia="Arial" w:hAnsi="Times New Roman" w:cs="Times New Roman"/>
                <w:sz w:val="18"/>
                <w:szCs w:val="18"/>
                <w:lang w:val="sr-Cyrl-RS"/>
              </w:rPr>
            </w:pPr>
            <w:r w:rsidRPr="009C19C5">
              <w:rPr>
                <w:rFonts w:ascii="Times New Roman" w:eastAsia="Arial" w:hAnsi="Times New Roman" w:cs="Times New Roman"/>
                <w:sz w:val="18"/>
                <w:szCs w:val="18"/>
                <w:lang w:val="sr-Cyrl-RS"/>
              </w:rPr>
              <w:t>A4:</w:t>
            </w:r>
            <w:r w:rsidRPr="009C19C5">
              <w:rPr>
                <w:rFonts w:ascii="Times New Roman" w:eastAsia="Arial" w:hAnsi="Times New Roman" w:cs="Times New Roman"/>
                <w:spacing w:val="3"/>
                <w:sz w:val="18"/>
                <w:szCs w:val="18"/>
                <w:lang w:val="sr-Cyrl-RS"/>
              </w:rPr>
              <w:t xml:space="preserve"> </w:t>
            </w:r>
            <w:r w:rsidRPr="009C19C5">
              <w:rPr>
                <w:rFonts w:ascii="Times New Roman" w:eastAsia="Arial" w:hAnsi="Times New Roman" w:cs="Times New Roman"/>
                <w:spacing w:val="-4"/>
                <w:sz w:val="18"/>
                <w:szCs w:val="18"/>
                <w:lang w:val="sr-Cyrl-RS"/>
              </w:rPr>
              <w:t>1978</w:t>
            </w:r>
          </w:p>
        </w:tc>
      </w:tr>
      <w:tr w:rsidR="00F276BC" w:rsidRPr="009C19C5" w14:paraId="50F950C7" w14:textId="77777777" w:rsidTr="00023E2C">
        <w:trPr>
          <w:trHeight w:val="211"/>
          <w:jc w:val="center"/>
        </w:trPr>
        <w:tc>
          <w:tcPr>
            <w:tcW w:w="1821" w:type="dxa"/>
            <w:vMerge/>
            <w:tcBorders>
              <w:bottom w:val="nil"/>
            </w:tcBorders>
            <w:shd w:val="clear" w:color="auto" w:fill="auto"/>
            <w:vAlign w:val="center"/>
          </w:tcPr>
          <w:p w14:paraId="7338C3D6" w14:textId="77777777" w:rsidR="00F276BC" w:rsidRPr="009C19C5" w:rsidRDefault="00F276BC">
            <w:pPr>
              <w:widowControl w:val="0"/>
              <w:autoSpaceDE w:val="0"/>
              <w:autoSpaceDN w:val="0"/>
              <w:spacing w:after="0" w:line="240" w:lineRule="auto"/>
              <w:ind w:left="142"/>
              <w:rPr>
                <w:rFonts w:ascii="Times New Roman" w:eastAsia="Arial" w:hAnsi="Times New Roman" w:cs="Times New Roman"/>
                <w:sz w:val="18"/>
                <w:szCs w:val="18"/>
                <w:lang w:val="sr-Cyrl-RS"/>
              </w:rPr>
            </w:pPr>
          </w:p>
        </w:tc>
        <w:tc>
          <w:tcPr>
            <w:tcW w:w="1504" w:type="dxa"/>
            <w:vMerge/>
            <w:shd w:val="clear" w:color="auto" w:fill="auto"/>
            <w:vAlign w:val="center"/>
          </w:tcPr>
          <w:p w14:paraId="63BDE280" w14:textId="77777777" w:rsidR="00F276BC" w:rsidRPr="009C19C5" w:rsidRDefault="00F276BC">
            <w:pPr>
              <w:widowControl w:val="0"/>
              <w:autoSpaceDE w:val="0"/>
              <w:autoSpaceDN w:val="0"/>
              <w:spacing w:after="0" w:line="240" w:lineRule="auto"/>
              <w:jc w:val="center"/>
              <w:rPr>
                <w:rFonts w:ascii="Times New Roman" w:eastAsia="Arial" w:hAnsi="Times New Roman" w:cs="Times New Roman"/>
                <w:sz w:val="18"/>
                <w:szCs w:val="18"/>
                <w:lang w:val="sr-Cyrl-RS"/>
              </w:rPr>
            </w:pPr>
          </w:p>
        </w:tc>
        <w:tc>
          <w:tcPr>
            <w:tcW w:w="2790" w:type="dxa"/>
            <w:vMerge/>
            <w:shd w:val="clear" w:color="auto" w:fill="auto"/>
            <w:vAlign w:val="center"/>
          </w:tcPr>
          <w:p w14:paraId="06A728C9" w14:textId="77777777" w:rsidR="00F276BC" w:rsidRPr="009C19C5" w:rsidRDefault="00F276BC">
            <w:pPr>
              <w:widowControl w:val="0"/>
              <w:autoSpaceDE w:val="0"/>
              <w:autoSpaceDN w:val="0"/>
              <w:spacing w:after="0" w:line="240" w:lineRule="auto"/>
              <w:jc w:val="center"/>
              <w:rPr>
                <w:rFonts w:ascii="Times New Roman" w:eastAsia="Arial" w:hAnsi="Times New Roman" w:cs="Times New Roman"/>
                <w:sz w:val="18"/>
                <w:szCs w:val="18"/>
                <w:lang w:val="sr-Cyrl-RS"/>
              </w:rPr>
            </w:pPr>
          </w:p>
        </w:tc>
        <w:tc>
          <w:tcPr>
            <w:tcW w:w="2520" w:type="dxa"/>
            <w:tcBorders>
              <w:top w:val="nil"/>
              <w:bottom w:val="nil"/>
            </w:tcBorders>
            <w:shd w:val="clear" w:color="auto" w:fill="auto"/>
            <w:vAlign w:val="center"/>
          </w:tcPr>
          <w:p w14:paraId="55D46A27" w14:textId="77777777" w:rsidR="00F276BC" w:rsidRPr="009C19C5" w:rsidRDefault="000A0E4E">
            <w:pPr>
              <w:widowControl w:val="0"/>
              <w:autoSpaceDE w:val="0"/>
              <w:autoSpaceDN w:val="0"/>
              <w:spacing w:after="0" w:line="240" w:lineRule="auto"/>
              <w:ind w:left="141"/>
              <w:rPr>
                <w:rFonts w:ascii="Times New Roman" w:eastAsia="Arial" w:hAnsi="Times New Roman" w:cs="Times New Roman"/>
                <w:sz w:val="18"/>
                <w:szCs w:val="18"/>
                <w:lang w:val="sr-Cyrl-RS"/>
              </w:rPr>
            </w:pPr>
            <w:r w:rsidRPr="009C19C5">
              <w:rPr>
                <w:rFonts w:ascii="Times New Roman" w:eastAsia="Arial" w:hAnsi="Times New Roman" w:cs="Times New Roman"/>
                <w:sz w:val="18"/>
                <w:szCs w:val="18"/>
                <w:lang w:val="sr-Cyrl-RS"/>
              </w:rPr>
              <w:t>A5:</w:t>
            </w:r>
            <w:r w:rsidRPr="009C19C5">
              <w:rPr>
                <w:rFonts w:ascii="Times New Roman" w:eastAsia="Arial" w:hAnsi="Times New Roman" w:cs="Times New Roman"/>
                <w:spacing w:val="3"/>
                <w:sz w:val="18"/>
                <w:szCs w:val="18"/>
                <w:lang w:val="sr-Cyrl-RS"/>
              </w:rPr>
              <w:t xml:space="preserve"> </w:t>
            </w:r>
            <w:r w:rsidRPr="009C19C5">
              <w:rPr>
                <w:rFonts w:ascii="Times New Roman" w:eastAsia="Arial" w:hAnsi="Times New Roman" w:cs="Times New Roman"/>
                <w:spacing w:val="-4"/>
                <w:sz w:val="18"/>
                <w:szCs w:val="18"/>
                <w:lang w:val="sr-Cyrl-RS"/>
              </w:rPr>
              <w:t>1979</w:t>
            </w:r>
          </w:p>
        </w:tc>
      </w:tr>
      <w:tr w:rsidR="00F276BC" w:rsidRPr="009C19C5" w14:paraId="4B02EEEE" w14:textId="77777777" w:rsidTr="00023E2C">
        <w:trPr>
          <w:trHeight w:val="232"/>
          <w:jc w:val="center"/>
        </w:trPr>
        <w:tc>
          <w:tcPr>
            <w:tcW w:w="1821" w:type="dxa"/>
            <w:tcBorders>
              <w:top w:val="nil"/>
            </w:tcBorders>
            <w:shd w:val="clear" w:color="auto" w:fill="auto"/>
            <w:vAlign w:val="center"/>
          </w:tcPr>
          <w:p w14:paraId="079CD0BE" w14:textId="77777777" w:rsidR="00F276BC" w:rsidRPr="009C19C5" w:rsidRDefault="00F276BC">
            <w:pPr>
              <w:widowControl w:val="0"/>
              <w:autoSpaceDE w:val="0"/>
              <w:autoSpaceDN w:val="0"/>
              <w:spacing w:after="0" w:line="240" w:lineRule="auto"/>
              <w:ind w:left="142"/>
              <w:rPr>
                <w:rFonts w:ascii="Times New Roman" w:eastAsia="Arial" w:hAnsi="Times New Roman" w:cs="Times New Roman"/>
                <w:sz w:val="18"/>
                <w:szCs w:val="18"/>
                <w:lang w:val="sr-Cyrl-RS"/>
              </w:rPr>
            </w:pPr>
          </w:p>
        </w:tc>
        <w:tc>
          <w:tcPr>
            <w:tcW w:w="1504" w:type="dxa"/>
            <w:vMerge/>
            <w:shd w:val="clear" w:color="auto" w:fill="auto"/>
            <w:vAlign w:val="center"/>
          </w:tcPr>
          <w:p w14:paraId="2600B276" w14:textId="77777777" w:rsidR="00F276BC" w:rsidRPr="009C19C5" w:rsidRDefault="00F276BC">
            <w:pPr>
              <w:widowControl w:val="0"/>
              <w:autoSpaceDE w:val="0"/>
              <w:autoSpaceDN w:val="0"/>
              <w:spacing w:after="0" w:line="240" w:lineRule="auto"/>
              <w:jc w:val="center"/>
              <w:rPr>
                <w:rFonts w:ascii="Times New Roman" w:eastAsia="Arial" w:hAnsi="Times New Roman" w:cs="Times New Roman"/>
                <w:sz w:val="18"/>
                <w:szCs w:val="18"/>
                <w:lang w:val="sr-Cyrl-RS"/>
              </w:rPr>
            </w:pPr>
          </w:p>
        </w:tc>
        <w:tc>
          <w:tcPr>
            <w:tcW w:w="2790" w:type="dxa"/>
            <w:vMerge/>
            <w:shd w:val="clear" w:color="auto" w:fill="auto"/>
            <w:vAlign w:val="center"/>
          </w:tcPr>
          <w:p w14:paraId="03CB1D81" w14:textId="77777777" w:rsidR="00F276BC" w:rsidRPr="009C19C5" w:rsidRDefault="00F276BC">
            <w:pPr>
              <w:widowControl w:val="0"/>
              <w:autoSpaceDE w:val="0"/>
              <w:autoSpaceDN w:val="0"/>
              <w:spacing w:after="0" w:line="240" w:lineRule="auto"/>
              <w:jc w:val="center"/>
              <w:rPr>
                <w:rFonts w:ascii="Times New Roman" w:eastAsia="Arial" w:hAnsi="Times New Roman" w:cs="Times New Roman"/>
                <w:sz w:val="18"/>
                <w:szCs w:val="18"/>
                <w:lang w:val="sr-Cyrl-RS"/>
              </w:rPr>
            </w:pPr>
          </w:p>
        </w:tc>
        <w:tc>
          <w:tcPr>
            <w:tcW w:w="2520" w:type="dxa"/>
            <w:tcBorders>
              <w:top w:val="nil"/>
            </w:tcBorders>
            <w:shd w:val="clear" w:color="auto" w:fill="auto"/>
            <w:vAlign w:val="center"/>
          </w:tcPr>
          <w:p w14:paraId="2237A007" w14:textId="77777777" w:rsidR="00F276BC" w:rsidRPr="009C19C5" w:rsidRDefault="000A0E4E">
            <w:pPr>
              <w:widowControl w:val="0"/>
              <w:autoSpaceDE w:val="0"/>
              <w:autoSpaceDN w:val="0"/>
              <w:spacing w:after="0" w:line="240" w:lineRule="auto"/>
              <w:ind w:left="141"/>
              <w:rPr>
                <w:rFonts w:ascii="Times New Roman" w:eastAsia="Arial" w:hAnsi="Times New Roman" w:cs="Times New Roman"/>
                <w:sz w:val="18"/>
                <w:szCs w:val="18"/>
                <w:lang w:val="sr-Cyrl-RS"/>
              </w:rPr>
            </w:pPr>
            <w:r w:rsidRPr="009C19C5">
              <w:rPr>
                <w:rFonts w:ascii="Times New Roman" w:eastAsia="Arial" w:hAnsi="Times New Roman" w:cs="Times New Roman"/>
                <w:sz w:val="18"/>
                <w:szCs w:val="18"/>
                <w:lang w:val="sr-Cyrl-RS"/>
              </w:rPr>
              <w:t>A6:</w:t>
            </w:r>
            <w:r w:rsidRPr="009C19C5">
              <w:rPr>
                <w:rFonts w:ascii="Times New Roman" w:eastAsia="Arial" w:hAnsi="Times New Roman" w:cs="Times New Roman"/>
                <w:spacing w:val="3"/>
                <w:sz w:val="18"/>
                <w:szCs w:val="18"/>
                <w:lang w:val="sr-Cyrl-RS"/>
              </w:rPr>
              <w:t xml:space="preserve"> </w:t>
            </w:r>
            <w:r w:rsidRPr="009C19C5">
              <w:rPr>
                <w:rFonts w:ascii="Times New Roman" w:eastAsia="Arial" w:hAnsi="Times New Roman" w:cs="Times New Roman"/>
                <w:spacing w:val="-4"/>
                <w:sz w:val="18"/>
                <w:szCs w:val="18"/>
                <w:lang w:val="sr-Cyrl-RS"/>
              </w:rPr>
              <w:t>1979</w:t>
            </w:r>
          </w:p>
        </w:tc>
      </w:tr>
      <w:tr w:rsidR="00F276BC" w:rsidRPr="009C19C5" w14:paraId="60DF1736" w14:textId="77777777" w:rsidTr="00023E2C">
        <w:trPr>
          <w:trHeight w:val="472"/>
          <w:jc w:val="center"/>
        </w:trPr>
        <w:tc>
          <w:tcPr>
            <w:tcW w:w="1821" w:type="dxa"/>
            <w:shd w:val="clear" w:color="auto" w:fill="auto"/>
            <w:vAlign w:val="center"/>
          </w:tcPr>
          <w:p w14:paraId="4A94F7C1" w14:textId="0F906F40" w:rsidR="00F276BC" w:rsidRPr="009C19C5" w:rsidRDefault="00936A07">
            <w:pPr>
              <w:widowControl w:val="0"/>
              <w:autoSpaceDE w:val="0"/>
              <w:autoSpaceDN w:val="0"/>
              <w:spacing w:after="0" w:line="240" w:lineRule="auto"/>
              <w:ind w:left="142"/>
              <w:rPr>
                <w:rFonts w:ascii="Times New Roman" w:eastAsia="Arial" w:hAnsi="Times New Roman" w:cs="Times New Roman"/>
                <w:sz w:val="18"/>
                <w:szCs w:val="18"/>
                <w:lang w:val="sr-Cyrl-RS"/>
              </w:rPr>
            </w:pPr>
            <w:r w:rsidRPr="009C19C5">
              <w:rPr>
                <w:rFonts w:ascii="Times New Roman" w:eastAsia="Arial" w:hAnsi="Times New Roman" w:cs="Times New Roman"/>
                <w:sz w:val="18"/>
                <w:szCs w:val="18"/>
                <w:lang w:val="sr-Cyrl-RS"/>
              </w:rPr>
              <w:t>ТЕ Никола Тесла Б</w:t>
            </w:r>
          </w:p>
        </w:tc>
        <w:tc>
          <w:tcPr>
            <w:tcW w:w="1504" w:type="dxa"/>
            <w:shd w:val="clear" w:color="auto" w:fill="auto"/>
            <w:vAlign w:val="center"/>
          </w:tcPr>
          <w:p w14:paraId="4FF1720A" w14:textId="77777777" w:rsidR="00F276BC" w:rsidRPr="009C19C5" w:rsidRDefault="000A0E4E">
            <w:pPr>
              <w:widowControl w:val="0"/>
              <w:autoSpaceDE w:val="0"/>
              <w:autoSpaceDN w:val="0"/>
              <w:spacing w:after="0" w:line="240" w:lineRule="auto"/>
              <w:jc w:val="center"/>
              <w:rPr>
                <w:rFonts w:ascii="Times New Roman" w:eastAsia="Arial" w:hAnsi="Times New Roman" w:cs="Times New Roman"/>
                <w:sz w:val="18"/>
                <w:szCs w:val="18"/>
                <w:lang w:val="sr-Cyrl-RS"/>
              </w:rPr>
            </w:pPr>
            <w:r w:rsidRPr="009C19C5">
              <w:rPr>
                <w:rFonts w:ascii="Times New Roman" w:eastAsia="Arial" w:hAnsi="Times New Roman" w:cs="Times New Roman"/>
                <w:w w:val="101"/>
                <w:sz w:val="18"/>
                <w:szCs w:val="18"/>
                <w:lang w:val="sr-Cyrl-RS"/>
              </w:rPr>
              <w:t>2</w:t>
            </w:r>
          </w:p>
        </w:tc>
        <w:tc>
          <w:tcPr>
            <w:tcW w:w="2790" w:type="dxa"/>
            <w:shd w:val="clear" w:color="auto" w:fill="auto"/>
            <w:vAlign w:val="center"/>
          </w:tcPr>
          <w:p w14:paraId="7CB0DC0C" w14:textId="33089137" w:rsidR="00F276BC" w:rsidRPr="009C19C5" w:rsidRDefault="000A0E4E">
            <w:pPr>
              <w:widowControl w:val="0"/>
              <w:autoSpaceDE w:val="0"/>
              <w:autoSpaceDN w:val="0"/>
              <w:spacing w:after="0" w:line="240" w:lineRule="auto"/>
              <w:jc w:val="center"/>
              <w:rPr>
                <w:rFonts w:ascii="Times New Roman" w:eastAsia="Arial" w:hAnsi="Times New Roman" w:cs="Times New Roman"/>
                <w:sz w:val="18"/>
                <w:szCs w:val="18"/>
                <w:lang w:val="sr-Cyrl-RS"/>
              </w:rPr>
            </w:pPr>
            <w:r w:rsidRPr="009C19C5">
              <w:rPr>
                <w:rFonts w:ascii="Times New Roman" w:eastAsia="Arial" w:hAnsi="Times New Roman" w:cs="Times New Roman"/>
                <w:spacing w:val="-2"/>
                <w:sz w:val="18"/>
                <w:szCs w:val="18"/>
                <w:lang w:val="sr-Cyrl-RS"/>
              </w:rPr>
              <w:t>1</w:t>
            </w:r>
            <w:r w:rsidR="00A36B22" w:rsidRPr="009C19C5">
              <w:rPr>
                <w:rFonts w:ascii="Times New Roman" w:eastAsia="Arial" w:hAnsi="Times New Roman" w:cs="Times New Roman"/>
                <w:spacing w:val="-2"/>
                <w:sz w:val="18"/>
                <w:szCs w:val="18"/>
                <w:lang w:val="sr-Cyrl-RS"/>
              </w:rPr>
              <w:t>.</w:t>
            </w:r>
            <w:r w:rsidRPr="009C19C5">
              <w:rPr>
                <w:rFonts w:ascii="Times New Roman" w:eastAsia="Arial" w:hAnsi="Times New Roman" w:cs="Times New Roman"/>
                <w:spacing w:val="-2"/>
                <w:sz w:val="18"/>
                <w:szCs w:val="18"/>
                <w:lang w:val="sr-Cyrl-RS"/>
              </w:rPr>
              <w:t>300</w:t>
            </w:r>
          </w:p>
        </w:tc>
        <w:tc>
          <w:tcPr>
            <w:tcW w:w="2520" w:type="dxa"/>
            <w:shd w:val="clear" w:color="auto" w:fill="auto"/>
            <w:vAlign w:val="center"/>
          </w:tcPr>
          <w:p w14:paraId="27F6A036" w14:textId="77777777" w:rsidR="00F276BC" w:rsidRPr="009C19C5" w:rsidRDefault="000A0E4E">
            <w:pPr>
              <w:widowControl w:val="0"/>
              <w:autoSpaceDE w:val="0"/>
              <w:autoSpaceDN w:val="0"/>
              <w:spacing w:after="0" w:line="240" w:lineRule="auto"/>
              <w:ind w:left="141"/>
              <w:rPr>
                <w:rFonts w:ascii="Times New Roman" w:eastAsia="Arial" w:hAnsi="Times New Roman" w:cs="Times New Roman"/>
                <w:sz w:val="18"/>
                <w:szCs w:val="18"/>
                <w:lang w:val="sr-Cyrl-RS"/>
              </w:rPr>
            </w:pPr>
            <w:r w:rsidRPr="009C19C5">
              <w:rPr>
                <w:rFonts w:ascii="Times New Roman" w:eastAsia="Arial" w:hAnsi="Times New Roman" w:cs="Times New Roman"/>
                <w:sz w:val="18"/>
                <w:szCs w:val="18"/>
                <w:lang w:val="sr-Cyrl-RS"/>
              </w:rPr>
              <w:t>B1:</w:t>
            </w:r>
            <w:r w:rsidRPr="009C19C5">
              <w:rPr>
                <w:rFonts w:ascii="Times New Roman" w:eastAsia="Arial" w:hAnsi="Times New Roman" w:cs="Times New Roman"/>
                <w:spacing w:val="3"/>
                <w:sz w:val="18"/>
                <w:szCs w:val="18"/>
                <w:lang w:val="sr-Cyrl-RS"/>
              </w:rPr>
              <w:t xml:space="preserve"> </w:t>
            </w:r>
            <w:r w:rsidRPr="009C19C5">
              <w:rPr>
                <w:rFonts w:ascii="Times New Roman" w:eastAsia="Arial" w:hAnsi="Times New Roman" w:cs="Times New Roman"/>
                <w:spacing w:val="-4"/>
                <w:sz w:val="18"/>
                <w:szCs w:val="18"/>
                <w:lang w:val="sr-Cyrl-RS"/>
              </w:rPr>
              <w:t>1983</w:t>
            </w:r>
          </w:p>
          <w:p w14:paraId="3B6D082A" w14:textId="77777777" w:rsidR="00F276BC" w:rsidRPr="009C19C5" w:rsidRDefault="000A0E4E">
            <w:pPr>
              <w:widowControl w:val="0"/>
              <w:autoSpaceDE w:val="0"/>
              <w:autoSpaceDN w:val="0"/>
              <w:spacing w:after="0" w:line="240" w:lineRule="auto"/>
              <w:ind w:left="141"/>
              <w:rPr>
                <w:rFonts w:ascii="Times New Roman" w:eastAsia="Arial" w:hAnsi="Times New Roman" w:cs="Times New Roman"/>
                <w:sz w:val="18"/>
                <w:szCs w:val="18"/>
                <w:lang w:val="sr-Cyrl-RS"/>
              </w:rPr>
            </w:pPr>
            <w:r w:rsidRPr="009C19C5">
              <w:rPr>
                <w:rFonts w:ascii="Times New Roman" w:eastAsia="Arial" w:hAnsi="Times New Roman" w:cs="Times New Roman"/>
                <w:sz w:val="18"/>
                <w:szCs w:val="18"/>
                <w:lang w:val="sr-Cyrl-RS"/>
              </w:rPr>
              <w:t>B2:</w:t>
            </w:r>
            <w:r w:rsidRPr="009C19C5">
              <w:rPr>
                <w:rFonts w:ascii="Times New Roman" w:eastAsia="Arial" w:hAnsi="Times New Roman" w:cs="Times New Roman"/>
                <w:spacing w:val="3"/>
                <w:sz w:val="18"/>
                <w:szCs w:val="18"/>
                <w:lang w:val="sr-Cyrl-RS"/>
              </w:rPr>
              <w:t xml:space="preserve"> </w:t>
            </w:r>
            <w:r w:rsidRPr="009C19C5">
              <w:rPr>
                <w:rFonts w:ascii="Times New Roman" w:eastAsia="Arial" w:hAnsi="Times New Roman" w:cs="Times New Roman"/>
                <w:spacing w:val="-4"/>
                <w:sz w:val="18"/>
                <w:szCs w:val="18"/>
                <w:lang w:val="sr-Cyrl-RS"/>
              </w:rPr>
              <w:t>1985</w:t>
            </w:r>
          </w:p>
        </w:tc>
      </w:tr>
      <w:tr w:rsidR="00F276BC" w:rsidRPr="009C19C5" w14:paraId="47679964" w14:textId="77777777" w:rsidTr="00023E2C">
        <w:trPr>
          <w:trHeight w:val="236"/>
          <w:jc w:val="center"/>
        </w:trPr>
        <w:tc>
          <w:tcPr>
            <w:tcW w:w="1821" w:type="dxa"/>
            <w:vMerge w:val="restart"/>
            <w:shd w:val="clear" w:color="auto" w:fill="auto"/>
            <w:vAlign w:val="center"/>
          </w:tcPr>
          <w:p w14:paraId="698A584B" w14:textId="23E1A22D" w:rsidR="00F276BC" w:rsidRPr="009C19C5" w:rsidRDefault="00936A07">
            <w:pPr>
              <w:widowControl w:val="0"/>
              <w:autoSpaceDE w:val="0"/>
              <w:autoSpaceDN w:val="0"/>
              <w:spacing w:after="0" w:line="240" w:lineRule="auto"/>
              <w:ind w:left="142"/>
              <w:rPr>
                <w:rFonts w:ascii="Times New Roman" w:eastAsia="Arial" w:hAnsi="Times New Roman" w:cs="Times New Roman"/>
                <w:sz w:val="18"/>
                <w:szCs w:val="18"/>
                <w:lang w:val="sr-Cyrl-RS"/>
              </w:rPr>
            </w:pPr>
            <w:r w:rsidRPr="009C19C5">
              <w:rPr>
                <w:rFonts w:ascii="Times New Roman" w:eastAsia="Arial" w:hAnsi="Times New Roman" w:cs="Times New Roman"/>
                <w:sz w:val="18"/>
                <w:szCs w:val="18"/>
                <w:lang w:val="sr-Cyrl-RS"/>
              </w:rPr>
              <w:t>ТЕ Колубара</w:t>
            </w:r>
            <w:r w:rsidRPr="009C19C5">
              <w:rPr>
                <w:rFonts w:ascii="Times New Roman" w:eastAsia="Arial" w:hAnsi="Times New Roman" w:cs="Times New Roman"/>
                <w:spacing w:val="-4"/>
                <w:sz w:val="18"/>
                <w:szCs w:val="18"/>
                <w:lang w:val="sr-Cyrl-RS"/>
              </w:rPr>
              <w:t xml:space="preserve"> A</w:t>
            </w:r>
          </w:p>
        </w:tc>
        <w:tc>
          <w:tcPr>
            <w:tcW w:w="1504" w:type="dxa"/>
            <w:vMerge w:val="restart"/>
            <w:shd w:val="clear" w:color="auto" w:fill="auto"/>
            <w:vAlign w:val="center"/>
          </w:tcPr>
          <w:p w14:paraId="7B6A21BD" w14:textId="77777777" w:rsidR="00F276BC" w:rsidRPr="009C19C5" w:rsidRDefault="000A0E4E">
            <w:pPr>
              <w:widowControl w:val="0"/>
              <w:autoSpaceDE w:val="0"/>
              <w:autoSpaceDN w:val="0"/>
              <w:spacing w:after="0" w:line="240" w:lineRule="auto"/>
              <w:jc w:val="center"/>
              <w:rPr>
                <w:rFonts w:ascii="Times New Roman" w:eastAsia="Arial" w:hAnsi="Times New Roman" w:cs="Times New Roman"/>
                <w:sz w:val="18"/>
                <w:szCs w:val="18"/>
                <w:lang w:val="sr-Cyrl-RS"/>
              </w:rPr>
            </w:pPr>
            <w:r w:rsidRPr="009C19C5">
              <w:rPr>
                <w:rFonts w:ascii="Times New Roman" w:eastAsia="Arial" w:hAnsi="Times New Roman" w:cs="Times New Roman"/>
                <w:w w:val="101"/>
                <w:sz w:val="18"/>
                <w:szCs w:val="18"/>
                <w:lang w:val="sr-Cyrl-RS"/>
              </w:rPr>
              <w:t>5</w:t>
            </w:r>
          </w:p>
        </w:tc>
        <w:tc>
          <w:tcPr>
            <w:tcW w:w="2790" w:type="dxa"/>
            <w:vMerge w:val="restart"/>
            <w:shd w:val="clear" w:color="auto" w:fill="auto"/>
            <w:vAlign w:val="center"/>
          </w:tcPr>
          <w:p w14:paraId="319D5077" w14:textId="77777777" w:rsidR="00F276BC" w:rsidRPr="009C19C5" w:rsidRDefault="000A0E4E">
            <w:pPr>
              <w:widowControl w:val="0"/>
              <w:autoSpaceDE w:val="0"/>
              <w:autoSpaceDN w:val="0"/>
              <w:spacing w:after="0" w:line="240" w:lineRule="auto"/>
              <w:jc w:val="center"/>
              <w:rPr>
                <w:rFonts w:ascii="Times New Roman" w:eastAsia="Arial" w:hAnsi="Times New Roman" w:cs="Times New Roman"/>
                <w:sz w:val="18"/>
                <w:szCs w:val="18"/>
                <w:lang w:val="sr-Cyrl-RS"/>
              </w:rPr>
            </w:pPr>
            <w:r w:rsidRPr="009C19C5">
              <w:rPr>
                <w:rFonts w:ascii="Times New Roman" w:eastAsia="Arial" w:hAnsi="Times New Roman" w:cs="Times New Roman"/>
                <w:spacing w:val="-5"/>
                <w:sz w:val="18"/>
                <w:szCs w:val="18"/>
                <w:lang w:val="sr-Cyrl-RS"/>
              </w:rPr>
              <w:t>271/239</w:t>
            </w:r>
          </w:p>
        </w:tc>
        <w:tc>
          <w:tcPr>
            <w:tcW w:w="2520" w:type="dxa"/>
            <w:tcBorders>
              <w:bottom w:val="nil"/>
            </w:tcBorders>
            <w:shd w:val="clear" w:color="auto" w:fill="auto"/>
            <w:vAlign w:val="center"/>
          </w:tcPr>
          <w:p w14:paraId="7B24A1FE" w14:textId="77777777" w:rsidR="00F276BC" w:rsidRPr="009C19C5" w:rsidRDefault="000A0E4E">
            <w:pPr>
              <w:widowControl w:val="0"/>
              <w:autoSpaceDE w:val="0"/>
              <w:autoSpaceDN w:val="0"/>
              <w:spacing w:after="0" w:line="240" w:lineRule="auto"/>
              <w:ind w:left="141"/>
              <w:rPr>
                <w:rFonts w:ascii="Times New Roman" w:eastAsia="Arial" w:hAnsi="Times New Roman" w:cs="Times New Roman"/>
                <w:sz w:val="18"/>
                <w:szCs w:val="18"/>
                <w:lang w:val="sr-Cyrl-RS"/>
              </w:rPr>
            </w:pPr>
            <w:r w:rsidRPr="009C19C5">
              <w:rPr>
                <w:rFonts w:ascii="Times New Roman" w:eastAsia="Arial" w:hAnsi="Times New Roman" w:cs="Times New Roman"/>
                <w:sz w:val="18"/>
                <w:szCs w:val="18"/>
                <w:lang w:val="sr-Cyrl-RS"/>
              </w:rPr>
              <w:t>A1:</w:t>
            </w:r>
            <w:r w:rsidRPr="009C19C5">
              <w:rPr>
                <w:rFonts w:ascii="Times New Roman" w:eastAsia="Arial" w:hAnsi="Times New Roman" w:cs="Times New Roman"/>
                <w:spacing w:val="3"/>
                <w:sz w:val="18"/>
                <w:szCs w:val="18"/>
                <w:lang w:val="sr-Cyrl-RS"/>
              </w:rPr>
              <w:t xml:space="preserve"> </w:t>
            </w:r>
            <w:r w:rsidRPr="009C19C5">
              <w:rPr>
                <w:rFonts w:ascii="Times New Roman" w:eastAsia="Arial" w:hAnsi="Times New Roman" w:cs="Times New Roman"/>
                <w:spacing w:val="-4"/>
                <w:sz w:val="18"/>
                <w:szCs w:val="18"/>
                <w:lang w:val="sr-Cyrl-RS"/>
              </w:rPr>
              <w:t>1956</w:t>
            </w:r>
          </w:p>
        </w:tc>
      </w:tr>
      <w:tr w:rsidR="00F276BC" w:rsidRPr="009C19C5" w14:paraId="085D9799" w14:textId="77777777" w:rsidTr="00023E2C">
        <w:trPr>
          <w:trHeight w:val="211"/>
          <w:jc w:val="center"/>
        </w:trPr>
        <w:tc>
          <w:tcPr>
            <w:tcW w:w="1821" w:type="dxa"/>
            <w:vMerge/>
            <w:shd w:val="clear" w:color="auto" w:fill="auto"/>
            <w:vAlign w:val="center"/>
          </w:tcPr>
          <w:p w14:paraId="6C745E94" w14:textId="77777777" w:rsidR="00F276BC" w:rsidRPr="009C19C5" w:rsidRDefault="00F276BC">
            <w:pPr>
              <w:widowControl w:val="0"/>
              <w:autoSpaceDE w:val="0"/>
              <w:autoSpaceDN w:val="0"/>
              <w:spacing w:after="0" w:line="240" w:lineRule="auto"/>
              <w:ind w:left="142"/>
              <w:rPr>
                <w:rFonts w:ascii="Times New Roman" w:eastAsia="Arial" w:hAnsi="Times New Roman" w:cs="Times New Roman"/>
                <w:sz w:val="18"/>
                <w:szCs w:val="18"/>
                <w:lang w:val="sr-Cyrl-RS"/>
              </w:rPr>
            </w:pPr>
          </w:p>
        </w:tc>
        <w:tc>
          <w:tcPr>
            <w:tcW w:w="1504" w:type="dxa"/>
            <w:vMerge/>
            <w:shd w:val="clear" w:color="auto" w:fill="auto"/>
            <w:vAlign w:val="center"/>
          </w:tcPr>
          <w:p w14:paraId="475D3805" w14:textId="77777777" w:rsidR="00F276BC" w:rsidRPr="009C19C5" w:rsidRDefault="00F276BC">
            <w:pPr>
              <w:widowControl w:val="0"/>
              <w:autoSpaceDE w:val="0"/>
              <w:autoSpaceDN w:val="0"/>
              <w:spacing w:after="0" w:line="240" w:lineRule="auto"/>
              <w:jc w:val="center"/>
              <w:rPr>
                <w:rFonts w:ascii="Times New Roman" w:eastAsia="Arial" w:hAnsi="Times New Roman" w:cs="Times New Roman"/>
                <w:sz w:val="18"/>
                <w:szCs w:val="18"/>
                <w:lang w:val="sr-Cyrl-RS"/>
              </w:rPr>
            </w:pPr>
          </w:p>
        </w:tc>
        <w:tc>
          <w:tcPr>
            <w:tcW w:w="2790" w:type="dxa"/>
            <w:vMerge/>
            <w:shd w:val="clear" w:color="auto" w:fill="auto"/>
            <w:vAlign w:val="center"/>
          </w:tcPr>
          <w:p w14:paraId="5E3AF327" w14:textId="77777777" w:rsidR="00F276BC" w:rsidRPr="009C19C5" w:rsidRDefault="00F276BC">
            <w:pPr>
              <w:widowControl w:val="0"/>
              <w:autoSpaceDE w:val="0"/>
              <w:autoSpaceDN w:val="0"/>
              <w:spacing w:after="0" w:line="240" w:lineRule="auto"/>
              <w:jc w:val="center"/>
              <w:rPr>
                <w:rFonts w:ascii="Times New Roman" w:eastAsia="Arial" w:hAnsi="Times New Roman" w:cs="Times New Roman"/>
                <w:sz w:val="18"/>
                <w:szCs w:val="18"/>
                <w:lang w:val="sr-Cyrl-RS"/>
              </w:rPr>
            </w:pPr>
          </w:p>
        </w:tc>
        <w:tc>
          <w:tcPr>
            <w:tcW w:w="2520" w:type="dxa"/>
            <w:tcBorders>
              <w:top w:val="nil"/>
              <w:bottom w:val="nil"/>
            </w:tcBorders>
            <w:shd w:val="clear" w:color="auto" w:fill="auto"/>
            <w:vAlign w:val="center"/>
          </w:tcPr>
          <w:p w14:paraId="168F091F" w14:textId="77777777" w:rsidR="00F276BC" w:rsidRPr="009C19C5" w:rsidRDefault="000A0E4E">
            <w:pPr>
              <w:widowControl w:val="0"/>
              <w:autoSpaceDE w:val="0"/>
              <w:autoSpaceDN w:val="0"/>
              <w:spacing w:after="0" w:line="240" w:lineRule="auto"/>
              <w:ind w:left="141"/>
              <w:rPr>
                <w:rFonts w:ascii="Times New Roman" w:eastAsia="Arial" w:hAnsi="Times New Roman" w:cs="Times New Roman"/>
                <w:sz w:val="18"/>
                <w:szCs w:val="18"/>
                <w:lang w:val="sr-Cyrl-RS"/>
              </w:rPr>
            </w:pPr>
            <w:r w:rsidRPr="009C19C5">
              <w:rPr>
                <w:rFonts w:ascii="Times New Roman" w:eastAsia="Arial" w:hAnsi="Times New Roman" w:cs="Times New Roman"/>
                <w:sz w:val="18"/>
                <w:szCs w:val="18"/>
                <w:lang w:val="sr-Cyrl-RS"/>
              </w:rPr>
              <w:t>A2:</w:t>
            </w:r>
            <w:r w:rsidRPr="009C19C5">
              <w:rPr>
                <w:rFonts w:ascii="Times New Roman" w:eastAsia="Arial" w:hAnsi="Times New Roman" w:cs="Times New Roman"/>
                <w:spacing w:val="3"/>
                <w:sz w:val="18"/>
                <w:szCs w:val="18"/>
                <w:lang w:val="sr-Cyrl-RS"/>
              </w:rPr>
              <w:t xml:space="preserve"> </w:t>
            </w:r>
            <w:r w:rsidRPr="009C19C5">
              <w:rPr>
                <w:rFonts w:ascii="Times New Roman" w:eastAsia="Arial" w:hAnsi="Times New Roman" w:cs="Times New Roman"/>
                <w:spacing w:val="-4"/>
                <w:sz w:val="18"/>
                <w:szCs w:val="18"/>
                <w:lang w:val="sr-Cyrl-RS"/>
              </w:rPr>
              <w:t>1957</w:t>
            </w:r>
          </w:p>
        </w:tc>
      </w:tr>
      <w:tr w:rsidR="00F276BC" w:rsidRPr="009C19C5" w14:paraId="5E925AB9" w14:textId="77777777" w:rsidTr="00023E2C">
        <w:trPr>
          <w:trHeight w:val="215"/>
          <w:jc w:val="center"/>
        </w:trPr>
        <w:tc>
          <w:tcPr>
            <w:tcW w:w="1821" w:type="dxa"/>
            <w:vMerge/>
            <w:shd w:val="clear" w:color="auto" w:fill="auto"/>
            <w:vAlign w:val="center"/>
          </w:tcPr>
          <w:p w14:paraId="098D77F1" w14:textId="77777777" w:rsidR="00F276BC" w:rsidRPr="009C19C5" w:rsidRDefault="00F276BC">
            <w:pPr>
              <w:widowControl w:val="0"/>
              <w:autoSpaceDE w:val="0"/>
              <w:autoSpaceDN w:val="0"/>
              <w:spacing w:after="0" w:line="240" w:lineRule="auto"/>
              <w:ind w:left="142"/>
              <w:rPr>
                <w:rFonts w:ascii="Times New Roman" w:eastAsia="Arial" w:hAnsi="Times New Roman" w:cs="Times New Roman"/>
                <w:sz w:val="18"/>
                <w:szCs w:val="18"/>
                <w:lang w:val="sr-Cyrl-RS"/>
              </w:rPr>
            </w:pPr>
          </w:p>
        </w:tc>
        <w:tc>
          <w:tcPr>
            <w:tcW w:w="1504" w:type="dxa"/>
            <w:vMerge/>
            <w:shd w:val="clear" w:color="auto" w:fill="auto"/>
            <w:vAlign w:val="center"/>
          </w:tcPr>
          <w:p w14:paraId="133F043D" w14:textId="77777777" w:rsidR="00F276BC" w:rsidRPr="009C19C5" w:rsidRDefault="00F276BC">
            <w:pPr>
              <w:widowControl w:val="0"/>
              <w:autoSpaceDE w:val="0"/>
              <w:autoSpaceDN w:val="0"/>
              <w:spacing w:after="0" w:line="240" w:lineRule="auto"/>
              <w:jc w:val="center"/>
              <w:rPr>
                <w:rFonts w:ascii="Times New Roman" w:eastAsia="Arial" w:hAnsi="Times New Roman" w:cs="Times New Roman"/>
                <w:sz w:val="18"/>
                <w:szCs w:val="18"/>
                <w:lang w:val="sr-Cyrl-RS"/>
              </w:rPr>
            </w:pPr>
          </w:p>
        </w:tc>
        <w:tc>
          <w:tcPr>
            <w:tcW w:w="2790" w:type="dxa"/>
            <w:vMerge/>
            <w:shd w:val="clear" w:color="auto" w:fill="auto"/>
            <w:vAlign w:val="center"/>
          </w:tcPr>
          <w:p w14:paraId="739247A9" w14:textId="77777777" w:rsidR="00F276BC" w:rsidRPr="009C19C5" w:rsidRDefault="00F276BC">
            <w:pPr>
              <w:widowControl w:val="0"/>
              <w:autoSpaceDE w:val="0"/>
              <w:autoSpaceDN w:val="0"/>
              <w:spacing w:after="0" w:line="240" w:lineRule="auto"/>
              <w:jc w:val="center"/>
              <w:rPr>
                <w:rFonts w:ascii="Times New Roman" w:eastAsia="Arial" w:hAnsi="Times New Roman" w:cs="Times New Roman"/>
                <w:sz w:val="18"/>
                <w:szCs w:val="18"/>
                <w:lang w:val="sr-Cyrl-RS"/>
              </w:rPr>
            </w:pPr>
          </w:p>
        </w:tc>
        <w:tc>
          <w:tcPr>
            <w:tcW w:w="2520" w:type="dxa"/>
            <w:tcBorders>
              <w:top w:val="nil"/>
              <w:bottom w:val="nil"/>
            </w:tcBorders>
            <w:shd w:val="clear" w:color="auto" w:fill="auto"/>
            <w:vAlign w:val="center"/>
          </w:tcPr>
          <w:p w14:paraId="4DD424BE" w14:textId="77777777" w:rsidR="00F276BC" w:rsidRPr="009C19C5" w:rsidRDefault="000A0E4E">
            <w:pPr>
              <w:widowControl w:val="0"/>
              <w:autoSpaceDE w:val="0"/>
              <w:autoSpaceDN w:val="0"/>
              <w:spacing w:after="0" w:line="240" w:lineRule="auto"/>
              <w:ind w:left="141"/>
              <w:rPr>
                <w:rFonts w:ascii="Times New Roman" w:eastAsia="Arial" w:hAnsi="Times New Roman" w:cs="Times New Roman"/>
                <w:sz w:val="18"/>
                <w:szCs w:val="18"/>
                <w:lang w:val="sr-Cyrl-RS"/>
              </w:rPr>
            </w:pPr>
            <w:r w:rsidRPr="009C19C5">
              <w:rPr>
                <w:rFonts w:ascii="Times New Roman" w:eastAsia="Arial" w:hAnsi="Times New Roman" w:cs="Times New Roman"/>
                <w:sz w:val="18"/>
                <w:szCs w:val="18"/>
                <w:lang w:val="sr-Cyrl-RS"/>
              </w:rPr>
              <w:t>A3:</w:t>
            </w:r>
            <w:r w:rsidRPr="009C19C5">
              <w:rPr>
                <w:rFonts w:ascii="Times New Roman" w:eastAsia="Arial" w:hAnsi="Times New Roman" w:cs="Times New Roman"/>
                <w:spacing w:val="3"/>
                <w:sz w:val="18"/>
                <w:szCs w:val="18"/>
                <w:lang w:val="sr-Cyrl-RS"/>
              </w:rPr>
              <w:t xml:space="preserve"> </w:t>
            </w:r>
            <w:r w:rsidRPr="009C19C5">
              <w:rPr>
                <w:rFonts w:ascii="Times New Roman" w:eastAsia="Arial" w:hAnsi="Times New Roman" w:cs="Times New Roman"/>
                <w:spacing w:val="-4"/>
                <w:sz w:val="18"/>
                <w:szCs w:val="18"/>
                <w:lang w:val="sr-Cyrl-RS"/>
              </w:rPr>
              <w:t>1961</w:t>
            </w:r>
          </w:p>
        </w:tc>
      </w:tr>
      <w:tr w:rsidR="00F276BC" w:rsidRPr="009C19C5" w14:paraId="24F4E481" w14:textId="77777777" w:rsidTr="00023E2C">
        <w:trPr>
          <w:trHeight w:val="209"/>
          <w:jc w:val="center"/>
        </w:trPr>
        <w:tc>
          <w:tcPr>
            <w:tcW w:w="1821" w:type="dxa"/>
            <w:vMerge/>
            <w:shd w:val="clear" w:color="auto" w:fill="auto"/>
            <w:vAlign w:val="center"/>
          </w:tcPr>
          <w:p w14:paraId="2FAF52E9" w14:textId="77777777" w:rsidR="00F276BC" w:rsidRPr="009C19C5" w:rsidRDefault="00F276BC">
            <w:pPr>
              <w:widowControl w:val="0"/>
              <w:autoSpaceDE w:val="0"/>
              <w:autoSpaceDN w:val="0"/>
              <w:spacing w:after="0" w:line="240" w:lineRule="auto"/>
              <w:ind w:left="142"/>
              <w:rPr>
                <w:rFonts w:ascii="Times New Roman" w:eastAsia="Arial" w:hAnsi="Times New Roman" w:cs="Times New Roman"/>
                <w:sz w:val="18"/>
                <w:szCs w:val="18"/>
                <w:lang w:val="sr-Cyrl-RS"/>
              </w:rPr>
            </w:pPr>
          </w:p>
        </w:tc>
        <w:tc>
          <w:tcPr>
            <w:tcW w:w="1504" w:type="dxa"/>
            <w:vMerge/>
            <w:shd w:val="clear" w:color="auto" w:fill="auto"/>
            <w:vAlign w:val="center"/>
          </w:tcPr>
          <w:p w14:paraId="740C771A" w14:textId="77777777" w:rsidR="00F276BC" w:rsidRPr="009C19C5" w:rsidRDefault="00F276BC">
            <w:pPr>
              <w:widowControl w:val="0"/>
              <w:autoSpaceDE w:val="0"/>
              <w:autoSpaceDN w:val="0"/>
              <w:spacing w:after="0" w:line="240" w:lineRule="auto"/>
              <w:jc w:val="center"/>
              <w:rPr>
                <w:rFonts w:ascii="Times New Roman" w:eastAsia="Arial" w:hAnsi="Times New Roman" w:cs="Times New Roman"/>
                <w:sz w:val="18"/>
                <w:szCs w:val="18"/>
                <w:lang w:val="sr-Cyrl-RS"/>
              </w:rPr>
            </w:pPr>
          </w:p>
        </w:tc>
        <w:tc>
          <w:tcPr>
            <w:tcW w:w="2790" w:type="dxa"/>
            <w:vMerge/>
            <w:shd w:val="clear" w:color="auto" w:fill="auto"/>
            <w:vAlign w:val="center"/>
          </w:tcPr>
          <w:p w14:paraId="1D422512" w14:textId="77777777" w:rsidR="00F276BC" w:rsidRPr="009C19C5" w:rsidRDefault="00F276BC">
            <w:pPr>
              <w:widowControl w:val="0"/>
              <w:autoSpaceDE w:val="0"/>
              <w:autoSpaceDN w:val="0"/>
              <w:spacing w:after="0" w:line="240" w:lineRule="auto"/>
              <w:jc w:val="center"/>
              <w:rPr>
                <w:rFonts w:ascii="Times New Roman" w:eastAsia="Arial" w:hAnsi="Times New Roman" w:cs="Times New Roman"/>
                <w:sz w:val="18"/>
                <w:szCs w:val="18"/>
                <w:lang w:val="sr-Cyrl-RS"/>
              </w:rPr>
            </w:pPr>
          </w:p>
        </w:tc>
        <w:tc>
          <w:tcPr>
            <w:tcW w:w="2520" w:type="dxa"/>
            <w:tcBorders>
              <w:top w:val="nil"/>
              <w:bottom w:val="nil"/>
            </w:tcBorders>
            <w:shd w:val="clear" w:color="auto" w:fill="auto"/>
            <w:vAlign w:val="center"/>
          </w:tcPr>
          <w:p w14:paraId="0D94EA80" w14:textId="674F1825" w:rsidR="00F276BC" w:rsidRPr="009C19C5" w:rsidRDefault="000A0E4E">
            <w:pPr>
              <w:widowControl w:val="0"/>
              <w:autoSpaceDE w:val="0"/>
              <w:autoSpaceDN w:val="0"/>
              <w:spacing w:after="0" w:line="240" w:lineRule="auto"/>
              <w:ind w:left="141"/>
              <w:rPr>
                <w:rFonts w:ascii="Times New Roman" w:eastAsia="Arial" w:hAnsi="Times New Roman" w:cs="Times New Roman"/>
                <w:sz w:val="18"/>
                <w:szCs w:val="18"/>
                <w:lang w:val="sr-Cyrl-RS"/>
              </w:rPr>
            </w:pPr>
            <w:r w:rsidRPr="009C19C5">
              <w:rPr>
                <w:rFonts w:ascii="Times New Roman" w:eastAsia="Arial" w:hAnsi="Times New Roman" w:cs="Times New Roman"/>
                <w:sz w:val="18"/>
                <w:szCs w:val="18"/>
                <w:lang w:val="sr-Cyrl-RS"/>
              </w:rPr>
              <w:t>A4:</w:t>
            </w:r>
            <w:r w:rsidRPr="009C19C5">
              <w:rPr>
                <w:rFonts w:ascii="Times New Roman" w:eastAsia="Arial" w:hAnsi="Times New Roman" w:cs="Times New Roman"/>
                <w:spacing w:val="3"/>
                <w:sz w:val="18"/>
                <w:szCs w:val="18"/>
                <w:lang w:val="sr-Cyrl-RS"/>
              </w:rPr>
              <w:t xml:space="preserve"> </w:t>
            </w:r>
            <w:r w:rsidRPr="009C19C5">
              <w:rPr>
                <w:rFonts w:ascii="Times New Roman" w:eastAsia="Arial" w:hAnsi="Times New Roman" w:cs="Times New Roman"/>
                <w:spacing w:val="-4"/>
                <w:sz w:val="18"/>
                <w:szCs w:val="18"/>
                <w:lang w:val="sr-Cyrl-RS"/>
              </w:rPr>
              <w:t xml:space="preserve">1961 </w:t>
            </w:r>
          </w:p>
        </w:tc>
      </w:tr>
      <w:tr w:rsidR="00F276BC" w:rsidRPr="009C19C5" w14:paraId="54366FCB" w14:textId="77777777" w:rsidTr="00023E2C">
        <w:trPr>
          <w:trHeight w:val="234"/>
          <w:jc w:val="center"/>
        </w:trPr>
        <w:tc>
          <w:tcPr>
            <w:tcW w:w="1821" w:type="dxa"/>
            <w:vMerge/>
            <w:shd w:val="clear" w:color="auto" w:fill="auto"/>
            <w:vAlign w:val="center"/>
          </w:tcPr>
          <w:p w14:paraId="61EEDE96" w14:textId="77777777" w:rsidR="00F276BC" w:rsidRPr="009C19C5" w:rsidRDefault="00F276BC">
            <w:pPr>
              <w:widowControl w:val="0"/>
              <w:autoSpaceDE w:val="0"/>
              <w:autoSpaceDN w:val="0"/>
              <w:spacing w:after="0" w:line="240" w:lineRule="auto"/>
              <w:ind w:left="142"/>
              <w:rPr>
                <w:rFonts w:ascii="Times New Roman" w:eastAsia="Arial" w:hAnsi="Times New Roman" w:cs="Times New Roman"/>
                <w:sz w:val="18"/>
                <w:szCs w:val="18"/>
                <w:lang w:val="sr-Cyrl-RS"/>
              </w:rPr>
            </w:pPr>
          </w:p>
        </w:tc>
        <w:tc>
          <w:tcPr>
            <w:tcW w:w="1504" w:type="dxa"/>
            <w:vMerge/>
            <w:shd w:val="clear" w:color="auto" w:fill="auto"/>
            <w:vAlign w:val="center"/>
          </w:tcPr>
          <w:p w14:paraId="23DE0366" w14:textId="77777777" w:rsidR="00F276BC" w:rsidRPr="009C19C5" w:rsidRDefault="00F276BC">
            <w:pPr>
              <w:widowControl w:val="0"/>
              <w:autoSpaceDE w:val="0"/>
              <w:autoSpaceDN w:val="0"/>
              <w:spacing w:after="0" w:line="240" w:lineRule="auto"/>
              <w:jc w:val="center"/>
              <w:rPr>
                <w:rFonts w:ascii="Times New Roman" w:eastAsia="Arial" w:hAnsi="Times New Roman" w:cs="Times New Roman"/>
                <w:sz w:val="18"/>
                <w:szCs w:val="18"/>
                <w:lang w:val="sr-Cyrl-RS"/>
              </w:rPr>
            </w:pPr>
          </w:p>
        </w:tc>
        <w:tc>
          <w:tcPr>
            <w:tcW w:w="2790" w:type="dxa"/>
            <w:vMerge/>
            <w:shd w:val="clear" w:color="auto" w:fill="auto"/>
            <w:vAlign w:val="center"/>
          </w:tcPr>
          <w:p w14:paraId="173530E8" w14:textId="77777777" w:rsidR="00F276BC" w:rsidRPr="009C19C5" w:rsidRDefault="00F276BC">
            <w:pPr>
              <w:widowControl w:val="0"/>
              <w:autoSpaceDE w:val="0"/>
              <w:autoSpaceDN w:val="0"/>
              <w:spacing w:after="0" w:line="240" w:lineRule="auto"/>
              <w:jc w:val="center"/>
              <w:rPr>
                <w:rFonts w:ascii="Times New Roman" w:eastAsia="Arial" w:hAnsi="Times New Roman" w:cs="Times New Roman"/>
                <w:sz w:val="18"/>
                <w:szCs w:val="18"/>
                <w:lang w:val="sr-Cyrl-RS"/>
              </w:rPr>
            </w:pPr>
          </w:p>
        </w:tc>
        <w:tc>
          <w:tcPr>
            <w:tcW w:w="2520" w:type="dxa"/>
            <w:tcBorders>
              <w:top w:val="nil"/>
            </w:tcBorders>
            <w:shd w:val="clear" w:color="auto" w:fill="auto"/>
            <w:vAlign w:val="center"/>
          </w:tcPr>
          <w:p w14:paraId="6EA1E761" w14:textId="77777777" w:rsidR="00F276BC" w:rsidRPr="009C19C5" w:rsidRDefault="000A0E4E">
            <w:pPr>
              <w:widowControl w:val="0"/>
              <w:autoSpaceDE w:val="0"/>
              <w:autoSpaceDN w:val="0"/>
              <w:spacing w:after="0" w:line="240" w:lineRule="auto"/>
              <w:ind w:left="141"/>
              <w:rPr>
                <w:rFonts w:ascii="Times New Roman" w:eastAsia="Arial" w:hAnsi="Times New Roman" w:cs="Times New Roman"/>
                <w:sz w:val="18"/>
                <w:szCs w:val="18"/>
                <w:lang w:val="sr-Cyrl-RS"/>
              </w:rPr>
            </w:pPr>
            <w:r w:rsidRPr="009C19C5">
              <w:rPr>
                <w:rFonts w:ascii="Times New Roman" w:eastAsia="Arial" w:hAnsi="Times New Roman" w:cs="Times New Roman"/>
                <w:sz w:val="18"/>
                <w:szCs w:val="18"/>
                <w:lang w:val="sr-Cyrl-RS"/>
              </w:rPr>
              <w:t>A5:</w:t>
            </w:r>
            <w:r w:rsidRPr="009C19C5">
              <w:rPr>
                <w:rFonts w:ascii="Times New Roman" w:eastAsia="Arial" w:hAnsi="Times New Roman" w:cs="Times New Roman"/>
                <w:spacing w:val="3"/>
                <w:sz w:val="18"/>
                <w:szCs w:val="18"/>
                <w:lang w:val="sr-Cyrl-RS"/>
              </w:rPr>
              <w:t xml:space="preserve"> </w:t>
            </w:r>
            <w:r w:rsidRPr="009C19C5">
              <w:rPr>
                <w:rFonts w:ascii="Times New Roman" w:eastAsia="Arial" w:hAnsi="Times New Roman" w:cs="Times New Roman"/>
                <w:spacing w:val="-4"/>
                <w:sz w:val="18"/>
                <w:szCs w:val="18"/>
                <w:lang w:val="sr-Cyrl-RS"/>
              </w:rPr>
              <w:t>1979</w:t>
            </w:r>
          </w:p>
        </w:tc>
      </w:tr>
      <w:tr w:rsidR="00F276BC" w:rsidRPr="009C19C5" w14:paraId="24F360F0" w14:textId="77777777" w:rsidTr="00023E2C">
        <w:trPr>
          <w:trHeight w:val="258"/>
          <w:jc w:val="center"/>
        </w:trPr>
        <w:tc>
          <w:tcPr>
            <w:tcW w:w="1821" w:type="dxa"/>
            <w:shd w:val="clear" w:color="auto" w:fill="auto"/>
            <w:vAlign w:val="center"/>
          </w:tcPr>
          <w:p w14:paraId="476BACD1" w14:textId="73266AED" w:rsidR="00F276BC" w:rsidRPr="009C19C5" w:rsidRDefault="00A36B22">
            <w:pPr>
              <w:widowControl w:val="0"/>
              <w:autoSpaceDE w:val="0"/>
              <w:autoSpaceDN w:val="0"/>
              <w:spacing w:after="0" w:line="240" w:lineRule="auto"/>
              <w:ind w:left="142"/>
              <w:rPr>
                <w:rFonts w:ascii="Times New Roman" w:eastAsia="Arial" w:hAnsi="Times New Roman" w:cs="Times New Roman"/>
                <w:sz w:val="18"/>
                <w:szCs w:val="18"/>
                <w:lang w:val="sr-Cyrl-RS"/>
              </w:rPr>
            </w:pPr>
            <w:r w:rsidRPr="009C19C5">
              <w:rPr>
                <w:rFonts w:ascii="Times New Roman" w:eastAsia="Arial" w:hAnsi="Times New Roman" w:cs="Times New Roman"/>
                <w:sz w:val="18"/>
                <w:szCs w:val="18"/>
                <w:lang w:val="sr-Cyrl-RS"/>
              </w:rPr>
              <w:t>ТЕ Морава</w:t>
            </w:r>
          </w:p>
        </w:tc>
        <w:tc>
          <w:tcPr>
            <w:tcW w:w="1504" w:type="dxa"/>
            <w:shd w:val="clear" w:color="auto" w:fill="auto"/>
            <w:vAlign w:val="center"/>
          </w:tcPr>
          <w:p w14:paraId="08D1A140" w14:textId="77777777" w:rsidR="00F276BC" w:rsidRPr="009C19C5" w:rsidRDefault="000A0E4E">
            <w:pPr>
              <w:widowControl w:val="0"/>
              <w:autoSpaceDE w:val="0"/>
              <w:autoSpaceDN w:val="0"/>
              <w:spacing w:after="0" w:line="240" w:lineRule="auto"/>
              <w:jc w:val="center"/>
              <w:rPr>
                <w:rFonts w:ascii="Times New Roman" w:eastAsia="Arial" w:hAnsi="Times New Roman" w:cs="Times New Roman"/>
                <w:sz w:val="18"/>
                <w:szCs w:val="18"/>
                <w:lang w:val="sr-Cyrl-RS"/>
              </w:rPr>
            </w:pPr>
            <w:r w:rsidRPr="009C19C5">
              <w:rPr>
                <w:rFonts w:ascii="Times New Roman" w:eastAsia="Arial" w:hAnsi="Times New Roman" w:cs="Times New Roman"/>
                <w:w w:val="101"/>
                <w:sz w:val="18"/>
                <w:szCs w:val="18"/>
                <w:lang w:val="sr-Cyrl-RS"/>
              </w:rPr>
              <w:t>1</w:t>
            </w:r>
          </w:p>
        </w:tc>
        <w:tc>
          <w:tcPr>
            <w:tcW w:w="2790" w:type="dxa"/>
            <w:shd w:val="clear" w:color="auto" w:fill="auto"/>
            <w:vAlign w:val="center"/>
          </w:tcPr>
          <w:p w14:paraId="6D23C720" w14:textId="4ECDDFEE" w:rsidR="00F276BC" w:rsidRPr="009C19C5" w:rsidRDefault="000A0E4E">
            <w:pPr>
              <w:widowControl w:val="0"/>
              <w:autoSpaceDE w:val="0"/>
              <w:autoSpaceDN w:val="0"/>
              <w:spacing w:after="0" w:line="240" w:lineRule="auto"/>
              <w:jc w:val="center"/>
              <w:rPr>
                <w:rFonts w:ascii="Times New Roman" w:eastAsia="Arial" w:hAnsi="Times New Roman" w:cs="Times New Roman"/>
                <w:sz w:val="18"/>
                <w:szCs w:val="18"/>
                <w:lang w:val="sr-Cyrl-RS"/>
              </w:rPr>
            </w:pPr>
            <w:r w:rsidRPr="009C19C5">
              <w:rPr>
                <w:rFonts w:ascii="Times New Roman" w:eastAsia="Arial" w:hAnsi="Times New Roman" w:cs="Times New Roman"/>
                <w:spacing w:val="-5"/>
                <w:sz w:val="18"/>
                <w:szCs w:val="18"/>
                <w:lang w:val="sr-Cyrl-RS"/>
              </w:rPr>
              <w:t>125</w:t>
            </w:r>
          </w:p>
        </w:tc>
        <w:tc>
          <w:tcPr>
            <w:tcW w:w="2520" w:type="dxa"/>
            <w:shd w:val="clear" w:color="auto" w:fill="auto"/>
            <w:vAlign w:val="center"/>
          </w:tcPr>
          <w:p w14:paraId="109AFD48" w14:textId="77777777" w:rsidR="00F276BC" w:rsidRPr="009C19C5" w:rsidRDefault="000A0E4E">
            <w:pPr>
              <w:widowControl w:val="0"/>
              <w:autoSpaceDE w:val="0"/>
              <w:autoSpaceDN w:val="0"/>
              <w:spacing w:after="0" w:line="240" w:lineRule="auto"/>
              <w:ind w:left="141"/>
              <w:rPr>
                <w:rFonts w:ascii="Times New Roman" w:eastAsia="Arial" w:hAnsi="Times New Roman" w:cs="Times New Roman"/>
                <w:sz w:val="18"/>
                <w:szCs w:val="18"/>
                <w:lang w:val="sr-Cyrl-RS"/>
              </w:rPr>
            </w:pPr>
            <w:r w:rsidRPr="009C19C5">
              <w:rPr>
                <w:rFonts w:ascii="Times New Roman" w:eastAsia="Arial" w:hAnsi="Times New Roman" w:cs="Times New Roman"/>
                <w:spacing w:val="-4"/>
                <w:sz w:val="18"/>
                <w:szCs w:val="18"/>
                <w:lang w:val="sr-Cyrl-RS"/>
              </w:rPr>
              <w:t>1969</w:t>
            </w:r>
          </w:p>
        </w:tc>
      </w:tr>
      <w:tr w:rsidR="00F276BC" w:rsidRPr="009C19C5" w14:paraId="6AFF8232" w14:textId="77777777" w:rsidTr="00023E2C">
        <w:trPr>
          <w:trHeight w:val="321"/>
          <w:jc w:val="center"/>
        </w:trPr>
        <w:tc>
          <w:tcPr>
            <w:tcW w:w="1821" w:type="dxa"/>
            <w:shd w:val="clear" w:color="auto" w:fill="auto"/>
            <w:vAlign w:val="center"/>
          </w:tcPr>
          <w:p w14:paraId="27DAB05B" w14:textId="06EA35B2" w:rsidR="00F276BC" w:rsidRPr="009C19C5" w:rsidRDefault="00A36B22">
            <w:pPr>
              <w:widowControl w:val="0"/>
              <w:autoSpaceDE w:val="0"/>
              <w:autoSpaceDN w:val="0"/>
              <w:spacing w:after="0" w:line="240" w:lineRule="auto"/>
              <w:ind w:left="142"/>
              <w:rPr>
                <w:rFonts w:ascii="Times New Roman" w:eastAsia="Arial" w:hAnsi="Times New Roman" w:cs="Times New Roman"/>
                <w:sz w:val="18"/>
                <w:szCs w:val="18"/>
                <w:lang w:val="sr-Cyrl-RS"/>
              </w:rPr>
            </w:pPr>
            <w:r w:rsidRPr="009C19C5">
              <w:rPr>
                <w:rFonts w:ascii="Times New Roman" w:eastAsia="Arial" w:hAnsi="Times New Roman" w:cs="Times New Roman"/>
                <w:sz w:val="18"/>
                <w:szCs w:val="18"/>
                <w:lang w:val="sr-Cyrl-RS"/>
              </w:rPr>
              <w:t>ТЕ Костолац</w:t>
            </w:r>
            <w:r w:rsidRPr="009C19C5">
              <w:rPr>
                <w:rFonts w:ascii="Times New Roman" w:eastAsia="Arial" w:hAnsi="Times New Roman" w:cs="Times New Roman"/>
                <w:spacing w:val="-1"/>
                <w:sz w:val="18"/>
                <w:szCs w:val="18"/>
                <w:lang w:val="sr-Cyrl-RS"/>
              </w:rPr>
              <w:t xml:space="preserve"> </w:t>
            </w:r>
            <w:r w:rsidRPr="009C19C5">
              <w:rPr>
                <w:rFonts w:ascii="Times New Roman" w:eastAsia="Arial" w:hAnsi="Times New Roman" w:cs="Times New Roman"/>
                <w:sz w:val="18"/>
                <w:szCs w:val="18"/>
                <w:lang w:val="sr-Cyrl-RS"/>
              </w:rPr>
              <w:t>A</w:t>
            </w:r>
          </w:p>
        </w:tc>
        <w:tc>
          <w:tcPr>
            <w:tcW w:w="1504" w:type="dxa"/>
            <w:shd w:val="clear" w:color="auto" w:fill="auto"/>
            <w:vAlign w:val="center"/>
          </w:tcPr>
          <w:p w14:paraId="0BAC4C62" w14:textId="77777777" w:rsidR="00F276BC" w:rsidRPr="009C19C5" w:rsidRDefault="000A0E4E">
            <w:pPr>
              <w:widowControl w:val="0"/>
              <w:autoSpaceDE w:val="0"/>
              <w:autoSpaceDN w:val="0"/>
              <w:spacing w:after="0" w:line="240" w:lineRule="auto"/>
              <w:jc w:val="center"/>
              <w:rPr>
                <w:rFonts w:ascii="Times New Roman" w:eastAsia="Arial" w:hAnsi="Times New Roman" w:cs="Times New Roman"/>
                <w:sz w:val="18"/>
                <w:szCs w:val="18"/>
                <w:lang w:val="sr-Cyrl-RS"/>
              </w:rPr>
            </w:pPr>
            <w:r w:rsidRPr="009C19C5">
              <w:rPr>
                <w:rFonts w:ascii="Times New Roman" w:eastAsia="Arial" w:hAnsi="Times New Roman" w:cs="Times New Roman"/>
                <w:w w:val="101"/>
                <w:sz w:val="18"/>
                <w:szCs w:val="18"/>
                <w:lang w:val="sr-Cyrl-RS"/>
              </w:rPr>
              <w:t>2</w:t>
            </w:r>
          </w:p>
        </w:tc>
        <w:tc>
          <w:tcPr>
            <w:tcW w:w="2790" w:type="dxa"/>
            <w:shd w:val="clear" w:color="auto" w:fill="auto"/>
            <w:vAlign w:val="center"/>
          </w:tcPr>
          <w:p w14:paraId="6BFAFD5A" w14:textId="77777777" w:rsidR="00F276BC" w:rsidRPr="009C19C5" w:rsidRDefault="000A0E4E">
            <w:pPr>
              <w:widowControl w:val="0"/>
              <w:autoSpaceDE w:val="0"/>
              <w:autoSpaceDN w:val="0"/>
              <w:spacing w:after="0" w:line="240" w:lineRule="auto"/>
              <w:jc w:val="center"/>
              <w:rPr>
                <w:rFonts w:ascii="Times New Roman" w:eastAsia="Arial" w:hAnsi="Times New Roman" w:cs="Times New Roman"/>
                <w:sz w:val="18"/>
                <w:szCs w:val="18"/>
                <w:lang w:val="sr-Cyrl-RS"/>
              </w:rPr>
            </w:pPr>
            <w:r w:rsidRPr="009C19C5">
              <w:rPr>
                <w:rFonts w:ascii="Times New Roman" w:eastAsia="Arial" w:hAnsi="Times New Roman" w:cs="Times New Roman"/>
                <w:spacing w:val="-5"/>
                <w:sz w:val="18"/>
                <w:szCs w:val="18"/>
                <w:lang w:val="sr-Cyrl-RS"/>
              </w:rPr>
              <w:t>310</w:t>
            </w:r>
          </w:p>
        </w:tc>
        <w:tc>
          <w:tcPr>
            <w:tcW w:w="2520" w:type="dxa"/>
            <w:shd w:val="clear" w:color="auto" w:fill="auto"/>
            <w:vAlign w:val="center"/>
          </w:tcPr>
          <w:p w14:paraId="16D656EA" w14:textId="77777777" w:rsidR="00F276BC" w:rsidRPr="009C19C5" w:rsidRDefault="000A0E4E">
            <w:pPr>
              <w:widowControl w:val="0"/>
              <w:autoSpaceDE w:val="0"/>
              <w:autoSpaceDN w:val="0"/>
              <w:spacing w:after="0" w:line="240" w:lineRule="auto"/>
              <w:ind w:left="141"/>
              <w:rPr>
                <w:rFonts w:ascii="Times New Roman" w:eastAsia="Arial" w:hAnsi="Times New Roman" w:cs="Times New Roman"/>
                <w:sz w:val="18"/>
                <w:szCs w:val="18"/>
                <w:lang w:val="sr-Cyrl-RS"/>
              </w:rPr>
            </w:pPr>
            <w:r w:rsidRPr="009C19C5">
              <w:rPr>
                <w:rFonts w:ascii="Times New Roman" w:eastAsia="Arial" w:hAnsi="Times New Roman" w:cs="Times New Roman"/>
                <w:sz w:val="18"/>
                <w:szCs w:val="18"/>
                <w:lang w:val="sr-Cyrl-RS"/>
              </w:rPr>
              <w:t>A1:</w:t>
            </w:r>
            <w:r w:rsidRPr="009C19C5">
              <w:rPr>
                <w:rFonts w:ascii="Times New Roman" w:eastAsia="Arial" w:hAnsi="Times New Roman" w:cs="Times New Roman"/>
                <w:spacing w:val="3"/>
                <w:sz w:val="18"/>
                <w:szCs w:val="18"/>
                <w:lang w:val="sr-Cyrl-RS"/>
              </w:rPr>
              <w:t xml:space="preserve"> </w:t>
            </w:r>
            <w:r w:rsidRPr="009C19C5">
              <w:rPr>
                <w:rFonts w:ascii="Times New Roman" w:eastAsia="Arial" w:hAnsi="Times New Roman" w:cs="Times New Roman"/>
                <w:spacing w:val="-4"/>
                <w:sz w:val="18"/>
                <w:szCs w:val="18"/>
                <w:lang w:val="sr-Cyrl-RS"/>
              </w:rPr>
              <w:t>1968</w:t>
            </w:r>
          </w:p>
          <w:p w14:paraId="37D1142B" w14:textId="5E89F5C4" w:rsidR="00F276BC" w:rsidRPr="009C19C5" w:rsidRDefault="000A0E4E">
            <w:pPr>
              <w:widowControl w:val="0"/>
              <w:autoSpaceDE w:val="0"/>
              <w:autoSpaceDN w:val="0"/>
              <w:spacing w:after="0" w:line="240" w:lineRule="auto"/>
              <w:ind w:left="141"/>
              <w:rPr>
                <w:rFonts w:ascii="Times New Roman" w:eastAsia="Arial" w:hAnsi="Times New Roman" w:cs="Times New Roman"/>
                <w:sz w:val="18"/>
                <w:szCs w:val="18"/>
                <w:lang w:val="sr-Cyrl-RS"/>
              </w:rPr>
            </w:pPr>
            <w:r w:rsidRPr="009C19C5">
              <w:rPr>
                <w:rFonts w:ascii="Times New Roman" w:eastAsia="Arial" w:hAnsi="Times New Roman" w:cs="Times New Roman"/>
                <w:sz w:val="18"/>
                <w:szCs w:val="18"/>
                <w:lang w:val="sr-Cyrl-RS"/>
              </w:rPr>
              <w:t>A2:</w:t>
            </w:r>
            <w:r w:rsidRPr="009C19C5">
              <w:rPr>
                <w:rFonts w:ascii="Times New Roman" w:eastAsia="Arial" w:hAnsi="Times New Roman" w:cs="Times New Roman"/>
                <w:spacing w:val="-4"/>
                <w:sz w:val="18"/>
                <w:szCs w:val="18"/>
                <w:lang w:val="sr-Cyrl-RS"/>
              </w:rPr>
              <w:t xml:space="preserve"> </w:t>
            </w:r>
            <w:r w:rsidRPr="009C19C5">
              <w:rPr>
                <w:rFonts w:ascii="Times New Roman" w:eastAsia="Arial" w:hAnsi="Times New Roman" w:cs="Times New Roman"/>
                <w:sz w:val="18"/>
                <w:szCs w:val="18"/>
                <w:lang w:val="sr-Cyrl-RS"/>
              </w:rPr>
              <w:t>(210</w:t>
            </w:r>
            <w:r w:rsidRPr="009C19C5">
              <w:rPr>
                <w:rFonts w:ascii="Times New Roman" w:eastAsia="Arial" w:hAnsi="Times New Roman" w:cs="Times New Roman"/>
                <w:spacing w:val="-2"/>
                <w:sz w:val="18"/>
                <w:szCs w:val="18"/>
                <w:lang w:val="sr-Cyrl-RS"/>
              </w:rPr>
              <w:t xml:space="preserve"> </w:t>
            </w:r>
            <w:r w:rsidRPr="009C19C5">
              <w:rPr>
                <w:rFonts w:ascii="Times New Roman" w:eastAsia="Arial" w:hAnsi="Times New Roman" w:cs="Times New Roman"/>
                <w:sz w:val="18"/>
                <w:szCs w:val="18"/>
                <w:lang w:val="sr-Cyrl-RS"/>
              </w:rPr>
              <w:t>MW):</w:t>
            </w:r>
            <w:r w:rsidRPr="009C19C5">
              <w:rPr>
                <w:rFonts w:ascii="Times New Roman" w:eastAsia="Arial" w:hAnsi="Times New Roman" w:cs="Times New Roman"/>
                <w:spacing w:val="1"/>
                <w:sz w:val="18"/>
                <w:szCs w:val="18"/>
                <w:lang w:val="sr-Cyrl-RS"/>
              </w:rPr>
              <w:t xml:space="preserve"> </w:t>
            </w:r>
            <w:r w:rsidRPr="009C19C5">
              <w:rPr>
                <w:rFonts w:ascii="Times New Roman" w:eastAsia="Arial" w:hAnsi="Times New Roman" w:cs="Times New Roman"/>
                <w:spacing w:val="-2"/>
                <w:sz w:val="18"/>
                <w:szCs w:val="18"/>
                <w:lang w:val="sr-Cyrl-RS"/>
              </w:rPr>
              <w:t>1980</w:t>
            </w:r>
          </w:p>
        </w:tc>
      </w:tr>
      <w:tr w:rsidR="00F276BC" w:rsidRPr="009C19C5" w14:paraId="01BC0F9B" w14:textId="77777777" w:rsidTr="00023E2C">
        <w:trPr>
          <w:trHeight w:val="93"/>
          <w:jc w:val="center"/>
        </w:trPr>
        <w:tc>
          <w:tcPr>
            <w:tcW w:w="1821" w:type="dxa"/>
            <w:vMerge w:val="restart"/>
            <w:shd w:val="clear" w:color="auto" w:fill="auto"/>
            <w:vAlign w:val="center"/>
          </w:tcPr>
          <w:p w14:paraId="6732AA6D" w14:textId="621A9560" w:rsidR="00F276BC" w:rsidRPr="009C19C5" w:rsidRDefault="00A36B22">
            <w:pPr>
              <w:widowControl w:val="0"/>
              <w:autoSpaceDE w:val="0"/>
              <w:autoSpaceDN w:val="0"/>
              <w:spacing w:after="0" w:line="240" w:lineRule="auto"/>
              <w:ind w:left="142"/>
              <w:rPr>
                <w:rFonts w:ascii="Times New Roman" w:eastAsia="Arial" w:hAnsi="Times New Roman" w:cs="Times New Roman"/>
                <w:sz w:val="18"/>
                <w:szCs w:val="18"/>
                <w:lang w:val="sr-Cyrl-RS"/>
              </w:rPr>
            </w:pPr>
            <w:r w:rsidRPr="009C19C5">
              <w:rPr>
                <w:rFonts w:ascii="Times New Roman" w:eastAsia="Arial" w:hAnsi="Times New Roman" w:cs="Times New Roman"/>
                <w:sz w:val="18"/>
                <w:szCs w:val="18"/>
                <w:lang w:val="sr-Cyrl-RS"/>
              </w:rPr>
              <w:t>ТЕ Костолац Б</w:t>
            </w:r>
          </w:p>
        </w:tc>
        <w:tc>
          <w:tcPr>
            <w:tcW w:w="1504" w:type="dxa"/>
            <w:vMerge w:val="restart"/>
            <w:shd w:val="clear" w:color="auto" w:fill="auto"/>
            <w:vAlign w:val="center"/>
          </w:tcPr>
          <w:p w14:paraId="1DC117F4" w14:textId="77777777" w:rsidR="00F276BC" w:rsidRPr="009C19C5" w:rsidRDefault="000A0E4E">
            <w:pPr>
              <w:widowControl w:val="0"/>
              <w:autoSpaceDE w:val="0"/>
              <w:autoSpaceDN w:val="0"/>
              <w:spacing w:after="0" w:line="240" w:lineRule="auto"/>
              <w:jc w:val="center"/>
              <w:rPr>
                <w:rFonts w:ascii="Times New Roman" w:eastAsia="Arial" w:hAnsi="Times New Roman" w:cs="Times New Roman"/>
                <w:sz w:val="18"/>
                <w:szCs w:val="18"/>
                <w:lang w:val="sr-Cyrl-RS"/>
              </w:rPr>
            </w:pPr>
            <w:r w:rsidRPr="009C19C5">
              <w:rPr>
                <w:rFonts w:ascii="Times New Roman" w:eastAsia="Arial" w:hAnsi="Times New Roman" w:cs="Times New Roman"/>
                <w:sz w:val="18"/>
                <w:szCs w:val="18"/>
                <w:lang w:val="sr-Cyrl-RS"/>
              </w:rPr>
              <w:t>3</w:t>
            </w:r>
          </w:p>
        </w:tc>
        <w:tc>
          <w:tcPr>
            <w:tcW w:w="2790" w:type="dxa"/>
            <w:tcBorders>
              <w:bottom w:val="nil"/>
            </w:tcBorders>
            <w:shd w:val="clear" w:color="auto" w:fill="auto"/>
            <w:vAlign w:val="center"/>
          </w:tcPr>
          <w:p w14:paraId="13C0A4E4" w14:textId="77777777" w:rsidR="00F276BC" w:rsidRPr="009C19C5" w:rsidRDefault="000A0E4E">
            <w:pPr>
              <w:widowControl w:val="0"/>
              <w:autoSpaceDE w:val="0"/>
              <w:autoSpaceDN w:val="0"/>
              <w:spacing w:after="0" w:line="240" w:lineRule="auto"/>
              <w:jc w:val="center"/>
              <w:rPr>
                <w:rFonts w:ascii="Times New Roman" w:eastAsia="Arial" w:hAnsi="Times New Roman" w:cs="Times New Roman"/>
                <w:sz w:val="18"/>
                <w:szCs w:val="18"/>
                <w:lang w:val="sr-Cyrl-RS"/>
              </w:rPr>
            </w:pPr>
            <w:r w:rsidRPr="009C19C5">
              <w:rPr>
                <w:rFonts w:ascii="Times New Roman" w:eastAsia="Arial" w:hAnsi="Times New Roman" w:cs="Times New Roman"/>
                <w:spacing w:val="-5"/>
                <w:sz w:val="18"/>
                <w:szCs w:val="18"/>
                <w:lang w:val="sr-Cyrl-RS"/>
              </w:rPr>
              <w:t>697</w:t>
            </w:r>
          </w:p>
        </w:tc>
        <w:tc>
          <w:tcPr>
            <w:tcW w:w="2520" w:type="dxa"/>
            <w:vMerge w:val="restart"/>
            <w:shd w:val="clear" w:color="auto" w:fill="auto"/>
            <w:vAlign w:val="center"/>
          </w:tcPr>
          <w:p w14:paraId="6082699C" w14:textId="77777777" w:rsidR="00F276BC" w:rsidRPr="009C19C5" w:rsidRDefault="000A0E4E">
            <w:pPr>
              <w:widowControl w:val="0"/>
              <w:autoSpaceDE w:val="0"/>
              <w:autoSpaceDN w:val="0"/>
              <w:spacing w:after="0" w:line="240" w:lineRule="auto"/>
              <w:ind w:left="141"/>
              <w:rPr>
                <w:rFonts w:ascii="Times New Roman" w:eastAsia="Arial" w:hAnsi="Times New Roman" w:cs="Times New Roman"/>
                <w:spacing w:val="-4"/>
                <w:sz w:val="18"/>
                <w:szCs w:val="18"/>
                <w:lang w:val="sr-Cyrl-RS"/>
              </w:rPr>
            </w:pPr>
            <w:r w:rsidRPr="009C19C5">
              <w:rPr>
                <w:rFonts w:ascii="Times New Roman" w:eastAsia="Arial" w:hAnsi="Times New Roman" w:cs="Times New Roman"/>
                <w:sz w:val="18"/>
                <w:szCs w:val="18"/>
                <w:lang w:val="sr-Cyrl-RS"/>
              </w:rPr>
              <w:t>B1:</w:t>
            </w:r>
            <w:r w:rsidRPr="009C19C5">
              <w:rPr>
                <w:rFonts w:ascii="Times New Roman" w:eastAsia="Arial" w:hAnsi="Times New Roman" w:cs="Times New Roman"/>
                <w:spacing w:val="3"/>
                <w:sz w:val="18"/>
                <w:szCs w:val="18"/>
                <w:lang w:val="sr-Cyrl-RS"/>
              </w:rPr>
              <w:t xml:space="preserve"> </w:t>
            </w:r>
            <w:r w:rsidRPr="009C19C5">
              <w:rPr>
                <w:rFonts w:ascii="Times New Roman" w:eastAsia="Arial" w:hAnsi="Times New Roman" w:cs="Times New Roman"/>
                <w:spacing w:val="-4"/>
                <w:sz w:val="18"/>
                <w:szCs w:val="18"/>
                <w:lang w:val="sr-Cyrl-RS"/>
              </w:rPr>
              <w:t>1987</w:t>
            </w:r>
          </w:p>
          <w:p w14:paraId="061A7B03" w14:textId="77777777" w:rsidR="00F276BC" w:rsidRPr="009C19C5" w:rsidRDefault="000A0E4E">
            <w:pPr>
              <w:widowControl w:val="0"/>
              <w:autoSpaceDE w:val="0"/>
              <w:autoSpaceDN w:val="0"/>
              <w:spacing w:after="0" w:line="240" w:lineRule="auto"/>
              <w:rPr>
                <w:rFonts w:ascii="Times New Roman" w:eastAsia="Arial" w:hAnsi="Times New Roman" w:cs="Times New Roman"/>
                <w:sz w:val="18"/>
                <w:szCs w:val="18"/>
                <w:lang w:val="sr-Cyrl-RS"/>
              </w:rPr>
            </w:pPr>
            <w:r w:rsidRPr="009C19C5">
              <w:rPr>
                <w:rFonts w:ascii="Times New Roman" w:eastAsia="Arial" w:hAnsi="Times New Roman" w:cs="Times New Roman"/>
                <w:spacing w:val="-4"/>
                <w:sz w:val="18"/>
                <w:szCs w:val="18"/>
                <w:lang w:val="sr-Cyrl-RS"/>
              </w:rPr>
              <w:t xml:space="preserve">   B2: 1991</w:t>
            </w:r>
          </w:p>
          <w:p w14:paraId="40EDE6CD" w14:textId="77777777" w:rsidR="00F276BC" w:rsidRPr="009C19C5" w:rsidRDefault="000A0E4E">
            <w:pPr>
              <w:widowControl w:val="0"/>
              <w:autoSpaceDE w:val="0"/>
              <w:autoSpaceDN w:val="0"/>
              <w:spacing w:after="0" w:line="240" w:lineRule="auto"/>
              <w:ind w:left="141"/>
              <w:rPr>
                <w:rFonts w:ascii="Times New Roman" w:eastAsia="Arial" w:hAnsi="Times New Roman" w:cs="Times New Roman"/>
                <w:sz w:val="18"/>
                <w:szCs w:val="18"/>
                <w:lang w:val="sr-Cyrl-RS"/>
              </w:rPr>
            </w:pPr>
            <w:r w:rsidRPr="009C19C5">
              <w:rPr>
                <w:rFonts w:ascii="Times New Roman" w:eastAsia="Arial" w:hAnsi="Times New Roman" w:cs="Times New Roman"/>
                <w:sz w:val="18"/>
                <w:szCs w:val="18"/>
                <w:lang w:val="sr-Cyrl-RS"/>
              </w:rPr>
              <w:t>B3:</w:t>
            </w:r>
            <w:r w:rsidRPr="009C19C5">
              <w:rPr>
                <w:rFonts w:ascii="Times New Roman" w:eastAsia="Arial" w:hAnsi="Times New Roman" w:cs="Times New Roman"/>
                <w:spacing w:val="-1"/>
                <w:sz w:val="18"/>
                <w:szCs w:val="18"/>
                <w:lang w:val="sr-Cyrl-RS"/>
              </w:rPr>
              <w:t xml:space="preserve"> </w:t>
            </w:r>
            <w:r w:rsidRPr="009C19C5">
              <w:rPr>
                <w:rFonts w:ascii="Times New Roman" w:eastAsia="Arial" w:hAnsi="Times New Roman" w:cs="Times New Roman"/>
                <w:sz w:val="18"/>
                <w:szCs w:val="18"/>
                <w:lang w:val="sr-Cyrl-RS"/>
              </w:rPr>
              <w:t>2024</w:t>
            </w:r>
          </w:p>
        </w:tc>
      </w:tr>
      <w:tr w:rsidR="00F276BC" w:rsidRPr="009C19C5" w14:paraId="13FD535E" w14:textId="77777777" w:rsidTr="00023E2C">
        <w:trPr>
          <w:trHeight w:val="442"/>
          <w:jc w:val="center"/>
        </w:trPr>
        <w:tc>
          <w:tcPr>
            <w:tcW w:w="1821" w:type="dxa"/>
            <w:vMerge/>
            <w:shd w:val="clear" w:color="auto" w:fill="F2F2F2" w:themeFill="background1" w:themeFillShade="F2"/>
            <w:vAlign w:val="center"/>
          </w:tcPr>
          <w:p w14:paraId="26AF6B93" w14:textId="77777777" w:rsidR="00F276BC" w:rsidRPr="009C19C5" w:rsidRDefault="00F276BC">
            <w:pPr>
              <w:widowControl w:val="0"/>
              <w:autoSpaceDE w:val="0"/>
              <w:autoSpaceDN w:val="0"/>
              <w:spacing w:after="0" w:line="240" w:lineRule="auto"/>
              <w:ind w:left="142"/>
              <w:rPr>
                <w:rFonts w:ascii="Times New Roman" w:eastAsia="Arial" w:hAnsi="Times New Roman" w:cs="Times New Roman"/>
                <w:sz w:val="18"/>
                <w:szCs w:val="18"/>
                <w:lang w:val="sr-Cyrl-RS"/>
              </w:rPr>
            </w:pPr>
          </w:p>
        </w:tc>
        <w:tc>
          <w:tcPr>
            <w:tcW w:w="1504" w:type="dxa"/>
            <w:vMerge/>
            <w:vAlign w:val="center"/>
          </w:tcPr>
          <w:p w14:paraId="32BEBE12" w14:textId="77777777" w:rsidR="00F276BC" w:rsidRPr="009C19C5" w:rsidRDefault="00F276BC">
            <w:pPr>
              <w:widowControl w:val="0"/>
              <w:autoSpaceDE w:val="0"/>
              <w:autoSpaceDN w:val="0"/>
              <w:spacing w:after="0" w:line="240" w:lineRule="auto"/>
              <w:jc w:val="center"/>
              <w:rPr>
                <w:rFonts w:ascii="Times New Roman" w:eastAsia="Arial" w:hAnsi="Times New Roman" w:cs="Times New Roman"/>
                <w:sz w:val="18"/>
                <w:szCs w:val="18"/>
                <w:lang w:val="sr-Cyrl-RS"/>
              </w:rPr>
            </w:pPr>
          </w:p>
        </w:tc>
        <w:tc>
          <w:tcPr>
            <w:tcW w:w="2790" w:type="dxa"/>
            <w:vAlign w:val="center"/>
          </w:tcPr>
          <w:p w14:paraId="5A8E96F3" w14:textId="77777777" w:rsidR="00F276BC" w:rsidRPr="009C19C5" w:rsidRDefault="000A0E4E">
            <w:pPr>
              <w:widowControl w:val="0"/>
              <w:autoSpaceDE w:val="0"/>
              <w:autoSpaceDN w:val="0"/>
              <w:spacing w:after="0" w:line="240" w:lineRule="auto"/>
              <w:jc w:val="center"/>
              <w:rPr>
                <w:rFonts w:ascii="Times New Roman" w:eastAsia="Arial" w:hAnsi="Times New Roman" w:cs="Times New Roman"/>
                <w:sz w:val="18"/>
                <w:szCs w:val="18"/>
                <w:lang w:val="sr-Cyrl-RS"/>
              </w:rPr>
            </w:pPr>
            <w:r w:rsidRPr="009C19C5">
              <w:rPr>
                <w:rFonts w:ascii="Times New Roman" w:eastAsia="Arial" w:hAnsi="Times New Roman" w:cs="Times New Roman"/>
                <w:sz w:val="18"/>
                <w:szCs w:val="18"/>
                <w:lang w:val="sr-Cyrl-RS"/>
              </w:rPr>
              <w:t>350</w:t>
            </w:r>
            <w:r w:rsidRPr="009C19C5">
              <w:rPr>
                <w:rFonts w:ascii="Times New Roman" w:eastAsia="Arial" w:hAnsi="Times New Roman" w:cs="Times New Roman"/>
                <w:spacing w:val="-2"/>
                <w:sz w:val="18"/>
                <w:szCs w:val="18"/>
                <w:lang w:val="sr-Cyrl-RS"/>
              </w:rPr>
              <w:t xml:space="preserve"> (нови)</w:t>
            </w:r>
          </w:p>
        </w:tc>
        <w:tc>
          <w:tcPr>
            <w:tcW w:w="2520" w:type="dxa"/>
            <w:vMerge/>
            <w:vAlign w:val="center"/>
          </w:tcPr>
          <w:p w14:paraId="2B41BD06" w14:textId="77777777" w:rsidR="00F276BC" w:rsidRPr="009C19C5" w:rsidRDefault="00F276BC">
            <w:pPr>
              <w:widowControl w:val="0"/>
              <w:autoSpaceDE w:val="0"/>
              <w:autoSpaceDN w:val="0"/>
              <w:spacing w:after="0" w:line="240" w:lineRule="auto"/>
              <w:ind w:left="141"/>
              <w:rPr>
                <w:rFonts w:ascii="Times New Roman" w:eastAsia="Arial" w:hAnsi="Times New Roman" w:cs="Times New Roman"/>
                <w:sz w:val="18"/>
                <w:szCs w:val="18"/>
                <w:lang w:val="sr-Cyrl-RS"/>
              </w:rPr>
            </w:pPr>
          </w:p>
        </w:tc>
      </w:tr>
    </w:tbl>
    <w:p w14:paraId="41FBFF49" w14:textId="77777777" w:rsidR="00DA2D8C" w:rsidRPr="009C19C5" w:rsidRDefault="00DA2D8C" w:rsidP="00E20D33">
      <w:pPr>
        <w:pStyle w:val="Heading3"/>
        <w:keepNext w:val="0"/>
        <w:keepLines w:val="0"/>
        <w:spacing w:line="240" w:lineRule="auto"/>
        <w:ind w:right="1151"/>
        <w:jc w:val="center"/>
        <w:rPr>
          <w:rFonts w:ascii="Times New Roman" w:eastAsiaTheme="minorEastAsia" w:hAnsi="Times New Roman" w:cs="Times New Roman"/>
          <w:b w:val="0"/>
          <w:color w:val="auto"/>
          <w:kern w:val="0"/>
          <w:lang w:val="sr-Cyrl-RS"/>
          <w14:ligatures w14:val="none"/>
        </w:rPr>
      </w:pPr>
      <w:bookmarkStart w:id="17" w:name="_Toc183082932"/>
    </w:p>
    <w:p w14:paraId="37F4A868" w14:textId="4EF9032F" w:rsidR="00F11A97" w:rsidRPr="009C19C5" w:rsidRDefault="00BA7CED" w:rsidP="00E20D33">
      <w:pPr>
        <w:pStyle w:val="Heading3"/>
        <w:keepNext w:val="0"/>
        <w:keepLines w:val="0"/>
        <w:spacing w:line="240" w:lineRule="auto"/>
        <w:ind w:right="1151"/>
        <w:jc w:val="center"/>
        <w:rPr>
          <w:rFonts w:ascii="Times New Roman" w:eastAsiaTheme="minorEastAsia" w:hAnsi="Times New Roman" w:cs="Times New Roman"/>
          <w:b w:val="0"/>
          <w:color w:val="auto"/>
          <w:kern w:val="0"/>
          <w:lang w:val="sr-Cyrl-RS"/>
          <w14:ligatures w14:val="none"/>
        </w:rPr>
      </w:pPr>
      <w:r w:rsidRPr="009C19C5">
        <w:rPr>
          <w:rFonts w:ascii="Times New Roman" w:eastAsiaTheme="minorEastAsia" w:hAnsi="Times New Roman" w:cs="Times New Roman"/>
          <w:b w:val="0"/>
          <w:color w:val="auto"/>
          <w:kern w:val="0"/>
          <w:lang w:val="sr-Cyrl-RS"/>
          <w14:ligatures w14:val="none"/>
        </w:rPr>
        <w:t>4.2.</w:t>
      </w:r>
      <w:r w:rsidR="000A0E4E" w:rsidRPr="009C19C5">
        <w:rPr>
          <w:rFonts w:ascii="Times New Roman" w:eastAsiaTheme="minorEastAsia" w:hAnsi="Times New Roman" w:cs="Times New Roman"/>
          <w:b w:val="0"/>
          <w:color w:val="auto"/>
          <w:kern w:val="0"/>
          <w:lang w:val="sr-Cyrl-RS"/>
          <w14:ligatures w14:val="none"/>
        </w:rPr>
        <w:t xml:space="preserve"> Подземн</w:t>
      </w:r>
      <w:r w:rsidRPr="009C19C5">
        <w:rPr>
          <w:rFonts w:ascii="Times New Roman" w:eastAsiaTheme="minorEastAsia" w:hAnsi="Times New Roman" w:cs="Times New Roman"/>
          <w:b w:val="0"/>
          <w:color w:val="auto"/>
          <w:kern w:val="0"/>
          <w:lang w:val="sr-Cyrl-RS"/>
          <w14:ligatures w14:val="none"/>
        </w:rPr>
        <w:t xml:space="preserve">а експлоатација </w:t>
      </w:r>
      <w:r w:rsidR="000A0E4E" w:rsidRPr="009C19C5">
        <w:rPr>
          <w:rFonts w:ascii="Times New Roman" w:eastAsiaTheme="minorEastAsia" w:hAnsi="Times New Roman" w:cs="Times New Roman"/>
          <w:b w:val="0"/>
          <w:color w:val="auto"/>
          <w:kern w:val="0"/>
          <w:lang w:val="sr-Cyrl-RS"/>
          <w14:ligatures w14:val="none"/>
        </w:rPr>
        <w:t xml:space="preserve"> угља</w:t>
      </w:r>
      <w:bookmarkEnd w:id="17"/>
    </w:p>
    <w:p w14:paraId="0704ED25" w14:textId="01B3D719" w:rsidR="00F276BC" w:rsidRPr="009C19C5" w:rsidRDefault="000A0E4E" w:rsidP="00DA2D8C">
      <w:pPr>
        <w:autoSpaceDE w:val="0"/>
        <w:autoSpaceDN w:val="0"/>
        <w:adjustRightInd w:val="0"/>
        <w:spacing w:before="120" w:after="0" w:line="240" w:lineRule="auto"/>
        <w:ind w:firstLine="720"/>
        <w:jc w:val="both"/>
        <w:rPr>
          <w:rFonts w:ascii="Times New Roman" w:eastAsia="Calibri" w:hAnsi="Times New Roman" w:cs="Times New Roman"/>
          <w:sz w:val="24"/>
          <w:szCs w:val="24"/>
          <w:lang w:val="sr-Cyrl-RS" w:eastAsia="el-GR"/>
        </w:rPr>
      </w:pPr>
      <w:r w:rsidRPr="009C19C5">
        <w:rPr>
          <w:rFonts w:ascii="Times New Roman" w:eastAsia="Calibri" w:hAnsi="Times New Roman" w:cs="Times New Roman"/>
          <w:sz w:val="24"/>
          <w:szCs w:val="24"/>
          <w:lang w:val="sr-Cyrl-RS" w:eastAsia="el-GR"/>
        </w:rPr>
        <w:t xml:space="preserve">Удео </w:t>
      </w:r>
      <w:r w:rsidR="00D71861" w:rsidRPr="009C19C5">
        <w:rPr>
          <w:rFonts w:ascii="Times New Roman" w:eastAsia="Calibri" w:hAnsi="Times New Roman" w:cs="Times New Roman"/>
          <w:sz w:val="24"/>
          <w:szCs w:val="24"/>
          <w:lang w:val="sr-Cyrl-RS" w:eastAsia="el-GR"/>
        </w:rPr>
        <w:t xml:space="preserve">ЈП </w:t>
      </w:r>
      <w:r w:rsidRPr="009C19C5">
        <w:rPr>
          <w:rFonts w:ascii="Times New Roman" w:eastAsia="Calibri" w:hAnsi="Times New Roman" w:cs="Times New Roman"/>
          <w:sz w:val="24"/>
          <w:szCs w:val="24"/>
          <w:lang w:val="sr-Cyrl-RS" w:eastAsia="el-GR"/>
        </w:rPr>
        <w:t>ПЕУ Ресавица у</w:t>
      </w:r>
      <w:r w:rsidR="00D71861" w:rsidRPr="009C19C5">
        <w:rPr>
          <w:rFonts w:ascii="Times New Roman" w:eastAsia="Calibri" w:hAnsi="Times New Roman" w:cs="Times New Roman"/>
          <w:sz w:val="24"/>
          <w:szCs w:val="24"/>
          <w:lang w:val="sr-Cyrl-RS" w:eastAsia="el-GR"/>
        </w:rPr>
        <w:t xml:space="preserve"> </w:t>
      </w:r>
      <w:r w:rsidRPr="009C19C5">
        <w:rPr>
          <w:rFonts w:ascii="Times New Roman" w:eastAsia="Calibri" w:hAnsi="Times New Roman" w:cs="Times New Roman"/>
          <w:sz w:val="24"/>
          <w:szCs w:val="24"/>
          <w:lang w:val="sr-Cyrl-RS" w:eastAsia="el-GR"/>
        </w:rPr>
        <w:t xml:space="preserve">производњи угља </w:t>
      </w:r>
      <w:r w:rsidR="00D71861" w:rsidRPr="009C19C5">
        <w:rPr>
          <w:rFonts w:ascii="Times New Roman" w:eastAsia="Calibri" w:hAnsi="Times New Roman" w:cs="Times New Roman"/>
          <w:sz w:val="24"/>
          <w:szCs w:val="24"/>
          <w:lang w:val="sr-Cyrl-RS" w:eastAsia="el-GR"/>
        </w:rPr>
        <w:t xml:space="preserve">у Републици Србији </w:t>
      </w:r>
      <w:r w:rsidRPr="009C19C5">
        <w:rPr>
          <w:rFonts w:ascii="Times New Roman" w:eastAsia="Calibri" w:hAnsi="Times New Roman" w:cs="Times New Roman"/>
          <w:sz w:val="24"/>
          <w:szCs w:val="24"/>
          <w:lang w:val="sr-Cyrl-RS" w:eastAsia="el-GR"/>
        </w:rPr>
        <w:t xml:space="preserve">је мањи од 1%, што ову компанију чини маргиналним произвођачем са високим трошковима. Рудници са највећом производњом су Рембас, Ибарски Рудници, Соко и Штаваљ. Производња из године у годину опада (тренутни обим производње је </w:t>
      </w:r>
      <w:r w:rsidR="0065419B" w:rsidRPr="009C19C5">
        <w:rPr>
          <w:rFonts w:ascii="Times New Roman" w:eastAsia="Calibri" w:hAnsi="Times New Roman" w:cs="Times New Roman"/>
          <w:sz w:val="24"/>
          <w:szCs w:val="24"/>
          <w:lang w:val="sr-Cyrl-RS" w:eastAsia="el-GR"/>
        </w:rPr>
        <w:t xml:space="preserve">приближно на нивоу од једне </w:t>
      </w:r>
      <w:r w:rsidRPr="009C19C5">
        <w:rPr>
          <w:rFonts w:ascii="Times New Roman" w:eastAsia="Calibri" w:hAnsi="Times New Roman" w:cs="Times New Roman"/>
          <w:sz w:val="24"/>
          <w:szCs w:val="24"/>
          <w:lang w:val="sr-Cyrl-RS" w:eastAsia="el-GR"/>
        </w:rPr>
        <w:t>трећин</w:t>
      </w:r>
      <w:r w:rsidR="0065419B" w:rsidRPr="009C19C5">
        <w:rPr>
          <w:rFonts w:ascii="Times New Roman" w:eastAsia="Calibri" w:hAnsi="Times New Roman" w:cs="Times New Roman"/>
          <w:sz w:val="24"/>
          <w:szCs w:val="24"/>
          <w:lang w:val="sr-Cyrl-RS" w:eastAsia="el-GR"/>
        </w:rPr>
        <w:t>е</w:t>
      </w:r>
      <w:r w:rsidRPr="009C19C5">
        <w:rPr>
          <w:rFonts w:ascii="Times New Roman" w:eastAsia="Calibri" w:hAnsi="Times New Roman" w:cs="Times New Roman"/>
          <w:sz w:val="24"/>
          <w:szCs w:val="24"/>
          <w:lang w:val="sr-Cyrl-RS" w:eastAsia="el-GR"/>
        </w:rPr>
        <w:t xml:space="preserve"> производње </w:t>
      </w:r>
      <w:r w:rsidR="00E20D33" w:rsidRPr="009C19C5">
        <w:rPr>
          <w:rFonts w:ascii="Times New Roman" w:eastAsia="Calibri" w:hAnsi="Times New Roman" w:cs="Times New Roman"/>
          <w:sz w:val="24"/>
          <w:szCs w:val="24"/>
          <w:lang w:val="sr-Cyrl-RS" w:eastAsia="el-GR"/>
        </w:rPr>
        <w:t>у односу на највећу производњу остварену у</w:t>
      </w:r>
      <w:r w:rsidRPr="009C19C5">
        <w:rPr>
          <w:rFonts w:ascii="Times New Roman" w:eastAsia="Calibri" w:hAnsi="Times New Roman" w:cs="Times New Roman"/>
          <w:sz w:val="24"/>
          <w:szCs w:val="24"/>
          <w:lang w:val="sr-Cyrl-RS" w:eastAsia="el-GR"/>
        </w:rPr>
        <w:t xml:space="preserve"> 1968. годин</w:t>
      </w:r>
      <w:r w:rsidR="00E20D33" w:rsidRPr="009C19C5">
        <w:rPr>
          <w:rFonts w:ascii="Times New Roman" w:eastAsia="Calibri" w:hAnsi="Times New Roman" w:cs="Times New Roman"/>
          <w:sz w:val="24"/>
          <w:szCs w:val="24"/>
          <w:lang w:val="sr-Cyrl-RS" w:eastAsia="el-GR"/>
        </w:rPr>
        <w:t>и</w:t>
      </w:r>
      <w:r w:rsidRPr="009C19C5">
        <w:rPr>
          <w:rFonts w:ascii="Times New Roman" w:eastAsia="Calibri" w:hAnsi="Times New Roman" w:cs="Times New Roman"/>
          <w:sz w:val="24"/>
          <w:szCs w:val="24"/>
          <w:lang w:val="sr-Cyrl-RS" w:eastAsia="el-GR"/>
        </w:rPr>
        <w:t xml:space="preserve">), док се трошкови </w:t>
      </w:r>
      <w:r w:rsidR="0065419B" w:rsidRPr="009C19C5">
        <w:rPr>
          <w:rFonts w:ascii="Times New Roman" w:eastAsia="Calibri" w:hAnsi="Times New Roman" w:cs="Times New Roman"/>
          <w:sz w:val="24"/>
          <w:szCs w:val="24"/>
          <w:lang w:val="sr-Cyrl-RS" w:eastAsia="el-GR"/>
        </w:rPr>
        <w:t xml:space="preserve">запослених </w:t>
      </w:r>
      <w:r w:rsidRPr="009C19C5">
        <w:rPr>
          <w:rFonts w:ascii="Times New Roman" w:eastAsia="Calibri" w:hAnsi="Times New Roman" w:cs="Times New Roman"/>
          <w:sz w:val="24"/>
          <w:szCs w:val="24"/>
          <w:lang w:val="sr-Cyrl-RS" w:eastAsia="el-GR"/>
        </w:rPr>
        <w:t xml:space="preserve">постепено повећавају. </w:t>
      </w:r>
      <w:r w:rsidR="0065419B" w:rsidRPr="009C19C5">
        <w:rPr>
          <w:rFonts w:ascii="Times New Roman" w:eastAsia="Calibri" w:hAnsi="Times New Roman" w:cs="Times New Roman"/>
          <w:sz w:val="24"/>
          <w:szCs w:val="24"/>
          <w:lang w:val="sr-Cyrl-RS" w:eastAsia="el-GR"/>
        </w:rPr>
        <w:t xml:space="preserve">ЈП </w:t>
      </w:r>
      <w:r w:rsidRPr="009C19C5">
        <w:rPr>
          <w:rFonts w:ascii="Times New Roman" w:eastAsia="Calibri" w:hAnsi="Times New Roman" w:cs="Times New Roman"/>
          <w:sz w:val="24"/>
          <w:szCs w:val="24"/>
          <w:lang w:val="sr-Cyrl-RS" w:eastAsia="el-GR"/>
        </w:rPr>
        <w:t xml:space="preserve">ПЕУ Ресавица производи </w:t>
      </w:r>
      <w:r w:rsidR="000C2EE8" w:rsidRPr="009C19C5">
        <w:rPr>
          <w:rFonts w:ascii="Times New Roman" w:eastAsia="Calibri" w:hAnsi="Times New Roman" w:cs="Times New Roman"/>
          <w:sz w:val="24"/>
          <w:szCs w:val="24"/>
          <w:lang w:val="sr-Cyrl-RS" w:eastAsia="el-GR"/>
        </w:rPr>
        <w:t>3</w:t>
      </w:r>
      <w:r w:rsidRPr="009C19C5">
        <w:rPr>
          <w:rFonts w:ascii="Times New Roman" w:eastAsia="Calibri" w:hAnsi="Times New Roman" w:cs="Times New Roman"/>
          <w:sz w:val="24"/>
          <w:szCs w:val="24"/>
          <w:lang w:val="sr-Cyrl-RS" w:eastAsia="el-GR"/>
        </w:rPr>
        <w:t xml:space="preserve">00.000 до </w:t>
      </w:r>
      <w:r w:rsidR="000C2EE8" w:rsidRPr="009C19C5">
        <w:rPr>
          <w:rFonts w:ascii="Times New Roman" w:eastAsia="Calibri" w:hAnsi="Times New Roman" w:cs="Times New Roman"/>
          <w:sz w:val="24"/>
          <w:szCs w:val="24"/>
          <w:lang w:val="sr-Cyrl-RS" w:eastAsia="el-GR"/>
        </w:rPr>
        <w:t>4</w:t>
      </w:r>
      <w:r w:rsidRPr="009C19C5">
        <w:rPr>
          <w:rFonts w:ascii="Times New Roman" w:eastAsia="Calibri" w:hAnsi="Times New Roman" w:cs="Times New Roman"/>
          <w:sz w:val="24"/>
          <w:szCs w:val="24"/>
          <w:lang w:val="sr-Cyrl-RS" w:eastAsia="el-GR"/>
        </w:rPr>
        <w:t xml:space="preserve">00.000 тона угља годишње. То су пре свега лигнит, мрки и камени </w:t>
      </w:r>
      <w:r w:rsidRPr="009C19C5">
        <w:rPr>
          <w:rFonts w:ascii="Times New Roman" w:eastAsia="Calibri" w:hAnsi="Times New Roman" w:cs="Times New Roman"/>
          <w:sz w:val="24"/>
          <w:szCs w:val="24"/>
          <w:lang w:val="sr-Cyrl-RS" w:eastAsia="el-GR"/>
        </w:rPr>
        <w:lastRenderedPageBreak/>
        <w:t xml:space="preserve">угаљ, од којих се више од половине транспортује у термоелектране Никола Тесла А и Б и Мораву, под управом акционарског друштва </w:t>
      </w:r>
      <w:r w:rsidR="00A7582E" w:rsidRPr="009C19C5">
        <w:rPr>
          <w:rFonts w:ascii="Times New Roman" w:hAnsi="Times New Roman" w:cs="Times New Roman"/>
          <w:sz w:val="24"/>
          <w:szCs w:val="24"/>
          <w:lang w:val="sr-Cyrl-RS"/>
        </w:rPr>
        <w:t>ЕПС АД</w:t>
      </w:r>
      <w:r w:rsidRPr="009C19C5">
        <w:rPr>
          <w:rFonts w:ascii="Times New Roman" w:eastAsia="Calibri" w:hAnsi="Times New Roman" w:cs="Times New Roman"/>
          <w:sz w:val="24"/>
          <w:szCs w:val="24"/>
          <w:lang w:val="sr-Cyrl-RS" w:eastAsia="el-GR"/>
        </w:rPr>
        <w:t xml:space="preserve">. Производња угља по запосленом у </w:t>
      </w:r>
      <w:r w:rsidR="0065419B" w:rsidRPr="009C19C5">
        <w:rPr>
          <w:rFonts w:ascii="Times New Roman" w:eastAsia="Calibri" w:hAnsi="Times New Roman" w:cs="Times New Roman"/>
          <w:sz w:val="24"/>
          <w:szCs w:val="24"/>
          <w:lang w:val="sr-Cyrl-RS" w:eastAsia="el-GR"/>
        </w:rPr>
        <w:t xml:space="preserve">ЈП </w:t>
      </w:r>
      <w:r w:rsidRPr="009C19C5">
        <w:rPr>
          <w:rFonts w:ascii="Times New Roman" w:eastAsia="Calibri" w:hAnsi="Times New Roman" w:cs="Times New Roman"/>
          <w:sz w:val="24"/>
          <w:szCs w:val="24"/>
          <w:lang w:val="sr-Cyrl-RS" w:eastAsia="el-GR"/>
        </w:rPr>
        <w:t xml:space="preserve">ПЕУ Ресавица је више од десет пута мања него у сличним рудницима у региону. </w:t>
      </w:r>
      <w:bookmarkStart w:id="18" w:name="_Hlk202345362"/>
      <w:r w:rsidRPr="009C19C5">
        <w:rPr>
          <w:rFonts w:ascii="Times New Roman" w:eastAsia="Calibri" w:hAnsi="Times New Roman" w:cs="Times New Roman"/>
          <w:sz w:val="24"/>
          <w:szCs w:val="24"/>
          <w:lang w:val="sr-Cyrl-RS" w:eastAsia="el-GR"/>
        </w:rPr>
        <w:t xml:space="preserve">Ресавица такође има историјат лоших услова безбедности на раду. </w:t>
      </w:r>
      <w:bookmarkEnd w:id="18"/>
      <w:r w:rsidRPr="009C19C5">
        <w:rPr>
          <w:rFonts w:ascii="Times New Roman" w:eastAsia="Calibri" w:hAnsi="Times New Roman" w:cs="Times New Roman"/>
          <w:sz w:val="24"/>
          <w:szCs w:val="24"/>
          <w:lang w:val="sr-Cyrl-RS" w:eastAsia="el-GR"/>
        </w:rPr>
        <w:t xml:space="preserve">Ови услови доводе </w:t>
      </w:r>
      <w:r w:rsidR="0065419B" w:rsidRPr="009C19C5">
        <w:rPr>
          <w:rFonts w:ascii="Times New Roman" w:eastAsia="Calibri" w:hAnsi="Times New Roman" w:cs="Times New Roman"/>
          <w:sz w:val="24"/>
          <w:szCs w:val="24"/>
          <w:lang w:val="sr-Cyrl-RS" w:eastAsia="el-GR"/>
        </w:rPr>
        <w:t xml:space="preserve">ЈП </w:t>
      </w:r>
      <w:r w:rsidRPr="009C19C5">
        <w:rPr>
          <w:rFonts w:ascii="Times New Roman" w:eastAsia="Calibri" w:hAnsi="Times New Roman" w:cs="Times New Roman"/>
          <w:sz w:val="24"/>
          <w:szCs w:val="24"/>
          <w:lang w:val="sr-Cyrl-RS" w:eastAsia="el-GR"/>
        </w:rPr>
        <w:t>ПЕУ Ресавица у неповољан положај у односу на националне и регионалне конкуренте.</w:t>
      </w:r>
      <w:r w:rsidR="00BB576A" w:rsidRPr="009C19C5">
        <w:rPr>
          <w:rFonts w:ascii="Times New Roman" w:eastAsia="Calibri" w:hAnsi="Times New Roman" w:cs="Times New Roman"/>
          <w:sz w:val="24"/>
          <w:szCs w:val="24"/>
          <w:lang w:val="sr-Cyrl-RS" w:eastAsia="el-GR"/>
        </w:rPr>
        <w:t xml:space="preserve"> </w:t>
      </w:r>
      <w:r w:rsidR="00A811D7" w:rsidRPr="009C19C5">
        <w:rPr>
          <w:rFonts w:ascii="Times New Roman" w:eastAsia="Calibri" w:hAnsi="Times New Roman" w:cs="Times New Roman"/>
          <w:sz w:val="24"/>
          <w:szCs w:val="24"/>
          <w:lang w:val="sr-Cyrl-RS" w:eastAsia="el-GR"/>
        </w:rPr>
        <w:t>Угљеви који се производе у оквиру ЈП ПЕУ Ресавица су високих топлотних вредности, што знатно смањује потребну количину за сагоревање у односу на угљеве који су нискокалорични.</w:t>
      </w:r>
    </w:p>
    <w:p w14:paraId="0FBC8E0E" w14:textId="0439EE70" w:rsidR="004A5AEC" w:rsidRPr="009C19C5" w:rsidRDefault="004A5AEC" w:rsidP="004A5AEC">
      <w:pPr>
        <w:spacing w:after="0" w:line="240" w:lineRule="auto"/>
        <w:ind w:firstLine="720"/>
        <w:jc w:val="both"/>
        <w:rPr>
          <w:rFonts w:ascii="Times New Roman" w:hAnsi="Times New Roman" w:cs="Times New Roman"/>
          <w:i/>
          <w:iCs/>
          <w:sz w:val="20"/>
          <w:szCs w:val="20"/>
          <w:lang w:val="sr-Cyrl-RS"/>
        </w:rPr>
      </w:pPr>
      <w:r w:rsidRPr="009C19C5">
        <w:rPr>
          <w:rFonts w:ascii="Times New Roman" w:eastAsia="Arial" w:hAnsi="Times New Roman" w:cs="Times New Roman"/>
          <w:kern w:val="0"/>
          <w:sz w:val="24"/>
          <w:szCs w:val="24"/>
          <w:lang w:val="sr-Cyrl-RS" w:eastAsia="el-GR"/>
          <w14:ligatures w14:val="none"/>
        </w:rPr>
        <w:t>Како потенцијално затварање рудника ЈП ПЕУ Ресавица није одређено ИНЕКП</w:t>
      </w:r>
      <w:r w:rsidR="00A100F5" w:rsidRPr="009C19C5">
        <w:rPr>
          <w:rFonts w:ascii="Times New Roman" w:eastAsia="Arial" w:hAnsi="Times New Roman" w:cs="Times New Roman"/>
          <w:kern w:val="0"/>
          <w:sz w:val="24"/>
          <w:szCs w:val="24"/>
          <w:lang w:val="sr-Cyrl-RS" w:eastAsia="el-GR"/>
          <w14:ligatures w14:val="none"/>
        </w:rPr>
        <w:t xml:space="preserve"> </w:t>
      </w:r>
      <w:r w:rsidRPr="009C19C5">
        <w:rPr>
          <w:rFonts w:ascii="Times New Roman" w:eastAsia="Arial" w:hAnsi="Times New Roman" w:cs="Times New Roman"/>
          <w:kern w:val="0"/>
          <w:sz w:val="24"/>
          <w:szCs w:val="24"/>
          <w:lang w:val="sr-Cyrl-RS" w:eastAsia="el-GR"/>
          <w14:ligatures w14:val="none"/>
        </w:rPr>
        <w:t xml:space="preserve">или било којим другим званичним актом, </w:t>
      </w:r>
      <w:r w:rsidR="00E20D33" w:rsidRPr="009C19C5">
        <w:rPr>
          <w:rFonts w:ascii="Times New Roman" w:eastAsia="Arial" w:hAnsi="Times New Roman" w:cs="Times New Roman"/>
          <w:kern w:val="0"/>
          <w:sz w:val="24"/>
          <w:szCs w:val="24"/>
          <w:lang w:val="sr-Cyrl-RS" w:eastAsia="el-GR"/>
          <w14:ligatures w14:val="none"/>
        </w:rPr>
        <w:t>ППЕТ је анализирао</w:t>
      </w:r>
      <w:r w:rsidRPr="009C19C5">
        <w:rPr>
          <w:rFonts w:ascii="Times New Roman" w:eastAsia="Arial" w:hAnsi="Times New Roman" w:cs="Times New Roman"/>
          <w:kern w:val="0"/>
          <w:sz w:val="24"/>
          <w:szCs w:val="24"/>
          <w:lang w:val="sr-Cyrl-RS" w:eastAsia="el-GR"/>
          <w14:ligatures w14:val="none"/>
        </w:rPr>
        <w:t xml:space="preserve"> могући утицај затварања ТЕ Морава и ТЕ Колубара на поједине руднике ЈП ПЕУ Ресавица и општину Деспотовац. У оквиру рудника</w:t>
      </w:r>
      <w:r w:rsidR="00E20D33" w:rsidRPr="009C19C5">
        <w:rPr>
          <w:rFonts w:ascii="Times New Roman" w:eastAsia="Arial" w:hAnsi="Times New Roman" w:cs="Times New Roman"/>
          <w:kern w:val="0"/>
          <w:sz w:val="24"/>
          <w:szCs w:val="24"/>
          <w:lang w:val="sr-Cyrl-RS" w:eastAsia="el-GR"/>
          <w14:ligatures w14:val="none"/>
        </w:rPr>
        <w:t xml:space="preserve"> </w:t>
      </w:r>
      <w:r w:rsidRPr="009C19C5">
        <w:rPr>
          <w:rFonts w:ascii="Times New Roman" w:eastAsia="Arial" w:hAnsi="Times New Roman" w:cs="Times New Roman"/>
          <w:kern w:val="0"/>
          <w:sz w:val="24"/>
          <w:szCs w:val="24"/>
          <w:lang w:val="sr-Cyrl-RS" w:eastAsia="el-GR"/>
          <w14:ligatures w14:val="none"/>
        </w:rPr>
        <w:t>Рембас</w:t>
      </w:r>
      <w:r w:rsidR="00E20D33" w:rsidRPr="009C19C5">
        <w:rPr>
          <w:rFonts w:ascii="Times New Roman" w:eastAsia="Arial" w:hAnsi="Times New Roman" w:cs="Times New Roman"/>
          <w:kern w:val="0"/>
          <w:sz w:val="24"/>
          <w:szCs w:val="24"/>
          <w:lang w:val="sr-Cyrl-RS" w:eastAsia="el-GR"/>
          <w14:ligatures w14:val="none"/>
        </w:rPr>
        <w:t xml:space="preserve"> </w:t>
      </w:r>
      <w:r w:rsidRPr="009C19C5">
        <w:rPr>
          <w:rFonts w:ascii="Times New Roman" w:eastAsia="Arial" w:hAnsi="Times New Roman" w:cs="Times New Roman"/>
          <w:kern w:val="0"/>
          <w:sz w:val="24"/>
          <w:szCs w:val="24"/>
          <w:lang w:val="sr-Cyrl-RS" w:eastAsia="el-GR"/>
          <w14:ligatures w14:val="none"/>
        </w:rPr>
        <w:t>постоје четири јаме</w:t>
      </w:r>
      <w:r w:rsidR="00E20D33" w:rsidRPr="009C19C5">
        <w:rPr>
          <w:rFonts w:ascii="Times New Roman" w:eastAsia="Arial" w:hAnsi="Times New Roman" w:cs="Times New Roman"/>
          <w:kern w:val="0"/>
          <w:sz w:val="24"/>
          <w:szCs w:val="24"/>
          <w:lang w:val="sr-Cyrl-RS" w:eastAsia="el-GR"/>
          <w14:ligatures w14:val="none"/>
        </w:rPr>
        <w:t>. И</w:t>
      </w:r>
      <w:r w:rsidRPr="009C19C5">
        <w:rPr>
          <w:rFonts w:ascii="Times New Roman" w:eastAsia="Arial" w:hAnsi="Times New Roman" w:cs="Times New Roman"/>
          <w:kern w:val="0"/>
          <w:sz w:val="24"/>
          <w:szCs w:val="24"/>
          <w:lang w:val="sr-Cyrl-RS" w:eastAsia="el-GR"/>
          <w14:ligatures w14:val="none"/>
        </w:rPr>
        <w:t xml:space="preserve">страживање прве јаме почело је 1853. године, а све јаме су повезане подземним тунелима. Рембас је највећи подземни рудник угља у </w:t>
      </w:r>
      <w:r w:rsidRPr="009C19C5">
        <w:rPr>
          <w:rFonts w:ascii="Times New Roman" w:eastAsia="SimSun" w:hAnsi="Times New Roman" w:cs="Times New Roman"/>
          <w:kern w:val="0"/>
          <w:sz w:val="24"/>
          <w:szCs w:val="24"/>
          <w:lang w:val="sr-Cyrl-RS" w:eastAsia="el-GR"/>
          <w14:ligatures w14:val="none"/>
        </w:rPr>
        <w:t>Републици</w:t>
      </w:r>
      <w:r w:rsidRPr="009C19C5">
        <w:rPr>
          <w:rFonts w:ascii="Times New Roman" w:eastAsia="Arial" w:hAnsi="Times New Roman" w:cs="Times New Roman"/>
          <w:kern w:val="0"/>
          <w:sz w:val="24"/>
          <w:szCs w:val="24"/>
          <w:lang w:val="sr-Cyrl-RS" w:eastAsia="el-GR"/>
          <w14:ligatures w14:val="none"/>
        </w:rPr>
        <w:t xml:space="preserve"> Србији. Око 130.000 тона угља годишње се произведе у руднику Рембас и допрема железницом до ТЕ Морава, снаге125 MW, која послује у саставу ЕПС АД.</w:t>
      </w:r>
    </w:p>
    <w:p w14:paraId="2165F79F" w14:textId="77777777" w:rsidR="006B4895" w:rsidRPr="009C19C5" w:rsidRDefault="006B4895" w:rsidP="004A5AEC">
      <w:pPr>
        <w:pStyle w:val="Caption"/>
        <w:tabs>
          <w:tab w:val="left" w:pos="1260"/>
        </w:tabs>
        <w:ind w:firstLine="630"/>
        <w:jc w:val="left"/>
        <w:rPr>
          <w:rFonts w:ascii="Times New Roman" w:hAnsi="Times New Roman" w:cs="Times New Roman"/>
          <w:i w:val="0"/>
          <w:iCs w:val="0"/>
          <w:color w:val="auto"/>
          <w:sz w:val="20"/>
          <w:szCs w:val="20"/>
          <w:lang w:val="sr-Cyrl-RS"/>
        </w:rPr>
      </w:pPr>
    </w:p>
    <w:p w14:paraId="5E73F2FA" w14:textId="7AEF01F9" w:rsidR="004A5AEC" w:rsidRPr="009C19C5" w:rsidRDefault="004A5AEC" w:rsidP="004A5AEC">
      <w:pPr>
        <w:pStyle w:val="Caption"/>
        <w:tabs>
          <w:tab w:val="left" w:pos="1260"/>
        </w:tabs>
        <w:ind w:firstLine="630"/>
        <w:jc w:val="left"/>
        <w:rPr>
          <w:rFonts w:ascii="Times New Roman" w:hAnsi="Times New Roman" w:cs="Times New Roman"/>
          <w:i w:val="0"/>
          <w:iCs w:val="0"/>
          <w:color w:val="auto"/>
          <w:sz w:val="20"/>
          <w:szCs w:val="20"/>
          <w:lang w:val="sr-Cyrl-RS"/>
        </w:rPr>
      </w:pPr>
      <w:r w:rsidRPr="009C19C5">
        <w:rPr>
          <w:rFonts w:ascii="Times New Roman" w:hAnsi="Times New Roman" w:cs="Times New Roman"/>
          <w:i w:val="0"/>
          <w:iCs w:val="0"/>
          <w:color w:val="auto"/>
          <w:sz w:val="20"/>
          <w:szCs w:val="20"/>
          <w:lang w:val="sr-Cyrl-RS"/>
        </w:rPr>
        <w:t xml:space="preserve">Слика </w:t>
      </w:r>
      <w:r w:rsidRPr="009C19C5">
        <w:rPr>
          <w:rFonts w:ascii="Times New Roman" w:hAnsi="Times New Roman" w:cs="Times New Roman"/>
          <w:i w:val="0"/>
          <w:iCs w:val="0"/>
          <w:color w:val="auto"/>
          <w:sz w:val="20"/>
          <w:szCs w:val="20"/>
          <w:lang w:val="sr-Cyrl-RS"/>
        </w:rPr>
        <w:fldChar w:fldCharType="begin"/>
      </w:r>
      <w:r w:rsidRPr="009C19C5">
        <w:rPr>
          <w:rFonts w:ascii="Times New Roman" w:hAnsi="Times New Roman" w:cs="Times New Roman"/>
          <w:i w:val="0"/>
          <w:iCs w:val="0"/>
          <w:color w:val="auto"/>
          <w:sz w:val="20"/>
          <w:szCs w:val="20"/>
          <w:lang w:val="sr-Cyrl-RS"/>
        </w:rPr>
        <w:instrText xml:space="preserve"> SEQ Figure \* ARABIC </w:instrText>
      </w:r>
      <w:r w:rsidRPr="009C19C5">
        <w:rPr>
          <w:rFonts w:ascii="Times New Roman" w:hAnsi="Times New Roman" w:cs="Times New Roman"/>
          <w:i w:val="0"/>
          <w:iCs w:val="0"/>
          <w:color w:val="auto"/>
          <w:sz w:val="20"/>
          <w:szCs w:val="20"/>
          <w:lang w:val="sr-Cyrl-RS"/>
        </w:rPr>
        <w:fldChar w:fldCharType="separate"/>
      </w:r>
      <w:r w:rsidR="00D460A4">
        <w:rPr>
          <w:rFonts w:ascii="Times New Roman" w:hAnsi="Times New Roman" w:cs="Times New Roman"/>
          <w:i w:val="0"/>
          <w:iCs w:val="0"/>
          <w:noProof/>
          <w:color w:val="auto"/>
          <w:sz w:val="20"/>
          <w:szCs w:val="20"/>
          <w:lang w:val="sr-Cyrl-RS"/>
        </w:rPr>
        <w:t>1</w:t>
      </w:r>
      <w:r w:rsidRPr="009C19C5">
        <w:rPr>
          <w:rFonts w:ascii="Times New Roman" w:hAnsi="Times New Roman" w:cs="Times New Roman"/>
          <w:i w:val="0"/>
          <w:iCs w:val="0"/>
          <w:color w:val="auto"/>
          <w:sz w:val="20"/>
          <w:szCs w:val="20"/>
          <w:lang w:val="sr-Cyrl-RS"/>
        </w:rPr>
        <w:fldChar w:fldCharType="end"/>
      </w:r>
      <w:r w:rsidRPr="009C19C5">
        <w:rPr>
          <w:rFonts w:ascii="Times New Roman" w:hAnsi="Times New Roman" w:cs="Times New Roman"/>
          <w:i w:val="0"/>
          <w:iCs w:val="0"/>
          <w:color w:val="auto"/>
          <w:sz w:val="20"/>
          <w:szCs w:val="20"/>
          <w:lang w:val="sr-Cyrl-RS"/>
        </w:rPr>
        <w:t>: Локације рудника у саставу ЈП ПЕУ Ресавица</w:t>
      </w:r>
    </w:p>
    <w:p w14:paraId="1E126D19" w14:textId="77777777" w:rsidR="00F276BC" w:rsidRPr="009C19C5" w:rsidRDefault="000A0E4E">
      <w:pPr>
        <w:pStyle w:val="Caption"/>
        <w:keepNext/>
        <w:rPr>
          <w:rFonts w:ascii="Times New Roman" w:hAnsi="Times New Roman" w:cs="Times New Roman"/>
          <w:lang w:val="sr-Cyrl-RS"/>
        </w:rPr>
      </w:pPr>
      <w:bookmarkStart w:id="19" w:name="_Toc133615668"/>
      <w:r w:rsidRPr="009C19C5">
        <w:rPr>
          <w:rFonts w:ascii="Times New Roman" w:hAnsi="Times New Roman" w:cs="Times New Roman"/>
          <w:noProof/>
          <w:sz w:val="20"/>
          <w:szCs w:val="20"/>
          <w:lang w:val="sr-Cyrl-RS"/>
        </w:rPr>
        <w:drawing>
          <wp:inline distT="0" distB="0" distL="0" distR="0" wp14:anchorId="42AC03AD" wp14:editId="32D64A58">
            <wp:extent cx="6438900" cy="3209925"/>
            <wp:effectExtent l="0" t="0" r="0" b="9525"/>
            <wp:docPr id="1587743058" name="Picture 1587743058" descr="A map of a cit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7743058" name="Picture 1587743058" descr="A map of a city&#10;&#10;Description automatically generated"/>
                    <pic:cNvPicPr>
                      <a:picLocks noChangeAspect="1"/>
                    </pic:cNvPicPr>
                  </pic:nvPicPr>
                  <pic:blipFill>
                    <a:blip r:embed="rId12"/>
                    <a:stretch>
                      <a:fillRect/>
                    </a:stretch>
                  </pic:blipFill>
                  <pic:spPr>
                    <a:xfrm>
                      <a:off x="0" y="0"/>
                      <a:ext cx="6438900" cy="3209925"/>
                    </a:xfrm>
                    <a:prstGeom prst="rect">
                      <a:avLst/>
                    </a:prstGeom>
                  </pic:spPr>
                </pic:pic>
              </a:graphicData>
            </a:graphic>
          </wp:inline>
        </w:drawing>
      </w:r>
    </w:p>
    <w:bookmarkEnd w:id="19"/>
    <w:p w14:paraId="6DE39CFE" w14:textId="0CC3ADC8" w:rsidR="00F276BC" w:rsidRPr="009C19C5" w:rsidRDefault="00120DD7" w:rsidP="00534A78">
      <w:pPr>
        <w:pStyle w:val="GT"/>
        <w:spacing w:before="0" w:after="0" w:line="240" w:lineRule="auto"/>
        <w:ind w:firstLine="720"/>
        <w:rPr>
          <w:rFonts w:ascii="Times New Roman" w:eastAsia="Arial" w:hAnsi="Times New Roman" w:cs="Times New Roman"/>
          <w:sz w:val="24"/>
          <w:szCs w:val="24"/>
          <w:lang w:val="sr-Cyrl-RS"/>
        </w:rPr>
      </w:pPr>
      <w:r w:rsidRPr="009C19C5">
        <w:rPr>
          <w:rFonts w:ascii="Times New Roman" w:eastAsia="Arial" w:hAnsi="Times New Roman" w:cs="Times New Roman"/>
          <w:sz w:val="24"/>
          <w:szCs w:val="24"/>
          <w:lang w:val="sr-Cyrl-RS"/>
        </w:rPr>
        <w:t>Неовисно о томе односно о процесу спровођења енергетске транзиције</w:t>
      </w:r>
      <w:r w:rsidR="002C670D" w:rsidRPr="009C19C5">
        <w:rPr>
          <w:rFonts w:ascii="Times New Roman" w:eastAsia="Arial" w:hAnsi="Times New Roman" w:cs="Times New Roman"/>
          <w:sz w:val="24"/>
          <w:szCs w:val="24"/>
          <w:lang w:val="sr-Cyrl-RS"/>
        </w:rPr>
        <w:t>,</w:t>
      </w:r>
      <w:r w:rsidRPr="009C19C5">
        <w:rPr>
          <w:rFonts w:ascii="Times New Roman" w:eastAsia="Arial" w:hAnsi="Times New Roman" w:cs="Times New Roman"/>
          <w:sz w:val="24"/>
          <w:szCs w:val="24"/>
          <w:lang w:val="sr-Cyrl-RS"/>
        </w:rPr>
        <w:t xml:space="preserve"> </w:t>
      </w:r>
      <w:r w:rsidR="006F4532" w:rsidRPr="009C19C5">
        <w:rPr>
          <w:rFonts w:ascii="Times New Roman" w:eastAsia="Arial" w:hAnsi="Times New Roman" w:cs="Times New Roman"/>
          <w:sz w:val="24"/>
          <w:szCs w:val="24"/>
          <w:lang w:val="sr-Cyrl-RS"/>
        </w:rPr>
        <w:t>рудни</w:t>
      </w:r>
      <w:r w:rsidRPr="009C19C5">
        <w:rPr>
          <w:rFonts w:ascii="Times New Roman" w:eastAsia="Arial" w:hAnsi="Times New Roman" w:cs="Times New Roman"/>
          <w:sz w:val="24"/>
          <w:szCs w:val="24"/>
          <w:lang w:val="sr-Cyrl-RS"/>
        </w:rPr>
        <w:t>ци</w:t>
      </w:r>
      <w:r w:rsidR="006F4532" w:rsidRPr="009C19C5">
        <w:rPr>
          <w:rFonts w:ascii="Times New Roman" w:eastAsia="Arial" w:hAnsi="Times New Roman" w:cs="Times New Roman"/>
          <w:sz w:val="24"/>
          <w:szCs w:val="24"/>
          <w:lang w:val="sr-Cyrl-RS"/>
        </w:rPr>
        <w:t xml:space="preserve"> Боговина, Јасеновац и Алексинац</w:t>
      </w:r>
      <w:r w:rsidR="00847881" w:rsidRPr="009C19C5">
        <w:rPr>
          <w:rFonts w:ascii="Times New Roman" w:eastAsia="Arial" w:hAnsi="Times New Roman" w:cs="Times New Roman"/>
          <w:sz w:val="24"/>
          <w:szCs w:val="24"/>
          <w:lang w:val="sr-Cyrl-RS"/>
        </w:rPr>
        <w:t xml:space="preserve">  (који није активан рудник али су његови запослени ангажовани на извођењу рударских радова у другим рудницима ЈП ПЕУ Ресавица)</w:t>
      </w:r>
      <w:r w:rsidR="006F4532" w:rsidRPr="009C19C5">
        <w:rPr>
          <w:rFonts w:ascii="Times New Roman" w:eastAsia="Arial" w:hAnsi="Times New Roman" w:cs="Times New Roman"/>
          <w:sz w:val="24"/>
          <w:szCs w:val="24"/>
          <w:lang w:val="sr-Cyrl-RS"/>
        </w:rPr>
        <w:t xml:space="preserve"> </w:t>
      </w:r>
      <w:r w:rsidR="002C670D" w:rsidRPr="009C19C5">
        <w:rPr>
          <w:rFonts w:ascii="Times New Roman" w:eastAsia="Arial" w:hAnsi="Times New Roman" w:cs="Times New Roman"/>
          <w:sz w:val="24"/>
          <w:szCs w:val="24"/>
          <w:lang w:val="sr-Cyrl-RS"/>
        </w:rPr>
        <w:t xml:space="preserve">су </w:t>
      </w:r>
      <w:r w:rsidR="006F4532" w:rsidRPr="009C19C5">
        <w:rPr>
          <w:rFonts w:ascii="Times New Roman" w:eastAsia="Arial" w:hAnsi="Times New Roman" w:cs="Times New Roman"/>
          <w:sz w:val="24"/>
          <w:szCs w:val="24"/>
          <w:lang w:val="sr-Cyrl-RS"/>
        </w:rPr>
        <w:t xml:space="preserve">пред исцрпљењем резерви угља или су лежишни и техничко-технолошки фактори такви да даљи процес експлоатације представља оптерећење за одрживо пословање ЈП ПЕУ Ресавица. </w:t>
      </w:r>
      <w:r w:rsidR="0065419B" w:rsidRPr="009C19C5">
        <w:rPr>
          <w:rFonts w:ascii="Times New Roman" w:eastAsia="Arial" w:hAnsi="Times New Roman" w:cs="Times New Roman"/>
          <w:sz w:val="24"/>
          <w:szCs w:val="24"/>
          <w:lang w:val="sr-Cyrl-RS"/>
        </w:rPr>
        <w:t xml:space="preserve"> </w:t>
      </w:r>
    </w:p>
    <w:p w14:paraId="500ABEB9" w14:textId="3C69D69A" w:rsidR="00F276BC" w:rsidRPr="009C19C5" w:rsidRDefault="0065419B" w:rsidP="00534A78">
      <w:pPr>
        <w:pStyle w:val="GT"/>
        <w:spacing w:before="0" w:after="0" w:line="240" w:lineRule="auto"/>
        <w:ind w:firstLine="720"/>
        <w:rPr>
          <w:rFonts w:ascii="Times New Roman" w:eastAsia="Arial" w:hAnsi="Times New Roman" w:cs="Times New Roman"/>
          <w:sz w:val="24"/>
          <w:szCs w:val="24"/>
          <w:lang w:val="sr-Cyrl-RS"/>
        </w:rPr>
      </w:pPr>
      <w:r w:rsidRPr="009C19C5">
        <w:rPr>
          <w:rFonts w:ascii="Times New Roman" w:eastAsia="Arial" w:hAnsi="Times New Roman" w:cs="Times New Roman"/>
          <w:sz w:val="24"/>
          <w:szCs w:val="24"/>
          <w:lang w:val="sr-Cyrl-RS"/>
        </w:rPr>
        <w:t xml:space="preserve">ЈП ПЕУ Ресавица није од системског значаја за читав сектор угља, иако њени рудници могу бити системски </w:t>
      </w:r>
      <w:r w:rsidR="00E022AB" w:rsidRPr="009C19C5">
        <w:rPr>
          <w:rFonts w:ascii="Times New Roman" w:eastAsia="Arial" w:hAnsi="Times New Roman" w:cs="Times New Roman"/>
          <w:sz w:val="24"/>
          <w:szCs w:val="24"/>
          <w:lang w:val="sr-Cyrl-RS"/>
        </w:rPr>
        <w:t xml:space="preserve">важни </w:t>
      </w:r>
      <w:r w:rsidRPr="009C19C5">
        <w:rPr>
          <w:rFonts w:ascii="Times New Roman" w:eastAsia="Arial" w:hAnsi="Times New Roman" w:cs="Times New Roman"/>
          <w:sz w:val="24"/>
          <w:szCs w:val="24"/>
          <w:lang w:val="sr-Cyrl-RS"/>
        </w:rPr>
        <w:t>за привредну и друштвену средину на појединим локалитетима</w:t>
      </w:r>
      <w:r w:rsidR="00593819" w:rsidRPr="009C19C5">
        <w:rPr>
          <w:rFonts w:ascii="Times New Roman" w:eastAsia="Arial" w:hAnsi="Times New Roman" w:cs="Times New Roman"/>
          <w:sz w:val="24"/>
          <w:szCs w:val="24"/>
          <w:lang w:val="sr-Cyrl-RS"/>
        </w:rPr>
        <w:t xml:space="preserve">. </w:t>
      </w:r>
      <w:bookmarkStart w:id="20" w:name="_Hlk202345435"/>
      <w:r w:rsidRPr="009C19C5">
        <w:rPr>
          <w:rFonts w:ascii="Times New Roman" w:eastAsia="Arial" w:hAnsi="Times New Roman" w:cs="Times New Roman"/>
          <w:sz w:val="24"/>
          <w:szCs w:val="24"/>
          <w:lang w:val="sr-Cyrl-RS"/>
        </w:rPr>
        <w:t xml:space="preserve">Реструктурирање </w:t>
      </w:r>
      <w:r w:rsidR="00E022AB" w:rsidRPr="009C19C5">
        <w:rPr>
          <w:rFonts w:ascii="Times New Roman" w:eastAsia="Arial" w:hAnsi="Times New Roman" w:cs="Times New Roman"/>
          <w:sz w:val="24"/>
          <w:szCs w:val="24"/>
          <w:lang w:val="sr-Cyrl-RS"/>
        </w:rPr>
        <w:t xml:space="preserve">ЈП </w:t>
      </w:r>
      <w:r w:rsidRPr="009C19C5">
        <w:rPr>
          <w:rFonts w:ascii="Times New Roman" w:eastAsia="Arial" w:hAnsi="Times New Roman" w:cs="Times New Roman"/>
          <w:sz w:val="24"/>
          <w:szCs w:val="24"/>
          <w:lang w:val="sr-Cyrl-RS"/>
        </w:rPr>
        <w:t xml:space="preserve">ПЕУ Ресавица и </w:t>
      </w:r>
      <w:r w:rsidR="00593819" w:rsidRPr="009C19C5">
        <w:rPr>
          <w:rFonts w:ascii="Times New Roman" w:eastAsia="Arial" w:hAnsi="Times New Roman" w:cs="Times New Roman"/>
          <w:sz w:val="24"/>
          <w:szCs w:val="24"/>
          <w:lang w:val="sr-Cyrl-RS"/>
        </w:rPr>
        <w:t>спровођење транзиционих процеса у његовим рудницима</w:t>
      </w:r>
      <w:r w:rsidRPr="009C19C5">
        <w:rPr>
          <w:rFonts w:ascii="Times New Roman" w:eastAsia="Arial" w:hAnsi="Times New Roman" w:cs="Times New Roman"/>
          <w:sz w:val="24"/>
          <w:szCs w:val="24"/>
          <w:lang w:val="sr-Cyrl-RS"/>
        </w:rPr>
        <w:t xml:space="preserve"> у фазама биће сложен процес, са бројним изазовима да се обезбеди да се процес гашења правилно води и да се његови негативни утицаји сведу на минимум.</w:t>
      </w:r>
      <w:r w:rsidR="00423DAA" w:rsidRPr="009C19C5">
        <w:rPr>
          <w:rFonts w:ascii="Times New Roman" w:eastAsia="Arial" w:hAnsi="Times New Roman" w:cs="Times New Roman"/>
          <w:sz w:val="24"/>
          <w:szCs w:val="24"/>
          <w:lang w:val="sr-Cyrl-RS"/>
        </w:rPr>
        <w:t xml:space="preserve"> Због тога би за наведене руднике свакако требало размотрити пројекте којима би се утврдио могући утицај на запослене у ЈП ПЕУ Ресавица, на социо-економски развој општина Жагубица (рудник Јасеновац), Бољевац (рудник Боговина), Алексинац (рудник Алексинац) као и на процес праведне енергетске транзиције.</w:t>
      </w:r>
    </w:p>
    <w:bookmarkEnd w:id="20"/>
    <w:p w14:paraId="4743A230" w14:textId="203EDEDE" w:rsidR="00F276BC" w:rsidRPr="009C19C5" w:rsidRDefault="00E022AB" w:rsidP="00534A78">
      <w:pPr>
        <w:autoSpaceDE w:val="0"/>
        <w:autoSpaceDN w:val="0"/>
        <w:adjustRightInd w:val="0"/>
        <w:spacing w:after="0" w:line="240" w:lineRule="auto"/>
        <w:ind w:firstLine="720"/>
        <w:jc w:val="both"/>
        <w:rPr>
          <w:rFonts w:ascii="Times New Roman" w:eastAsia="Arial" w:hAnsi="Times New Roman" w:cs="Times New Roman"/>
          <w:sz w:val="24"/>
          <w:szCs w:val="24"/>
          <w:lang w:val="sr-Cyrl-RS"/>
        </w:rPr>
      </w:pPr>
      <w:r w:rsidRPr="009C19C5">
        <w:rPr>
          <w:rFonts w:ascii="Times New Roman" w:eastAsia="Arial" w:hAnsi="Times New Roman" w:cs="Times New Roman"/>
          <w:sz w:val="24"/>
          <w:szCs w:val="24"/>
          <w:lang w:val="sr-Cyrl-RS"/>
        </w:rPr>
        <w:t xml:space="preserve">Инструменти </w:t>
      </w:r>
      <w:r w:rsidR="000A0E4E" w:rsidRPr="009C19C5">
        <w:rPr>
          <w:rFonts w:ascii="Times New Roman" w:eastAsia="Arial" w:hAnsi="Times New Roman" w:cs="Times New Roman"/>
          <w:sz w:val="24"/>
          <w:szCs w:val="24"/>
          <w:lang w:val="sr-Cyrl-RS"/>
        </w:rPr>
        <w:t>и приступ социјалне заштите могу помоћи у ублажавању негативних последица потенцијалног затварања рудника угља по радну снагу и помоћи радницима у</w:t>
      </w:r>
      <w:r w:rsidR="001D1986" w:rsidRPr="009C19C5">
        <w:rPr>
          <w:rFonts w:ascii="Times New Roman" w:eastAsia="Arial" w:hAnsi="Times New Roman" w:cs="Times New Roman"/>
          <w:sz w:val="24"/>
          <w:szCs w:val="24"/>
          <w:lang w:val="sr-Cyrl-RS"/>
        </w:rPr>
        <w:t xml:space="preserve"> сектору рударства</w:t>
      </w:r>
      <w:r w:rsidR="00D30482" w:rsidRPr="009C19C5">
        <w:rPr>
          <w:rFonts w:ascii="Times New Roman" w:eastAsia="Arial" w:hAnsi="Times New Roman" w:cs="Times New Roman"/>
          <w:sz w:val="24"/>
          <w:szCs w:val="24"/>
          <w:lang w:val="sr-Cyrl-RS"/>
        </w:rPr>
        <w:t xml:space="preserve"> </w:t>
      </w:r>
      <w:r w:rsidR="000A0E4E" w:rsidRPr="009C19C5">
        <w:rPr>
          <w:rFonts w:ascii="Times New Roman" w:eastAsia="Arial" w:hAnsi="Times New Roman" w:cs="Times New Roman"/>
          <w:sz w:val="24"/>
          <w:szCs w:val="24"/>
          <w:lang w:val="sr-Cyrl-RS"/>
        </w:rPr>
        <w:t xml:space="preserve">да нађу нова продуктивна запослења. </w:t>
      </w:r>
      <w:r w:rsidR="0078151C" w:rsidRPr="009C19C5">
        <w:rPr>
          <w:rFonts w:ascii="Times New Roman" w:eastAsia="Arial" w:hAnsi="Times New Roman" w:cs="Times New Roman"/>
          <w:sz w:val="24"/>
          <w:szCs w:val="24"/>
          <w:lang w:val="sr-Cyrl-RS"/>
        </w:rPr>
        <w:t>Прерасподела радне снаге по другим рудницима, у</w:t>
      </w:r>
      <w:r w:rsidR="000A0E4E" w:rsidRPr="009C19C5">
        <w:rPr>
          <w:rFonts w:ascii="Times New Roman" w:eastAsia="Arial" w:hAnsi="Times New Roman" w:cs="Times New Roman"/>
          <w:sz w:val="24"/>
          <w:szCs w:val="24"/>
          <w:lang w:val="sr-Cyrl-RS"/>
        </w:rPr>
        <w:t xml:space="preserve">вођење активне политике тржишта рада, заједно са допуном дохотка и помоћним услугама, могу помоћи у решавању </w:t>
      </w:r>
      <w:r w:rsidR="000A0E4E" w:rsidRPr="009C19C5">
        <w:rPr>
          <w:rFonts w:ascii="Times New Roman" w:eastAsia="Arial" w:hAnsi="Times New Roman" w:cs="Times New Roman"/>
          <w:sz w:val="24"/>
          <w:szCs w:val="24"/>
          <w:lang w:val="sr-Cyrl-RS"/>
        </w:rPr>
        <w:lastRenderedPageBreak/>
        <w:t xml:space="preserve">незапослености, </w:t>
      </w:r>
      <w:r w:rsidR="00A3065D" w:rsidRPr="009C19C5">
        <w:rPr>
          <w:rFonts w:ascii="Times New Roman" w:eastAsia="Arial" w:hAnsi="Times New Roman" w:cs="Times New Roman"/>
          <w:sz w:val="24"/>
          <w:szCs w:val="24"/>
          <w:lang w:val="sr-Cyrl-RS"/>
        </w:rPr>
        <w:t xml:space="preserve">унапредити </w:t>
      </w:r>
      <w:r w:rsidR="000A0E4E" w:rsidRPr="009C19C5">
        <w:rPr>
          <w:rFonts w:ascii="Times New Roman" w:eastAsia="Arial" w:hAnsi="Times New Roman" w:cs="Times New Roman"/>
          <w:sz w:val="24"/>
          <w:szCs w:val="24"/>
          <w:lang w:val="sr-Cyrl-RS"/>
        </w:rPr>
        <w:t>људски капитал и бити од користи на многе друге начине.  Кључно питање је како осмислити и применити услуге социјалне заштите и рада на начин који би олакшао улагање приватног сектора у развој привреде и отварање нових радних места, а да се притом не претера са коришћ</w:t>
      </w:r>
      <w:r w:rsidR="00A3065D" w:rsidRPr="009C19C5">
        <w:rPr>
          <w:rFonts w:ascii="Times New Roman" w:eastAsia="Arial" w:hAnsi="Times New Roman" w:cs="Times New Roman"/>
          <w:sz w:val="24"/>
          <w:szCs w:val="24"/>
          <w:lang w:val="sr-Cyrl-RS"/>
        </w:rPr>
        <w:t>е</w:t>
      </w:r>
      <w:r w:rsidR="000A0E4E" w:rsidRPr="009C19C5">
        <w:rPr>
          <w:rFonts w:ascii="Times New Roman" w:eastAsia="Arial" w:hAnsi="Times New Roman" w:cs="Times New Roman"/>
          <w:sz w:val="24"/>
          <w:szCs w:val="24"/>
          <w:lang w:val="sr-Cyrl-RS"/>
        </w:rPr>
        <w:t>њем јавних ресурса. На нивоу политик</w:t>
      </w:r>
      <w:r w:rsidR="00A3065D" w:rsidRPr="009C19C5">
        <w:rPr>
          <w:rFonts w:ascii="Times New Roman" w:eastAsia="Arial" w:hAnsi="Times New Roman" w:cs="Times New Roman"/>
          <w:sz w:val="24"/>
          <w:szCs w:val="24"/>
          <w:lang w:val="sr-Cyrl-RS"/>
        </w:rPr>
        <w:t>a</w:t>
      </w:r>
      <w:r w:rsidR="000A0E4E" w:rsidRPr="009C19C5">
        <w:rPr>
          <w:rFonts w:ascii="Times New Roman" w:eastAsia="Arial" w:hAnsi="Times New Roman" w:cs="Times New Roman"/>
          <w:sz w:val="24"/>
          <w:szCs w:val="24"/>
          <w:lang w:val="sr-Cyrl-RS"/>
        </w:rPr>
        <w:t xml:space="preserve">, инструменти који помажу у ублажавању </w:t>
      </w:r>
      <w:r w:rsidR="00A3065D" w:rsidRPr="009C19C5">
        <w:rPr>
          <w:rFonts w:ascii="Times New Roman" w:eastAsia="Arial" w:hAnsi="Times New Roman" w:cs="Times New Roman"/>
          <w:sz w:val="24"/>
          <w:szCs w:val="24"/>
          <w:lang w:val="sr-Cyrl-RS"/>
        </w:rPr>
        <w:t xml:space="preserve">проблема вишка </w:t>
      </w:r>
      <w:r w:rsidR="000A0E4E" w:rsidRPr="009C19C5">
        <w:rPr>
          <w:rFonts w:ascii="Times New Roman" w:eastAsia="Arial" w:hAnsi="Times New Roman" w:cs="Times New Roman"/>
          <w:sz w:val="24"/>
          <w:szCs w:val="24"/>
          <w:lang w:val="sr-Cyrl-RS"/>
        </w:rPr>
        <w:t xml:space="preserve">радне снаге треба да </w:t>
      </w:r>
      <w:r w:rsidR="00A3065D" w:rsidRPr="009C19C5">
        <w:rPr>
          <w:rFonts w:ascii="Times New Roman" w:eastAsia="Arial" w:hAnsi="Times New Roman" w:cs="Times New Roman"/>
          <w:sz w:val="24"/>
          <w:szCs w:val="24"/>
          <w:lang w:val="sr-Cyrl-RS"/>
        </w:rPr>
        <w:t>буду</w:t>
      </w:r>
      <w:r w:rsidR="0095114E" w:rsidRPr="009C19C5">
        <w:rPr>
          <w:rFonts w:ascii="Times New Roman" w:eastAsia="Arial" w:hAnsi="Times New Roman" w:cs="Times New Roman"/>
          <w:sz w:val="24"/>
          <w:szCs w:val="24"/>
          <w:lang w:val="sr-Cyrl-RS"/>
        </w:rPr>
        <w:t xml:space="preserve"> </w:t>
      </w:r>
      <w:r w:rsidR="000A0E4E" w:rsidRPr="009C19C5">
        <w:rPr>
          <w:rFonts w:ascii="Times New Roman" w:eastAsia="Arial" w:hAnsi="Times New Roman" w:cs="Times New Roman"/>
          <w:sz w:val="24"/>
          <w:szCs w:val="24"/>
          <w:lang w:val="sr-Cyrl-RS"/>
        </w:rPr>
        <w:t>пра</w:t>
      </w:r>
      <w:r w:rsidR="00A3065D" w:rsidRPr="009C19C5">
        <w:rPr>
          <w:rFonts w:ascii="Times New Roman" w:eastAsia="Arial" w:hAnsi="Times New Roman" w:cs="Times New Roman"/>
          <w:sz w:val="24"/>
          <w:szCs w:val="24"/>
          <w:lang w:val="sr-Cyrl-RS"/>
        </w:rPr>
        <w:t>ћене</w:t>
      </w:r>
      <w:r w:rsidR="000A0E4E" w:rsidRPr="009C19C5">
        <w:rPr>
          <w:rFonts w:ascii="Times New Roman" w:eastAsia="Arial" w:hAnsi="Times New Roman" w:cs="Times New Roman"/>
          <w:sz w:val="24"/>
          <w:szCs w:val="24"/>
          <w:lang w:val="sr-Cyrl-RS"/>
        </w:rPr>
        <w:t xml:space="preserve"> реформ</w:t>
      </w:r>
      <w:r w:rsidR="00A3065D" w:rsidRPr="009C19C5">
        <w:rPr>
          <w:rFonts w:ascii="Times New Roman" w:eastAsia="Arial" w:hAnsi="Times New Roman" w:cs="Times New Roman"/>
          <w:sz w:val="24"/>
          <w:szCs w:val="24"/>
          <w:lang w:val="sr-Cyrl-RS"/>
        </w:rPr>
        <w:t>ама</w:t>
      </w:r>
      <w:r w:rsidR="000A0E4E" w:rsidRPr="009C19C5">
        <w:rPr>
          <w:rFonts w:ascii="Times New Roman" w:eastAsia="Arial" w:hAnsi="Times New Roman" w:cs="Times New Roman"/>
          <w:sz w:val="24"/>
          <w:szCs w:val="24"/>
          <w:lang w:val="sr-Cyrl-RS"/>
        </w:rPr>
        <w:t xml:space="preserve"> за промовисање развоја приватног сектора, уклањање препрека отварању нових радних места и модернизацију политика тржишта рада. </w:t>
      </w:r>
      <w:r w:rsidR="00A3065D" w:rsidRPr="009C19C5">
        <w:rPr>
          <w:rFonts w:ascii="Times New Roman" w:eastAsia="Arial" w:hAnsi="Times New Roman" w:cs="Times New Roman"/>
          <w:sz w:val="24"/>
          <w:szCs w:val="24"/>
          <w:lang w:val="sr-Cyrl-RS"/>
        </w:rPr>
        <w:t>Коначно</w:t>
      </w:r>
      <w:r w:rsidR="000A0E4E" w:rsidRPr="009C19C5">
        <w:rPr>
          <w:rFonts w:ascii="Times New Roman" w:eastAsia="Arial" w:hAnsi="Times New Roman" w:cs="Times New Roman"/>
          <w:sz w:val="24"/>
          <w:szCs w:val="24"/>
          <w:lang w:val="sr-Cyrl-RS"/>
        </w:rPr>
        <w:t>, ефикасан и континуиран дијалог и консултације показали су се као суштински елемент сваке стратегије прилагођавања у сектору угља.</w:t>
      </w:r>
    </w:p>
    <w:p w14:paraId="2B6809F5" w14:textId="7DC931F7" w:rsidR="00F276BC" w:rsidRPr="009C19C5" w:rsidRDefault="000A0E4E" w:rsidP="000C0046">
      <w:pPr>
        <w:pStyle w:val="Caption"/>
        <w:keepNext/>
        <w:spacing w:before="120" w:after="0" w:line="240" w:lineRule="auto"/>
        <w:jc w:val="left"/>
        <w:rPr>
          <w:rFonts w:ascii="Times New Roman" w:hAnsi="Times New Roman" w:cs="Times New Roman"/>
          <w:i w:val="0"/>
          <w:iCs w:val="0"/>
          <w:color w:val="auto"/>
          <w:sz w:val="20"/>
          <w:szCs w:val="20"/>
          <w:lang w:val="sr-Cyrl-RS"/>
        </w:rPr>
      </w:pPr>
      <w:r w:rsidRPr="009C19C5">
        <w:rPr>
          <w:rFonts w:ascii="Times New Roman" w:hAnsi="Times New Roman" w:cs="Times New Roman"/>
          <w:i w:val="0"/>
          <w:iCs w:val="0"/>
          <w:color w:val="auto"/>
          <w:sz w:val="20"/>
          <w:szCs w:val="20"/>
          <w:lang w:val="sr-Cyrl-RS"/>
        </w:rPr>
        <w:t xml:space="preserve">Табела </w:t>
      </w:r>
      <w:r w:rsidRPr="009C19C5">
        <w:rPr>
          <w:rFonts w:ascii="Times New Roman" w:hAnsi="Times New Roman" w:cs="Times New Roman"/>
          <w:i w:val="0"/>
          <w:iCs w:val="0"/>
          <w:color w:val="auto"/>
          <w:sz w:val="20"/>
          <w:szCs w:val="20"/>
          <w:lang w:val="sr-Cyrl-RS"/>
        </w:rPr>
        <w:fldChar w:fldCharType="begin"/>
      </w:r>
      <w:r w:rsidRPr="009C19C5">
        <w:rPr>
          <w:rFonts w:ascii="Times New Roman" w:hAnsi="Times New Roman" w:cs="Times New Roman"/>
          <w:i w:val="0"/>
          <w:iCs w:val="0"/>
          <w:color w:val="auto"/>
          <w:sz w:val="20"/>
          <w:szCs w:val="20"/>
          <w:lang w:val="sr-Cyrl-RS"/>
        </w:rPr>
        <w:instrText xml:space="preserve"> SEQ Table \* ARABIC </w:instrText>
      </w:r>
      <w:r w:rsidRPr="009C19C5">
        <w:rPr>
          <w:rFonts w:ascii="Times New Roman" w:hAnsi="Times New Roman" w:cs="Times New Roman"/>
          <w:i w:val="0"/>
          <w:iCs w:val="0"/>
          <w:color w:val="auto"/>
          <w:sz w:val="20"/>
          <w:szCs w:val="20"/>
          <w:lang w:val="sr-Cyrl-RS"/>
        </w:rPr>
        <w:fldChar w:fldCharType="separate"/>
      </w:r>
      <w:r w:rsidR="00D460A4">
        <w:rPr>
          <w:rFonts w:ascii="Times New Roman" w:hAnsi="Times New Roman" w:cs="Times New Roman"/>
          <w:i w:val="0"/>
          <w:iCs w:val="0"/>
          <w:noProof/>
          <w:color w:val="auto"/>
          <w:sz w:val="20"/>
          <w:szCs w:val="20"/>
          <w:lang w:val="sr-Cyrl-RS"/>
        </w:rPr>
        <w:t>2</w:t>
      </w:r>
      <w:r w:rsidRPr="009C19C5">
        <w:rPr>
          <w:rFonts w:ascii="Times New Roman" w:hAnsi="Times New Roman" w:cs="Times New Roman"/>
          <w:i w:val="0"/>
          <w:iCs w:val="0"/>
          <w:color w:val="auto"/>
          <w:sz w:val="20"/>
          <w:szCs w:val="20"/>
          <w:lang w:val="sr-Cyrl-RS"/>
        </w:rPr>
        <w:fldChar w:fldCharType="end"/>
      </w:r>
      <w:r w:rsidRPr="009C19C5">
        <w:rPr>
          <w:rFonts w:ascii="Times New Roman" w:hAnsi="Times New Roman" w:cs="Times New Roman"/>
          <w:i w:val="0"/>
          <w:iCs w:val="0"/>
          <w:color w:val="auto"/>
          <w:sz w:val="20"/>
          <w:szCs w:val="20"/>
          <w:lang w:val="sr-Cyrl-RS"/>
        </w:rPr>
        <w:t>: Ресавица-Рембас рудник угља</w:t>
      </w:r>
    </w:p>
    <w:tbl>
      <w:tblPr>
        <w:tblStyle w:val="TableGrid"/>
        <w:tblW w:w="4759" w:type="pct"/>
        <w:tblInd w:w="415" w:type="dxa"/>
        <w:tblLook w:val="04A0" w:firstRow="1" w:lastRow="0" w:firstColumn="1" w:lastColumn="0" w:noHBand="0" w:noVBand="1"/>
      </w:tblPr>
      <w:tblGrid>
        <w:gridCol w:w="1889"/>
        <w:gridCol w:w="3247"/>
        <w:gridCol w:w="2249"/>
        <w:gridCol w:w="2571"/>
      </w:tblGrid>
      <w:tr w:rsidR="00F276BC" w:rsidRPr="009C19C5" w14:paraId="462ED802" w14:textId="77777777" w:rsidTr="004A5AEC">
        <w:trPr>
          <w:trHeight w:val="414"/>
        </w:trPr>
        <w:tc>
          <w:tcPr>
            <w:tcW w:w="1888" w:type="dxa"/>
            <w:shd w:val="clear" w:color="auto" w:fill="auto"/>
            <w:noWrap/>
            <w:vAlign w:val="center"/>
          </w:tcPr>
          <w:p w14:paraId="5152D192" w14:textId="77777777" w:rsidR="00F276BC" w:rsidRPr="009C19C5" w:rsidRDefault="000A0E4E">
            <w:pPr>
              <w:spacing w:after="0" w:line="276" w:lineRule="auto"/>
              <w:jc w:val="center"/>
              <w:rPr>
                <w:rFonts w:ascii="Times New Roman" w:eastAsia="Arial" w:hAnsi="Times New Roman" w:cs="Times New Roman"/>
                <w:kern w:val="0"/>
                <w:sz w:val="20"/>
                <w:szCs w:val="20"/>
                <w:lang w:val="sr-Cyrl-RS"/>
                <w14:ligatures w14:val="none"/>
              </w:rPr>
            </w:pPr>
            <w:r w:rsidRPr="009C19C5">
              <w:rPr>
                <w:rFonts w:ascii="Times New Roman" w:eastAsia="Arial" w:hAnsi="Times New Roman" w:cs="Times New Roman"/>
                <w:kern w:val="0"/>
                <w:sz w:val="20"/>
                <w:szCs w:val="20"/>
                <w:lang w:val="sr-Cyrl-RS"/>
                <w14:ligatures w14:val="none"/>
              </w:rPr>
              <w:t>Рудник угља</w:t>
            </w:r>
          </w:p>
        </w:tc>
        <w:tc>
          <w:tcPr>
            <w:tcW w:w="3246" w:type="dxa"/>
            <w:shd w:val="clear" w:color="auto" w:fill="auto"/>
            <w:vAlign w:val="center"/>
          </w:tcPr>
          <w:p w14:paraId="713EB882" w14:textId="77777777" w:rsidR="00F276BC" w:rsidRPr="009C19C5" w:rsidRDefault="000A0E4E">
            <w:pPr>
              <w:spacing w:after="0" w:line="276" w:lineRule="auto"/>
              <w:jc w:val="center"/>
              <w:rPr>
                <w:rFonts w:ascii="Times New Roman" w:eastAsia="Arial" w:hAnsi="Times New Roman" w:cs="Times New Roman"/>
                <w:kern w:val="0"/>
                <w:sz w:val="20"/>
                <w:szCs w:val="20"/>
                <w:lang w:val="sr-Cyrl-RS"/>
                <w14:ligatures w14:val="none"/>
              </w:rPr>
            </w:pPr>
            <w:r w:rsidRPr="009C19C5">
              <w:rPr>
                <w:rFonts w:ascii="Times New Roman" w:eastAsia="Arial" w:hAnsi="Times New Roman" w:cs="Times New Roman"/>
                <w:kern w:val="0"/>
                <w:sz w:val="20"/>
                <w:szCs w:val="20"/>
                <w:lang w:val="sr-Cyrl-RS"/>
                <w14:ligatures w14:val="none"/>
              </w:rPr>
              <w:t>Просечна годишња производња угља (t)</w:t>
            </w:r>
          </w:p>
        </w:tc>
        <w:tc>
          <w:tcPr>
            <w:tcW w:w="2248" w:type="dxa"/>
            <w:shd w:val="clear" w:color="auto" w:fill="auto"/>
            <w:vAlign w:val="center"/>
          </w:tcPr>
          <w:p w14:paraId="0E3957B4" w14:textId="77777777" w:rsidR="00F276BC" w:rsidRPr="009C19C5" w:rsidRDefault="000A0E4E">
            <w:pPr>
              <w:spacing w:after="0" w:line="276" w:lineRule="auto"/>
              <w:jc w:val="center"/>
              <w:rPr>
                <w:rFonts w:ascii="Times New Roman" w:eastAsia="Arial" w:hAnsi="Times New Roman" w:cs="Times New Roman"/>
                <w:kern w:val="0"/>
                <w:sz w:val="20"/>
                <w:szCs w:val="20"/>
                <w:lang w:val="sr-Cyrl-RS"/>
                <w14:ligatures w14:val="none"/>
              </w:rPr>
            </w:pPr>
            <w:r w:rsidRPr="009C19C5">
              <w:rPr>
                <w:rFonts w:ascii="Times New Roman" w:eastAsia="Arial" w:hAnsi="Times New Roman" w:cs="Times New Roman"/>
                <w:kern w:val="0"/>
                <w:sz w:val="20"/>
                <w:szCs w:val="20"/>
                <w:lang w:val="sr-Cyrl-RS"/>
                <w14:ligatures w14:val="none"/>
              </w:rPr>
              <w:t>Запослени</w:t>
            </w:r>
          </w:p>
        </w:tc>
        <w:tc>
          <w:tcPr>
            <w:tcW w:w="2570" w:type="dxa"/>
            <w:shd w:val="clear" w:color="auto" w:fill="auto"/>
            <w:noWrap/>
            <w:vAlign w:val="center"/>
          </w:tcPr>
          <w:p w14:paraId="48E64D43" w14:textId="77777777" w:rsidR="00F276BC" w:rsidRPr="009C19C5" w:rsidRDefault="000A0E4E">
            <w:pPr>
              <w:spacing w:after="0" w:line="276" w:lineRule="auto"/>
              <w:jc w:val="center"/>
              <w:rPr>
                <w:rFonts w:ascii="Times New Roman" w:eastAsia="Arial" w:hAnsi="Times New Roman" w:cs="Times New Roman"/>
                <w:kern w:val="0"/>
                <w:sz w:val="20"/>
                <w:szCs w:val="20"/>
                <w:lang w:val="sr-Cyrl-RS"/>
                <w14:ligatures w14:val="none"/>
              </w:rPr>
            </w:pPr>
            <w:r w:rsidRPr="009C19C5">
              <w:rPr>
                <w:rFonts w:ascii="Times New Roman" w:eastAsia="Arial" w:hAnsi="Times New Roman" w:cs="Times New Roman"/>
                <w:kern w:val="0"/>
                <w:sz w:val="20"/>
                <w:szCs w:val="20"/>
                <w:lang w:val="sr-Cyrl-RS"/>
                <w14:ligatures w14:val="none"/>
              </w:rPr>
              <w:t>Општине</w:t>
            </w:r>
          </w:p>
        </w:tc>
      </w:tr>
      <w:tr w:rsidR="00F276BC" w:rsidRPr="009C19C5" w14:paraId="40E0780C" w14:textId="77777777" w:rsidTr="004A5AEC">
        <w:trPr>
          <w:trHeight w:val="18"/>
        </w:trPr>
        <w:tc>
          <w:tcPr>
            <w:tcW w:w="1888" w:type="dxa"/>
            <w:vAlign w:val="center"/>
          </w:tcPr>
          <w:p w14:paraId="0E21A84F" w14:textId="77777777" w:rsidR="00F276BC" w:rsidRPr="009C19C5" w:rsidRDefault="000A0E4E">
            <w:pPr>
              <w:spacing w:after="0" w:line="276" w:lineRule="auto"/>
              <w:jc w:val="center"/>
              <w:rPr>
                <w:rFonts w:ascii="Times New Roman" w:eastAsia="Arial" w:hAnsi="Times New Roman" w:cs="Times New Roman"/>
                <w:kern w:val="0"/>
                <w:sz w:val="20"/>
                <w:szCs w:val="20"/>
                <w:lang w:val="sr-Cyrl-RS"/>
                <w14:ligatures w14:val="none"/>
              </w:rPr>
            </w:pPr>
            <w:r w:rsidRPr="009C19C5">
              <w:rPr>
                <w:rFonts w:ascii="Times New Roman" w:eastAsia="Arial" w:hAnsi="Times New Roman" w:cs="Times New Roman"/>
                <w:kern w:val="0"/>
                <w:sz w:val="20"/>
                <w:szCs w:val="20"/>
                <w:lang w:val="sr-Cyrl-RS"/>
                <w14:ligatures w14:val="none"/>
              </w:rPr>
              <w:t>Ресавица-Рембас</w:t>
            </w:r>
          </w:p>
        </w:tc>
        <w:tc>
          <w:tcPr>
            <w:tcW w:w="3246" w:type="dxa"/>
            <w:vAlign w:val="center"/>
          </w:tcPr>
          <w:p w14:paraId="3C42A189" w14:textId="77777777" w:rsidR="00F276BC" w:rsidRPr="009C19C5" w:rsidRDefault="000A0E4E">
            <w:pPr>
              <w:spacing w:after="0" w:line="276" w:lineRule="auto"/>
              <w:jc w:val="center"/>
              <w:rPr>
                <w:rFonts w:ascii="Times New Roman" w:eastAsia="Arial" w:hAnsi="Times New Roman" w:cs="Times New Roman"/>
                <w:kern w:val="0"/>
                <w:sz w:val="20"/>
                <w:szCs w:val="20"/>
                <w:lang w:val="sr-Cyrl-RS"/>
                <w14:ligatures w14:val="none"/>
              </w:rPr>
            </w:pPr>
            <w:r w:rsidRPr="009C19C5">
              <w:rPr>
                <w:rFonts w:ascii="Times New Roman" w:eastAsia="Arial" w:hAnsi="Times New Roman" w:cs="Times New Roman"/>
                <w:kern w:val="0"/>
                <w:sz w:val="20"/>
                <w:szCs w:val="20"/>
                <w:lang w:val="sr-Cyrl-RS"/>
                <w14:ligatures w14:val="none"/>
              </w:rPr>
              <w:t>120.000-160.000</w:t>
            </w:r>
          </w:p>
        </w:tc>
        <w:tc>
          <w:tcPr>
            <w:tcW w:w="2248" w:type="dxa"/>
            <w:vAlign w:val="center"/>
          </w:tcPr>
          <w:p w14:paraId="58B7E8C9" w14:textId="37AC5213" w:rsidR="000C0046" w:rsidRPr="009C19C5" w:rsidRDefault="000A0E4E" w:rsidP="000C0046">
            <w:pPr>
              <w:spacing w:after="0" w:line="276" w:lineRule="auto"/>
              <w:jc w:val="center"/>
              <w:rPr>
                <w:rFonts w:ascii="Times New Roman" w:eastAsia="Arial" w:hAnsi="Times New Roman" w:cs="Times New Roman"/>
                <w:kern w:val="0"/>
                <w:sz w:val="20"/>
                <w:szCs w:val="20"/>
                <w:lang w:val="sr-Cyrl-RS"/>
                <w14:ligatures w14:val="none"/>
              </w:rPr>
            </w:pPr>
            <w:r w:rsidRPr="009C19C5">
              <w:rPr>
                <w:rFonts w:ascii="Times New Roman" w:eastAsia="Arial" w:hAnsi="Times New Roman" w:cs="Times New Roman"/>
                <w:kern w:val="0"/>
                <w:sz w:val="20"/>
                <w:szCs w:val="20"/>
                <w:lang w:val="sr-Cyrl-RS"/>
                <w14:ligatures w14:val="none"/>
              </w:rPr>
              <w:t>1.095 (2021</w:t>
            </w:r>
            <w:r w:rsidR="005C5B27">
              <w:rPr>
                <w:rFonts w:ascii="Times New Roman" w:eastAsia="Arial" w:hAnsi="Times New Roman" w:cs="Times New Roman"/>
                <w:kern w:val="0"/>
                <w:sz w:val="20"/>
                <w:szCs w:val="20"/>
                <w:lang w:val="sr-Cyrl-RS"/>
                <w14:ligatures w14:val="none"/>
              </w:rPr>
              <w:t>.</w:t>
            </w:r>
            <w:r w:rsidRPr="009C19C5">
              <w:rPr>
                <w:rFonts w:ascii="Times New Roman" w:eastAsia="Arial" w:hAnsi="Times New Roman" w:cs="Times New Roman"/>
                <w:kern w:val="0"/>
                <w:sz w:val="20"/>
                <w:szCs w:val="20"/>
                <w:lang w:val="sr-Cyrl-RS"/>
                <w14:ligatures w14:val="none"/>
              </w:rPr>
              <w:t xml:space="preserve"> године)</w:t>
            </w:r>
          </w:p>
          <w:p w14:paraId="633BDF82" w14:textId="68D577CB" w:rsidR="00F276BC" w:rsidRPr="009C19C5" w:rsidRDefault="000A0E4E" w:rsidP="000C0046">
            <w:pPr>
              <w:spacing w:after="0" w:line="276" w:lineRule="auto"/>
              <w:jc w:val="center"/>
              <w:rPr>
                <w:rFonts w:ascii="Times New Roman" w:eastAsia="Arial" w:hAnsi="Times New Roman" w:cs="Times New Roman"/>
                <w:kern w:val="0"/>
                <w:sz w:val="20"/>
                <w:szCs w:val="20"/>
                <w:lang w:val="sr-Cyrl-RS"/>
                <w14:ligatures w14:val="none"/>
              </w:rPr>
            </w:pPr>
            <w:r w:rsidRPr="009C19C5">
              <w:rPr>
                <w:rFonts w:ascii="Times New Roman" w:eastAsia="Arial" w:hAnsi="Times New Roman" w:cs="Times New Roman"/>
                <w:kern w:val="0"/>
                <w:sz w:val="20"/>
                <w:szCs w:val="20"/>
                <w:lang w:val="sr-Cyrl-RS"/>
                <w14:ligatures w14:val="none"/>
              </w:rPr>
              <w:t>1.074 (2022</w:t>
            </w:r>
            <w:r w:rsidR="005C5B27">
              <w:rPr>
                <w:rFonts w:ascii="Times New Roman" w:eastAsia="Arial" w:hAnsi="Times New Roman" w:cs="Times New Roman"/>
                <w:kern w:val="0"/>
                <w:sz w:val="20"/>
                <w:szCs w:val="20"/>
                <w:lang w:val="sr-Cyrl-RS"/>
                <w14:ligatures w14:val="none"/>
              </w:rPr>
              <w:t>.</w:t>
            </w:r>
            <w:r w:rsidRPr="009C19C5">
              <w:rPr>
                <w:rFonts w:ascii="Times New Roman" w:eastAsia="Arial" w:hAnsi="Times New Roman" w:cs="Times New Roman"/>
                <w:kern w:val="0"/>
                <w:sz w:val="20"/>
                <w:szCs w:val="20"/>
                <w:lang w:val="sr-Cyrl-RS"/>
                <w14:ligatures w14:val="none"/>
              </w:rPr>
              <w:t xml:space="preserve"> године)</w:t>
            </w:r>
            <w:r w:rsidRPr="009C19C5">
              <w:rPr>
                <w:rStyle w:val="FootnoteReference"/>
                <w:rFonts w:ascii="Times New Roman" w:eastAsia="Arial" w:hAnsi="Times New Roman" w:cs="Times New Roman"/>
                <w:kern w:val="0"/>
                <w:sz w:val="20"/>
                <w:szCs w:val="20"/>
                <w:lang w:val="sr-Cyrl-RS"/>
                <w14:ligatures w14:val="none"/>
              </w:rPr>
              <w:footnoteReference w:id="1"/>
            </w:r>
          </w:p>
        </w:tc>
        <w:tc>
          <w:tcPr>
            <w:tcW w:w="2570" w:type="dxa"/>
            <w:vAlign w:val="center"/>
          </w:tcPr>
          <w:p w14:paraId="0AFA56CC" w14:textId="77777777" w:rsidR="00F276BC" w:rsidRPr="009C19C5" w:rsidRDefault="000A0E4E">
            <w:pPr>
              <w:spacing w:after="0" w:line="276" w:lineRule="auto"/>
              <w:jc w:val="center"/>
              <w:rPr>
                <w:rFonts w:ascii="Times New Roman" w:eastAsia="Arial" w:hAnsi="Times New Roman" w:cs="Times New Roman"/>
                <w:kern w:val="0"/>
                <w:sz w:val="20"/>
                <w:szCs w:val="20"/>
                <w:lang w:val="sr-Cyrl-RS" w:eastAsia="el-GR"/>
                <w14:ligatures w14:val="none"/>
              </w:rPr>
            </w:pPr>
            <w:r w:rsidRPr="009C19C5">
              <w:rPr>
                <w:rFonts w:ascii="Times New Roman" w:eastAsia="Arial" w:hAnsi="Times New Roman" w:cs="Times New Roman"/>
                <w:kern w:val="0"/>
                <w:sz w:val="20"/>
                <w:szCs w:val="20"/>
                <w:lang w:val="sr-Cyrl-RS"/>
                <w14:ligatures w14:val="none"/>
              </w:rPr>
              <w:t>Деспотовац</w:t>
            </w:r>
          </w:p>
        </w:tc>
      </w:tr>
    </w:tbl>
    <w:p w14:paraId="57552D6B" w14:textId="77777777" w:rsidR="004A5AEC" w:rsidRPr="009C19C5" w:rsidRDefault="004A5AEC" w:rsidP="004A5AEC">
      <w:pPr>
        <w:spacing w:after="0" w:line="240" w:lineRule="auto"/>
        <w:ind w:firstLine="720"/>
        <w:jc w:val="both"/>
        <w:rPr>
          <w:rFonts w:ascii="Times New Roman" w:eastAsia="Arial" w:hAnsi="Times New Roman" w:cs="Times New Roman"/>
          <w:kern w:val="0"/>
          <w:sz w:val="24"/>
          <w:szCs w:val="24"/>
          <w:lang w:val="sr-Cyrl-RS" w:eastAsia="el-GR"/>
          <w14:ligatures w14:val="none"/>
        </w:rPr>
      </w:pPr>
      <w:bookmarkStart w:id="21" w:name="_Hlk202345452"/>
    </w:p>
    <w:p w14:paraId="3A2ACCC4" w14:textId="1C9C857A" w:rsidR="004A5AEC" w:rsidRPr="009C19C5" w:rsidRDefault="004A5AEC" w:rsidP="004A5AEC">
      <w:pPr>
        <w:spacing w:after="0" w:line="240" w:lineRule="auto"/>
        <w:ind w:firstLine="720"/>
        <w:jc w:val="both"/>
        <w:rPr>
          <w:rFonts w:ascii="Times New Roman" w:eastAsia="Arial" w:hAnsi="Times New Roman" w:cs="Times New Roman"/>
          <w:kern w:val="0"/>
          <w:sz w:val="24"/>
          <w:szCs w:val="24"/>
          <w:lang w:val="sr-Cyrl-RS" w:eastAsia="el-GR"/>
          <w14:ligatures w14:val="none"/>
        </w:rPr>
      </w:pPr>
      <w:r w:rsidRPr="009C19C5">
        <w:rPr>
          <w:rFonts w:ascii="Times New Roman" w:eastAsia="Arial" w:hAnsi="Times New Roman" w:cs="Times New Roman"/>
          <w:kern w:val="0"/>
          <w:sz w:val="24"/>
          <w:szCs w:val="24"/>
          <w:lang w:val="sr-Cyrl-RS" w:eastAsia="el-GR"/>
          <w14:ligatures w14:val="none"/>
        </w:rPr>
        <w:t>Координација и сарадња између Владе, ЈП ПЕУ Ресавице и локалних самоуправа од кључног је значаја за осмишљавање и обезбеђивање програма за развој области погођених затварањем рудника како би се избегло даље сиромашење и миграције становништва са тих подручја.</w:t>
      </w:r>
    </w:p>
    <w:p w14:paraId="4BCFE87C" w14:textId="00B97618" w:rsidR="00F276BC" w:rsidRPr="009C19C5" w:rsidRDefault="00BA7CED" w:rsidP="001D42EF">
      <w:pPr>
        <w:pStyle w:val="Heading3"/>
        <w:keepNext w:val="0"/>
        <w:keepLines w:val="0"/>
        <w:spacing w:before="120" w:line="276" w:lineRule="auto"/>
        <w:ind w:left="720" w:right="1151"/>
        <w:jc w:val="center"/>
        <w:rPr>
          <w:rFonts w:ascii="Times New Roman" w:eastAsiaTheme="minorEastAsia" w:hAnsi="Times New Roman" w:cs="Times New Roman"/>
          <w:b w:val="0"/>
          <w:color w:val="auto"/>
          <w:kern w:val="0"/>
          <w:lang w:val="sr-Cyrl-RS"/>
          <w14:ligatures w14:val="none"/>
        </w:rPr>
      </w:pPr>
      <w:bookmarkStart w:id="22" w:name="_Toc183082933"/>
      <w:bookmarkStart w:id="23" w:name="_Toc166756394"/>
      <w:bookmarkStart w:id="24" w:name="_Toc115450242"/>
      <w:bookmarkEnd w:id="21"/>
      <w:r w:rsidRPr="009C19C5">
        <w:rPr>
          <w:rFonts w:ascii="Times New Roman" w:eastAsiaTheme="minorEastAsia" w:hAnsi="Times New Roman" w:cs="Times New Roman"/>
          <w:b w:val="0"/>
          <w:color w:val="auto"/>
          <w:kern w:val="0"/>
          <w:lang w:val="sr-Cyrl-RS"/>
          <w14:ligatures w14:val="none"/>
        </w:rPr>
        <w:t>4.3.</w:t>
      </w:r>
      <w:r w:rsidR="000A0E4E" w:rsidRPr="009C19C5">
        <w:rPr>
          <w:rFonts w:ascii="Times New Roman" w:eastAsiaTheme="minorEastAsia" w:hAnsi="Times New Roman" w:cs="Times New Roman"/>
          <w:b w:val="0"/>
          <w:color w:val="auto"/>
          <w:kern w:val="0"/>
          <w:lang w:val="sr-Cyrl-RS"/>
          <w14:ligatures w14:val="none"/>
        </w:rPr>
        <w:t xml:space="preserve"> Запосленост у </w:t>
      </w:r>
      <w:r w:rsidRPr="009C19C5">
        <w:rPr>
          <w:rFonts w:ascii="Times New Roman" w:eastAsiaTheme="minorEastAsia" w:hAnsi="Times New Roman" w:cs="Times New Roman"/>
          <w:b w:val="0"/>
          <w:color w:val="auto"/>
          <w:kern w:val="0"/>
          <w:lang w:val="sr-Cyrl-RS"/>
          <w14:ligatures w14:val="none"/>
        </w:rPr>
        <w:t xml:space="preserve">производњи </w:t>
      </w:r>
      <w:r w:rsidR="000A0E4E" w:rsidRPr="009C19C5">
        <w:rPr>
          <w:rFonts w:ascii="Times New Roman" w:eastAsiaTheme="minorEastAsia" w:hAnsi="Times New Roman" w:cs="Times New Roman"/>
          <w:b w:val="0"/>
          <w:color w:val="auto"/>
          <w:kern w:val="0"/>
          <w:lang w:val="sr-Cyrl-RS"/>
          <w14:ligatures w14:val="none"/>
        </w:rPr>
        <w:t>угља и ТЕ сектору</w:t>
      </w:r>
      <w:bookmarkEnd w:id="22"/>
      <w:bookmarkEnd w:id="23"/>
      <w:bookmarkEnd w:id="24"/>
    </w:p>
    <w:p w14:paraId="16F8672A" w14:textId="07B0A4EE" w:rsidR="0025193D" w:rsidRPr="009C19C5" w:rsidRDefault="000A0E4E" w:rsidP="00586FF9">
      <w:pPr>
        <w:pStyle w:val="NormalWeb"/>
        <w:shd w:val="clear" w:color="auto" w:fill="FFFFFF"/>
        <w:spacing w:before="120" w:after="0" w:line="240" w:lineRule="auto"/>
        <w:ind w:firstLine="720"/>
        <w:jc w:val="both"/>
        <w:rPr>
          <w:rFonts w:ascii="Times New Roman" w:eastAsia="Calibri" w:hAnsi="Times New Roman" w:cs="Times New Roman"/>
          <w:lang w:val="sr-Cyrl-RS"/>
        </w:rPr>
      </w:pPr>
      <w:r w:rsidRPr="009C19C5">
        <w:rPr>
          <w:rFonts w:ascii="Times New Roman" w:eastAsia="Calibri" w:hAnsi="Times New Roman" w:cs="Times New Roman"/>
          <w:lang w:val="sr-Cyrl-RS"/>
        </w:rPr>
        <w:t xml:space="preserve">Сектор рударства и пратећа производња електричне енергије су велики послодавци, при чему </w:t>
      </w:r>
      <w:r w:rsidR="00A7582E" w:rsidRPr="009C19C5">
        <w:rPr>
          <w:rFonts w:ascii="Times New Roman" w:eastAsia="Calibri" w:hAnsi="Times New Roman" w:cs="Times New Roman"/>
          <w:lang w:val="sr-Cyrl-RS"/>
        </w:rPr>
        <w:t>ЕПС АД</w:t>
      </w:r>
      <w:r w:rsidRPr="009C19C5">
        <w:rPr>
          <w:rFonts w:ascii="Times New Roman" w:eastAsia="Calibri" w:hAnsi="Times New Roman" w:cs="Times New Roman"/>
          <w:lang w:val="sr-Cyrl-RS"/>
        </w:rPr>
        <w:t xml:space="preserve"> </w:t>
      </w:r>
      <w:r w:rsidR="001D1986" w:rsidRPr="009C19C5">
        <w:rPr>
          <w:rFonts w:ascii="Times New Roman" w:eastAsia="Calibri" w:hAnsi="Times New Roman" w:cs="Times New Roman"/>
          <w:lang w:val="sr-Cyrl-RS"/>
        </w:rPr>
        <w:t xml:space="preserve">има </w:t>
      </w:r>
      <w:r w:rsidRPr="009C19C5">
        <w:rPr>
          <w:rFonts w:ascii="Times New Roman" w:eastAsia="Calibri" w:hAnsi="Times New Roman" w:cs="Times New Roman"/>
          <w:lang w:val="sr-Cyrl-RS"/>
        </w:rPr>
        <w:t>укупно 15.769 запослених (подаци из 2023.</w:t>
      </w:r>
      <w:r w:rsidR="00515385" w:rsidRPr="009C19C5">
        <w:rPr>
          <w:rFonts w:ascii="Times New Roman" w:eastAsia="Calibri" w:hAnsi="Times New Roman" w:cs="Times New Roman"/>
          <w:lang w:val="sr-Cyrl-RS"/>
        </w:rPr>
        <w:t xml:space="preserve"> </w:t>
      </w:r>
      <w:r w:rsidR="00867E4F" w:rsidRPr="009C19C5">
        <w:rPr>
          <w:rFonts w:ascii="Times New Roman" w:eastAsia="Calibri" w:hAnsi="Times New Roman" w:cs="Times New Roman"/>
          <w:lang w:val="sr-Cyrl-RS"/>
        </w:rPr>
        <w:t>године</w:t>
      </w:r>
      <w:r w:rsidRPr="009C19C5">
        <w:rPr>
          <w:rFonts w:ascii="Times New Roman" w:eastAsia="Calibri" w:hAnsi="Times New Roman" w:cs="Times New Roman"/>
          <w:lang w:val="sr-Cyrl-RS"/>
        </w:rPr>
        <w:t>), а Про</w:t>
      </w:r>
      <w:r w:rsidR="001D1986" w:rsidRPr="009C19C5">
        <w:rPr>
          <w:rFonts w:ascii="Times New Roman" w:eastAsia="Calibri" w:hAnsi="Times New Roman" w:cs="Times New Roman"/>
          <w:lang w:val="sr-Cyrl-RS"/>
        </w:rPr>
        <w:t xml:space="preserve"> </w:t>
      </w:r>
      <w:r w:rsidRPr="009C19C5">
        <w:rPr>
          <w:rFonts w:ascii="Times New Roman" w:eastAsia="Calibri" w:hAnsi="Times New Roman" w:cs="Times New Roman"/>
          <w:lang w:val="sr-Cyrl-RS"/>
        </w:rPr>
        <w:t>Т</w:t>
      </w:r>
      <w:r w:rsidR="001D1986" w:rsidRPr="009C19C5">
        <w:rPr>
          <w:rFonts w:ascii="Times New Roman" w:eastAsia="Calibri" w:hAnsi="Times New Roman" w:cs="Times New Roman"/>
          <w:lang w:val="sr-Cyrl-RS"/>
        </w:rPr>
        <w:t>ент</w:t>
      </w:r>
      <w:r w:rsidRPr="009C19C5">
        <w:rPr>
          <w:rFonts w:ascii="Times New Roman" w:eastAsia="Calibri" w:hAnsi="Times New Roman" w:cs="Times New Roman"/>
          <w:lang w:val="sr-Cyrl-RS"/>
        </w:rPr>
        <w:t xml:space="preserve"> 5.954 запослених, чији је рад повезан са колубарским и костолачким басеном. </w:t>
      </w:r>
      <w:r w:rsidR="001D1986" w:rsidRPr="009C19C5">
        <w:rPr>
          <w:rFonts w:ascii="Times New Roman" w:eastAsia="Calibri" w:hAnsi="Times New Roman" w:cs="Times New Roman"/>
          <w:lang w:val="sr-Cyrl-RS"/>
        </w:rPr>
        <w:t xml:space="preserve">ЈП </w:t>
      </w:r>
      <w:r w:rsidRPr="009C19C5">
        <w:rPr>
          <w:rFonts w:ascii="Times New Roman" w:eastAsia="Calibri" w:hAnsi="Times New Roman" w:cs="Times New Roman"/>
          <w:lang w:val="sr-Cyrl-RS"/>
        </w:rPr>
        <w:t>ПЕУ Ресавица има укупно 3.565 запослених</w:t>
      </w:r>
      <w:r w:rsidRPr="009C19C5">
        <w:rPr>
          <w:rStyle w:val="FootnoteReference"/>
          <w:rFonts w:ascii="Times New Roman" w:eastAsia="Calibri" w:hAnsi="Times New Roman" w:cs="Times New Roman"/>
          <w:lang w:val="sr-Cyrl-RS"/>
        </w:rPr>
        <w:footnoteReference w:id="2"/>
      </w:r>
      <w:r w:rsidRPr="009C19C5">
        <w:rPr>
          <w:rFonts w:ascii="Times New Roman" w:eastAsia="Calibri" w:hAnsi="Times New Roman" w:cs="Times New Roman"/>
          <w:lang w:val="sr-Cyrl-RS"/>
        </w:rPr>
        <w:t>.</w:t>
      </w:r>
      <w:r w:rsidR="0025193D" w:rsidRPr="009C19C5">
        <w:rPr>
          <w:rFonts w:ascii="Times New Roman" w:eastAsia="Calibri" w:hAnsi="Times New Roman" w:cs="Times New Roman"/>
          <w:lang w:val="sr-Cyrl-RS"/>
        </w:rPr>
        <w:t xml:space="preserve"> У 2023. години укупно је у рудницима Колубара и Костолац било 16.120 запослених. Ова бројка обухвата запослене у </w:t>
      </w:r>
      <w:r w:rsidR="00A7582E" w:rsidRPr="009C19C5">
        <w:rPr>
          <w:rFonts w:ascii="Times New Roman" w:eastAsia="Calibri" w:hAnsi="Times New Roman" w:cs="Times New Roman"/>
          <w:lang w:val="sr-Cyrl-RS"/>
        </w:rPr>
        <w:t xml:space="preserve">ЕПС АД </w:t>
      </w:r>
      <w:r w:rsidR="0025193D" w:rsidRPr="009C19C5">
        <w:rPr>
          <w:rFonts w:ascii="Times New Roman" w:eastAsia="Calibri" w:hAnsi="Times New Roman" w:cs="Times New Roman"/>
          <w:lang w:val="sr-Cyrl-RS"/>
        </w:rPr>
        <w:t xml:space="preserve">и Про Тенту. Заједно са рудницима Ресавица, укупан број запослених у сектору угља износи приближно 20.000, као што је приказано </w:t>
      </w:r>
      <w:r w:rsidR="004A5AEC" w:rsidRPr="009C19C5">
        <w:rPr>
          <w:rFonts w:ascii="Times New Roman" w:eastAsia="Calibri" w:hAnsi="Times New Roman" w:cs="Times New Roman"/>
          <w:lang w:val="sr-Cyrl-RS"/>
        </w:rPr>
        <w:t>у</w:t>
      </w:r>
      <w:r w:rsidR="0025193D" w:rsidRPr="009C19C5">
        <w:rPr>
          <w:rFonts w:ascii="Times New Roman" w:eastAsia="Calibri" w:hAnsi="Times New Roman" w:cs="Times New Roman"/>
          <w:lang w:val="sr-Cyrl-RS"/>
        </w:rPr>
        <w:t xml:space="preserve"> </w:t>
      </w:r>
      <w:r w:rsidR="00D11528" w:rsidRPr="009C19C5">
        <w:rPr>
          <w:rFonts w:ascii="Times New Roman" w:eastAsia="Calibri" w:hAnsi="Times New Roman" w:cs="Times New Roman"/>
          <w:lang w:val="sr-Cyrl-RS"/>
        </w:rPr>
        <w:t>Т</w:t>
      </w:r>
      <w:r w:rsidR="0025193D" w:rsidRPr="009C19C5">
        <w:rPr>
          <w:rFonts w:ascii="Times New Roman" w:eastAsia="Calibri" w:hAnsi="Times New Roman" w:cs="Times New Roman"/>
          <w:lang w:val="sr-Cyrl-RS"/>
        </w:rPr>
        <w:t>абели</w:t>
      </w:r>
      <w:r w:rsidR="004A5AEC" w:rsidRPr="009C19C5">
        <w:rPr>
          <w:rFonts w:ascii="Times New Roman" w:eastAsia="Calibri" w:hAnsi="Times New Roman" w:cs="Times New Roman"/>
          <w:lang w:val="sr-Cyrl-RS"/>
        </w:rPr>
        <w:t xml:space="preserve"> 3</w:t>
      </w:r>
      <w:r w:rsidR="0025193D" w:rsidRPr="009C19C5">
        <w:rPr>
          <w:rFonts w:ascii="Times New Roman" w:eastAsia="Calibri" w:hAnsi="Times New Roman" w:cs="Times New Roman"/>
          <w:lang w:val="sr-Cyrl-RS"/>
        </w:rPr>
        <w:t xml:space="preserve">: </w:t>
      </w:r>
    </w:p>
    <w:p w14:paraId="348E192D" w14:textId="42595F6B" w:rsidR="00F276BC" w:rsidRPr="009C19C5" w:rsidRDefault="000A0E4E" w:rsidP="000C0046">
      <w:pPr>
        <w:pStyle w:val="Caption"/>
        <w:keepNext/>
        <w:spacing w:before="120" w:after="0" w:line="240" w:lineRule="auto"/>
        <w:jc w:val="left"/>
        <w:rPr>
          <w:rFonts w:ascii="Times New Roman" w:hAnsi="Times New Roman" w:cs="Times New Roman"/>
          <w:i w:val="0"/>
          <w:iCs w:val="0"/>
          <w:color w:val="auto"/>
          <w:sz w:val="20"/>
          <w:szCs w:val="20"/>
          <w:lang w:val="sr-Cyrl-RS"/>
        </w:rPr>
      </w:pPr>
      <w:r w:rsidRPr="009C19C5">
        <w:rPr>
          <w:rFonts w:ascii="Times New Roman" w:hAnsi="Times New Roman" w:cs="Times New Roman"/>
          <w:i w:val="0"/>
          <w:iCs w:val="0"/>
          <w:color w:val="auto"/>
          <w:sz w:val="20"/>
          <w:szCs w:val="20"/>
          <w:lang w:val="sr-Cyrl-RS"/>
        </w:rPr>
        <w:t xml:space="preserve">Табела 3: Број запослених у ископавању угља у </w:t>
      </w:r>
      <w:r w:rsidR="007D4593" w:rsidRPr="009C19C5">
        <w:rPr>
          <w:rFonts w:ascii="Times New Roman" w:hAnsi="Times New Roman" w:cs="Times New Roman"/>
          <w:i w:val="0"/>
          <w:iCs w:val="0"/>
          <w:color w:val="auto"/>
          <w:sz w:val="20"/>
          <w:szCs w:val="20"/>
          <w:lang w:val="sr-Cyrl-RS"/>
        </w:rPr>
        <w:t xml:space="preserve">Републици </w:t>
      </w:r>
      <w:r w:rsidRPr="009C19C5">
        <w:rPr>
          <w:rFonts w:ascii="Times New Roman" w:hAnsi="Times New Roman" w:cs="Times New Roman"/>
          <w:i w:val="0"/>
          <w:iCs w:val="0"/>
          <w:color w:val="auto"/>
          <w:sz w:val="20"/>
          <w:szCs w:val="20"/>
          <w:lang w:val="sr-Cyrl-RS"/>
        </w:rPr>
        <w:t xml:space="preserve">Србији (Ресавица, </w:t>
      </w:r>
      <w:r w:rsidR="00A7582E" w:rsidRPr="009C19C5">
        <w:rPr>
          <w:rFonts w:ascii="Times New Roman" w:hAnsi="Times New Roman" w:cs="Times New Roman"/>
          <w:i w:val="0"/>
          <w:iCs w:val="0"/>
          <w:color w:val="auto"/>
          <w:sz w:val="20"/>
          <w:szCs w:val="20"/>
          <w:lang w:val="sr-Cyrl-RS"/>
        </w:rPr>
        <w:t>ЕПС АД</w:t>
      </w:r>
      <w:r w:rsidRPr="009C19C5">
        <w:rPr>
          <w:rFonts w:ascii="Times New Roman" w:hAnsi="Times New Roman" w:cs="Times New Roman"/>
          <w:i w:val="0"/>
          <w:iCs w:val="0"/>
          <w:color w:val="auto"/>
          <w:sz w:val="20"/>
          <w:szCs w:val="20"/>
          <w:lang w:val="sr-Cyrl-RS"/>
        </w:rPr>
        <w:t xml:space="preserve"> (подаци из</w:t>
      </w:r>
      <w:r w:rsidR="008C32B0" w:rsidRPr="009C19C5">
        <w:rPr>
          <w:rFonts w:ascii="Times New Roman" w:hAnsi="Times New Roman" w:cs="Times New Roman"/>
          <w:i w:val="0"/>
          <w:iCs w:val="0"/>
          <w:color w:val="auto"/>
          <w:sz w:val="20"/>
          <w:szCs w:val="20"/>
          <w:lang w:val="sr-Cyrl-RS"/>
        </w:rPr>
        <w:t xml:space="preserve"> </w:t>
      </w:r>
      <w:r w:rsidRPr="009C19C5">
        <w:rPr>
          <w:rFonts w:ascii="Times New Roman" w:hAnsi="Times New Roman" w:cs="Times New Roman"/>
          <w:i w:val="0"/>
          <w:iCs w:val="0"/>
          <w:color w:val="auto"/>
          <w:sz w:val="20"/>
          <w:szCs w:val="20"/>
          <w:lang w:val="sr-Cyrl-RS"/>
        </w:rPr>
        <w:t>2023.</w:t>
      </w:r>
      <w:r w:rsidR="00D11528" w:rsidRPr="009C19C5">
        <w:rPr>
          <w:rFonts w:ascii="Times New Roman" w:hAnsi="Times New Roman" w:cs="Times New Roman"/>
          <w:i w:val="0"/>
          <w:iCs w:val="0"/>
          <w:color w:val="auto"/>
          <w:sz w:val="20"/>
          <w:szCs w:val="20"/>
          <w:lang w:val="sr-Cyrl-RS"/>
        </w:rPr>
        <w:t xml:space="preserve"> </w:t>
      </w:r>
      <w:r w:rsidR="008C32B0" w:rsidRPr="009C19C5">
        <w:rPr>
          <w:rFonts w:ascii="Times New Roman" w:hAnsi="Times New Roman" w:cs="Times New Roman"/>
          <w:i w:val="0"/>
          <w:iCs w:val="0"/>
          <w:color w:val="auto"/>
          <w:sz w:val="20"/>
          <w:szCs w:val="20"/>
          <w:lang w:val="sr-Cyrl-RS"/>
        </w:rPr>
        <w:t>године</w:t>
      </w:r>
      <w:r w:rsidRPr="009C19C5">
        <w:rPr>
          <w:rFonts w:ascii="Times New Roman" w:hAnsi="Times New Roman" w:cs="Times New Roman"/>
          <w:i w:val="0"/>
          <w:iCs w:val="0"/>
          <w:color w:val="auto"/>
          <w:sz w:val="20"/>
          <w:szCs w:val="20"/>
          <w:lang w:val="sr-Cyrl-RS"/>
        </w:rPr>
        <w:t>)</w:t>
      </w:r>
    </w:p>
    <w:tbl>
      <w:tblPr>
        <w:tblW w:w="405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3021"/>
        <w:gridCol w:w="2664"/>
        <w:gridCol w:w="2792"/>
      </w:tblGrid>
      <w:tr w:rsidR="00F276BC" w:rsidRPr="009C19C5" w14:paraId="4531921C" w14:textId="77777777" w:rsidTr="006B4895">
        <w:trPr>
          <w:trHeight w:val="290"/>
          <w:jc w:val="center"/>
        </w:trPr>
        <w:tc>
          <w:tcPr>
            <w:tcW w:w="3019" w:type="dxa"/>
            <w:shd w:val="clear" w:color="auto" w:fill="auto"/>
            <w:vAlign w:val="center"/>
          </w:tcPr>
          <w:p w14:paraId="4A689150" w14:textId="77777777" w:rsidR="00F276BC" w:rsidRPr="009C19C5" w:rsidRDefault="00F276BC">
            <w:pPr>
              <w:widowControl w:val="0"/>
              <w:autoSpaceDE w:val="0"/>
              <w:autoSpaceDN w:val="0"/>
              <w:spacing w:before="32" w:after="0" w:line="276" w:lineRule="auto"/>
              <w:ind w:left="105"/>
              <w:jc w:val="center"/>
              <w:rPr>
                <w:rFonts w:ascii="Times New Roman" w:eastAsia="Arial" w:hAnsi="Times New Roman" w:cs="Times New Roman"/>
                <w:sz w:val="20"/>
                <w:szCs w:val="20"/>
                <w:lang w:val="sr-Cyrl-RS"/>
              </w:rPr>
            </w:pPr>
          </w:p>
        </w:tc>
        <w:tc>
          <w:tcPr>
            <w:tcW w:w="2662" w:type="dxa"/>
            <w:shd w:val="clear" w:color="auto" w:fill="auto"/>
            <w:vAlign w:val="center"/>
          </w:tcPr>
          <w:p w14:paraId="289B8C38" w14:textId="77777777" w:rsidR="00F276BC" w:rsidRPr="009C19C5" w:rsidRDefault="000A0E4E">
            <w:pPr>
              <w:widowControl w:val="0"/>
              <w:autoSpaceDE w:val="0"/>
              <w:autoSpaceDN w:val="0"/>
              <w:spacing w:before="32" w:after="0" w:line="276" w:lineRule="auto"/>
              <w:ind w:left="110"/>
              <w:jc w:val="center"/>
              <w:rPr>
                <w:rFonts w:ascii="Times New Roman" w:eastAsia="Arial" w:hAnsi="Times New Roman" w:cs="Times New Roman"/>
                <w:b/>
                <w:spacing w:val="-4"/>
                <w:sz w:val="20"/>
                <w:szCs w:val="20"/>
                <w:lang w:val="sr-Cyrl-RS"/>
              </w:rPr>
            </w:pPr>
            <w:r w:rsidRPr="009C19C5">
              <w:rPr>
                <w:rFonts w:ascii="Times New Roman" w:eastAsia="Arial" w:hAnsi="Times New Roman" w:cs="Times New Roman"/>
                <w:b/>
                <w:spacing w:val="-4"/>
                <w:sz w:val="20"/>
                <w:szCs w:val="20"/>
                <w:lang w:val="sr-Cyrl-RS"/>
              </w:rPr>
              <w:t>Рударски басен</w:t>
            </w:r>
          </w:p>
        </w:tc>
        <w:tc>
          <w:tcPr>
            <w:tcW w:w="2791" w:type="dxa"/>
            <w:shd w:val="clear" w:color="auto" w:fill="auto"/>
            <w:vAlign w:val="center"/>
          </w:tcPr>
          <w:p w14:paraId="725F183B" w14:textId="77777777" w:rsidR="00F276BC" w:rsidRPr="009C19C5" w:rsidRDefault="000A0E4E">
            <w:pPr>
              <w:widowControl w:val="0"/>
              <w:autoSpaceDE w:val="0"/>
              <w:autoSpaceDN w:val="0"/>
              <w:spacing w:before="32" w:after="0" w:line="276" w:lineRule="auto"/>
              <w:ind w:left="110"/>
              <w:jc w:val="center"/>
              <w:rPr>
                <w:rFonts w:ascii="Times New Roman" w:eastAsia="Arial" w:hAnsi="Times New Roman" w:cs="Times New Roman"/>
                <w:b/>
                <w:spacing w:val="-4"/>
                <w:sz w:val="20"/>
                <w:szCs w:val="20"/>
                <w:lang w:val="sr-Cyrl-RS"/>
              </w:rPr>
            </w:pPr>
            <w:r w:rsidRPr="009C19C5">
              <w:rPr>
                <w:rFonts w:ascii="Times New Roman" w:eastAsia="Arial" w:hAnsi="Times New Roman" w:cs="Times New Roman"/>
                <w:b/>
                <w:spacing w:val="-4"/>
                <w:sz w:val="20"/>
                <w:szCs w:val="20"/>
                <w:lang w:val="sr-Cyrl-RS"/>
              </w:rPr>
              <w:t>Запослени (Рудари)</w:t>
            </w:r>
          </w:p>
        </w:tc>
      </w:tr>
      <w:tr w:rsidR="00F276BC" w:rsidRPr="009C19C5" w14:paraId="7730EAF2" w14:textId="77777777" w:rsidTr="006B4895">
        <w:trPr>
          <w:trHeight w:val="121"/>
          <w:jc w:val="center"/>
        </w:trPr>
        <w:tc>
          <w:tcPr>
            <w:tcW w:w="3019" w:type="dxa"/>
            <w:vAlign w:val="center"/>
          </w:tcPr>
          <w:p w14:paraId="19BF0D9F" w14:textId="77777777" w:rsidR="00F276BC" w:rsidRPr="009C19C5" w:rsidRDefault="000A0E4E">
            <w:pPr>
              <w:widowControl w:val="0"/>
              <w:autoSpaceDE w:val="0"/>
              <w:autoSpaceDN w:val="0"/>
              <w:spacing w:before="32" w:after="0" w:line="276" w:lineRule="auto"/>
              <w:ind w:left="105"/>
              <w:jc w:val="center"/>
              <w:rPr>
                <w:rFonts w:ascii="Times New Roman" w:eastAsia="Arial" w:hAnsi="Times New Roman" w:cs="Times New Roman"/>
                <w:sz w:val="20"/>
                <w:szCs w:val="20"/>
                <w:lang w:val="sr-Cyrl-RS"/>
              </w:rPr>
            </w:pPr>
            <w:r w:rsidRPr="009C19C5">
              <w:rPr>
                <w:rFonts w:ascii="Times New Roman" w:eastAsia="Arial" w:hAnsi="Times New Roman" w:cs="Times New Roman"/>
                <w:sz w:val="20"/>
                <w:szCs w:val="20"/>
                <w:lang w:val="sr-Cyrl-RS"/>
              </w:rPr>
              <w:t>Подземно ископавање угља</w:t>
            </w:r>
          </w:p>
        </w:tc>
        <w:tc>
          <w:tcPr>
            <w:tcW w:w="2662" w:type="dxa"/>
            <w:vAlign w:val="center"/>
          </w:tcPr>
          <w:p w14:paraId="517A513F" w14:textId="1AC525C2" w:rsidR="00F276BC" w:rsidRPr="009C19C5" w:rsidRDefault="006B4895">
            <w:pPr>
              <w:widowControl w:val="0"/>
              <w:autoSpaceDE w:val="0"/>
              <w:autoSpaceDN w:val="0"/>
              <w:spacing w:before="32" w:after="0" w:line="276" w:lineRule="auto"/>
              <w:ind w:left="110"/>
              <w:jc w:val="center"/>
              <w:rPr>
                <w:rFonts w:ascii="Times New Roman" w:eastAsia="Arial" w:hAnsi="Times New Roman" w:cs="Times New Roman"/>
                <w:spacing w:val="-4"/>
                <w:sz w:val="20"/>
                <w:szCs w:val="20"/>
                <w:lang w:val="sr-Cyrl-RS"/>
              </w:rPr>
            </w:pPr>
            <w:r w:rsidRPr="009C19C5">
              <w:rPr>
                <w:rFonts w:ascii="Times New Roman" w:eastAsia="Arial" w:hAnsi="Times New Roman" w:cs="Times New Roman"/>
                <w:spacing w:val="-4"/>
                <w:sz w:val="20"/>
                <w:szCs w:val="20"/>
                <w:lang w:val="sr-Cyrl-RS"/>
              </w:rPr>
              <w:t xml:space="preserve">ЈП ПЕУ </w:t>
            </w:r>
            <w:r w:rsidR="000A0E4E" w:rsidRPr="009C19C5">
              <w:rPr>
                <w:rFonts w:ascii="Times New Roman" w:eastAsia="Arial" w:hAnsi="Times New Roman" w:cs="Times New Roman"/>
                <w:spacing w:val="-4"/>
                <w:sz w:val="20"/>
                <w:szCs w:val="20"/>
                <w:lang w:val="sr-Cyrl-RS"/>
              </w:rPr>
              <w:t>Ресавица (9 рудника)</w:t>
            </w:r>
          </w:p>
        </w:tc>
        <w:tc>
          <w:tcPr>
            <w:tcW w:w="2791" w:type="dxa"/>
            <w:vAlign w:val="center"/>
          </w:tcPr>
          <w:p w14:paraId="5C8BB879" w14:textId="77777777" w:rsidR="00F276BC" w:rsidRPr="009C19C5" w:rsidRDefault="000A0E4E">
            <w:pPr>
              <w:spacing w:after="0" w:line="276" w:lineRule="auto"/>
              <w:jc w:val="center"/>
              <w:rPr>
                <w:rFonts w:ascii="Times New Roman" w:hAnsi="Times New Roman" w:cs="Times New Roman"/>
                <w:color w:val="000000"/>
                <w:sz w:val="20"/>
                <w:szCs w:val="20"/>
                <w:lang w:val="sr-Cyrl-RS"/>
              </w:rPr>
            </w:pPr>
            <w:r w:rsidRPr="009C19C5">
              <w:rPr>
                <w:rFonts w:ascii="Times New Roman" w:hAnsi="Times New Roman" w:cs="Times New Roman"/>
                <w:color w:val="000000"/>
                <w:sz w:val="20"/>
                <w:szCs w:val="20"/>
                <w:lang w:val="sr-Cyrl-RS"/>
              </w:rPr>
              <w:t>3.565</w:t>
            </w:r>
          </w:p>
        </w:tc>
      </w:tr>
      <w:tr w:rsidR="00F276BC" w:rsidRPr="009C19C5" w14:paraId="0252AB29" w14:textId="77777777" w:rsidTr="006B4895">
        <w:trPr>
          <w:trHeight w:val="290"/>
          <w:jc w:val="center"/>
        </w:trPr>
        <w:tc>
          <w:tcPr>
            <w:tcW w:w="3019" w:type="dxa"/>
            <w:vMerge w:val="restart"/>
            <w:vAlign w:val="center"/>
          </w:tcPr>
          <w:p w14:paraId="2AB242D2" w14:textId="19F845CB" w:rsidR="00F276BC" w:rsidRPr="009C19C5" w:rsidRDefault="000A0E4E">
            <w:pPr>
              <w:widowControl w:val="0"/>
              <w:autoSpaceDE w:val="0"/>
              <w:autoSpaceDN w:val="0"/>
              <w:spacing w:before="32" w:after="0" w:line="276" w:lineRule="auto"/>
              <w:ind w:left="105"/>
              <w:jc w:val="center"/>
              <w:rPr>
                <w:rFonts w:ascii="Times New Roman" w:eastAsia="Arial" w:hAnsi="Times New Roman" w:cs="Times New Roman"/>
                <w:sz w:val="20"/>
                <w:szCs w:val="20"/>
                <w:lang w:val="sr-Cyrl-RS"/>
              </w:rPr>
            </w:pPr>
            <w:r w:rsidRPr="009C19C5">
              <w:rPr>
                <w:rFonts w:ascii="Times New Roman" w:eastAsia="Arial" w:hAnsi="Times New Roman" w:cs="Times New Roman"/>
                <w:sz w:val="20"/>
                <w:szCs w:val="20"/>
                <w:lang w:val="sr-Cyrl-RS"/>
              </w:rPr>
              <w:t>Ископавање лигнита у ЕПС</w:t>
            </w:r>
            <w:r w:rsidR="006B4895" w:rsidRPr="009C19C5">
              <w:rPr>
                <w:rFonts w:ascii="Times New Roman" w:eastAsia="Arial" w:hAnsi="Times New Roman" w:cs="Times New Roman"/>
                <w:sz w:val="20"/>
                <w:szCs w:val="20"/>
                <w:lang w:val="sr-Cyrl-RS"/>
              </w:rPr>
              <w:t xml:space="preserve"> АД</w:t>
            </w:r>
          </w:p>
        </w:tc>
        <w:tc>
          <w:tcPr>
            <w:tcW w:w="2662" w:type="dxa"/>
            <w:vAlign w:val="center"/>
          </w:tcPr>
          <w:p w14:paraId="13BA4457" w14:textId="77777777" w:rsidR="00F276BC" w:rsidRPr="009C19C5" w:rsidRDefault="000A0E4E">
            <w:pPr>
              <w:widowControl w:val="0"/>
              <w:autoSpaceDE w:val="0"/>
              <w:autoSpaceDN w:val="0"/>
              <w:spacing w:before="32" w:after="0" w:line="276" w:lineRule="auto"/>
              <w:ind w:left="110"/>
              <w:jc w:val="center"/>
              <w:rPr>
                <w:rFonts w:ascii="Times New Roman" w:eastAsia="Arial" w:hAnsi="Times New Roman" w:cs="Times New Roman"/>
                <w:spacing w:val="-2"/>
                <w:sz w:val="20"/>
                <w:szCs w:val="20"/>
                <w:lang w:val="sr-Cyrl-RS"/>
              </w:rPr>
            </w:pPr>
            <w:r w:rsidRPr="009C19C5">
              <w:rPr>
                <w:rFonts w:ascii="Times New Roman" w:eastAsia="Arial" w:hAnsi="Times New Roman" w:cs="Times New Roman"/>
                <w:spacing w:val="-2"/>
                <w:sz w:val="20"/>
                <w:szCs w:val="20"/>
                <w:lang w:val="sr-Cyrl-RS"/>
              </w:rPr>
              <w:t>Колубара</w:t>
            </w:r>
          </w:p>
        </w:tc>
        <w:tc>
          <w:tcPr>
            <w:tcW w:w="2791" w:type="dxa"/>
            <w:vAlign w:val="center"/>
          </w:tcPr>
          <w:p w14:paraId="6BDC6D1C" w14:textId="77777777" w:rsidR="00F276BC" w:rsidRPr="009C19C5" w:rsidRDefault="000A0E4E">
            <w:pPr>
              <w:spacing w:after="0" w:line="276" w:lineRule="auto"/>
              <w:jc w:val="center"/>
              <w:rPr>
                <w:rFonts w:ascii="Times New Roman" w:hAnsi="Times New Roman" w:cs="Times New Roman"/>
                <w:color w:val="000000"/>
                <w:sz w:val="20"/>
                <w:szCs w:val="20"/>
                <w:lang w:val="sr-Cyrl-RS"/>
              </w:rPr>
            </w:pPr>
            <w:r w:rsidRPr="009C19C5">
              <w:rPr>
                <w:rFonts w:ascii="Times New Roman" w:hAnsi="Times New Roman" w:cs="Times New Roman"/>
                <w:color w:val="000000"/>
                <w:sz w:val="20"/>
                <w:szCs w:val="20"/>
                <w:lang w:val="sr-Cyrl-RS"/>
              </w:rPr>
              <w:t>13.593</w:t>
            </w:r>
          </w:p>
        </w:tc>
      </w:tr>
      <w:tr w:rsidR="00F276BC" w:rsidRPr="009C19C5" w14:paraId="5654FFE7" w14:textId="77777777" w:rsidTr="006B4895">
        <w:trPr>
          <w:trHeight w:val="88"/>
          <w:jc w:val="center"/>
        </w:trPr>
        <w:tc>
          <w:tcPr>
            <w:tcW w:w="3019" w:type="dxa"/>
            <w:vMerge/>
            <w:vAlign w:val="center"/>
          </w:tcPr>
          <w:p w14:paraId="387CEB3C" w14:textId="77777777" w:rsidR="00F276BC" w:rsidRPr="009C19C5" w:rsidRDefault="00F276BC">
            <w:pPr>
              <w:widowControl w:val="0"/>
              <w:autoSpaceDE w:val="0"/>
              <w:autoSpaceDN w:val="0"/>
              <w:spacing w:before="32" w:after="0" w:line="276" w:lineRule="auto"/>
              <w:ind w:left="105"/>
              <w:jc w:val="center"/>
              <w:rPr>
                <w:rFonts w:ascii="Times New Roman" w:eastAsia="Arial" w:hAnsi="Times New Roman" w:cs="Times New Roman"/>
                <w:sz w:val="20"/>
                <w:szCs w:val="20"/>
                <w:lang w:val="sr-Cyrl-RS"/>
              </w:rPr>
            </w:pPr>
          </w:p>
        </w:tc>
        <w:tc>
          <w:tcPr>
            <w:tcW w:w="2662" w:type="dxa"/>
            <w:vAlign w:val="center"/>
          </w:tcPr>
          <w:p w14:paraId="2B591E23" w14:textId="77777777" w:rsidR="00F276BC" w:rsidRPr="009C19C5" w:rsidRDefault="000A0E4E">
            <w:pPr>
              <w:widowControl w:val="0"/>
              <w:autoSpaceDE w:val="0"/>
              <w:autoSpaceDN w:val="0"/>
              <w:spacing w:before="32" w:after="0" w:line="276" w:lineRule="auto"/>
              <w:ind w:left="110"/>
              <w:jc w:val="center"/>
              <w:rPr>
                <w:rFonts w:ascii="Times New Roman" w:eastAsia="Arial" w:hAnsi="Times New Roman" w:cs="Times New Roman"/>
                <w:spacing w:val="-2"/>
                <w:sz w:val="20"/>
                <w:szCs w:val="20"/>
                <w:lang w:val="sr-Cyrl-RS"/>
              </w:rPr>
            </w:pPr>
            <w:r w:rsidRPr="009C19C5">
              <w:rPr>
                <w:rFonts w:ascii="Times New Roman" w:eastAsia="Arial" w:hAnsi="Times New Roman" w:cs="Times New Roman"/>
                <w:spacing w:val="-2"/>
                <w:sz w:val="20"/>
                <w:szCs w:val="20"/>
                <w:lang w:val="sr-Cyrl-RS"/>
              </w:rPr>
              <w:t>Костолац</w:t>
            </w:r>
          </w:p>
        </w:tc>
        <w:tc>
          <w:tcPr>
            <w:tcW w:w="2791" w:type="dxa"/>
            <w:vAlign w:val="center"/>
          </w:tcPr>
          <w:p w14:paraId="14E5FE2F" w14:textId="77777777" w:rsidR="00F276BC" w:rsidRPr="009C19C5" w:rsidRDefault="000A0E4E">
            <w:pPr>
              <w:spacing w:after="0" w:line="276" w:lineRule="auto"/>
              <w:jc w:val="center"/>
              <w:rPr>
                <w:rFonts w:ascii="Times New Roman" w:hAnsi="Times New Roman" w:cs="Times New Roman"/>
                <w:color w:val="000000"/>
                <w:sz w:val="20"/>
                <w:szCs w:val="20"/>
                <w:lang w:val="sr-Cyrl-RS"/>
              </w:rPr>
            </w:pPr>
            <w:r w:rsidRPr="009C19C5">
              <w:rPr>
                <w:rFonts w:ascii="Times New Roman" w:hAnsi="Times New Roman" w:cs="Times New Roman"/>
                <w:color w:val="000000"/>
                <w:sz w:val="20"/>
                <w:szCs w:val="20"/>
                <w:lang w:val="sr-Cyrl-RS"/>
              </w:rPr>
              <w:t>2.527</w:t>
            </w:r>
          </w:p>
        </w:tc>
      </w:tr>
      <w:tr w:rsidR="00F276BC" w:rsidRPr="009C19C5" w14:paraId="01200DC9" w14:textId="77777777" w:rsidTr="006B4895">
        <w:trPr>
          <w:trHeight w:val="290"/>
          <w:jc w:val="center"/>
        </w:trPr>
        <w:tc>
          <w:tcPr>
            <w:tcW w:w="5682" w:type="dxa"/>
            <w:gridSpan w:val="2"/>
            <w:vAlign w:val="center"/>
          </w:tcPr>
          <w:p w14:paraId="15EA2EEA" w14:textId="77777777" w:rsidR="00F276BC" w:rsidRPr="009C19C5" w:rsidRDefault="000A0E4E">
            <w:pPr>
              <w:widowControl w:val="0"/>
              <w:autoSpaceDE w:val="0"/>
              <w:autoSpaceDN w:val="0"/>
              <w:spacing w:before="32" w:after="0" w:line="276" w:lineRule="auto"/>
              <w:ind w:left="110"/>
              <w:jc w:val="center"/>
              <w:rPr>
                <w:rFonts w:ascii="Times New Roman" w:eastAsia="Arial" w:hAnsi="Times New Roman" w:cs="Times New Roman"/>
                <w:b/>
                <w:spacing w:val="-2"/>
                <w:sz w:val="20"/>
                <w:szCs w:val="20"/>
                <w:lang w:val="sr-Cyrl-RS"/>
              </w:rPr>
            </w:pPr>
            <w:r w:rsidRPr="009C19C5">
              <w:rPr>
                <w:rFonts w:ascii="Times New Roman" w:eastAsia="Arial" w:hAnsi="Times New Roman" w:cs="Times New Roman"/>
                <w:b/>
                <w:sz w:val="20"/>
                <w:szCs w:val="20"/>
                <w:lang w:val="sr-Cyrl-RS"/>
              </w:rPr>
              <w:t>Укупно</w:t>
            </w:r>
          </w:p>
        </w:tc>
        <w:tc>
          <w:tcPr>
            <w:tcW w:w="2791" w:type="dxa"/>
            <w:vAlign w:val="center"/>
          </w:tcPr>
          <w:p w14:paraId="5416935C" w14:textId="77777777" w:rsidR="00F276BC" w:rsidRPr="009C19C5" w:rsidRDefault="000A0E4E">
            <w:pPr>
              <w:spacing w:after="0" w:line="276" w:lineRule="auto"/>
              <w:jc w:val="center"/>
              <w:rPr>
                <w:rFonts w:ascii="Times New Roman" w:hAnsi="Times New Roman" w:cs="Times New Roman"/>
                <w:b/>
                <w:color w:val="000000"/>
                <w:sz w:val="20"/>
                <w:szCs w:val="20"/>
                <w:lang w:val="sr-Cyrl-RS"/>
              </w:rPr>
            </w:pPr>
            <w:r w:rsidRPr="009C19C5">
              <w:rPr>
                <w:rFonts w:ascii="Times New Roman" w:hAnsi="Times New Roman" w:cs="Times New Roman"/>
                <w:b/>
                <w:color w:val="000000"/>
                <w:sz w:val="20"/>
                <w:szCs w:val="20"/>
                <w:lang w:val="sr-Cyrl-RS"/>
              </w:rPr>
              <w:t>19.685</w:t>
            </w:r>
          </w:p>
        </w:tc>
      </w:tr>
    </w:tbl>
    <w:p w14:paraId="45BD97EF" w14:textId="63BB1989" w:rsidR="00F276BC" w:rsidRPr="009C19C5" w:rsidRDefault="000A0E4E" w:rsidP="00023E2C">
      <w:pPr>
        <w:keepNext/>
        <w:widowControl w:val="0"/>
        <w:autoSpaceDE w:val="0"/>
        <w:autoSpaceDN w:val="0"/>
        <w:spacing w:before="11" w:after="0" w:line="276" w:lineRule="auto"/>
        <w:ind w:left="720" w:firstLine="720"/>
        <w:rPr>
          <w:rFonts w:ascii="Times New Roman" w:eastAsia="Arial" w:hAnsi="Times New Roman" w:cs="Times New Roman"/>
          <w:iCs/>
          <w:sz w:val="20"/>
          <w:szCs w:val="20"/>
          <w:lang w:val="sr-Cyrl-RS"/>
        </w:rPr>
      </w:pPr>
      <w:r w:rsidRPr="009C19C5">
        <w:rPr>
          <w:rFonts w:ascii="Times New Roman" w:eastAsia="Arial" w:hAnsi="Times New Roman" w:cs="Times New Roman"/>
          <w:iCs/>
          <w:sz w:val="20"/>
          <w:szCs w:val="20"/>
          <w:lang w:val="sr-Cyrl-RS"/>
        </w:rPr>
        <w:t xml:space="preserve">Извор: </w:t>
      </w:r>
      <w:r w:rsidR="00A7582E" w:rsidRPr="009C19C5">
        <w:rPr>
          <w:rFonts w:ascii="Times New Roman" w:eastAsia="Arial" w:hAnsi="Times New Roman" w:cs="Times New Roman"/>
          <w:iCs/>
          <w:sz w:val="20"/>
          <w:szCs w:val="20"/>
          <w:lang w:val="sr-Cyrl-RS"/>
        </w:rPr>
        <w:t>ЕПС АД</w:t>
      </w:r>
      <w:r w:rsidRPr="009C19C5">
        <w:rPr>
          <w:rFonts w:ascii="Times New Roman" w:eastAsia="Arial" w:hAnsi="Times New Roman" w:cs="Times New Roman"/>
          <w:iCs/>
          <w:sz w:val="20"/>
          <w:szCs w:val="20"/>
          <w:lang w:val="sr-Cyrl-RS"/>
        </w:rPr>
        <w:t xml:space="preserve"> и Министарство рударства и енергетике</w:t>
      </w:r>
    </w:p>
    <w:p w14:paraId="7DB4F0D4" w14:textId="2B423882" w:rsidR="00586FF9" w:rsidRPr="009C19C5" w:rsidRDefault="001D1986" w:rsidP="00586FF9">
      <w:pPr>
        <w:keepNext/>
        <w:widowControl w:val="0"/>
        <w:autoSpaceDE w:val="0"/>
        <w:autoSpaceDN w:val="0"/>
        <w:spacing w:after="120" w:line="240" w:lineRule="auto"/>
        <w:ind w:firstLine="720"/>
        <w:jc w:val="both"/>
        <w:rPr>
          <w:rFonts w:ascii="Times New Roman" w:eastAsia="Calibri" w:hAnsi="Times New Roman" w:cs="Times New Roman"/>
          <w:sz w:val="24"/>
          <w:szCs w:val="24"/>
          <w:lang w:val="sr-Cyrl-RS" w:eastAsia="el-GR"/>
        </w:rPr>
      </w:pPr>
      <w:r w:rsidRPr="009C19C5">
        <w:rPr>
          <w:rFonts w:ascii="Times New Roman" w:eastAsia="Calibri" w:hAnsi="Times New Roman" w:cs="Times New Roman"/>
          <w:sz w:val="24"/>
          <w:szCs w:val="24"/>
          <w:lang w:val="sr-Cyrl-RS" w:eastAsia="el-GR"/>
        </w:rPr>
        <w:t xml:space="preserve">У </w:t>
      </w:r>
      <w:r w:rsidR="000A0E4E" w:rsidRPr="009C19C5">
        <w:rPr>
          <w:rFonts w:ascii="Times New Roman" w:eastAsia="Calibri" w:hAnsi="Times New Roman" w:cs="Times New Roman"/>
          <w:sz w:val="24"/>
          <w:szCs w:val="24"/>
          <w:lang w:val="sr-Cyrl-RS" w:eastAsia="el-GR"/>
        </w:rPr>
        <w:t>ист</w:t>
      </w:r>
      <w:r w:rsidRPr="009C19C5">
        <w:rPr>
          <w:rFonts w:ascii="Times New Roman" w:eastAsia="Calibri" w:hAnsi="Times New Roman" w:cs="Times New Roman"/>
          <w:sz w:val="24"/>
          <w:szCs w:val="24"/>
          <w:lang w:val="sr-Cyrl-RS" w:eastAsia="el-GR"/>
        </w:rPr>
        <w:t>ој</w:t>
      </w:r>
      <w:r w:rsidR="000A0E4E" w:rsidRPr="009C19C5">
        <w:rPr>
          <w:rFonts w:ascii="Times New Roman" w:eastAsia="Calibri" w:hAnsi="Times New Roman" w:cs="Times New Roman"/>
          <w:sz w:val="24"/>
          <w:szCs w:val="24"/>
          <w:lang w:val="sr-Cyrl-RS" w:eastAsia="el-GR"/>
        </w:rPr>
        <w:t xml:space="preserve"> годин</w:t>
      </w:r>
      <w:r w:rsidRPr="009C19C5">
        <w:rPr>
          <w:rFonts w:ascii="Times New Roman" w:eastAsia="Calibri" w:hAnsi="Times New Roman" w:cs="Times New Roman"/>
          <w:sz w:val="24"/>
          <w:szCs w:val="24"/>
          <w:lang w:val="sr-Cyrl-RS" w:eastAsia="el-GR"/>
        </w:rPr>
        <w:t xml:space="preserve">и, </w:t>
      </w:r>
      <w:r w:rsidR="00A7582E" w:rsidRPr="009C19C5">
        <w:rPr>
          <w:rFonts w:ascii="Times New Roman" w:eastAsia="Calibri" w:hAnsi="Times New Roman" w:cs="Times New Roman"/>
          <w:sz w:val="24"/>
          <w:szCs w:val="24"/>
          <w:lang w:val="sr-Cyrl-RS" w:eastAsia="el-GR"/>
        </w:rPr>
        <w:t>ЕПС АД</w:t>
      </w:r>
      <w:r w:rsidR="000A0E4E" w:rsidRPr="009C19C5">
        <w:rPr>
          <w:rFonts w:ascii="Times New Roman" w:eastAsia="Calibri" w:hAnsi="Times New Roman" w:cs="Times New Roman"/>
          <w:sz w:val="24"/>
          <w:szCs w:val="24"/>
          <w:lang w:val="sr-Cyrl-RS" w:eastAsia="el-GR"/>
        </w:rPr>
        <w:t xml:space="preserve"> је пријавио укупно 5.603 запослени</w:t>
      </w:r>
      <w:r w:rsidRPr="009C19C5">
        <w:rPr>
          <w:rFonts w:ascii="Times New Roman" w:eastAsia="Calibri" w:hAnsi="Times New Roman" w:cs="Times New Roman"/>
          <w:sz w:val="24"/>
          <w:szCs w:val="24"/>
          <w:lang w:val="sr-Cyrl-RS" w:eastAsia="el-GR"/>
        </w:rPr>
        <w:t>х</w:t>
      </w:r>
      <w:r w:rsidR="000A0E4E" w:rsidRPr="009C19C5">
        <w:rPr>
          <w:rFonts w:ascii="Times New Roman" w:eastAsia="Calibri" w:hAnsi="Times New Roman" w:cs="Times New Roman"/>
          <w:sz w:val="24"/>
          <w:szCs w:val="24"/>
          <w:lang w:val="sr-Cyrl-RS" w:eastAsia="el-GR"/>
        </w:rPr>
        <w:t>, укључујући и запослене у Про</w:t>
      </w:r>
      <w:r w:rsidRPr="009C19C5">
        <w:rPr>
          <w:rFonts w:ascii="Times New Roman" w:eastAsia="Calibri" w:hAnsi="Times New Roman" w:cs="Times New Roman"/>
          <w:sz w:val="24"/>
          <w:szCs w:val="24"/>
          <w:lang w:val="sr-Cyrl-RS" w:eastAsia="el-GR"/>
        </w:rPr>
        <w:t xml:space="preserve"> </w:t>
      </w:r>
      <w:r w:rsidR="000A0E4E" w:rsidRPr="009C19C5">
        <w:rPr>
          <w:rFonts w:ascii="Times New Roman" w:eastAsia="Calibri" w:hAnsi="Times New Roman" w:cs="Times New Roman"/>
          <w:sz w:val="24"/>
          <w:szCs w:val="24"/>
          <w:lang w:val="sr-Cyrl-RS" w:eastAsia="el-GR"/>
        </w:rPr>
        <w:t xml:space="preserve">Тенту, у термоелектранама, као што је приказано </w:t>
      </w:r>
      <w:r w:rsidR="004A5AEC" w:rsidRPr="009C19C5">
        <w:rPr>
          <w:rFonts w:ascii="Times New Roman" w:eastAsia="Calibri" w:hAnsi="Times New Roman" w:cs="Times New Roman"/>
          <w:sz w:val="24"/>
          <w:szCs w:val="24"/>
          <w:lang w:val="sr-Cyrl-RS" w:eastAsia="el-GR"/>
        </w:rPr>
        <w:t>у</w:t>
      </w:r>
      <w:r w:rsidR="000A0E4E" w:rsidRPr="009C19C5">
        <w:rPr>
          <w:rFonts w:ascii="Times New Roman" w:eastAsia="Calibri" w:hAnsi="Times New Roman" w:cs="Times New Roman"/>
          <w:sz w:val="24"/>
          <w:szCs w:val="24"/>
          <w:lang w:val="sr-Cyrl-RS" w:eastAsia="el-GR"/>
        </w:rPr>
        <w:t xml:space="preserve"> </w:t>
      </w:r>
      <w:r w:rsidR="00546509" w:rsidRPr="009C19C5">
        <w:rPr>
          <w:rFonts w:ascii="Times New Roman" w:eastAsia="Calibri" w:hAnsi="Times New Roman" w:cs="Times New Roman"/>
          <w:sz w:val="24"/>
          <w:szCs w:val="24"/>
          <w:lang w:val="sr-Cyrl-RS" w:eastAsia="el-GR"/>
        </w:rPr>
        <w:t>Т</w:t>
      </w:r>
      <w:r w:rsidR="000A0E4E" w:rsidRPr="009C19C5">
        <w:rPr>
          <w:rFonts w:ascii="Times New Roman" w:eastAsia="Calibri" w:hAnsi="Times New Roman" w:cs="Times New Roman"/>
          <w:sz w:val="24"/>
          <w:szCs w:val="24"/>
          <w:lang w:val="sr-Cyrl-RS" w:eastAsia="el-GR"/>
        </w:rPr>
        <w:t>абели</w:t>
      </w:r>
      <w:r w:rsidR="004A5AEC" w:rsidRPr="009C19C5">
        <w:rPr>
          <w:rFonts w:ascii="Times New Roman" w:eastAsia="Calibri" w:hAnsi="Times New Roman" w:cs="Times New Roman"/>
          <w:sz w:val="24"/>
          <w:szCs w:val="24"/>
          <w:lang w:val="sr-Cyrl-RS" w:eastAsia="el-GR"/>
        </w:rPr>
        <w:t xml:space="preserve"> 4</w:t>
      </w:r>
      <w:r w:rsidR="000A0E4E" w:rsidRPr="009C19C5">
        <w:rPr>
          <w:rFonts w:ascii="Times New Roman" w:eastAsia="Calibri" w:hAnsi="Times New Roman" w:cs="Times New Roman"/>
          <w:sz w:val="24"/>
          <w:szCs w:val="24"/>
          <w:lang w:val="sr-Cyrl-RS" w:eastAsia="el-GR"/>
        </w:rPr>
        <w:t>.</w:t>
      </w:r>
    </w:p>
    <w:p w14:paraId="1EF43AE9" w14:textId="4D382871" w:rsidR="00F276BC" w:rsidRPr="009C19C5" w:rsidRDefault="000A0E4E" w:rsidP="00023E2C">
      <w:pPr>
        <w:pStyle w:val="Caption"/>
        <w:keepNext/>
        <w:spacing w:after="0" w:line="240" w:lineRule="auto"/>
        <w:rPr>
          <w:rFonts w:ascii="Times New Roman" w:hAnsi="Times New Roman" w:cs="Times New Roman"/>
          <w:color w:val="auto"/>
          <w:sz w:val="24"/>
          <w:szCs w:val="24"/>
          <w:lang w:val="sr-Cyrl-RS"/>
        </w:rPr>
      </w:pPr>
      <w:r w:rsidRPr="009C19C5">
        <w:rPr>
          <w:rFonts w:ascii="Times New Roman" w:hAnsi="Times New Roman" w:cs="Times New Roman"/>
          <w:i w:val="0"/>
          <w:iCs w:val="0"/>
          <w:color w:val="auto"/>
          <w:sz w:val="20"/>
          <w:szCs w:val="20"/>
          <w:lang w:val="sr-Cyrl-RS"/>
        </w:rPr>
        <w:t xml:space="preserve">Табела 4: </w:t>
      </w:r>
      <w:r w:rsidR="001D1986" w:rsidRPr="009C19C5">
        <w:rPr>
          <w:rFonts w:ascii="Times New Roman" w:hAnsi="Times New Roman" w:cs="Times New Roman"/>
          <w:i w:val="0"/>
          <w:iCs w:val="0"/>
          <w:color w:val="auto"/>
          <w:sz w:val="20"/>
          <w:szCs w:val="20"/>
          <w:lang w:val="sr-Cyrl-RS"/>
        </w:rPr>
        <w:t xml:space="preserve">Број </w:t>
      </w:r>
      <w:r w:rsidRPr="009C19C5">
        <w:rPr>
          <w:rFonts w:ascii="Times New Roman" w:hAnsi="Times New Roman" w:cs="Times New Roman"/>
          <w:i w:val="0"/>
          <w:iCs w:val="0"/>
          <w:color w:val="auto"/>
          <w:sz w:val="20"/>
          <w:szCs w:val="20"/>
          <w:lang w:val="sr-Cyrl-RS"/>
        </w:rPr>
        <w:t>запослени</w:t>
      </w:r>
      <w:r w:rsidR="001D1986" w:rsidRPr="009C19C5">
        <w:rPr>
          <w:rFonts w:ascii="Times New Roman" w:hAnsi="Times New Roman" w:cs="Times New Roman"/>
          <w:i w:val="0"/>
          <w:iCs w:val="0"/>
          <w:color w:val="auto"/>
          <w:sz w:val="20"/>
          <w:szCs w:val="20"/>
          <w:lang w:val="sr-Cyrl-RS"/>
        </w:rPr>
        <w:t xml:space="preserve">х у термоелектранама </w:t>
      </w:r>
      <w:r w:rsidR="00A7582E" w:rsidRPr="009C19C5">
        <w:rPr>
          <w:rFonts w:ascii="Times New Roman" w:hAnsi="Times New Roman" w:cs="Times New Roman"/>
          <w:i w:val="0"/>
          <w:iCs w:val="0"/>
          <w:color w:val="auto"/>
          <w:sz w:val="20"/>
          <w:szCs w:val="20"/>
          <w:lang w:val="sr-Cyrl-RS"/>
        </w:rPr>
        <w:t xml:space="preserve">ЕПС АД </w:t>
      </w:r>
      <w:r w:rsidR="001D1986" w:rsidRPr="009C19C5">
        <w:rPr>
          <w:rFonts w:ascii="Times New Roman" w:hAnsi="Times New Roman" w:cs="Times New Roman"/>
          <w:i w:val="0"/>
          <w:iCs w:val="0"/>
          <w:color w:val="auto"/>
          <w:sz w:val="20"/>
          <w:szCs w:val="20"/>
          <w:lang w:val="sr-Cyrl-RS"/>
        </w:rPr>
        <w:t>и Про Тенту (подаци за 2023. годину</w:t>
      </w:r>
      <w:r w:rsidR="008C32B0" w:rsidRPr="009C19C5">
        <w:rPr>
          <w:rFonts w:ascii="Times New Roman" w:hAnsi="Times New Roman" w:cs="Times New Roman"/>
          <w:color w:val="auto"/>
          <w:sz w:val="24"/>
          <w:szCs w:val="24"/>
          <w:lang w:val="sr-Cyrl-RS"/>
        </w:rPr>
        <w:t>)</w:t>
      </w:r>
    </w:p>
    <w:tbl>
      <w:tblPr>
        <w:tblW w:w="3081" w:type="pct"/>
        <w:tblInd w:w="2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445"/>
        <w:gridCol w:w="3000"/>
      </w:tblGrid>
      <w:tr w:rsidR="00F276BC" w:rsidRPr="009C19C5" w14:paraId="1850EDBF" w14:textId="77777777" w:rsidTr="004A5AEC">
        <w:trPr>
          <w:trHeight w:val="183"/>
          <w:tblHeader/>
        </w:trPr>
        <w:tc>
          <w:tcPr>
            <w:tcW w:w="3444" w:type="dxa"/>
            <w:shd w:val="clear" w:color="auto" w:fill="auto"/>
            <w:vAlign w:val="center"/>
          </w:tcPr>
          <w:p w14:paraId="1A84AF13" w14:textId="36F57641" w:rsidR="00F276BC" w:rsidRPr="009C19C5" w:rsidRDefault="001D1986">
            <w:pPr>
              <w:widowControl w:val="0"/>
              <w:spacing w:after="0" w:line="240" w:lineRule="auto"/>
              <w:jc w:val="center"/>
              <w:rPr>
                <w:rFonts w:ascii="Times New Roman" w:eastAsia="Calibri" w:hAnsi="Times New Roman" w:cs="Times New Roman"/>
                <w:b/>
                <w:sz w:val="20"/>
                <w:szCs w:val="20"/>
                <w:lang w:val="sr-Cyrl-RS" w:eastAsia="el-GR"/>
              </w:rPr>
            </w:pPr>
            <w:r w:rsidRPr="009C19C5">
              <w:rPr>
                <w:rFonts w:ascii="Times New Roman" w:eastAsia="Calibri" w:hAnsi="Times New Roman" w:cs="Times New Roman"/>
                <w:b/>
                <w:spacing w:val="-2"/>
                <w:sz w:val="20"/>
                <w:szCs w:val="20"/>
                <w:lang w:val="sr-Cyrl-RS" w:eastAsia="el-GR"/>
              </w:rPr>
              <w:t>Термоелектрана</w:t>
            </w:r>
          </w:p>
        </w:tc>
        <w:tc>
          <w:tcPr>
            <w:tcW w:w="2999" w:type="dxa"/>
            <w:shd w:val="clear" w:color="auto" w:fill="auto"/>
            <w:vAlign w:val="center"/>
          </w:tcPr>
          <w:p w14:paraId="6F3D28BE" w14:textId="77777777" w:rsidR="00F276BC" w:rsidRPr="009C19C5" w:rsidRDefault="000A0E4E">
            <w:pPr>
              <w:widowControl w:val="0"/>
              <w:spacing w:after="0" w:line="240" w:lineRule="auto"/>
              <w:jc w:val="center"/>
              <w:rPr>
                <w:rFonts w:ascii="Times New Roman" w:eastAsia="Calibri" w:hAnsi="Times New Roman" w:cs="Times New Roman"/>
                <w:b/>
                <w:sz w:val="20"/>
                <w:szCs w:val="20"/>
                <w:lang w:val="sr-Cyrl-RS" w:eastAsia="el-GR"/>
              </w:rPr>
            </w:pPr>
            <w:r w:rsidRPr="009C19C5">
              <w:rPr>
                <w:rFonts w:ascii="Times New Roman" w:eastAsia="Calibri" w:hAnsi="Times New Roman" w:cs="Times New Roman"/>
                <w:b/>
                <w:sz w:val="20"/>
                <w:szCs w:val="20"/>
                <w:lang w:val="sr-Cyrl-RS" w:eastAsia="el-GR"/>
              </w:rPr>
              <w:t>Број</w:t>
            </w:r>
            <w:r w:rsidRPr="009C19C5">
              <w:rPr>
                <w:rFonts w:ascii="Times New Roman" w:eastAsia="Calibri" w:hAnsi="Times New Roman" w:cs="Times New Roman"/>
                <w:b/>
                <w:spacing w:val="-5"/>
                <w:sz w:val="20"/>
                <w:szCs w:val="20"/>
                <w:lang w:val="sr-Cyrl-RS" w:eastAsia="el-GR"/>
              </w:rPr>
              <w:t xml:space="preserve"> </w:t>
            </w:r>
            <w:r w:rsidRPr="009C19C5">
              <w:rPr>
                <w:rFonts w:ascii="Times New Roman" w:eastAsia="Calibri" w:hAnsi="Times New Roman" w:cs="Times New Roman"/>
                <w:b/>
                <w:spacing w:val="-2"/>
                <w:sz w:val="20"/>
                <w:szCs w:val="20"/>
                <w:lang w:val="sr-Cyrl-RS" w:eastAsia="el-GR"/>
              </w:rPr>
              <w:t>запослених (ТЕ)</w:t>
            </w:r>
          </w:p>
        </w:tc>
      </w:tr>
      <w:tr w:rsidR="00F276BC" w:rsidRPr="009C19C5" w14:paraId="684A870D" w14:textId="77777777" w:rsidTr="004A5AEC">
        <w:trPr>
          <w:trHeight w:val="183"/>
        </w:trPr>
        <w:tc>
          <w:tcPr>
            <w:tcW w:w="3444" w:type="dxa"/>
            <w:shd w:val="clear" w:color="auto" w:fill="auto"/>
            <w:vAlign w:val="center"/>
          </w:tcPr>
          <w:p w14:paraId="73BD8170" w14:textId="77777777" w:rsidR="00F276BC" w:rsidRPr="009C19C5" w:rsidRDefault="000A0E4E">
            <w:pPr>
              <w:widowControl w:val="0"/>
              <w:spacing w:after="0" w:line="240" w:lineRule="auto"/>
              <w:jc w:val="center"/>
              <w:rPr>
                <w:rFonts w:ascii="Times New Roman" w:eastAsia="Calibri" w:hAnsi="Times New Roman" w:cs="Times New Roman"/>
                <w:sz w:val="20"/>
                <w:szCs w:val="20"/>
                <w:lang w:val="sr-Cyrl-RS" w:eastAsia="el-GR"/>
              </w:rPr>
            </w:pPr>
            <w:r w:rsidRPr="009C19C5">
              <w:rPr>
                <w:rFonts w:ascii="Times New Roman" w:eastAsia="Calibri" w:hAnsi="Times New Roman" w:cs="Times New Roman"/>
                <w:sz w:val="20"/>
                <w:szCs w:val="20"/>
                <w:lang w:val="sr-Cyrl-RS" w:eastAsia="el-GR"/>
              </w:rPr>
              <w:t>Никола Тесла</w:t>
            </w:r>
            <w:r w:rsidRPr="009C19C5">
              <w:rPr>
                <w:rFonts w:ascii="Times New Roman" w:eastAsia="Calibri" w:hAnsi="Times New Roman" w:cs="Times New Roman"/>
                <w:spacing w:val="-2"/>
                <w:sz w:val="20"/>
                <w:szCs w:val="20"/>
                <w:lang w:val="sr-Cyrl-RS" w:eastAsia="el-GR"/>
              </w:rPr>
              <w:t xml:space="preserve"> </w:t>
            </w:r>
            <w:r w:rsidRPr="009C19C5">
              <w:rPr>
                <w:rFonts w:ascii="Times New Roman" w:eastAsia="Calibri" w:hAnsi="Times New Roman" w:cs="Times New Roman"/>
                <w:spacing w:val="-10"/>
                <w:sz w:val="20"/>
                <w:szCs w:val="20"/>
                <w:lang w:val="sr-Cyrl-RS" w:eastAsia="el-GR"/>
              </w:rPr>
              <w:t>А</w:t>
            </w:r>
          </w:p>
        </w:tc>
        <w:tc>
          <w:tcPr>
            <w:tcW w:w="2999" w:type="dxa"/>
            <w:shd w:val="clear" w:color="auto" w:fill="auto"/>
            <w:vAlign w:val="center"/>
          </w:tcPr>
          <w:p w14:paraId="481BA9B6" w14:textId="77777777" w:rsidR="00F276BC" w:rsidRPr="009C19C5" w:rsidRDefault="000A0E4E">
            <w:pPr>
              <w:widowControl w:val="0"/>
              <w:spacing w:after="0" w:line="240" w:lineRule="auto"/>
              <w:jc w:val="center"/>
              <w:rPr>
                <w:rFonts w:ascii="Times New Roman" w:eastAsia="Calibri" w:hAnsi="Times New Roman" w:cs="Times New Roman"/>
                <w:sz w:val="20"/>
                <w:szCs w:val="20"/>
                <w:lang w:val="sr-Cyrl-RS" w:eastAsia="el-GR"/>
              </w:rPr>
            </w:pPr>
            <w:r w:rsidRPr="009C19C5">
              <w:rPr>
                <w:rFonts w:ascii="Times New Roman" w:eastAsia="Calibri" w:hAnsi="Times New Roman" w:cs="Times New Roman"/>
                <w:spacing w:val="-5"/>
                <w:sz w:val="20"/>
                <w:szCs w:val="20"/>
                <w:lang w:val="sr-Cyrl-RS" w:eastAsia="el-GR"/>
              </w:rPr>
              <w:t>2.033</w:t>
            </w:r>
          </w:p>
        </w:tc>
      </w:tr>
      <w:tr w:rsidR="00F276BC" w:rsidRPr="009C19C5" w14:paraId="05C90211" w14:textId="77777777" w:rsidTr="004A5AEC">
        <w:trPr>
          <w:trHeight w:val="183"/>
        </w:trPr>
        <w:tc>
          <w:tcPr>
            <w:tcW w:w="3444" w:type="dxa"/>
            <w:shd w:val="clear" w:color="auto" w:fill="auto"/>
            <w:vAlign w:val="center"/>
          </w:tcPr>
          <w:p w14:paraId="0E2BF90F" w14:textId="77777777" w:rsidR="00F276BC" w:rsidRPr="009C19C5" w:rsidRDefault="000A0E4E">
            <w:pPr>
              <w:widowControl w:val="0"/>
              <w:spacing w:after="0" w:line="240" w:lineRule="auto"/>
              <w:jc w:val="center"/>
              <w:rPr>
                <w:rFonts w:ascii="Times New Roman" w:eastAsia="Calibri" w:hAnsi="Times New Roman" w:cs="Times New Roman"/>
                <w:sz w:val="20"/>
                <w:szCs w:val="20"/>
                <w:lang w:val="sr-Cyrl-RS" w:eastAsia="el-GR"/>
              </w:rPr>
            </w:pPr>
            <w:r w:rsidRPr="009C19C5">
              <w:rPr>
                <w:rFonts w:ascii="Times New Roman" w:eastAsia="Calibri" w:hAnsi="Times New Roman" w:cs="Times New Roman"/>
                <w:sz w:val="20"/>
                <w:szCs w:val="20"/>
                <w:lang w:val="sr-Cyrl-RS" w:eastAsia="el-GR"/>
              </w:rPr>
              <w:t>Никола Тесла</w:t>
            </w:r>
            <w:r w:rsidRPr="009C19C5">
              <w:rPr>
                <w:rFonts w:ascii="Times New Roman" w:eastAsia="Calibri" w:hAnsi="Times New Roman" w:cs="Times New Roman"/>
                <w:spacing w:val="-2"/>
                <w:sz w:val="20"/>
                <w:szCs w:val="20"/>
                <w:lang w:val="sr-Cyrl-RS" w:eastAsia="el-GR"/>
              </w:rPr>
              <w:t xml:space="preserve"> </w:t>
            </w:r>
            <w:r w:rsidRPr="009C19C5">
              <w:rPr>
                <w:rFonts w:ascii="Times New Roman" w:eastAsia="Calibri" w:hAnsi="Times New Roman" w:cs="Times New Roman"/>
                <w:spacing w:val="-10"/>
                <w:sz w:val="20"/>
                <w:szCs w:val="20"/>
                <w:lang w:val="sr-Cyrl-RS" w:eastAsia="el-GR"/>
              </w:rPr>
              <w:t>Б</w:t>
            </w:r>
          </w:p>
        </w:tc>
        <w:tc>
          <w:tcPr>
            <w:tcW w:w="2999" w:type="dxa"/>
            <w:shd w:val="clear" w:color="auto" w:fill="auto"/>
            <w:vAlign w:val="center"/>
          </w:tcPr>
          <w:p w14:paraId="47FE672D" w14:textId="77777777" w:rsidR="00F276BC" w:rsidRPr="009C19C5" w:rsidRDefault="000A0E4E">
            <w:pPr>
              <w:widowControl w:val="0"/>
              <w:spacing w:after="0" w:line="240" w:lineRule="auto"/>
              <w:jc w:val="center"/>
              <w:rPr>
                <w:rFonts w:ascii="Times New Roman" w:eastAsia="Calibri" w:hAnsi="Times New Roman" w:cs="Times New Roman"/>
                <w:sz w:val="20"/>
                <w:szCs w:val="20"/>
                <w:lang w:val="sr-Cyrl-RS" w:eastAsia="el-GR"/>
              </w:rPr>
            </w:pPr>
            <w:r w:rsidRPr="009C19C5">
              <w:rPr>
                <w:rFonts w:ascii="Times New Roman" w:eastAsia="Calibri" w:hAnsi="Times New Roman" w:cs="Times New Roman"/>
                <w:spacing w:val="-5"/>
                <w:sz w:val="20"/>
                <w:szCs w:val="20"/>
                <w:lang w:val="sr-Cyrl-RS" w:eastAsia="el-GR"/>
              </w:rPr>
              <w:t>1.312</w:t>
            </w:r>
          </w:p>
        </w:tc>
      </w:tr>
      <w:tr w:rsidR="00F276BC" w:rsidRPr="009C19C5" w14:paraId="2CAF187F" w14:textId="77777777" w:rsidTr="004A5AEC">
        <w:trPr>
          <w:trHeight w:val="183"/>
        </w:trPr>
        <w:tc>
          <w:tcPr>
            <w:tcW w:w="3444" w:type="dxa"/>
            <w:shd w:val="clear" w:color="auto" w:fill="auto"/>
            <w:vAlign w:val="center"/>
          </w:tcPr>
          <w:p w14:paraId="0B60FC0E" w14:textId="77777777" w:rsidR="00F276BC" w:rsidRPr="009C19C5" w:rsidRDefault="000A0E4E">
            <w:pPr>
              <w:widowControl w:val="0"/>
              <w:spacing w:after="0" w:line="240" w:lineRule="auto"/>
              <w:jc w:val="center"/>
              <w:rPr>
                <w:rFonts w:ascii="Times New Roman" w:eastAsia="Calibri" w:hAnsi="Times New Roman" w:cs="Times New Roman"/>
                <w:sz w:val="20"/>
                <w:szCs w:val="20"/>
                <w:lang w:val="sr-Cyrl-RS" w:eastAsia="el-GR"/>
              </w:rPr>
            </w:pPr>
            <w:r w:rsidRPr="009C19C5">
              <w:rPr>
                <w:rFonts w:ascii="Times New Roman" w:eastAsia="Calibri" w:hAnsi="Times New Roman" w:cs="Times New Roman"/>
                <w:sz w:val="20"/>
                <w:szCs w:val="20"/>
                <w:lang w:val="sr-Cyrl-RS" w:eastAsia="el-GR"/>
              </w:rPr>
              <w:t>ТЕ Колубара</w:t>
            </w:r>
          </w:p>
        </w:tc>
        <w:tc>
          <w:tcPr>
            <w:tcW w:w="2999" w:type="dxa"/>
            <w:shd w:val="clear" w:color="auto" w:fill="auto"/>
            <w:vAlign w:val="center"/>
          </w:tcPr>
          <w:p w14:paraId="22B24934" w14:textId="77777777" w:rsidR="00F276BC" w:rsidRPr="009C19C5" w:rsidRDefault="000A0E4E">
            <w:pPr>
              <w:widowControl w:val="0"/>
              <w:spacing w:after="0" w:line="240" w:lineRule="auto"/>
              <w:jc w:val="center"/>
              <w:rPr>
                <w:rFonts w:ascii="Times New Roman" w:eastAsia="Calibri" w:hAnsi="Times New Roman" w:cs="Times New Roman"/>
                <w:sz w:val="20"/>
                <w:szCs w:val="20"/>
                <w:lang w:val="sr-Cyrl-RS" w:eastAsia="el-GR"/>
              </w:rPr>
            </w:pPr>
            <w:r w:rsidRPr="009C19C5">
              <w:rPr>
                <w:rFonts w:ascii="Times New Roman" w:eastAsia="Calibri" w:hAnsi="Times New Roman" w:cs="Times New Roman"/>
                <w:spacing w:val="-5"/>
                <w:sz w:val="20"/>
                <w:szCs w:val="20"/>
                <w:lang w:val="sr-Cyrl-RS" w:eastAsia="el-GR"/>
              </w:rPr>
              <w:t>548</w:t>
            </w:r>
          </w:p>
        </w:tc>
      </w:tr>
      <w:tr w:rsidR="00F276BC" w:rsidRPr="009C19C5" w14:paraId="40C4159E" w14:textId="77777777" w:rsidTr="004A5AEC">
        <w:trPr>
          <w:trHeight w:val="183"/>
        </w:trPr>
        <w:tc>
          <w:tcPr>
            <w:tcW w:w="3444" w:type="dxa"/>
            <w:vAlign w:val="center"/>
          </w:tcPr>
          <w:p w14:paraId="544B9A59" w14:textId="77777777" w:rsidR="00F276BC" w:rsidRPr="009C19C5" w:rsidRDefault="000A0E4E">
            <w:pPr>
              <w:widowControl w:val="0"/>
              <w:spacing w:after="0" w:line="240" w:lineRule="auto"/>
              <w:jc w:val="center"/>
              <w:rPr>
                <w:rFonts w:ascii="Times New Roman" w:eastAsia="Calibri" w:hAnsi="Times New Roman" w:cs="Times New Roman"/>
                <w:sz w:val="20"/>
                <w:szCs w:val="20"/>
                <w:lang w:val="sr-Cyrl-RS" w:eastAsia="el-GR"/>
              </w:rPr>
            </w:pPr>
            <w:r w:rsidRPr="009C19C5">
              <w:rPr>
                <w:rFonts w:ascii="Times New Roman" w:eastAsia="Calibri" w:hAnsi="Times New Roman" w:cs="Times New Roman"/>
                <w:sz w:val="20"/>
                <w:szCs w:val="20"/>
                <w:lang w:val="sr-Cyrl-RS" w:eastAsia="el-GR"/>
              </w:rPr>
              <w:t>Костолац</w:t>
            </w:r>
            <w:r w:rsidRPr="009C19C5">
              <w:rPr>
                <w:rFonts w:ascii="Times New Roman" w:eastAsia="Calibri" w:hAnsi="Times New Roman" w:cs="Times New Roman"/>
                <w:spacing w:val="-4"/>
                <w:sz w:val="20"/>
                <w:szCs w:val="20"/>
                <w:lang w:val="sr-Cyrl-RS" w:eastAsia="el-GR"/>
              </w:rPr>
              <w:t xml:space="preserve"> </w:t>
            </w:r>
            <w:r w:rsidRPr="009C19C5">
              <w:rPr>
                <w:rFonts w:ascii="Times New Roman" w:eastAsia="Calibri" w:hAnsi="Times New Roman" w:cs="Times New Roman"/>
                <w:spacing w:val="-10"/>
                <w:sz w:val="20"/>
                <w:szCs w:val="20"/>
                <w:lang w:val="sr-Cyrl-RS" w:eastAsia="el-GR"/>
              </w:rPr>
              <w:t>А</w:t>
            </w:r>
          </w:p>
        </w:tc>
        <w:tc>
          <w:tcPr>
            <w:tcW w:w="2999" w:type="dxa"/>
            <w:vAlign w:val="center"/>
          </w:tcPr>
          <w:p w14:paraId="736D3CD8" w14:textId="77777777" w:rsidR="00F276BC" w:rsidRPr="009C19C5" w:rsidRDefault="000A0E4E">
            <w:pPr>
              <w:widowControl w:val="0"/>
              <w:spacing w:after="0" w:line="240" w:lineRule="auto"/>
              <w:jc w:val="center"/>
              <w:rPr>
                <w:rFonts w:ascii="Times New Roman" w:eastAsia="Calibri" w:hAnsi="Times New Roman" w:cs="Times New Roman"/>
                <w:sz w:val="20"/>
                <w:szCs w:val="20"/>
                <w:lang w:val="sr-Cyrl-RS" w:eastAsia="el-GR"/>
              </w:rPr>
            </w:pPr>
            <w:r w:rsidRPr="009C19C5">
              <w:rPr>
                <w:rFonts w:ascii="Times New Roman" w:eastAsia="Calibri" w:hAnsi="Times New Roman" w:cs="Times New Roman"/>
                <w:spacing w:val="-5"/>
                <w:sz w:val="20"/>
                <w:szCs w:val="20"/>
                <w:lang w:val="sr-Cyrl-RS" w:eastAsia="el-GR"/>
              </w:rPr>
              <w:t>533</w:t>
            </w:r>
          </w:p>
        </w:tc>
      </w:tr>
      <w:tr w:rsidR="00F276BC" w:rsidRPr="009C19C5" w14:paraId="54E53BC3" w14:textId="77777777" w:rsidTr="004A5AEC">
        <w:trPr>
          <w:trHeight w:val="183"/>
        </w:trPr>
        <w:tc>
          <w:tcPr>
            <w:tcW w:w="3444" w:type="dxa"/>
            <w:vAlign w:val="center"/>
          </w:tcPr>
          <w:p w14:paraId="3D7E1EA6" w14:textId="77777777" w:rsidR="00F276BC" w:rsidRPr="009C19C5" w:rsidRDefault="000A0E4E">
            <w:pPr>
              <w:widowControl w:val="0"/>
              <w:spacing w:after="0" w:line="240" w:lineRule="auto"/>
              <w:jc w:val="center"/>
              <w:rPr>
                <w:rFonts w:ascii="Times New Roman" w:eastAsia="Calibri" w:hAnsi="Times New Roman" w:cs="Times New Roman"/>
                <w:sz w:val="20"/>
                <w:szCs w:val="20"/>
                <w:lang w:val="sr-Cyrl-RS" w:eastAsia="el-GR"/>
              </w:rPr>
            </w:pPr>
            <w:r w:rsidRPr="009C19C5">
              <w:rPr>
                <w:rFonts w:ascii="Times New Roman" w:eastAsia="Calibri" w:hAnsi="Times New Roman" w:cs="Times New Roman"/>
                <w:sz w:val="20"/>
                <w:szCs w:val="20"/>
                <w:lang w:val="sr-Cyrl-RS" w:eastAsia="el-GR"/>
              </w:rPr>
              <w:t>Костолац</w:t>
            </w:r>
            <w:r w:rsidRPr="009C19C5">
              <w:rPr>
                <w:rFonts w:ascii="Times New Roman" w:eastAsia="Calibri" w:hAnsi="Times New Roman" w:cs="Times New Roman"/>
                <w:spacing w:val="-4"/>
                <w:sz w:val="20"/>
                <w:szCs w:val="20"/>
                <w:lang w:val="sr-Cyrl-RS" w:eastAsia="el-GR"/>
              </w:rPr>
              <w:t xml:space="preserve"> </w:t>
            </w:r>
            <w:r w:rsidRPr="009C19C5">
              <w:rPr>
                <w:rFonts w:ascii="Times New Roman" w:eastAsia="Calibri" w:hAnsi="Times New Roman" w:cs="Times New Roman"/>
                <w:spacing w:val="-10"/>
                <w:sz w:val="20"/>
                <w:szCs w:val="20"/>
                <w:lang w:val="sr-Cyrl-RS" w:eastAsia="el-GR"/>
              </w:rPr>
              <w:t>Б</w:t>
            </w:r>
          </w:p>
        </w:tc>
        <w:tc>
          <w:tcPr>
            <w:tcW w:w="2999" w:type="dxa"/>
            <w:vAlign w:val="center"/>
          </w:tcPr>
          <w:p w14:paraId="2A6A8E63" w14:textId="77777777" w:rsidR="00F276BC" w:rsidRPr="009C19C5" w:rsidRDefault="000A0E4E">
            <w:pPr>
              <w:widowControl w:val="0"/>
              <w:spacing w:after="0" w:line="240" w:lineRule="auto"/>
              <w:jc w:val="center"/>
              <w:rPr>
                <w:rFonts w:ascii="Times New Roman" w:eastAsia="Calibri" w:hAnsi="Times New Roman" w:cs="Times New Roman"/>
                <w:sz w:val="20"/>
                <w:szCs w:val="20"/>
                <w:lang w:val="sr-Cyrl-RS" w:eastAsia="el-GR"/>
              </w:rPr>
            </w:pPr>
            <w:r w:rsidRPr="009C19C5">
              <w:rPr>
                <w:rFonts w:ascii="Times New Roman" w:eastAsia="Calibri" w:hAnsi="Times New Roman" w:cs="Times New Roman"/>
                <w:spacing w:val="-5"/>
                <w:sz w:val="20"/>
                <w:szCs w:val="20"/>
                <w:lang w:val="sr-Cyrl-RS" w:eastAsia="el-GR"/>
              </w:rPr>
              <w:t>891</w:t>
            </w:r>
          </w:p>
        </w:tc>
      </w:tr>
      <w:tr w:rsidR="00F276BC" w:rsidRPr="009C19C5" w14:paraId="14088D88" w14:textId="77777777" w:rsidTr="004A5AEC">
        <w:trPr>
          <w:trHeight w:val="183"/>
        </w:trPr>
        <w:tc>
          <w:tcPr>
            <w:tcW w:w="3444" w:type="dxa"/>
            <w:vAlign w:val="center"/>
          </w:tcPr>
          <w:p w14:paraId="793292D6" w14:textId="77777777" w:rsidR="00F276BC" w:rsidRPr="009C19C5" w:rsidRDefault="000A0E4E">
            <w:pPr>
              <w:widowControl w:val="0"/>
              <w:spacing w:after="0" w:line="240" w:lineRule="auto"/>
              <w:jc w:val="center"/>
              <w:rPr>
                <w:rFonts w:ascii="Times New Roman" w:eastAsia="Calibri" w:hAnsi="Times New Roman" w:cs="Times New Roman"/>
                <w:sz w:val="20"/>
                <w:szCs w:val="20"/>
                <w:lang w:val="sr-Cyrl-RS" w:eastAsia="el-GR"/>
              </w:rPr>
            </w:pPr>
            <w:r w:rsidRPr="009C19C5">
              <w:rPr>
                <w:rFonts w:ascii="Times New Roman" w:eastAsia="Calibri" w:hAnsi="Times New Roman" w:cs="Times New Roman"/>
                <w:spacing w:val="-2"/>
                <w:sz w:val="20"/>
                <w:szCs w:val="20"/>
                <w:lang w:val="sr-Cyrl-RS" w:eastAsia="el-GR"/>
              </w:rPr>
              <w:t>Морава</w:t>
            </w:r>
          </w:p>
        </w:tc>
        <w:tc>
          <w:tcPr>
            <w:tcW w:w="2999" w:type="dxa"/>
            <w:vAlign w:val="center"/>
          </w:tcPr>
          <w:p w14:paraId="24380445" w14:textId="77777777" w:rsidR="00F276BC" w:rsidRPr="009C19C5" w:rsidRDefault="000A0E4E">
            <w:pPr>
              <w:widowControl w:val="0"/>
              <w:spacing w:after="0" w:line="240" w:lineRule="auto"/>
              <w:jc w:val="center"/>
              <w:rPr>
                <w:rFonts w:ascii="Times New Roman" w:eastAsia="Calibri" w:hAnsi="Times New Roman" w:cs="Times New Roman"/>
                <w:sz w:val="20"/>
                <w:szCs w:val="20"/>
                <w:lang w:val="sr-Cyrl-RS" w:eastAsia="el-GR"/>
              </w:rPr>
            </w:pPr>
            <w:r w:rsidRPr="009C19C5">
              <w:rPr>
                <w:rFonts w:ascii="Times New Roman" w:eastAsia="Calibri" w:hAnsi="Times New Roman" w:cs="Times New Roman"/>
                <w:spacing w:val="-5"/>
                <w:sz w:val="20"/>
                <w:szCs w:val="20"/>
                <w:lang w:val="sr-Cyrl-RS" w:eastAsia="el-GR"/>
              </w:rPr>
              <w:t>286</w:t>
            </w:r>
          </w:p>
        </w:tc>
      </w:tr>
      <w:tr w:rsidR="00F276BC" w:rsidRPr="009C19C5" w14:paraId="4163F4DE" w14:textId="77777777" w:rsidTr="004A5AEC">
        <w:trPr>
          <w:trHeight w:val="183"/>
        </w:trPr>
        <w:tc>
          <w:tcPr>
            <w:tcW w:w="3444" w:type="dxa"/>
            <w:vAlign w:val="center"/>
          </w:tcPr>
          <w:p w14:paraId="272A524E" w14:textId="77777777" w:rsidR="00F276BC" w:rsidRPr="009C19C5" w:rsidRDefault="000A0E4E">
            <w:pPr>
              <w:widowControl w:val="0"/>
              <w:spacing w:after="0" w:line="240" w:lineRule="auto"/>
              <w:jc w:val="center"/>
              <w:rPr>
                <w:rFonts w:ascii="Times New Roman" w:eastAsia="Calibri" w:hAnsi="Times New Roman" w:cs="Times New Roman"/>
                <w:b/>
                <w:sz w:val="20"/>
                <w:szCs w:val="20"/>
                <w:lang w:val="sr-Cyrl-RS" w:eastAsia="el-GR"/>
              </w:rPr>
            </w:pPr>
            <w:r w:rsidRPr="009C19C5">
              <w:rPr>
                <w:rFonts w:ascii="Times New Roman" w:eastAsia="Calibri" w:hAnsi="Times New Roman" w:cs="Times New Roman"/>
                <w:b/>
                <w:spacing w:val="-2"/>
                <w:sz w:val="20"/>
                <w:szCs w:val="20"/>
                <w:lang w:val="sr-Cyrl-RS" w:eastAsia="el-GR"/>
              </w:rPr>
              <w:t>Укупно</w:t>
            </w:r>
          </w:p>
        </w:tc>
        <w:tc>
          <w:tcPr>
            <w:tcW w:w="2999" w:type="dxa"/>
            <w:vAlign w:val="center"/>
          </w:tcPr>
          <w:p w14:paraId="1DA44125" w14:textId="77777777" w:rsidR="00F276BC" w:rsidRPr="009C19C5" w:rsidRDefault="000A0E4E">
            <w:pPr>
              <w:widowControl w:val="0"/>
              <w:spacing w:after="0" w:line="240" w:lineRule="auto"/>
              <w:jc w:val="center"/>
              <w:rPr>
                <w:rFonts w:ascii="Times New Roman" w:eastAsia="Calibri" w:hAnsi="Times New Roman" w:cs="Times New Roman"/>
                <w:b/>
                <w:sz w:val="20"/>
                <w:szCs w:val="20"/>
                <w:lang w:val="sr-Cyrl-RS" w:eastAsia="el-GR"/>
              </w:rPr>
            </w:pPr>
            <w:r w:rsidRPr="009C19C5">
              <w:rPr>
                <w:rFonts w:ascii="Times New Roman" w:eastAsia="Calibri" w:hAnsi="Times New Roman" w:cs="Times New Roman"/>
                <w:b/>
                <w:spacing w:val="-4"/>
                <w:sz w:val="20"/>
                <w:szCs w:val="20"/>
                <w:lang w:val="sr-Cyrl-RS" w:eastAsia="el-GR"/>
              </w:rPr>
              <w:t>5.603</w:t>
            </w:r>
          </w:p>
        </w:tc>
      </w:tr>
    </w:tbl>
    <w:p w14:paraId="038574FB" w14:textId="75653030" w:rsidR="00F276BC" w:rsidRPr="009C19C5" w:rsidRDefault="00A7582E" w:rsidP="00534A78">
      <w:pPr>
        <w:pStyle w:val="BodyText"/>
        <w:spacing w:after="0" w:line="240" w:lineRule="auto"/>
        <w:ind w:firstLine="720"/>
        <w:rPr>
          <w:rFonts w:ascii="Times New Roman" w:hAnsi="Times New Roman" w:cs="Times New Roman"/>
          <w:sz w:val="24"/>
          <w:szCs w:val="24"/>
          <w:lang w:val="sr-Cyrl-RS"/>
        </w:rPr>
      </w:pPr>
      <w:r w:rsidRPr="009C19C5">
        <w:rPr>
          <w:rFonts w:ascii="Times New Roman" w:hAnsi="Times New Roman" w:cs="Times New Roman"/>
          <w:sz w:val="24"/>
          <w:szCs w:val="24"/>
          <w:lang w:val="sr-Cyrl-RS"/>
        </w:rPr>
        <w:t>У</w:t>
      </w:r>
      <w:r w:rsidR="000A0E4E" w:rsidRPr="009C19C5">
        <w:rPr>
          <w:rFonts w:ascii="Times New Roman" w:hAnsi="Times New Roman" w:cs="Times New Roman"/>
          <w:sz w:val="24"/>
          <w:szCs w:val="24"/>
          <w:lang w:val="sr-Cyrl-RS"/>
        </w:rPr>
        <w:t xml:space="preserve">купан број запослених у </w:t>
      </w:r>
      <w:r w:rsidR="001D1986" w:rsidRPr="009C19C5">
        <w:rPr>
          <w:rFonts w:ascii="Times New Roman" w:hAnsi="Times New Roman" w:cs="Times New Roman"/>
          <w:sz w:val="24"/>
          <w:szCs w:val="24"/>
          <w:lang w:val="sr-Cyrl-RS"/>
        </w:rPr>
        <w:t xml:space="preserve">термоелектранама </w:t>
      </w:r>
      <w:r w:rsidR="000A0E4E" w:rsidRPr="009C19C5">
        <w:rPr>
          <w:rFonts w:ascii="Times New Roman" w:hAnsi="Times New Roman" w:cs="Times New Roman"/>
          <w:sz w:val="24"/>
          <w:szCs w:val="24"/>
          <w:lang w:val="sr-Cyrl-RS"/>
        </w:rPr>
        <w:t xml:space="preserve">и рудницима угља у </w:t>
      </w:r>
      <w:r w:rsidR="007D4593" w:rsidRPr="009C19C5">
        <w:rPr>
          <w:rFonts w:ascii="Times New Roman" w:hAnsi="Times New Roman" w:cs="Times New Roman"/>
          <w:sz w:val="24"/>
          <w:szCs w:val="24"/>
          <w:lang w:val="sr-Cyrl-RS"/>
        </w:rPr>
        <w:t xml:space="preserve">Републици </w:t>
      </w:r>
      <w:r w:rsidR="000A0E4E" w:rsidRPr="009C19C5">
        <w:rPr>
          <w:rFonts w:ascii="Times New Roman" w:hAnsi="Times New Roman" w:cs="Times New Roman"/>
          <w:sz w:val="24"/>
          <w:szCs w:val="24"/>
          <w:lang w:val="sr-Cyrl-RS"/>
        </w:rPr>
        <w:t xml:space="preserve">Србији </w:t>
      </w:r>
      <w:r w:rsidRPr="009C19C5">
        <w:rPr>
          <w:rFonts w:ascii="Times New Roman" w:hAnsi="Times New Roman" w:cs="Times New Roman"/>
          <w:sz w:val="24"/>
          <w:szCs w:val="24"/>
          <w:lang w:val="sr-Cyrl-RS"/>
        </w:rPr>
        <w:t xml:space="preserve">износи </w:t>
      </w:r>
      <w:r w:rsidR="000A0E4E" w:rsidRPr="009C19C5">
        <w:rPr>
          <w:rFonts w:ascii="Times New Roman" w:hAnsi="Times New Roman" w:cs="Times New Roman"/>
          <w:sz w:val="24"/>
          <w:szCs w:val="24"/>
          <w:lang w:val="sr-Cyrl-RS"/>
        </w:rPr>
        <w:t>25.288.</w:t>
      </w:r>
    </w:p>
    <w:p w14:paraId="31E572B6" w14:textId="793E6B50" w:rsidR="00F276BC" w:rsidRPr="009C19C5" w:rsidRDefault="000A0E4E" w:rsidP="00534A78">
      <w:pPr>
        <w:pStyle w:val="BodyText"/>
        <w:spacing w:after="0" w:line="240" w:lineRule="auto"/>
        <w:ind w:firstLine="720"/>
        <w:rPr>
          <w:rFonts w:ascii="Times New Roman" w:hAnsi="Times New Roman" w:cs="Times New Roman"/>
          <w:sz w:val="24"/>
          <w:szCs w:val="24"/>
          <w:lang w:val="sr-Cyrl-RS"/>
        </w:rPr>
      </w:pPr>
      <w:r w:rsidRPr="009C19C5">
        <w:rPr>
          <w:rFonts w:ascii="Times New Roman" w:hAnsi="Times New Roman" w:cs="Times New Roman"/>
          <w:sz w:val="24"/>
          <w:szCs w:val="24"/>
          <w:lang w:val="sr-Cyrl-RS"/>
        </w:rPr>
        <w:t xml:space="preserve">Према подацима Републичког завода за </w:t>
      </w:r>
      <w:r w:rsidR="002833F9" w:rsidRPr="009C19C5">
        <w:rPr>
          <w:rFonts w:ascii="Times New Roman" w:hAnsi="Times New Roman" w:cs="Times New Roman"/>
          <w:sz w:val="24"/>
          <w:szCs w:val="24"/>
          <w:lang w:val="sr-Cyrl-RS"/>
        </w:rPr>
        <w:t>статистику (</w:t>
      </w:r>
      <w:r w:rsidRPr="009C19C5">
        <w:rPr>
          <w:rFonts w:ascii="Times New Roman" w:hAnsi="Times New Roman" w:cs="Times New Roman"/>
          <w:sz w:val="24"/>
          <w:szCs w:val="24"/>
          <w:lang w:val="sr-Cyrl-RS"/>
        </w:rPr>
        <w:t xml:space="preserve">2021), у општинама Лазаревац, Обреновац и Лајковац регистровано је 9.367, 1.855 и 1.341 </w:t>
      </w:r>
      <w:r w:rsidR="001D1986" w:rsidRPr="009C19C5">
        <w:rPr>
          <w:rFonts w:ascii="Times New Roman" w:hAnsi="Times New Roman" w:cs="Times New Roman"/>
          <w:sz w:val="24"/>
          <w:szCs w:val="24"/>
          <w:lang w:val="sr-Cyrl-RS"/>
        </w:rPr>
        <w:t xml:space="preserve">особа </w:t>
      </w:r>
      <w:r w:rsidRPr="009C19C5">
        <w:rPr>
          <w:rFonts w:ascii="Times New Roman" w:hAnsi="Times New Roman" w:cs="Times New Roman"/>
          <w:sz w:val="24"/>
          <w:szCs w:val="24"/>
          <w:lang w:val="sr-Cyrl-RS"/>
        </w:rPr>
        <w:t xml:space="preserve">запослених у рударству и електроенергетици. </w:t>
      </w:r>
      <w:r w:rsidR="00BF7C86" w:rsidRPr="009C19C5">
        <w:rPr>
          <w:rFonts w:ascii="Times New Roman" w:hAnsi="Times New Roman" w:cs="Times New Roman"/>
          <w:sz w:val="24"/>
          <w:szCs w:val="24"/>
          <w:lang w:val="sr-Cyrl-RS"/>
        </w:rPr>
        <w:t xml:space="preserve">Са територије </w:t>
      </w:r>
      <w:r w:rsidRPr="009C19C5">
        <w:rPr>
          <w:rFonts w:ascii="Times New Roman" w:hAnsi="Times New Roman" w:cs="Times New Roman"/>
          <w:sz w:val="24"/>
          <w:szCs w:val="24"/>
          <w:lang w:val="sr-Cyrl-RS"/>
        </w:rPr>
        <w:t>Љиг</w:t>
      </w:r>
      <w:r w:rsidR="00BF7C86" w:rsidRPr="009C19C5">
        <w:rPr>
          <w:rFonts w:ascii="Times New Roman" w:hAnsi="Times New Roman" w:cs="Times New Roman"/>
          <w:sz w:val="24"/>
          <w:szCs w:val="24"/>
          <w:lang w:val="sr-Cyrl-RS"/>
        </w:rPr>
        <w:t>а, као најмање од ове четири општине</w:t>
      </w:r>
      <w:r w:rsidR="004C4E67" w:rsidRPr="009C19C5">
        <w:rPr>
          <w:rFonts w:ascii="Times New Roman" w:hAnsi="Times New Roman" w:cs="Times New Roman"/>
          <w:sz w:val="24"/>
          <w:szCs w:val="24"/>
          <w:lang w:val="sr-Cyrl-RS"/>
        </w:rPr>
        <w:t xml:space="preserve"> </w:t>
      </w:r>
      <w:r w:rsidRPr="009C19C5">
        <w:rPr>
          <w:rFonts w:ascii="Times New Roman" w:hAnsi="Times New Roman" w:cs="Times New Roman"/>
          <w:sz w:val="24"/>
          <w:szCs w:val="24"/>
          <w:lang w:val="sr-Cyrl-RS"/>
        </w:rPr>
        <w:t xml:space="preserve">званично </w:t>
      </w:r>
      <w:r w:rsidR="00BF7C86" w:rsidRPr="009C19C5">
        <w:rPr>
          <w:rFonts w:ascii="Times New Roman" w:hAnsi="Times New Roman" w:cs="Times New Roman"/>
          <w:sz w:val="24"/>
          <w:szCs w:val="24"/>
          <w:lang w:val="sr-Cyrl-RS"/>
        </w:rPr>
        <w:t xml:space="preserve">је </w:t>
      </w:r>
      <w:r w:rsidRPr="009C19C5">
        <w:rPr>
          <w:rFonts w:ascii="Times New Roman" w:hAnsi="Times New Roman" w:cs="Times New Roman"/>
          <w:sz w:val="24"/>
          <w:szCs w:val="24"/>
          <w:lang w:val="sr-Cyrl-RS"/>
        </w:rPr>
        <w:t>запо</w:t>
      </w:r>
      <w:r w:rsidR="00BF7C86" w:rsidRPr="009C19C5">
        <w:rPr>
          <w:rFonts w:ascii="Times New Roman" w:hAnsi="Times New Roman" w:cs="Times New Roman"/>
          <w:sz w:val="24"/>
          <w:szCs w:val="24"/>
          <w:lang w:val="sr-Cyrl-RS"/>
        </w:rPr>
        <w:t>слено</w:t>
      </w:r>
      <w:r w:rsidRPr="009C19C5">
        <w:rPr>
          <w:rFonts w:ascii="Times New Roman" w:hAnsi="Times New Roman" w:cs="Times New Roman"/>
          <w:sz w:val="24"/>
          <w:szCs w:val="24"/>
          <w:lang w:val="sr-Cyrl-RS"/>
        </w:rPr>
        <w:t xml:space="preserve"> 159 људи. Поред општина Лазаревац, Обреновац, Лајковац и Љиг, потребно је напоменути да још две општине, Уб и </w:t>
      </w:r>
      <w:r w:rsidRPr="009C19C5">
        <w:rPr>
          <w:rFonts w:ascii="Times New Roman" w:hAnsi="Times New Roman" w:cs="Times New Roman"/>
          <w:sz w:val="24"/>
          <w:szCs w:val="24"/>
          <w:lang w:val="sr-Cyrl-RS"/>
        </w:rPr>
        <w:lastRenderedPageBreak/>
        <w:t xml:space="preserve">Аранђеловац, имају укупно 1.221 </w:t>
      </w:r>
      <w:r w:rsidR="00BF7C86" w:rsidRPr="009C19C5">
        <w:rPr>
          <w:rFonts w:ascii="Times New Roman" w:hAnsi="Times New Roman" w:cs="Times New Roman"/>
          <w:sz w:val="24"/>
          <w:szCs w:val="24"/>
          <w:lang w:val="sr-Cyrl-RS"/>
        </w:rPr>
        <w:t xml:space="preserve">особа </w:t>
      </w:r>
      <w:r w:rsidRPr="009C19C5">
        <w:rPr>
          <w:rFonts w:ascii="Times New Roman" w:hAnsi="Times New Roman" w:cs="Times New Roman"/>
          <w:sz w:val="24"/>
          <w:szCs w:val="24"/>
          <w:lang w:val="sr-Cyrl-RS"/>
        </w:rPr>
        <w:t>запослен</w:t>
      </w:r>
      <w:r w:rsidR="00BF7C86" w:rsidRPr="009C19C5">
        <w:rPr>
          <w:rFonts w:ascii="Times New Roman" w:hAnsi="Times New Roman" w:cs="Times New Roman"/>
          <w:sz w:val="24"/>
          <w:szCs w:val="24"/>
          <w:lang w:val="sr-Cyrl-RS"/>
        </w:rPr>
        <w:t>их</w:t>
      </w:r>
      <w:r w:rsidRPr="009C19C5">
        <w:rPr>
          <w:rFonts w:ascii="Times New Roman" w:hAnsi="Times New Roman" w:cs="Times New Roman"/>
          <w:sz w:val="24"/>
          <w:szCs w:val="24"/>
          <w:lang w:val="sr-Cyrl-RS"/>
        </w:rPr>
        <w:t xml:space="preserve"> у </w:t>
      </w:r>
      <w:r w:rsidR="00A7582E" w:rsidRPr="009C19C5">
        <w:rPr>
          <w:rFonts w:ascii="Times New Roman" w:hAnsi="Times New Roman" w:cs="Times New Roman"/>
          <w:sz w:val="24"/>
          <w:szCs w:val="24"/>
          <w:lang w:val="sr-Cyrl-RS"/>
        </w:rPr>
        <w:t xml:space="preserve">ЕПС АД </w:t>
      </w:r>
      <w:r w:rsidRPr="009C19C5">
        <w:rPr>
          <w:rFonts w:ascii="Times New Roman" w:hAnsi="Times New Roman" w:cs="Times New Roman"/>
          <w:sz w:val="24"/>
          <w:szCs w:val="24"/>
          <w:lang w:val="sr-Cyrl-RS"/>
        </w:rPr>
        <w:t xml:space="preserve">(на подручју Колубаре, према подацима </w:t>
      </w:r>
      <w:r w:rsidR="00A7582E" w:rsidRPr="009C19C5">
        <w:rPr>
          <w:rFonts w:ascii="Times New Roman" w:hAnsi="Times New Roman" w:cs="Times New Roman"/>
          <w:sz w:val="24"/>
          <w:szCs w:val="24"/>
          <w:lang w:val="sr-Cyrl-RS"/>
        </w:rPr>
        <w:t xml:space="preserve">ЕПС АД </w:t>
      </w:r>
      <w:r w:rsidRPr="009C19C5">
        <w:rPr>
          <w:rFonts w:ascii="Times New Roman" w:hAnsi="Times New Roman" w:cs="Times New Roman"/>
          <w:sz w:val="24"/>
          <w:szCs w:val="24"/>
          <w:lang w:val="sr-Cyrl-RS"/>
        </w:rPr>
        <w:t>из 2022.</w:t>
      </w:r>
      <w:r w:rsidR="00586FF9" w:rsidRPr="009C19C5">
        <w:rPr>
          <w:rFonts w:ascii="Times New Roman" w:hAnsi="Times New Roman" w:cs="Times New Roman"/>
          <w:sz w:val="24"/>
          <w:szCs w:val="24"/>
          <w:lang w:val="sr-Cyrl-RS"/>
        </w:rPr>
        <w:t xml:space="preserve"> </w:t>
      </w:r>
      <w:r w:rsidR="004A5AEC" w:rsidRPr="009C19C5">
        <w:rPr>
          <w:rFonts w:ascii="Times New Roman" w:hAnsi="Times New Roman" w:cs="Times New Roman"/>
          <w:sz w:val="24"/>
          <w:szCs w:val="24"/>
          <w:lang w:val="sr-Cyrl-RS"/>
        </w:rPr>
        <w:t>године</w:t>
      </w:r>
      <w:r w:rsidRPr="009C19C5">
        <w:rPr>
          <w:rFonts w:ascii="Times New Roman" w:hAnsi="Times New Roman" w:cs="Times New Roman"/>
          <w:sz w:val="24"/>
          <w:szCs w:val="24"/>
          <w:lang w:val="sr-Cyrl-RS"/>
        </w:rPr>
        <w:t>). Већина тих радника је запослена у рудницима.</w:t>
      </w:r>
    </w:p>
    <w:p w14:paraId="4A6E8C6E" w14:textId="4D1248DB" w:rsidR="00F276BC" w:rsidRPr="009C19C5" w:rsidRDefault="000A0E4E" w:rsidP="008C32B0">
      <w:pPr>
        <w:spacing w:after="0" w:line="240" w:lineRule="auto"/>
        <w:ind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 xml:space="preserve">У случају Деспотовца, на број </w:t>
      </w:r>
      <w:r w:rsidR="00BF7C86" w:rsidRPr="009C19C5">
        <w:rPr>
          <w:rFonts w:ascii="Times New Roman" w:hAnsi="Times New Roman" w:cs="Times New Roman"/>
          <w:sz w:val="24"/>
          <w:szCs w:val="24"/>
          <w:lang w:val="sr-Cyrl-RS"/>
        </w:rPr>
        <w:t xml:space="preserve">запослених са територије општине </w:t>
      </w:r>
      <w:r w:rsidRPr="009C19C5">
        <w:rPr>
          <w:rFonts w:ascii="Times New Roman" w:hAnsi="Times New Roman" w:cs="Times New Roman"/>
          <w:sz w:val="24"/>
          <w:szCs w:val="24"/>
          <w:lang w:val="sr-Cyrl-RS"/>
        </w:rPr>
        <w:t xml:space="preserve">утиче рад рудника </w:t>
      </w:r>
      <w:r w:rsidR="00BF7C86" w:rsidRPr="009C19C5">
        <w:rPr>
          <w:rFonts w:ascii="Times New Roman" w:hAnsi="Times New Roman" w:cs="Times New Roman"/>
          <w:sz w:val="24"/>
          <w:szCs w:val="24"/>
          <w:lang w:val="sr-Cyrl-RS"/>
        </w:rPr>
        <w:t xml:space="preserve">ЈП </w:t>
      </w:r>
      <w:r w:rsidRPr="009C19C5">
        <w:rPr>
          <w:rFonts w:ascii="Times New Roman" w:hAnsi="Times New Roman" w:cs="Times New Roman"/>
          <w:sz w:val="24"/>
          <w:szCs w:val="24"/>
          <w:lang w:val="sr-Cyrl-RS"/>
        </w:rPr>
        <w:t>ПЕУ Ресавица и посебно рудника Рембас. Према подацима Републичког завода за статистику (</w:t>
      </w:r>
      <w:r w:rsidR="004A5AEC" w:rsidRPr="009C19C5">
        <w:rPr>
          <w:rFonts w:ascii="Times New Roman" w:hAnsi="Times New Roman" w:cs="Times New Roman"/>
          <w:sz w:val="24"/>
          <w:szCs w:val="24"/>
          <w:lang w:val="sr-Cyrl-RS"/>
        </w:rPr>
        <w:t xml:space="preserve">за </w:t>
      </w:r>
      <w:r w:rsidRPr="009C19C5">
        <w:rPr>
          <w:rFonts w:ascii="Times New Roman" w:hAnsi="Times New Roman" w:cs="Times New Roman"/>
          <w:sz w:val="24"/>
          <w:szCs w:val="24"/>
          <w:lang w:val="sr-Cyrl-RS"/>
        </w:rPr>
        <w:t>2021</w:t>
      </w:r>
      <w:r w:rsidR="004A5AEC" w:rsidRPr="009C19C5">
        <w:rPr>
          <w:rFonts w:ascii="Times New Roman" w:hAnsi="Times New Roman" w:cs="Times New Roman"/>
          <w:sz w:val="24"/>
          <w:szCs w:val="24"/>
          <w:lang w:val="sr-Cyrl-RS"/>
        </w:rPr>
        <w:t>.</w:t>
      </w:r>
      <w:r w:rsidR="00586FF9" w:rsidRPr="009C19C5">
        <w:rPr>
          <w:rFonts w:ascii="Times New Roman" w:hAnsi="Times New Roman" w:cs="Times New Roman"/>
          <w:sz w:val="24"/>
          <w:szCs w:val="24"/>
          <w:lang w:val="sr-Cyrl-RS"/>
        </w:rPr>
        <w:t xml:space="preserve"> </w:t>
      </w:r>
      <w:r w:rsidR="004A5AEC" w:rsidRPr="009C19C5">
        <w:rPr>
          <w:rFonts w:ascii="Times New Roman" w:hAnsi="Times New Roman" w:cs="Times New Roman"/>
          <w:sz w:val="24"/>
          <w:szCs w:val="24"/>
          <w:lang w:val="sr-Cyrl-RS"/>
        </w:rPr>
        <w:t>годину</w:t>
      </w:r>
      <w:r w:rsidRPr="009C19C5">
        <w:rPr>
          <w:rFonts w:ascii="Times New Roman" w:hAnsi="Times New Roman" w:cs="Times New Roman"/>
          <w:sz w:val="24"/>
          <w:szCs w:val="24"/>
          <w:lang w:val="sr-Cyrl-RS"/>
        </w:rPr>
        <w:t>), ова општина има 1.304 запослен</w:t>
      </w:r>
      <w:r w:rsidR="00BF7C86" w:rsidRPr="009C19C5">
        <w:rPr>
          <w:rFonts w:ascii="Times New Roman" w:hAnsi="Times New Roman" w:cs="Times New Roman"/>
          <w:sz w:val="24"/>
          <w:szCs w:val="24"/>
          <w:lang w:val="sr-Cyrl-RS"/>
        </w:rPr>
        <w:t>а</w:t>
      </w:r>
      <w:r w:rsidRPr="009C19C5">
        <w:rPr>
          <w:rFonts w:ascii="Times New Roman" w:hAnsi="Times New Roman" w:cs="Times New Roman"/>
          <w:sz w:val="24"/>
          <w:szCs w:val="24"/>
          <w:lang w:val="sr-Cyrl-RS"/>
        </w:rPr>
        <w:t xml:space="preserve"> у рударству и електроенергетици, што чини 27,14% укупне радне снаге. Велика већина њих је запослена у рударском сектору.</w:t>
      </w:r>
    </w:p>
    <w:p w14:paraId="0D7C4696" w14:textId="2D189E83" w:rsidR="00F276BC" w:rsidRPr="009C19C5" w:rsidRDefault="00DB040D" w:rsidP="00BE195F">
      <w:pPr>
        <w:pStyle w:val="Heading2"/>
        <w:rPr>
          <w:b/>
        </w:rPr>
      </w:pPr>
      <w:bookmarkStart w:id="25" w:name="_Toc183082935"/>
      <w:r w:rsidRPr="009C19C5">
        <w:t>4.4.</w:t>
      </w:r>
      <w:bookmarkStart w:id="26" w:name="_Toc167311727"/>
      <w:bookmarkStart w:id="27" w:name="_Toc167352105"/>
      <w:bookmarkStart w:id="28" w:name="_Toc183082937"/>
      <w:bookmarkEnd w:id="25"/>
      <w:bookmarkEnd w:id="26"/>
      <w:bookmarkEnd w:id="27"/>
      <w:r w:rsidR="000A0E4E" w:rsidRPr="009C19C5">
        <w:t xml:space="preserve"> SWOT </w:t>
      </w:r>
      <w:bookmarkEnd w:id="28"/>
      <w:r w:rsidR="000A0E4E" w:rsidRPr="009C19C5">
        <w:t>Анализа погођених територија</w:t>
      </w:r>
    </w:p>
    <w:p w14:paraId="73AC9273" w14:textId="6BD00B74" w:rsidR="00F276BC" w:rsidRPr="009C19C5" w:rsidRDefault="000A0E4E" w:rsidP="00586FF9">
      <w:pPr>
        <w:spacing w:after="0"/>
        <w:rPr>
          <w:rFonts w:ascii="Times New Roman" w:hAnsi="Times New Roman" w:cs="Times New Roman"/>
          <w:b/>
          <w:bCs/>
          <w:lang w:val="sr-Cyrl-RS"/>
        </w:rPr>
      </w:pPr>
      <w:r w:rsidRPr="009C19C5">
        <w:rPr>
          <w:rFonts w:ascii="Times New Roman" w:hAnsi="Times New Roman" w:cs="Times New Roman"/>
          <w:b/>
          <w:bCs/>
          <w:lang w:val="sr-Cyrl-RS"/>
        </w:rPr>
        <w:t>Басен Колубара</w:t>
      </w:r>
    </w:p>
    <w:p w14:paraId="3E7B3B31" w14:textId="1750F6D5" w:rsidR="00F276BC" w:rsidRPr="009C19C5" w:rsidRDefault="000A0E4E" w:rsidP="00586FF9">
      <w:pPr>
        <w:pStyle w:val="Caption"/>
        <w:keepNext/>
        <w:spacing w:after="0"/>
        <w:jc w:val="left"/>
        <w:rPr>
          <w:rFonts w:ascii="Times New Roman" w:hAnsi="Times New Roman" w:cs="Times New Roman"/>
          <w:i w:val="0"/>
          <w:iCs w:val="0"/>
          <w:color w:val="auto"/>
          <w:sz w:val="20"/>
          <w:szCs w:val="20"/>
          <w:lang w:val="sr-Cyrl-RS"/>
        </w:rPr>
      </w:pPr>
      <w:r w:rsidRPr="009C19C5">
        <w:rPr>
          <w:rFonts w:ascii="Times New Roman" w:hAnsi="Times New Roman" w:cs="Times New Roman"/>
          <w:i w:val="0"/>
          <w:iCs w:val="0"/>
          <w:color w:val="auto"/>
          <w:sz w:val="20"/>
          <w:szCs w:val="20"/>
          <w:lang w:val="sr-Cyrl-RS"/>
        </w:rPr>
        <w:t xml:space="preserve">Табела 5: Табела предности, слабости, могућности и опасности за Басен Колубара </w:t>
      </w:r>
      <w:r w:rsidR="00847881" w:rsidRPr="009C19C5">
        <w:rPr>
          <w:rFonts w:ascii="Times New Roman" w:hAnsi="Times New Roman" w:cs="Times New Roman"/>
          <w:i w:val="0"/>
          <w:iCs w:val="0"/>
          <w:color w:val="auto"/>
          <w:sz w:val="20"/>
          <w:szCs w:val="20"/>
          <w:lang w:val="sr-Cyrl-RS"/>
        </w:rPr>
        <w:t>-илустративни пример</w:t>
      </w:r>
    </w:p>
    <w:tbl>
      <w:tblPr>
        <w:tblW w:w="49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94"/>
        <w:gridCol w:w="5143"/>
        <w:gridCol w:w="4431"/>
      </w:tblGrid>
      <w:tr w:rsidR="00A0755A" w:rsidRPr="009C19C5" w14:paraId="49D398C2" w14:textId="77777777" w:rsidTr="000C0046">
        <w:trPr>
          <w:trHeight w:val="251"/>
          <w:jc w:val="center"/>
        </w:trPr>
        <w:tc>
          <w:tcPr>
            <w:tcW w:w="794" w:type="dxa"/>
            <w:tcMar>
              <w:top w:w="72" w:type="dxa"/>
              <w:left w:w="144" w:type="dxa"/>
              <w:bottom w:w="72" w:type="dxa"/>
              <w:right w:w="144" w:type="dxa"/>
            </w:tcMar>
          </w:tcPr>
          <w:p w14:paraId="189A928E" w14:textId="77777777" w:rsidR="00F276BC" w:rsidRPr="009C19C5" w:rsidRDefault="00F276BC">
            <w:pPr>
              <w:rPr>
                <w:rFonts w:ascii="Times New Roman" w:hAnsi="Times New Roman" w:cs="Times New Roman"/>
                <w:sz w:val="16"/>
                <w:szCs w:val="16"/>
                <w:lang w:val="sr-Cyrl-RS"/>
              </w:rPr>
            </w:pPr>
            <w:bookmarkStart w:id="29" w:name="_Hlk114395204"/>
          </w:p>
        </w:tc>
        <w:tc>
          <w:tcPr>
            <w:tcW w:w="5143" w:type="dxa"/>
            <w:shd w:val="clear" w:color="auto" w:fill="auto"/>
            <w:tcMar>
              <w:top w:w="72" w:type="dxa"/>
              <w:left w:w="144" w:type="dxa"/>
              <w:bottom w:w="72" w:type="dxa"/>
              <w:right w:w="144" w:type="dxa"/>
            </w:tcMar>
            <w:vAlign w:val="center"/>
          </w:tcPr>
          <w:p w14:paraId="7CF51D8F" w14:textId="77777777" w:rsidR="00F276BC" w:rsidRPr="009C19C5" w:rsidRDefault="000A0E4E">
            <w:pPr>
              <w:pStyle w:val="Bodytextprebullet"/>
              <w:spacing w:before="0" w:after="0" w:line="276" w:lineRule="auto"/>
              <w:jc w:val="center"/>
              <w:rPr>
                <w:rFonts w:ascii="Times New Roman" w:hAnsi="Times New Roman" w:cs="Times New Roman"/>
                <w:b/>
                <w:color w:val="auto"/>
                <w:kern w:val="2"/>
                <w:sz w:val="16"/>
                <w:szCs w:val="16"/>
                <w:lang w:val="sr-Cyrl-RS"/>
                <w14:ligatures w14:val="standardContextual"/>
              </w:rPr>
            </w:pPr>
            <w:r w:rsidRPr="009C19C5">
              <w:rPr>
                <w:rFonts w:ascii="Times New Roman" w:hAnsi="Times New Roman" w:cs="Times New Roman"/>
                <w:b/>
                <w:color w:val="auto"/>
                <w:kern w:val="2"/>
                <w:sz w:val="16"/>
                <w:szCs w:val="16"/>
                <w:lang w:val="sr-Cyrl-RS"/>
              </w:rPr>
              <w:t>Корисно</w:t>
            </w:r>
          </w:p>
        </w:tc>
        <w:tc>
          <w:tcPr>
            <w:tcW w:w="4431" w:type="dxa"/>
            <w:shd w:val="clear" w:color="auto" w:fill="auto"/>
            <w:tcMar>
              <w:top w:w="72" w:type="dxa"/>
              <w:left w:w="144" w:type="dxa"/>
              <w:bottom w:w="72" w:type="dxa"/>
              <w:right w:w="144" w:type="dxa"/>
            </w:tcMar>
            <w:vAlign w:val="center"/>
          </w:tcPr>
          <w:p w14:paraId="627BFE31" w14:textId="77777777" w:rsidR="00F276BC" w:rsidRPr="009C19C5" w:rsidRDefault="000A0E4E">
            <w:pPr>
              <w:pStyle w:val="Bodytextprebullet"/>
              <w:spacing w:before="0" w:after="0" w:line="276" w:lineRule="auto"/>
              <w:jc w:val="center"/>
              <w:rPr>
                <w:rFonts w:ascii="Times New Roman" w:hAnsi="Times New Roman" w:cs="Times New Roman"/>
                <w:b/>
                <w:color w:val="auto"/>
                <w:kern w:val="2"/>
                <w:sz w:val="16"/>
                <w:szCs w:val="16"/>
                <w:lang w:val="sr-Cyrl-RS"/>
              </w:rPr>
            </w:pPr>
            <w:r w:rsidRPr="009C19C5">
              <w:rPr>
                <w:rFonts w:ascii="Times New Roman" w:hAnsi="Times New Roman" w:cs="Times New Roman"/>
                <w:b/>
                <w:color w:val="auto"/>
                <w:kern w:val="2"/>
                <w:sz w:val="16"/>
                <w:szCs w:val="16"/>
                <w:lang w:val="sr-Cyrl-RS"/>
              </w:rPr>
              <w:t>Штетно</w:t>
            </w:r>
          </w:p>
        </w:tc>
      </w:tr>
      <w:tr w:rsidR="001D42EF" w:rsidRPr="009C19C5" w14:paraId="49062DFE" w14:textId="77777777" w:rsidTr="000C0046">
        <w:trPr>
          <w:trHeight w:val="3698"/>
          <w:jc w:val="center"/>
        </w:trPr>
        <w:tc>
          <w:tcPr>
            <w:tcW w:w="794" w:type="dxa"/>
            <w:shd w:val="clear" w:color="auto" w:fill="auto"/>
            <w:tcMar>
              <w:top w:w="72" w:type="dxa"/>
              <w:left w:w="144" w:type="dxa"/>
              <w:bottom w:w="72" w:type="dxa"/>
              <w:right w:w="144" w:type="dxa"/>
            </w:tcMar>
            <w:textDirection w:val="btLr"/>
            <w:vAlign w:val="center"/>
          </w:tcPr>
          <w:p w14:paraId="55982716" w14:textId="4F3BECF6" w:rsidR="00F276BC" w:rsidRPr="009C19C5" w:rsidRDefault="00CE331A">
            <w:pPr>
              <w:pStyle w:val="Bodytextprebullet"/>
              <w:spacing w:line="276" w:lineRule="auto"/>
              <w:jc w:val="center"/>
              <w:rPr>
                <w:rFonts w:ascii="Times New Roman" w:hAnsi="Times New Roman" w:cs="Times New Roman"/>
                <w:b/>
                <w:color w:val="auto"/>
                <w:kern w:val="2"/>
                <w:sz w:val="16"/>
                <w:szCs w:val="16"/>
                <w:lang w:val="sr-Cyrl-RS"/>
              </w:rPr>
            </w:pPr>
            <w:r w:rsidRPr="009C19C5">
              <w:rPr>
                <w:rFonts w:ascii="Times New Roman" w:hAnsi="Times New Roman" w:cs="Times New Roman"/>
                <w:b/>
                <w:color w:val="auto"/>
                <w:kern w:val="2"/>
                <w:sz w:val="16"/>
                <w:szCs w:val="16"/>
                <w:lang w:val="sr-Cyrl-RS"/>
              </w:rPr>
              <w:t>Унут</w:t>
            </w:r>
            <w:r w:rsidR="000A0E4E" w:rsidRPr="009C19C5">
              <w:rPr>
                <w:rFonts w:ascii="Times New Roman" w:hAnsi="Times New Roman" w:cs="Times New Roman"/>
                <w:b/>
                <w:color w:val="auto"/>
                <w:kern w:val="2"/>
                <w:sz w:val="16"/>
                <w:szCs w:val="16"/>
                <w:lang w:val="sr-Cyrl-RS"/>
              </w:rPr>
              <w:t>рашње</w:t>
            </w:r>
          </w:p>
        </w:tc>
        <w:tc>
          <w:tcPr>
            <w:tcW w:w="5143" w:type="dxa"/>
            <w:shd w:val="clear" w:color="auto" w:fill="auto"/>
            <w:tcMar>
              <w:top w:w="72" w:type="dxa"/>
              <w:left w:w="144" w:type="dxa"/>
              <w:bottom w:w="72" w:type="dxa"/>
              <w:right w:w="144" w:type="dxa"/>
            </w:tcMar>
          </w:tcPr>
          <w:p w14:paraId="49206450" w14:textId="77777777" w:rsidR="00F276BC" w:rsidRPr="009C19C5" w:rsidRDefault="000A0E4E">
            <w:pPr>
              <w:pStyle w:val="Bodytextprebullet"/>
              <w:spacing w:before="0" w:after="0" w:line="276" w:lineRule="auto"/>
              <w:jc w:val="both"/>
              <w:rPr>
                <w:rFonts w:ascii="Times New Roman" w:hAnsi="Times New Roman" w:cs="Times New Roman"/>
                <w:color w:val="auto"/>
                <w:kern w:val="2"/>
                <w:sz w:val="18"/>
                <w:szCs w:val="18"/>
                <w:lang w:val="sr-Cyrl-RS"/>
              </w:rPr>
            </w:pPr>
            <w:r w:rsidRPr="009C19C5">
              <w:rPr>
                <w:rFonts w:ascii="Times New Roman" w:hAnsi="Times New Roman" w:cs="Times New Roman"/>
                <w:b/>
                <w:bCs/>
                <w:color w:val="auto"/>
                <w:kern w:val="2"/>
                <w:sz w:val="18"/>
                <w:szCs w:val="18"/>
                <w:lang w:val="sr-Cyrl-RS"/>
              </w:rPr>
              <w:t>Предности</w:t>
            </w:r>
          </w:p>
          <w:p w14:paraId="7AB52B6C" w14:textId="77777777" w:rsidR="00F276BC" w:rsidRPr="009C19C5" w:rsidRDefault="000A0E4E" w:rsidP="008D7F6B">
            <w:pPr>
              <w:pStyle w:val="Bodytextprebullet"/>
              <w:numPr>
                <w:ilvl w:val="0"/>
                <w:numId w:val="19"/>
              </w:numPr>
              <w:tabs>
                <w:tab w:val="clear" w:pos="360"/>
                <w:tab w:val="left" w:pos="0"/>
                <w:tab w:val="left" w:pos="226"/>
              </w:tabs>
              <w:spacing w:before="0" w:after="0" w:line="276" w:lineRule="auto"/>
              <w:ind w:left="-44" w:firstLine="44"/>
              <w:jc w:val="both"/>
              <w:rPr>
                <w:rFonts w:ascii="Times New Roman" w:hAnsi="Times New Roman" w:cs="Times New Roman"/>
                <w:color w:val="auto"/>
                <w:kern w:val="2"/>
                <w:sz w:val="18"/>
                <w:szCs w:val="18"/>
                <w:lang w:val="sr-Cyrl-RS"/>
              </w:rPr>
            </w:pPr>
            <w:r w:rsidRPr="009C19C5">
              <w:rPr>
                <w:rFonts w:ascii="Times New Roman" w:hAnsi="Times New Roman" w:cs="Times New Roman"/>
                <w:color w:val="auto"/>
                <w:kern w:val="2"/>
                <w:sz w:val="18"/>
                <w:szCs w:val="18"/>
                <w:lang w:val="sr-Cyrl-RS"/>
              </w:rPr>
              <w:t xml:space="preserve">Близина Београда и одличан географски положај. </w:t>
            </w:r>
          </w:p>
          <w:p w14:paraId="134FD0B0" w14:textId="7C124B02" w:rsidR="00F276BC" w:rsidRPr="009C19C5" w:rsidRDefault="000A0E4E" w:rsidP="008D7F6B">
            <w:pPr>
              <w:pStyle w:val="Bodytextprebullet"/>
              <w:numPr>
                <w:ilvl w:val="0"/>
                <w:numId w:val="19"/>
              </w:numPr>
              <w:tabs>
                <w:tab w:val="clear" w:pos="360"/>
                <w:tab w:val="left" w:pos="0"/>
                <w:tab w:val="left" w:pos="226"/>
              </w:tabs>
              <w:spacing w:before="0" w:after="0" w:line="276" w:lineRule="auto"/>
              <w:ind w:left="-44" w:firstLine="44"/>
              <w:jc w:val="both"/>
              <w:rPr>
                <w:rFonts w:ascii="Times New Roman" w:hAnsi="Times New Roman" w:cs="Times New Roman"/>
                <w:color w:val="auto"/>
                <w:kern w:val="2"/>
                <w:sz w:val="18"/>
                <w:szCs w:val="18"/>
                <w:lang w:val="sr-Cyrl-RS"/>
              </w:rPr>
            </w:pPr>
            <w:r w:rsidRPr="009C19C5">
              <w:rPr>
                <w:rFonts w:ascii="Times New Roman" w:hAnsi="Times New Roman" w:cs="Times New Roman"/>
                <w:color w:val="auto"/>
                <w:kern w:val="2"/>
                <w:sz w:val="18"/>
                <w:szCs w:val="18"/>
                <w:lang w:val="sr-Cyrl-RS"/>
              </w:rPr>
              <w:t xml:space="preserve">Највећи део погођене територије се налази на транспортном коридору XI, док се Аранђеловац налази непосредно између Коридора X (15 минута вожње) и Коридора XI (45 минута вожње) и </w:t>
            </w:r>
            <w:r w:rsidR="00D06024" w:rsidRPr="009C19C5">
              <w:rPr>
                <w:rFonts w:ascii="Times New Roman" w:hAnsi="Times New Roman" w:cs="Times New Roman"/>
                <w:color w:val="auto"/>
                <w:kern w:val="2"/>
                <w:sz w:val="18"/>
                <w:szCs w:val="18"/>
                <w:lang w:val="sr-Cyrl-RS"/>
              </w:rPr>
              <w:t>н</w:t>
            </w:r>
            <w:r w:rsidRPr="009C19C5">
              <w:rPr>
                <w:rFonts w:ascii="Times New Roman" w:hAnsi="Times New Roman" w:cs="Times New Roman"/>
                <w:color w:val="auto"/>
                <w:kern w:val="2"/>
                <w:sz w:val="18"/>
                <w:szCs w:val="18"/>
                <w:lang w:val="sr-Cyrl-RS"/>
              </w:rPr>
              <w:t xml:space="preserve">а </w:t>
            </w:r>
            <w:r w:rsidR="00D06024" w:rsidRPr="009C19C5">
              <w:rPr>
                <w:rFonts w:ascii="Times New Roman" w:hAnsi="Times New Roman" w:cs="Times New Roman"/>
                <w:color w:val="auto"/>
                <w:kern w:val="2"/>
                <w:sz w:val="18"/>
                <w:szCs w:val="18"/>
                <w:lang w:val="sr-Cyrl-RS"/>
              </w:rPr>
              <w:t>траси планираног ауто-пута</w:t>
            </w:r>
            <w:r w:rsidRPr="009C19C5">
              <w:rPr>
                <w:rFonts w:ascii="Times New Roman" w:hAnsi="Times New Roman" w:cs="Times New Roman"/>
                <w:color w:val="auto"/>
                <w:kern w:val="2"/>
                <w:sz w:val="18"/>
                <w:szCs w:val="18"/>
                <w:lang w:val="sr-Cyrl-RS"/>
              </w:rPr>
              <w:t xml:space="preserve"> „Карађорђе</w:t>
            </w:r>
            <w:r w:rsidR="00F94E9A" w:rsidRPr="009C19C5">
              <w:rPr>
                <w:rFonts w:ascii="Times New Roman" w:hAnsi="Times New Roman" w:cs="Times New Roman"/>
                <w:lang w:val="sr-Cyrl-RS"/>
              </w:rPr>
              <w:t>”</w:t>
            </w:r>
            <w:r w:rsidRPr="009C19C5">
              <w:rPr>
                <w:rFonts w:ascii="Times New Roman" w:hAnsi="Times New Roman" w:cs="Times New Roman"/>
                <w:color w:val="auto"/>
                <w:kern w:val="2"/>
                <w:sz w:val="18"/>
                <w:szCs w:val="18"/>
                <w:lang w:val="sr-Cyrl-RS"/>
              </w:rPr>
              <w:t xml:space="preserve"> који ће повезивати ова два коридора, пролазећи поред Аранђеловца</w:t>
            </w:r>
            <w:r w:rsidR="001D42EF" w:rsidRPr="009C19C5">
              <w:rPr>
                <w:rFonts w:ascii="Times New Roman" w:hAnsi="Times New Roman" w:cs="Times New Roman"/>
                <w:color w:val="auto"/>
                <w:kern w:val="2"/>
                <w:sz w:val="18"/>
                <w:szCs w:val="18"/>
                <w:lang w:val="sr-Cyrl-RS"/>
              </w:rPr>
              <w:t>.</w:t>
            </w:r>
          </w:p>
          <w:p w14:paraId="7805AC8D" w14:textId="5C525C8A" w:rsidR="00F276BC" w:rsidRPr="009C19C5" w:rsidRDefault="000A0E4E" w:rsidP="008D7F6B">
            <w:pPr>
              <w:pStyle w:val="Bodytextprebullet"/>
              <w:numPr>
                <w:ilvl w:val="0"/>
                <w:numId w:val="19"/>
              </w:numPr>
              <w:tabs>
                <w:tab w:val="clear" w:pos="360"/>
                <w:tab w:val="left" w:pos="0"/>
                <w:tab w:val="left" w:pos="226"/>
              </w:tabs>
              <w:spacing w:before="0" w:after="0" w:line="276" w:lineRule="auto"/>
              <w:ind w:left="-44" w:firstLine="44"/>
              <w:jc w:val="both"/>
              <w:rPr>
                <w:rFonts w:ascii="Times New Roman" w:hAnsi="Times New Roman" w:cs="Times New Roman"/>
                <w:color w:val="auto"/>
                <w:kern w:val="2"/>
                <w:sz w:val="18"/>
                <w:szCs w:val="18"/>
                <w:lang w:val="sr-Cyrl-RS"/>
              </w:rPr>
            </w:pPr>
            <w:r w:rsidRPr="009C19C5">
              <w:rPr>
                <w:rFonts w:ascii="Times New Roman" w:hAnsi="Times New Roman" w:cs="Times New Roman"/>
                <w:color w:val="auto"/>
                <w:kern w:val="2"/>
                <w:sz w:val="18"/>
                <w:szCs w:val="18"/>
                <w:lang w:val="sr-Cyrl-RS"/>
              </w:rPr>
              <w:t xml:space="preserve">Привреда на свим погођеним територијама </w:t>
            </w:r>
            <w:r w:rsidR="00D06024" w:rsidRPr="009C19C5">
              <w:rPr>
                <w:rFonts w:ascii="Times New Roman" w:hAnsi="Times New Roman" w:cs="Times New Roman"/>
                <w:color w:val="auto"/>
                <w:kern w:val="2"/>
                <w:sz w:val="18"/>
                <w:szCs w:val="18"/>
                <w:lang w:val="sr-Cyrl-RS"/>
              </w:rPr>
              <w:t xml:space="preserve">последњих година бележи </w:t>
            </w:r>
            <w:r w:rsidRPr="009C19C5">
              <w:rPr>
                <w:rFonts w:ascii="Times New Roman" w:hAnsi="Times New Roman" w:cs="Times New Roman"/>
                <w:color w:val="auto"/>
                <w:kern w:val="2"/>
                <w:sz w:val="18"/>
                <w:szCs w:val="18"/>
                <w:lang w:val="sr-Cyrl-RS"/>
              </w:rPr>
              <w:t>стабилан раст.</w:t>
            </w:r>
          </w:p>
          <w:p w14:paraId="0CB99B68" w14:textId="5D26E968" w:rsidR="00F276BC" w:rsidRPr="009C19C5" w:rsidRDefault="000A0E4E" w:rsidP="008D7F6B">
            <w:pPr>
              <w:pStyle w:val="Bodytextprebullet"/>
              <w:numPr>
                <w:ilvl w:val="0"/>
                <w:numId w:val="19"/>
              </w:numPr>
              <w:tabs>
                <w:tab w:val="clear" w:pos="360"/>
                <w:tab w:val="left" w:pos="0"/>
                <w:tab w:val="left" w:pos="226"/>
              </w:tabs>
              <w:spacing w:before="0" w:after="0" w:line="276" w:lineRule="auto"/>
              <w:ind w:left="-44" w:firstLine="44"/>
              <w:jc w:val="both"/>
              <w:rPr>
                <w:rFonts w:ascii="Times New Roman" w:hAnsi="Times New Roman" w:cs="Times New Roman"/>
                <w:color w:val="auto"/>
                <w:kern w:val="2"/>
                <w:sz w:val="18"/>
                <w:szCs w:val="18"/>
                <w:lang w:val="sr-Cyrl-RS"/>
              </w:rPr>
            </w:pPr>
            <w:r w:rsidRPr="009C19C5">
              <w:rPr>
                <w:rFonts w:ascii="Times New Roman" w:hAnsi="Times New Roman" w:cs="Times New Roman"/>
                <w:color w:val="auto"/>
                <w:kern w:val="2"/>
                <w:sz w:val="18"/>
                <w:szCs w:val="18"/>
                <w:lang w:val="sr-Cyrl-RS"/>
              </w:rPr>
              <w:t xml:space="preserve">У Обреновцу, Аранђеловцу, Љигу и Убу, локална привреда је већ прилично диверзификована, што значи да </w:t>
            </w:r>
            <w:r w:rsidR="00D06024" w:rsidRPr="009C19C5">
              <w:rPr>
                <w:rFonts w:ascii="Times New Roman" w:hAnsi="Times New Roman" w:cs="Times New Roman"/>
                <w:color w:val="auto"/>
                <w:kern w:val="2"/>
                <w:sz w:val="18"/>
                <w:szCs w:val="18"/>
                <w:lang w:val="sr-Cyrl-RS"/>
              </w:rPr>
              <w:t xml:space="preserve">су темељи </w:t>
            </w:r>
            <w:r w:rsidRPr="009C19C5">
              <w:rPr>
                <w:rFonts w:ascii="Times New Roman" w:hAnsi="Times New Roman" w:cs="Times New Roman"/>
                <w:color w:val="auto"/>
                <w:kern w:val="2"/>
                <w:sz w:val="18"/>
                <w:szCs w:val="18"/>
                <w:lang w:val="sr-Cyrl-RS"/>
              </w:rPr>
              <w:t>за транзицију већ постављен</w:t>
            </w:r>
            <w:r w:rsidR="00D06024" w:rsidRPr="009C19C5">
              <w:rPr>
                <w:rFonts w:ascii="Times New Roman" w:hAnsi="Times New Roman" w:cs="Times New Roman"/>
                <w:color w:val="auto"/>
                <w:kern w:val="2"/>
                <w:sz w:val="18"/>
                <w:szCs w:val="18"/>
                <w:lang w:val="sr-Cyrl-RS"/>
              </w:rPr>
              <w:t>и</w:t>
            </w:r>
            <w:r w:rsidRPr="009C19C5">
              <w:rPr>
                <w:rFonts w:ascii="Times New Roman" w:hAnsi="Times New Roman" w:cs="Times New Roman"/>
                <w:color w:val="auto"/>
                <w:kern w:val="2"/>
                <w:sz w:val="18"/>
                <w:szCs w:val="18"/>
                <w:lang w:val="sr-Cyrl-RS"/>
              </w:rPr>
              <w:t xml:space="preserve">. </w:t>
            </w:r>
          </w:p>
          <w:p w14:paraId="478B93C3" w14:textId="77777777" w:rsidR="00F276BC" w:rsidRPr="009C19C5" w:rsidRDefault="000A0E4E" w:rsidP="008D7F6B">
            <w:pPr>
              <w:pStyle w:val="Bodytextprebullet"/>
              <w:numPr>
                <w:ilvl w:val="0"/>
                <w:numId w:val="19"/>
              </w:numPr>
              <w:tabs>
                <w:tab w:val="clear" w:pos="360"/>
                <w:tab w:val="left" w:pos="0"/>
                <w:tab w:val="left" w:pos="226"/>
              </w:tabs>
              <w:spacing w:before="0" w:after="0" w:line="276" w:lineRule="auto"/>
              <w:ind w:left="-44" w:firstLine="44"/>
              <w:jc w:val="both"/>
              <w:rPr>
                <w:rFonts w:ascii="Times New Roman" w:hAnsi="Times New Roman" w:cs="Times New Roman"/>
                <w:color w:val="auto"/>
                <w:kern w:val="2"/>
                <w:sz w:val="18"/>
                <w:szCs w:val="18"/>
                <w:lang w:val="sr-Cyrl-RS"/>
              </w:rPr>
            </w:pPr>
            <w:r w:rsidRPr="009C19C5">
              <w:rPr>
                <w:rFonts w:ascii="Times New Roman" w:hAnsi="Times New Roman" w:cs="Times New Roman"/>
                <w:color w:val="auto"/>
                <w:kern w:val="2"/>
                <w:sz w:val="18"/>
                <w:szCs w:val="18"/>
                <w:lang w:val="sr-Cyrl-RS"/>
              </w:rPr>
              <w:t>Постојећа инфраструктура за пренос електричне енергије може бити привлачна за инвестиције у ОИЕ.</w:t>
            </w:r>
          </w:p>
        </w:tc>
        <w:tc>
          <w:tcPr>
            <w:tcW w:w="4431" w:type="dxa"/>
            <w:shd w:val="clear" w:color="auto" w:fill="auto"/>
            <w:tcMar>
              <w:top w:w="72" w:type="dxa"/>
              <w:left w:w="144" w:type="dxa"/>
              <w:bottom w:w="72" w:type="dxa"/>
              <w:right w:w="144" w:type="dxa"/>
            </w:tcMar>
            <w:vAlign w:val="center"/>
          </w:tcPr>
          <w:p w14:paraId="50B07568" w14:textId="77777777" w:rsidR="00F276BC" w:rsidRPr="009C19C5" w:rsidRDefault="000A0E4E">
            <w:pPr>
              <w:pStyle w:val="Bodytextprebullet"/>
              <w:spacing w:before="0" w:after="0" w:line="276" w:lineRule="auto"/>
              <w:jc w:val="both"/>
              <w:rPr>
                <w:rFonts w:ascii="Times New Roman" w:hAnsi="Times New Roman" w:cs="Times New Roman"/>
                <w:color w:val="auto"/>
                <w:kern w:val="2"/>
                <w:sz w:val="18"/>
                <w:szCs w:val="18"/>
                <w:lang w:val="sr-Cyrl-RS"/>
              </w:rPr>
            </w:pPr>
            <w:r w:rsidRPr="009C19C5">
              <w:rPr>
                <w:rFonts w:ascii="Times New Roman" w:hAnsi="Times New Roman" w:cs="Times New Roman"/>
                <w:b/>
                <w:bCs/>
                <w:color w:val="auto"/>
                <w:kern w:val="2"/>
                <w:sz w:val="18"/>
                <w:szCs w:val="18"/>
                <w:lang w:val="sr-Cyrl-RS"/>
              </w:rPr>
              <w:t>Слабости</w:t>
            </w:r>
          </w:p>
          <w:p w14:paraId="1C950142" w14:textId="38D51E23" w:rsidR="00F276BC" w:rsidRPr="009C19C5" w:rsidRDefault="00DF4AF6" w:rsidP="008D7F6B">
            <w:pPr>
              <w:pStyle w:val="Bodytextprebullet"/>
              <w:numPr>
                <w:ilvl w:val="0"/>
                <w:numId w:val="20"/>
              </w:numPr>
              <w:tabs>
                <w:tab w:val="clear" w:pos="360"/>
                <w:tab w:val="left" w:pos="0"/>
                <w:tab w:val="left" w:pos="286"/>
              </w:tabs>
              <w:spacing w:before="0" w:after="0" w:line="276" w:lineRule="auto"/>
              <w:ind w:left="16" w:hanging="16"/>
              <w:jc w:val="both"/>
              <w:rPr>
                <w:rFonts w:ascii="Times New Roman" w:hAnsi="Times New Roman" w:cs="Times New Roman"/>
                <w:color w:val="auto"/>
                <w:kern w:val="2"/>
                <w:sz w:val="18"/>
                <w:szCs w:val="18"/>
                <w:lang w:val="sr-Cyrl-RS"/>
              </w:rPr>
            </w:pPr>
            <w:r w:rsidRPr="009C19C5">
              <w:rPr>
                <w:rFonts w:ascii="Times New Roman" w:hAnsi="Times New Roman" w:cs="Times New Roman"/>
                <w:color w:val="auto"/>
                <w:kern w:val="2"/>
                <w:sz w:val="18"/>
                <w:szCs w:val="18"/>
                <w:lang w:val="sr-Cyrl-RS"/>
              </w:rPr>
              <w:t xml:space="preserve">Неразвијена </w:t>
            </w:r>
            <w:r w:rsidR="000A0E4E" w:rsidRPr="009C19C5">
              <w:rPr>
                <w:rFonts w:ascii="Times New Roman" w:hAnsi="Times New Roman" w:cs="Times New Roman"/>
                <w:color w:val="auto"/>
                <w:kern w:val="2"/>
                <w:sz w:val="18"/>
                <w:szCs w:val="18"/>
                <w:lang w:val="sr-Cyrl-RS"/>
              </w:rPr>
              <w:t xml:space="preserve">инфраструктура, укључујући и пословну инфраструктуру, посебно у Љигу и Лајковцу. </w:t>
            </w:r>
          </w:p>
          <w:p w14:paraId="1B5DF8BA" w14:textId="1E20BDC0" w:rsidR="00F276BC" w:rsidRPr="009C19C5" w:rsidRDefault="000A0E4E" w:rsidP="008D7F6B">
            <w:pPr>
              <w:pStyle w:val="Bodytextprebullet"/>
              <w:numPr>
                <w:ilvl w:val="0"/>
                <w:numId w:val="20"/>
              </w:numPr>
              <w:tabs>
                <w:tab w:val="clear" w:pos="360"/>
                <w:tab w:val="left" w:pos="0"/>
                <w:tab w:val="left" w:pos="286"/>
              </w:tabs>
              <w:spacing w:before="0" w:after="0" w:line="276" w:lineRule="auto"/>
              <w:ind w:left="16" w:hanging="16"/>
              <w:jc w:val="both"/>
              <w:rPr>
                <w:rFonts w:ascii="Times New Roman" w:hAnsi="Times New Roman" w:cs="Times New Roman"/>
                <w:color w:val="auto"/>
                <w:kern w:val="2"/>
                <w:sz w:val="18"/>
                <w:szCs w:val="18"/>
                <w:lang w:val="sr-Cyrl-RS"/>
              </w:rPr>
            </w:pPr>
            <w:r w:rsidRPr="009C19C5">
              <w:rPr>
                <w:rFonts w:ascii="Times New Roman" w:hAnsi="Times New Roman" w:cs="Times New Roman"/>
                <w:color w:val="auto"/>
                <w:kern w:val="2"/>
                <w:sz w:val="18"/>
                <w:szCs w:val="18"/>
                <w:lang w:val="sr-Cyrl-RS"/>
              </w:rPr>
              <w:t xml:space="preserve">Индустријске зоне у другим деловима територије такође имају инфраструктурне проблеме као што су недостатак приступа железничкој мрежи. </w:t>
            </w:r>
          </w:p>
          <w:p w14:paraId="7F1BB070" w14:textId="77777777" w:rsidR="00F276BC" w:rsidRPr="009C19C5" w:rsidRDefault="000A0E4E" w:rsidP="008D7F6B">
            <w:pPr>
              <w:pStyle w:val="Bodytextprebullet"/>
              <w:numPr>
                <w:ilvl w:val="0"/>
                <w:numId w:val="20"/>
              </w:numPr>
              <w:tabs>
                <w:tab w:val="clear" w:pos="360"/>
                <w:tab w:val="left" w:pos="0"/>
                <w:tab w:val="left" w:pos="286"/>
              </w:tabs>
              <w:spacing w:before="0" w:after="0" w:line="276" w:lineRule="auto"/>
              <w:ind w:left="16" w:hanging="16"/>
              <w:jc w:val="both"/>
              <w:rPr>
                <w:rFonts w:ascii="Times New Roman" w:hAnsi="Times New Roman" w:cs="Times New Roman"/>
                <w:color w:val="auto"/>
                <w:kern w:val="2"/>
                <w:sz w:val="18"/>
                <w:szCs w:val="18"/>
                <w:lang w:val="sr-Cyrl-RS"/>
              </w:rPr>
            </w:pPr>
            <w:r w:rsidRPr="009C19C5">
              <w:rPr>
                <w:rFonts w:ascii="Times New Roman" w:hAnsi="Times New Roman" w:cs="Times New Roman"/>
                <w:color w:val="auto"/>
                <w:kern w:val="2"/>
                <w:sz w:val="18"/>
                <w:szCs w:val="18"/>
                <w:lang w:val="sr-Cyrl-RS"/>
              </w:rPr>
              <w:t>Неразвијен систем управљања отпадом и постојање нелегалних депонија.</w:t>
            </w:r>
          </w:p>
          <w:p w14:paraId="644CB3B8" w14:textId="77777777" w:rsidR="00F276BC" w:rsidRPr="009C19C5" w:rsidRDefault="000A0E4E" w:rsidP="008D7F6B">
            <w:pPr>
              <w:pStyle w:val="Bodytextprebullet"/>
              <w:numPr>
                <w:ilvl w:val="0"/>
                <w:numId w:val="20"/>
              </w:numPr>
              <w:tabs>
                <w:tab w:val="clear" w:pos="360"/>
                <w:tab w:val="left" w:pos="0"/>
                <w:tab w:val="left" w:pos="286"/>
              </w:tabs>
              <w:spacing w:before="0" w:after="0" w:line="276" w:lineRule="auto"/>
              <w:ind w:left="16" w:hanging="16"/>
              <w:jc w:val="both"/>
              <w:rPr>
                <w:rFonts w:ascii="Times New Roman" w:hAnsi="Times New Roman" w:cs="Times New Roman"/>
                <w:color w:val="auto"/>
                <w:kern w:val="2"/>
                <w:sz w:val="18"/>
                <w:szCs w:val="18"/>
                <w:lang w:val="sr-Cyrl-RS"/>
              </w:rPr>
            </w:pPr>
            <w:r w:rsidRPr="009C19C5">
              <w:rPr>
                <w:rFonts w:ascii="Times New Roman" w:hAnsi="Times New Roman" w:cs="Times New Roman"/>
                <w:color w:val="auto"/>
                <w:kern w:val="2"/>
                <w:sz w:val="18"/>
                <w:szCs w:val="18"/>
                <w:lang w:val="sr-Cyrl-RS"/>
              </w:rPr>
              <w:t>Незапосленост младих је релативно висока у Лазаревцу и Лајковцу, са малим бројем отворених радних места.</w:t>
            </w:r>
          </w:p>
          <w:p w14:paraId="6D977D92" w14:textId="77777777" w:rsidR="00F276BC" w:rsidRPr="009C19C5" w:rsidRDefault="000A0E4E" w:rsidP="008D7F6B">
            <w:pPr>
              <w:pStyle w:val="Bodytextprebullet"/>
              <w:numPr>
                <w:ilvl w:val="0"/>
                <w:numId w:val="20"/>
              </w:numPr>
              <w:tabs>
                <w:tab w:val="clear" w:pos="360"/>
                <w:tab w:val="left" w:pos="0"/>
                <w:tab w:val="left" w:pos="286"/>
              </w:tabs>
              <w:spacing w:before="0" w:after="0" w:line="276" w:lineRule="auto"/>
              <w:ind w:left="16" w:hanging="16"/>
              <w:jc w:val="both"/>
              <w:rPr>
                <w:rFonts w:ascii="Times New Roman" w:hAnsi="Times New Roman" w:cs="Times New Roman"/>
                <w:color w:val="auto"/>
                <w:kern w:val="2"/>
                <w:sz w:val="18"/>
                <w:szCs w:val="18"/>
                <w:lang w:val="sr-Cyrl-RS"/>
              </w:rPr>
            </w:pPr>
            <w:r w:rsidRPr="009C19C5">
              <w:rPr>
                <w:rFonts w:ascii="Times New Roman" w:hAnsi="Times New Roman" w:cs="Times New Roman"/>
                <w:color w:val="auto"/>
                <w:kern w:val="2"/>
                <w:sz w:val="18"/>
                <w:szCs w:val="18"/>
                <w:lang w:val="sr-Cyrl-RS"/>
              </w:rPr>
              <w:t xml:space="preserve">Комунална инфраструктура је слаба у неким општинама за које се очекује да ће бити погођене. У Љигу, на пример, само 50%, односно 56% домаћинстава има приступ водоводној и канализационој мрежи. </w:t>
            </w:r>
          </w:p>
          <w:p w14:paraId="67B9412C" w14:textId="372BD9BC" w:rsidR="00F276BC" w:rsidRPr="009C19C5" w:rsidRDefault="000A0E4E" w:rsidP="008D7F6B">
            <w:pPr>
              <w:pStyle w:val="Bodytextprebullet"/>
              <w:numPr>
                <w:ilvl w:val="0"/>
                <w:numId w:val="20"/>
              </w:numPr>
              <w:tabs>
                <w:tab w:val="clear" w:pos="360"/>
                <w:tab w:val="left" w:pos="0"/>
                <w:tab w:val="left" w:pos="286"/>
              </w:tabs>
              <w:spacing w:before="0" w:after="0" w:line="276" w:lineRule="auto"/>
              <w:ind w:left="16" w:hanging="16"/>
              <w:jc w:val="both"/>
              <w:rPr>
                <w:rFonts w:ascii="Times New Roman" w:hAnsi="Times New Roman" w:cs="Times New Roman"/>
                <w:color w:val="auto"/>
                <w:kern w:val="2"/>
                <w:sz w:val="18"/>
                <w:szCs w:val="18"/>
                <w:lang w:val="sr-Cyrl-RS"/>
              </w:rPr>
            </w:pPr>
            <w:r w:rsidRPr="009C19C5">
              <w:rPr>
                <w:rFonts w:ascii="Times New Roman" w:hAnsi="Times New Roman" w:cs="Times New Roman"/>
                <w:color w:val="auto"/>
                <w:kern w:val="2"/>
                <w:sz w:val="18"/>
                <w:szCs w:val="18"/>
                <w:lang w:val="sr-Cyrl-RS"/>
              </w:rPr>
              <w:t>Већи део територије Колубаре нема подршку регионалне развојне агенције која се бави искључиво том територијом.</w:t>
            </w:r>
          </w:p>
        </w:tc>
      </w:tr>
      <w:tr w:rsidR="001D42EF" w:rsidRPr="009C19C5" w14:paraId="5A643B8F" w14:textId="77777777" w:rsidTr="000C0046">
        <w:trPr>
          <w:trHeight w:val="5336"/>
          <w:jc w:val="center"/>
        </w:trPr>
        <w:tc>
          <w:tcPr>
            <w:tcW w:w="794" w:type="dxa"/>
            <w:shd w:val="clear" w:color="auto" w:fill="auto"/>
            <w:tcMar>
              <w:top w:w="72" w:type="dxa"/>
              <w:left w:w="144" w:type="dxa"/>
              <w:bottom w:w="72" w:type="dxa"/>
              <w:right w:w="144" w:type="dxa"/>
            </w:tcMar>
            <w:textDirection w:val="btLr"/>
            <w:vAlign w:val="center"/>
          </w:tcPr>
          <w:p w14:paraId="0D1F5087" w14:textId="77777777" w:rsidR="00F276BC" w:rsidRPr="009C19C5" w:rsidRDefault="000A0E4E">
            <w:pPr>
              <w:pStyle w:val="Bodytextprebullet"/>
              <w:spacing w:line="276" w:lineRule="auto"/>
              <w:jc w:val="center"/>
              <w:rPr>
                <w:rFonts w:ascii="Times New Roman" w:hAnsi="Times New Roman" w:cs="Times New Roman"/>
                <w:b/>
                <w:color w:val="auto"/>
                <w:kern w:val="2"/>
                <w:sz w:val="16"/>
                <w:szCs w:val="16"/>
                <w:lang w:val="sr-Cyrl-RS"/>
              </w:rPr>
            </w:pPr>
            <w:r w:rsidRPr="009C19C5">
              <w:rPr>
                <w:rFonts w:ascii="Times New Roman" w:hAnsi="Times New Roman" w:cs="Times New Roman"/>
                <w:b/>
                <w:color w:val="auto"/>
                <w:kern w:val="2"/>
                <w:sz w:val="16"/>
                <w:szCs w:val="16"/>
                <w:lang w:val="sr-Cyrl-RS"/>
              </w:rPr>
              <w:t>Спољашње</w:t>
            </w:r>
          </w:p>
        </w:tc>
        <w:tc>
          <w:tcPr>
            <w:tcW w:w="5143" w:type="dxa"/>
            <w:shd w:val="clear" w:color="auto" w:fill="auto"/>
            <w:tcMar>
              <w:top w:w="72" w:type="dxa"/>
              <w:left w:w="144" w:type="dxa"/>
              <w:bottom w:w="72" w:type="dxa"/>
              <w:right w:w="144" w:type="dxa"/>
            </w:tcMar>
          </w:tcPr>
          <w:p w14:paraId="05610A10" w14:textId="77777777" w:rsidR="00F276BC" w:rsidRPr="009C19C5" w:rsidRDefault="000A0E4E">
            <w:pPr>
              <w:pStyle w:val="Bodytextprebullet"/>
              <w:spacing w:before="0" w:after="0" w:line="276" w:lineRule="auto"/>
              <w:jc w:val="both"/>
              <w:rPr>
                <w:rFonts w:ascii="Times New Roman" w:hAnsi="Times New Roman" w:cs="Times New Roman"/>
                <w:color w:val="auto"/>
                <w:kern w:val="2"/>
                <w:sz w:val="18"/>
                <w:szCs w:val="18"/>
                <w:lang w:val="sr-Cyrl-RS"/>
              </w:rPr>
            </w:pPr>
            <w:r w:rsidRPr="009C19C5">
              <w:rPr>
                <w:rFonts w:ascii="Times New Roman" w:hAnsi="Times New Roman" w:cs="Times New Roman"/>
                <w:b/>
                <w:bCs/>
                <w:color w:val="auto"/>
                <w:kern w:val="2"/>
                <w:sz w:val="18"/>
                <w:szCs w:val="18"/>
                <w:lang w:val="sr-Cyrl-RS"/>
              </w:rPr>
              <w:t>Могућности</w:t>
            </w:r>
          </w:p>
          <w:p w14:paraId="76CBB212" w14:textId="62F1F902" w:rsidR="00F276BC" w:rsidRPr="009C19C5" w:rsidRDefault="000A0E4E" w:rsidP="008D7F6B">
            <w:pPr>
              <w:pStyle w:val="Bodytextprebullet"/>
              <w:numPr>
                <w:ilvl w:val="0"/>
                <w:numId w:val="21"/>
              </w:numPr>
              <w:tabs>
                <w:tab w:val="clear" w:pos="360"/>
                <w:tab w:val="left" w:pos="316"/>
              </w:tabs>
              <w:spacing w:before="0" w:after="0" w:line="276" w:lineRule="auto"/>
              <w:ind w:left="0" w:firstLine="0"/>
              <w:jc w:val="both"/>
              <w:rPr>
                <w:rFonts w:ascii="Times New Roman" w:hAnsi="Times New Roman" w:cs="Times New Roman"/>
                <w:color w:val="auto"/>
                <w:kern w:val="2"/>
                <w:sz w:val="18"/>
                <w:szCs w:val="18"/>
                <w:lang w:val="sr-Cyrl-RS"/>
              </w:rPr>
            </w:pPr>
            <w:r w:rsidRPr="009C19C5">
              <w:rPr>
                <w:rFonts w:ascii="Times New Roman" w:hAnsi="Times New Roman" w:cs="Times New Roman"/>
                <w:color w:val="auto"/>
                <w:kern w:val="2"/>
                <w:sz w:val="18"/>
                <w:szCs w:val="18"/>
                <w:lang w:val="sr-Cyrl-RS"/>
              </w:rPr>
              <w:t xml:space="preserve">Постоји велики потенцијал за привлачење </w:t>
            </w:r>
            <w:r w:rsidR="00D06024" w:rsidRPr="009C19C5">
              <w:rPr>
                <w:rFonts w:ascii="Times New Roman" w:hAnsi="Times New Roman" w:cs="Times New Roman"/>
                <w:color w:val="auto"/>
                <w:kern w:val="2"/>
                <w:sz w:val="18"/>
                <w:szCs w:val="18"/>
                <w:lang w:val="sr-Cyrl-RS"/>
              </w:rPr>
              <w:t xml:space="preserve">страних директних инвестиција </w:t>
            </w:r>
            <w:r w:rsidRPr="009C19C5">
              <w:rPr>
                <w:rFonts w:ascii="Times New Roman" w:hAnsi="Times New Roman" w:cs="Times New Roman"/>
                <w:color w:val="auto"/>
                <w:kern w:val="2"/>
                <w:sz w:val="18"/>
                <w:szCs w:val="18"/>
                <w:lang w:val="sr-Cyrl-RS"/>
              </w:rPr>
              <w:t xml:space="preserve">због одличног географског положаја и постојања зоне слободне трговине (Обреновац). </w:t>
            </w:r>
          </w:p>
          <w:p w14:paraId="7F7B4775" w14:textId="77EAA8D3" w:rsidR="00F276BC" w:rsidRPr="009C19C5" w:rsidRDefault="000A0E4E" w:rsidP="008D7F6B">
            <w:pPr>
              <w:pStyle w:val="Bodytextprebullet"/>
              <w:numPr>
                <w:ilvl w:val="0"/>
                <w:numId w:val="21"/>
              </w:numPr>
              <w:tabs>
                <w:tab w:val="clear" w:pos="360"/>
                <w:tab w:val="left" w:pos="316"/>
              </w:tabs>
              <w:spacing w:before="0" w:after="0" w:line="276" w:lineRule="auto"/>
              <w:ind w:left="0" w:firstLine="0"/>
              <w:jc w:val="both"/>
              <w:rPr>
                <w:rFonts w:ascii="Times New Roman" w:hAnsi="Times New Roman" w:cs="Times New Roman"/>
                <w:color w:val="auto"/>
                <w:kern w:val="2"/>
                <w:sz w:val="18"/>
                <w:szCs w:val="18"/>
                <w:lang w:val="sr-Cyrl-RS"/>
              </w:rPr>
            </w:pPr>
            <w:r w:rsidRPr="009C19C5">
              <w:rPr>
                <w:rFonts w:ascii="Times New Roman" w:hAnsi="Times New Roman" w:cs="Times New Roman"/>
                <w:color w:val="auto"/>
                <w:kern w:val="2"/>
                <w:sz w:val="18"/>
                <w:szCs w:val="18"/>
                <w:lang w:val="sr-Cyrl-RS"/>
              </w:rPr>
              <w:t xml:space="preserve">Искуство Обреновца би се могло искористити </w:t>
            </w:r>
            <w:r w:rsidR="00D06024" w:rsidRPr="009C19C5">
              <w:rPr>
                <w:rFonts w:ascii="Times New Roman" w:hAnsi="Times New Roman" w:cs="Times New Roman"/>
                <w:color w:val="auto"/>
                <w:kern w:val="2"/>
                <w:sz w:val="18"/>
                <w:szCs w:val="18"/>
                <w:lang w:val="sr-Cyrl-RS"/>
              </w:rPr>
              <w:t xml:space="preserve">на </w:t>
            </w:r>
            <w:r w:rsidRPr="009C19C5">
              <w:rPr>
                <w:rFonts w:ascii="Times New Roman" w:hAnsi="Times New Roman" w:cs="Times New Roman"/>
                <w:color w:val="auto"/>
                <w:kern w:val="2"/>
                <w:sz w:val="18"/>
                <w:szCs w:val="18"/>
                <w:lang w:val="sr-Cyrl-RS"/>
              </w:rPr>
              <w:t xml:space="preserve">корист целе територије. </w:t>
            </w:r>
          </w:p>
          <w:p w14:paraId="37715B80" w14:textId="005BA476" w:rsidR="00F276BC" w:rsidRPr="009C19C5" w:rsidRDefault="000A0E4E" w:rsidP="008D7F6B">
            <w:pPr>
              <w:pStyle w:val="Bodytextprebullet"/>
              <w:numPr>
                <w:ilvl w:val="0"/>
                <w:numId w:val="21"/>
              </w:numPr>
              <w:tabs>
                <w:tab w:val="clear" w:pos="360"/>
                <w:tab w:val="left" w:pos="316"/>
              </w:tabs>
              <w:spacing w:before="0" w:after="0" w:line="276" w:lineRule="auto"/>
              <w:ind w:left="0" w:firstLine="0"/>
              <w:jc w:val="both"/>
              <w:rPr>
                <w:rFonts w:ascii="Times New Roman" w:hAnsi="Times New Roman" w:cs="Times New Roman"/>
                <w:color w:val="auto"/>
                <w:kern w:val="2"/>
                <w:sz w:val="18"/>
                <w:szCs w:val="18"/>
                <w:lang w:val="sr-Cyrl-RS"/>
              </w:rPr>
            </w:pPr>
            <w:r w:rsidRPr="009C19C5">
              <w:rPr>
                <w:rFonts w:ascii="Times New Roman" w:hAnsi="Times New Roman" w:cs="Times New Roman"/>
                <w:color w:val="auto"/>
                <w:kern w:val="2"/>
                <w:sz w:val="18"/>
                <w:szCs w:val="18"/>
                <w:lang w:val="sr-Cyrl-RS"/>
              </w:rPr>
              <w:t xml:space="preserve">Привлачење већих инвестиција у ову област би могло да подржи развој мањих предузећа која послују по моделу кластера, посебно у случају сарадње са истраживачким институтима и универзитетима. </w:t>
            </w:r>
          </w:p>
          <w:p w14:paraId="12D00B0E" w14:textId="56C0F571" w:rsidR="00F276BC" w:rsidRPr="009C19C5" w:rsidRDefault="000A0E4E" w:rsidP="008D7F6B">
            <w:pPr>
              <w:pStyle w:val="Bodytextprebullet"/>
              <w:numPr>
                <w:ilvl w:val="0"/>
                <w:numId w:val="21"/>
              </w:numPr>
              <w:tabs>
                <w:tab w:val="clear" w:pos="360"/>
                <w:tab w:val="left" w:pos="316"/>
              </w:tabs>
              <w:spacing w:before="0" w:after="0" w:line="276" w:lineRule="auto"/>
              <w:ind w:left="0" w:firstLine="0"/>
              <w:jc w:val="both"/>
              <w:rPr>
                <w:rFonts w:ascii="Times New Roman" w:hAnsi="Times New Roman" w:cs="Times New Roman"/>
                <w:color w:val="auto"/>
                <w:kern w:val="2"/>
                <w:sz w:val="18"/>
                <w:szCs w:val="18"/>
                <w:lang w:val="sr-Cyrl-RS"/>
              </w:rPr>
            </w:pPr>
            <w:r w:rsidRPr="009C19C5">
              <w:rPr>
                <w:rFonts w:ascii="Times New Roman" w:hAnsi="Times New Roman" w:cs="Times New Roman"/>
                <w:color w:val="auto"/>
                <w:kern w:val="2"/>
                <w:sz w:val="18"/>
                <w:szCs w:val="18"/>
                <w:lang w:val="sr-Cyrl-RS"/>
              </w:rPr>
              <w:t xml:space="preserve">Рурална подручја Уба и Љига имају традицију у пољопривредној производњи (сточарство и производња млека) која се може даље </w:t>
            </w:r>
            <w:r w:rsidR="00D06024" w:rsidRPr="009C19C5">
              <w:rPr>
                <w:rFonts w:ascii="Times New Roman" w:hAnsi="Times New Roman" w:cs="Times New Roman"/>
                <w:color w:val="auto"/>
                <w:kern w:val="2"/>
                <w:sz w:val="18"/>
                <w:szCs w:val="18"/>
                <w:lang w:val="sr-Cyrl-RS"/>
              </w:rPr>
              <w:t xml:space="preserve">развијати </w:t>
            </w:r>
            <w:r w:rsidRPr="009C19C5">
              <w:rPr>
                <w:rFonts w:ascii="Times New Roman" w:hAnsi="Times New Roman" w:cs="Times New Roman"/>
                <w:color w:val="auto"/>
                <w:kern w:val="2"/>
                <w:sz w:val="18"/>
                <w:szCs w:val="18"/>
                <w:lang w:val="sr-Cyrl-RS"/>
              </w:rPr>
              <w:t xml:space="preserve">и користити за производњу хране. </w:t>
            </w:r>
          </w:p>
          <w:p w14:paraId="5244CB7C" w14:textId="70C619E0" w:rsidR="00F276BC" w:rsidRPr="009C19C5" w:rsidRDefault="000A0E4E" w:rsidP="008D7F6B">
            <w:pPr>
              <w:pStyle w:val="Bodytextprebullet"/>
              <w:numPr>
                <w:ilvl w:val="0"/>
                <w:numId w:val="21"/>
              </w:numPr>
              <w:tabs>
                <w:tab w:val="clear" w:pos="360"/>
                <w:tab w:val="left" w:pos="316"/>
              </w:tabs>
              <w:spacing w:before="0" w:after="0" w:line="276" w:lineRule="auto"/>
              <w:ind w:left="0" w:firstLine="0"/>
              <w:jc w:val="both"/>
              <w:rPr>
                <w:rFonts w:ascii="Times New Roman" w:hAnsi="Times New Roman" w:cs="Times New Roman"/>
                <w:color w:val="auto"/>
                <w:kern w:val="2"/>
                <w:sz w:val="18"/>
                <w:szCs w:val="18"/>
                <w:lang w:val="sr-Cyrl-RS"/>
              </w:rPr>
            </w:pPr>
            <w:r w:rsidRPr="009C19C5">
              <w:rPr>
                <w:rFonts w:ascii="Times New Roman" w:hAnsi="Times New Roman" w:cs="Times New Roman"/>
                <w:color w:val="auto"/>
                <w:kern w:val="2"/>
                <w:sz w:val="18"/>
                <w:szCs w:val="18"/>
                <w:lang w:val="sr-Cyrl-RS"/>
              </w:rPr>
              <w:t>Постој</w:t>
            </w:r>
            <w:r w:rsidR="00D06024" w:rsidRPr="009C19C5">
              <w:rPr>
                <w:rFonts w:ascii="Times New Roman" w:hAnsi="Times New Roman" w:cs="Times New Roman"/>
                <w:color w:val="auto"/>
                <w:kern w:val="2"/>
                <w:sz w:val="18"/>
                <w:szCs w:val="18"/>
                <w:lang w:val="sr-Cyrl-RS"/>
              </w:rPr>
              <w:t>ање</w:t>
            </w:r>
            <w:r w:rsidRPr="009C19C5">
              <w:rPr>
                <w:rFonts w:ascii="Times New Roman" w:hAnsi="Times New Roman" w:cs="Times New Roman"/>
                <w:color w:val="auto"/>
                <w:kern w:val="2"/>
                <w:sz w:val="18"/>
                <w:szCs w:val="18"/>
                <w:lang w:val="sr-Cyrl-RS"/>
              </w:rPr>
              <w:t xml:space="preserve"> неколико туристичких атракција (планине између 500 и 1.000</w:t>
            </w:r>
            <w:r w:rsidR="00867E4F" w:rsidRPr="009C19C5">
              <w:rPr>
                <w:rFonts w:ascii="Times New Roman" w:hAnsi="Times New Roman" w:cs="Times New Roman"/>
                <w:color w:val="auto"/>
                <w:kern w:val="2"/>
                <w:sz w:val="18"/>
                <w:szCs w:val="18"/>
                <w:lang w:val="sr-Cyrl-RS"/>
              </w:rPr>
              <w:t xml:space="preserve"> m</w:t>
            </w:r>
            <w:r w:rsidRPr="009C19C5">
              <w:rPr>
                <w:rFonts w:ascii="Times New Roman" w:hAnsi="Times New Roman" w:cs="Times New Roman"/>
                <w:color w:val="auto"/>
                <w:kern w:val="2"/>
                <w:sz w:val="18"/>
                <w:szCs w:val="18"/>
                <w:lang w:val="sr-Cyrl-RS"/>
              </w:rPr>
              <w:t xml:space="preserve"> надморске висине, као што су Рајац, Букуља, Рудник и др.), пружа могућности за привлачење туриста заинтересованих за различите видове туризма као што су породични и сеоски туризам, планинарење, камповање, итд. </w:t>
            </w:r>
          </w:p>
          <w:p w14:paraId="343F451D" w14:textId="7ACC9908" w:rsidR="00F276BC" w:rsidRPr="009C19C5" w:rsidRDefault="00D06024" w:rsidP="008D7F6B">
            <w:pPr>
              <w:pStyle w:val="Bodytextprebullet"/>
              <w:numPr>
                <w:ilvl w:val="0"/>
                <w:numId w:val="21"/>
              </w:numPr>
              <w:tabs>
                <w:tab w:val="clear" w:pos="360"/>
                <w:tab w:val="left" w:pos="316"/>
              </w:tabs>
              <w:spacing w:before="0" w:after="0" w:line="276" w:lineRule="auto"/>
              <w:ind w:left="0" w:firstLine="0"/>
              <w:jc w:val="both"/>
              <w:rPr>
                <w:rFonts w:ascii="Times New Roman" w:hAnsi="Times New Roman" w:cs="Times New Roman"/>
                <w:color w:val="auto"/>
                <w:kern w:val="2"/>
                <w:sz w:val="18"/>
                <w:szCs w:val="18"/>
                <w:lang w:val="sr-Cyrl-RS"/>
              </w:rPr>
            </w:pPr>
            <w:r w:rsidRPr="009C19C5">
              <w:rPr>
                <w:rFonts w:ascii="Times New Roman" w:hAnsi="Times New Roman" w:cs="Times New Roman"/>
                <w:color w:val="auto"/>
                <w:kern w:val="2"/>
                <w:sz w:val="18"/>
                <w:szCs w:val="18"/>
                <w:lang w:val="sr-Cyrl-RS"/>
              </w:rPr>
              <w:t>Е</w:t>
            </w:r>
            <w:r w:rsidR="000A0E4E" w:rsidRPr="009C19C5">
              <w:rPr>
                <w:rFonts w:ascii="Times New Roman" w:hAnsi="Times New Roman" w:cs="Times New Roman"/>
                <w:color w:val="auto"/>
                <w:kern w:val="2"/>
                <w:sz w:val="18"/>
                <w:szCs w:val="18"/>
                <w:lang w:val="sr-Cyrl-RS"/>
              </w:rPr>
              <w:t>косистем иновација у ширем градском подручју Београда потенцијално би могао да пружи прилику да се пређе на иновативне производе и услуге.</w:t>
            </w:r>
          </w:p>
          <w:p w14:paraId="7A4B470B" w14:textId="7A79DF9E" w:rsidR="00F276BC" w:rsidRPr="009C19C5" w:rsidRDefault="000A0E4E" w:rsidP="008D7F6B">
            <w:pPr>
              <w:pStyle w:val="Bodytextprebullet"/>
              <w:numPr>
                <w:ilvl w:val="0"/>
                <w:numId w:val="21"/>
              </w:numPr>
              <w:tabs>
                <w:tab w:val="clear" w:pos="360"/>
                <w:tab w:val="left" w:pos="316"/>
              </w:tabs>
              <w:spacing w:before="0" w:after="0" w:line="276" w:lineRule="auto"/>
              <w:ind w:left="0" w:firstLine="0"/>
              <w:jc w:val="both"/>
              <w:rPr>
                <w:rFonts w:ascii="Times New Roman" w:hAnsi="Times New Roman" w:cs="Times New Roman"/>
                <w:color w:val="auto"/>
                <w:kern w:val="2"/>
                <w:sz w:val="18"/>
                <w:szCs w:val="18"/>
                <w:lang w:val="sr-Cyrl-RS"/>
              </w:rPr>
            </w:pPr>
            <w:r w:rsidRPr="009C19C5">
              <w:rPr>
                <w:rFonts w:ascii="Times New Roman" w:hAnsi="Times New Roman" w:cs="Times New Roman"/>
                <w:color w:val="auto"/>
                <w:kern w:val="2"/>
                <w:sz w:val="18"/>
                <w:szCs w:val="18"/>
                <w:lang w:val="sr-Cyrl-RS"/>
              </w:rPr>
              <w:t xml:space="preserve">Надоградња и проширење </w:t>
            </w:r>
            <w:r w:rsidR="00DF4AF6" w:rsidRPr="009C19C5">
              <w:rPr>
                <w:rFonts w:ascii="Times New Roman" w:hAnsi="Times New Roman" w:cs="Times New Roman"/>
                <w:color w:val="auto"/>
                <w:kern w:val="2"/>
                <w:sz w:val="18"/>
                <w:szCs w:val="18"/>
                <w:lang w:val="sr-Cyrl-RS"/>
              </w:rPr>
              <w:t xml:space="preserve">канализационе </w:t>
            </w:r>
            <w:r w:rsidRPr="009C19C5">
              <w:rPr>
                <w:rFonts w:ascii="Times New Roman" w:hAnsi="Times New Roman" w:cs="Times New Roman"/>
                <w:color w:val="auto"/>
                <w:kern w:val="2"/>
                <w:sz w:val="18"/>
                <w:szCs w:val="18"/>
                <w:lang w:val="sr-Cyrl-RS"/>
              </w:rPr>
              <w:t>мреж</w:t>
            </w:r>
            <w:r w:rsidR="00DF4AF6" w:rsidRPr="009C19C5">
              <w:rPr>
                <w:rFonts w:ascii="Times New Roman" w:hAnsi="Times New Roman" w:cs="Times New Roman"/>
                <w:color w:val="auto"/>
                <w:kern w:val="2"/>
                <w:sz w:val="18"/>
                <w:szCs w:val="18"/>
                <w:lang w:val="sr-Cyrl-RS"/>
              </w:rPr>
              <w:t>е</w:t>
            </w:r>
            <w:r w:rsidRPr="009C19C5">
              <w:rPr>
                <w:rFonts w:ascii="Times New Roman" w:hAnsi="Times New Roman" w:cs="Times New Roman"/>
                <w:color w:val="auto"/>
                <w:kern w:val="2"/>
                <w:sz w:val="18"/>
                <w:szCs w:val="18"/>
                <w:lang w:val="sr-Cyrl-RS"/>
              </w:rPr>
              <w:t>, нешто што је неопходно за локални економски развој и савремен живот</w:t>
            </w:r>
            <w:r w:rsidR="005C292A" w:rsidRPr="009C19C5">
              <w:rPr>
                <w:rFonts w:ascii="Times New Roman" w:hAnsi="Times New Roman" w:cs="Times New Roman"/>
                <w:color w:val="auto"/>
                <w:kern w:val="2"/>
                <w:sz w:val="18"/>
                <w:szCs w:val="18"/>
                <w:lang w:val="sr-Cyrl-RS"/>
              </w:rPr>
              <w:t>.</w:t>
            </w:r>
          </w:p>
        </w:tc>
        <w:tc>
          <w:tcPr>
            <w:tcW w:w="4431" w:type="dxa"/>
            <w:shd w:val="clear" w:color="auto" w:fill="auto"/>
            <w:tcMar>
              <w:top w:w="72" w:type="dxa"/>
              <w:left w:w="144" w:type="dxa"/>
              <w:bottom w:w="72" w:type="dxa"/>
              <w:right w:w="144" w:type="dxa"/>
            </w:tcMar>
          </w:tcPr>
          <w:p w14:paraId="34F16536" w14:textId="77777777" w:rsidR="00F276BC" w:rsidRPr="009C19C5" w:rsidRDefault="000A0E4E">
            <w:pPr>
              <w:pStyle w:val="Bodytextprebullet"/>
              <w:spacing w:before="0" w:after="0" w:line="276" w:lineRule="auto"/>
              <w:jc w:val="both"/>
              <w:rPr>
                <w:rFonts w:ascii="Times New Roman" w:hAnsi="Times New Roman" w:cs="Times New Roman"/>
                <w:color w:val="auto"/>
                <w:kern w:val="2"/>
                <w:sz w:val="18"/>
                <w:szCs w:val="18"/>
                <w:lang w:val="sr-Cyrl-RS"/>
              </w:rPr>
            </w:pPr>
            <w:r w:rsidRPr="009C19C5">
              <w:rPr>
                <w:rFonts w:ascii="Times New Roman" w:hAnsi="Times New Roman" w:cs="Times New Roman"/>
                <w:b/>
                <w:bCs/>
                <w:color w:val="auto"/>
                <w:kern w:val="2"/>
                <w:sz w:val="18"/>
                <w:szCs w:val="18"/>
                <w:lang w:val="sr-Cyrl-RS"/>
              </w:rPr>
              <w:t>Опасности</w:t>
            </w:r>
          </w:p>
          <w:p w14:paraId="2BC497F8" w14:textId="2FE8018B" w:rsidR="00F276BC" w:rsidRPr="009C19C5" w:rsidRDefault="000A0E4E" w:rsidP="008D7F6B">
            <w:pPr>
              <w:pStyle w:val="Bodytextprebullet"/>
              <w:numPr>
                <w:ilvl w:val="0"/>
                <w:numId w:val="22"/>
              </w:numPr>
              <w:tabs>
                <w:tab w:val="clear" w:pos="360"/>
                <w:tab w:val="left" w:pos="391"/>
              </w:tabs>
              <w:spacing w:before="0" w:after="0" w:line="276" w:lineRule="auto"/>
              <w:ind w:left="0" w:firstLine="0"/>
              <w:jc w:val="both"/>
              <w:rPr>
                <w:rFonts w:ascii="Times New Roman" w:hAnsi="Times New Roman" w:cs="Times New Roman"/>
                <w:color w:val="auto"/>
                <w:kern w:val="2"/>
                <w:sz w:val="18"/>
                <w:szCs w:val="18"/>
                <w:lang w:val="sr-Cyrl-RS"/>
              </w:rPr>
            </w:pPr>
            <w:r w:rsidRPr="009C19C5">
              <w:rPr>
                <w:rFonts w:ascii="Times New Roman" w:hAnsi="Times New Roman" w:cs="Times New Roman"/>
                <w:color w:val="auto"/>
                <w:kern w:val="2"/>
                <w:sz w:val="18"/>
                <w:szCs w:val="18"/>
                <w:lang w:val="sr-Cyrl-RS"/>
              </w:rPr>
              <w:t xml:space="preserve">Снажна зависност од рударског и енергетског сектора, посебно у Лазаревцу (40% запослених везано је за </w:t>
            </w:r>
            <w:r w:rsidR="00DF4AF6" w:rsidRPr="009C19C5">
              <w:rPr>
                <w:rFonts w:ascii="Times New Roman" w:hAnsi="Times New Roman" w:cs="Times New Roman"/>
                <w:color w:val="auto"/>
                <w:kern w:val="2"/>
                <w:sz w:val="18"/>
                <w:szCs w:val="18"/>
                <w:lang w:val="sr-Cyrl-RS"/>
              </w:rPr>
              <w:t xml:space="preserve">сектор </w:t>
            </w:r>
            <w:r w:rsidRPr="009C19C5">
              <w:rPr>
                <w:rFonts w:ascii="Times New Roman" w:hAnsi="Times New Roman" w:cs="Times New Roman"/>
                <w:color w:val="auto"/>
                <w:kern w:val="2"/>
                <w:sz w:val="18"/>
                <w:szCs w:val="18"/>
                <w:lang w:val="sr-Cyrl-RS"/>
              </w:rPr>
              <w:t>рударс</w:t>
            </w:r>
            <w:r w:rsidR="00DF4AF6" w:rsidRPr="009C19C5">
              <w:rPr>
                <w:rFonts w:ascii="Times New Roman" w:hAnsi="Times New Roman" w:cs="Times New Roman"/>
                <w:color w:val="auto"/>
                <w:kern w:val="2"/>
                <w:sz w:val="18"/>
                <w:szCs w:val="18"/>
                <w:lang w:val="sr-Cyrl-RS"/>
              </w:rPr>
              <w:t xml:space="preserve">тва и </w:t>
            </w:r>
            <w:r w:rsidRPr="009C19C5">
              <w:rPr>
                <w:rFonts w:ascii="Times New Roman" w:hAnsi="Times New Roman" w:cs="Times New Roman"/>
                <w:color w:val="auto"/>
                <w:kern w:val="2"/>
                <w:sz w:val="18"/>
                <w:szCs w:val="18"/>
                <w:lang w:val="sr-Cyrl-RS"/>
              </w:rPr>
              <w:t>-енергет</w:t>
            </w:r>
            <w:r w:rsidR="00DF4AF6" w:rsidRPr="009C19C5">
              <w:rPr>
                <w:rFonts w:ascii="Times New Roman" w:hAnsi="Times New Roman" w:cs="Times New Roman"/>
                <w:color w:val="auto"/>
                <w:kern w:val="2"/>
                <w:sz w:val="18"/>
                <w:szCs w:val="18"/>
                <w:lang w:val="sr-Cyrl-RS"/>
              </w:rPr>
              <w:t>ике</w:t>
            </w:r>
            <w:r w:rsidRPr="009C19C5">
              <w:rPr>
                <w:rFonts w:ascii="Times New Roman" w:hAnsi="Times New Roman" w:cs="Times New Roman"/>
                <w:color w:val="auto"/>
                <w:kern w:val="2"/>
                <w:sz w:val="18"/>
                <w:szCs w:val="18"/>
                <w:lang w:val="sr-Cyrl-RS"/>
              </w:rPr>
              <w:t>) и Лајковцу (</w:t>
            </w:r>
            <w:r w:rsidR="00DF4AF6" w:rsidRPr="009C19C5">
              <w:rPr>
                <w:rFonts w:ascii="Times New Roman" w:hAnsi="Times New Roman" w:cs="Times New Roman"/>
                <w:color w:val="auto"/>
                <w:kern w:val="2"/>
                <w:sz w:val="18"/>
                <w:szCs w:val="18"/>
                <w:lang w:val="sr-Cyrl-RS"/>
              </w:rPr>
              <w:t xml:space="preserve">више од </w:t>
            </w:r>
            <w:r w:rsidRPr="009C19C5">
              <w:rPr>
                <w:rFonts w:ascii="Times New Roman" w:hAnsi="Times New Roman" w:cs="Times New Roman"/>
                <w:color w:val="auto"/>
                <w:kern w:val="2"/>
                <w:sz w:val="18"/>
                <w:szCs w:val="18"/>
                <w:lang w:val="sr-Cyrl-RS"/>
              </w:rPr>
              <w:t xml:space="preserve">40% везано је за </w:t>
            </w:r>
            <w:r w:rsidR="00DF4AF6" w:rsidRPr="009C19C5">
              <w:rPr>
                <w:rFonts w:ascii="Times New Roman" w:hAnsi="Times New Roman" w:cs="Times New Roman"/>
                <w:color w:val="auto"/>
                <w:kern w:val="2"/>
                <w:sz w:val="18"/>
                <w:szCs w:val="18"/>
                <w:lang w:val="sr-Cyrl-RS"/>
              </w:rPr>
              <w:t xml:space="preserve">овај </w:t>
            </w:r>
            <w:r w:rsidRPr="009C19C5">
              <w:rPr>
                <w:rFonts w:ascii="Times New Roman" w:hAnsi="Times New Roman" w:cs="Times New Roman"/>
                <w:color w:val="auto"/>
                <w:kern w:val="2"/>
                <w:sz w:val="18"/>
                <w:szCs w:val="18"/>
                <w:lang w:val="sr-Cyrl-RS"/>
              </w:rPr>
              <w:t xml:space="preserve">сектор). </w:t>
            </w:r>
          </w:p>
          <w:p w14:paraId="3006C648" w14:textId="7E0C0D89" w:rsidR="00F276BC" w:rsidRPr="009C19C5" w:rsidRDefault="000A0E4E" w:rsidP="008D7F6B">
            <w:pPr>
              <w:pStyle w:val="Bodytextprebullet"/>
              <w:numPr>
                <w:ilvl w:val="0"/>
                <w:numId w:val="22"/>
              </w:numPr>
              <w:tabs>
                <w:tab w:val="clear" w:pos="360"/>
                <w:tab w:val="left" w:pos="391"/>
              </w:tabs>
              <w:spacing w:before="0" w:after="0" w:line="276" w:lineRule="auto"/>
              <w:ind w:left="0" w:firstLine="0"/>
              <w:jc w:val="both"/>
              <w:rPr>
                <w:rFonts w:ascii="Times New Roman" w:hAnsi="Times New Roman" w:cs="Times New Roman"/>
                <w:color w:val="auto"/>
                <w:kern w:val="2"/>
                <w:sz w:val="18"/>
                <w:szCs w:val="18"/>
                <w:lang w:val="sr-Cyrl-RS"/>
              </w:rPr>
            </w:pPr>
            <w:r w:rsidRPr="009C19C5">
              <w:rPr>
                <w:rFonts w:ascii="Times New Roman" w:hAnsi="Times New Roman" w:cs="Times New Roman"/>
                <w:color w:val="auto"/>
                <w:kern w:val="2"/>
                <w:sz w:val="18"/>
                <w:szCs w:val="18"/>
                <w:lang w:val="sr-Cyrl-RS"/>
              </w:rPr>
              <w:t xml:space="preserve">Депопулација би могла бити значајан проблем, посебно у руралним срединама због старења и исељавања људи у Београд, с обзиром на то да не постоје услови </w:t>
            </w:r>
            <w:r w:rsidR="00DF4AF6" w:rsidRPr="009C19C5">
              <w:rPr>
                <w:rFonts w:ascii="Times New Roman" w:hAnsi="Times New Roman" w:cs="Times New Roman"/>
                <w:color w:val="auto"/>
                <w:kern w:val="2"/>
                <w:sz w:val="18"/>
                <w:szCs w:val="18"/>
                <w:lang w:val="sr-Cyrl-RS"/>
              </w:rPr>
              <w:t xml:space="preserve">за </w:t>
            </w:r>
            <w:r w:rsidRPr="009C19C5">
              <w:rPr>
                <w:rFonts w:ascii="Times New Roman" w:hAnsi="Times New Roman" w:cs="Times New Roman"/>
                <w:color w:val="auto"/>
                <w:kern w:val="2"/>
                <w:sz w:val="18"/>
                <w:szCs w:val="18"/>
                <w:lang w:val="sr-Cyrl-RS"/>
              </w:rPr>
              <w:t>ефикас</w:t>
            </w:r>
            <w:r w:rsidR="00DF4AF6" w:rsidRPr="009C19C5">
              <w:rPr>
                <w:rFonts w:ascii="Times New Roman" w:hAnsi="Times New Roman" w:cs="Times New Roman"/>
                <w:color w:val="auto"/>
                <w:kern w:val="2"/>
                <w:sz w:val="18"/>
                <w:szCs w:val="18"/>
                <w:lang w:val="sr-Cyrl-RS"/>
              </w:rPr>
              <w:t xml:space="preserve">ан </w:t>
            </w:r>
            <w:r w:rsidRPr="009C19C5">
              <w:rPr>
                <w:rFonts w:ascii="Times New Roman" w:hAnsi="Times New Roman" w:cs="Times New Roman"/>
                <w:color w:val="auto"/>
                <w:kern w:val="2"/>
                <w:sz w:val="18"/>
                <w:szCs w:val="18"/>
                <w:lang w:val="sr-Cyrl-RS"/>
              </w:rPr>
              <w:t>рад и образовање на даљину</w:t>
            </w:r>
            <w:r w:rsidR="00DF4AF6" w:rsidRPr="009C19C5">
              <w:rPr>
                <w:rFonts w:ascii="Times New Roman" w:hAnsi="Times New Roman" w:cs="Times New Roman"/>
                <w:color w:val="auto"/>
                <w:kern w:val="2"/>
                <w:sz w:val="18"/>
                <w:szCs w:val="18"/>
                <w:lang w:val="sr-Cyrl-RS"/>
              </w:rPr>
              <w:t xml:space="preserve"> за економски активно становништво и студенте</w:t>
            </w:r>
            <w:r w:rsidRPr="009C19C5">
              <w:rPr>
                <w:rFonts w:ascii="Times New Roman" w:hAnsi="Times New Roman" w:cs="Times New Roman"/>
                <w:color w:val="auto"/>
                <w:kern w:val="2"/>
                <w:sz w:val="18"/>
                <w:szCs w:val="18"/>
                <w:lang w:val="sr-Cyrl-RS"/>
              </w:rPr>
              <w:t xml:space="preserve">. </w:t>
            </w:r>
          </w:p>
          <w:p w14:paraId="0EF1930C" w14:textId="7DF29F60" w:rsidR="00F276BC" w:rsidRPr="009C19C5" w:rsidRDefault="000A0E4E" w:rsidP="008D7F6B">
            <w:pPr>
              <w:pStyle w:val="Bodytextprebullet"/>
              <w:numPr>
                <w:ilvl w:val="0"/>
                <w:numId w:val="22"/>
              </w:numPr>
              <w:tabs>
                <w:tab w:val="clear" w:pos="360"/>
                <w:tab w:val="left" w:pos="391"/>
              </w:tabs>
              <w:spacing w:before="0" w:after="0" w:line="276" w:lineRule="auto"/>
              <w:ind w:left="0" w:firstLine="0"/>
              <w:jc w:val="both"/>
              <w:rPr>
                <w:rFonts w:ascii="Times New Roman" w:hAnsi="Times New Roman" w:cs="Times New Roman"/>
                <w:color w:val="auto"/>
                <w:kern w:val="2"/>
                <w:sz w:val="18"/>
                <w:szCs w:val="18"/>
                <w:lang w:val="sr-Cyrl-RS"/>
              </w:rPr>
            </w:pPr>
            <w:r w:rsidRPr="009C19C5">
              <w:rPr>
                <w:rFonts w:ascii="Times New Roman" w:hAnsi="Times New Roman" w:cs="Times New Roman"/>
                <w:color w:val="auto"/>
                <w:kern w:val="2"/>
                <w:sz w:val="18"/>
                <w:szCs w:val="18"/>
                <w:lang w:val="sr-Cyrl-RS"/>
              </w:rPr>
              <w:t>Територија је склона природним катастрофама</w:t>
            </w:r>
            <w:r w:rsidR="00DF4AF6" w:rsidRPr="009C19C5">
              <w:rPr>
                <w:rFonts w:ascii="Times New Roman" w:hAnsi="Times New Roman" w:cs="Times New Roman"/>
                <w:color w:val="auto"/>
                <w:kern w:val="2"/>
                <w:sz w:val="18"/>
                <w:szCs w:val="18"/>
                <w:lang w:val="sr-Cyrl-RS"/>
              </w:rPr>
              <w:t xml:space="preserve">, што су показале </w:t>
            </w:r>
            <w:r w:rsidRPr="009C19C5">
              <w:rPr>
                <w:rFonts w:ascii="Times New Roman" w:hAnsi="Times New Roman" w:cs="Times New Roman"/>
                <w:color w:val="auto"/>
                <w:kern w:val="2"/>
                <w:sz w:val="18"/>
                <w:szCs w:val="18"/>
                <w:lang w:val="sr-Cyrl-RS"/>
              </w:rPr>
              <w:t>поплав</w:t>
            </w:r>
            <w:r w:rsidR="00DF4AF6" w:rsidRPr="009C19C5">
              <w:rPr>
                <w:rFonts w:ascii="Times New Roman" w:hAnsi="Times New Roman" w:cs="Times New Roman"/>
                <w:color w:val="auto"/>
                <w:kern w:val="2"/>
                <w:sz w:val="18"/>
                <w:szCs w:val="18"/>
                <w:lang w:val="sr-Cyrl-RS"/>
              </w:rPr>
              <w:t xml:space="preserve">е из </w:t>
            </w:r>
            <w:r w:rsidRPr="009C19C5">
              <w:rPr>
                <w:rFonts w:ascii="Times New Roman" w:hAnsi="Times New Roman" w:cs="Times New Roman"/>
                <w:color w:val="auto"/>
                <w:kern w:val="2"/>
                <w:sz w:val="18"/>
                <w:szCs w:val="18"/>
                <w:lang w:val="sr-Cyrl-RS"/>
              </w:rPr>
              <w:t xml:space="preserve">2014. године. </w:t>
            </w:r>
          </w:p>
          <w:p w14:paraId="64A2F37F" w14:textId="5FD913B8" w:rsidR="00F276BC" w:rsidRPr="009C19C5" w:rsidRDefault="00DF4AF6" w:rsidP="008D7F6B">
            <w:pPr>
              <w:pStyle w:val="Bodytextprebullet"/>
              <w:numPr>
                <w:ilvl w:val="0"/>
                <w:numId w:val="22"/>
              </w:numPr>
              <w:tabs>
                <w:tab w:val="clear" w:pos="360"/>
                <w:tab w:val="left" w:pos="391"/>
              </w:tabs>
              <w:spacing w:before="0" w:after="0" w:line="276" w:lineRule="auto"/>
              <w:ind w:left="0" w:firstLine="0"/>
              <w:jc w:val="both"/>
              <w:rPr>
                <w:rFonts w:ascii="Times New Roman" w:hAnsi="Times New Roman" w:cs="Times New Roman"/>
                <w:color w:val="auto"/>
                <w:kern w:val="2"/>
                <w:sz w:val="18"/>
                <w:szCs w:val="18"/>
                <w:lang w:val="sr-Cyrl-RS"/>
              </w:rPr>
            </w:pPr>
            <w:r w:rsidRPr="009C19C5">
              <w:rPr>
                <w:rFonts w:ascii="Times New Roman" w:hAnsi="Times New Roman" w:cs="Times New Roman"/>
                <w:color w:val="auto"/>
                <w:kern w:val="2"/>
                <w:sz w:val="18"/>
                <w:szCs w:val="18"/>
                <w:lang w:val="sr-Cyrl-RS"/>
              </w:rPr>
              <w:t>Класификовање једног дела ове територије као да припада територији са највишим нивоом регионалног развоја (због административне припадности граду Београду) може ометати потребне поступке кад започне енергетска транзиција.</w:t>
            </w:r>
          </w:p>
        </w:tc>
        <w:bookmarkEnd w:id="29"/>
      </w:tr>
    </w:tbl>
    <w:p w14:paraId="5BDF2602" w14:textId="77777777" w:rsidR="00C90461" w:rsidRPr="009C19C5" w:rsidRDefault="00C90461">
      <w:pPr>
        <w:rPr>
          <w:rFonts w:ascii="Times New Roman" w:hAnsi="Times New Roman" w:cs="Times New Roman"/>
          <w:b/>
          <w:bCs/>
          <w:sz w:val="24"/>
          <w:szCs w:val="24"/>
          <w:lang w:val="sr-Cyrl-RS"/>
        </w:rPr>
      </w:pPr>
    </w:p>
    <w:p w14:paraId="5E1520AC" w14:textId="77777777" w:rsidR="00C90461" w:rsidRPr="009C19C5" w:rsidRDefault="00C90461">
      <w:pPr>
        <w:rPr>
          <w:rFonts w:ascii="Times New Roman" w:hAnsi="Times New Roman" w:cs="Times New Roman"/>
          <w:b/>
          <w:bCs/>
          <w:sz w:val="24"/>
          <w:szCs w:val="24"/>
          <w:lang w:val="sr-Cyrl-RS"/>
        </w:rPr>
      </w:pPr>
    </w:p>
    <w:p w14:paraId="0975E00D" w14:textId="58E191B5" w:rsidR="00F276BC" w:rsidRPr="009C19C5" w:rsidRDefault="000A0E4E">
      <w:pPr>
        <w:rPr>
          <w:rFonts w:ascii="Times New Roman" w:hAnsi="Times New Roman" w:cs="Times New Roman"/>
          <w:b/>
          <w:bCs/>
          <w:sz w:val="24"/>
          <w:szCs w:val="24"/>
          <w:lang w:val="sr-Cyrl-RS"/>
        </w:rPr>
      </w:pPr>
      <w:r w:rsidRPr="009C19C5">
        <w:rPr>
          <w:rFonts w:ascii="Times New Roman" w:hAnsi="Times New Roman" w:cs="Times New Roman"/>
          <w:b/>
          <w:bCs/>
          <w:sz w:val="24"/>
          <w:szCs w:val="24"/>
          <w:lang w:val="sr-Cyrl-RS"/>
        </w:rPr>
        <w:lastRenderedPageBreak/>
        <w:t>Територија Ресавице</w:t>
      </w:r>
    </w:p>
    <w:p w14:paraId="0A210AC6" w14:textId="7AD9CD34" w:rsidR="00F276BC" w:rsidRPr="009C19C5" w:rsidRDefault="000A0E4E" w:rsidP="004A5AEC">
      <w:pPr>
        <w:pStyle w:val="Caption"/>
        <w:keepNext/>
        <w:jc w:val="left"/>
        <w:rPr>
          <w:rFonts w:ascii="Times New Roman" w:hAnsi="Times New Roman" w:cs="Times New Roman"/>
          <w:color w:val="auto"/>
          <w:sz w:val="20"/>
          <w:szCs w:val="20"/>
          <w:lang w:val="sr-Cyrl-RS"/>
        </w:rPr>
      </w:pPr>
      <w:r w:rsidRPr="009C19C5">
        <w:rPr>
          <w:rFonts w:ascii="Times New Roman" w:hAnsi="Times New Roman" w:cs="Times New Roman"/>
          <w:i w:val="0"/>
          <w:iCs w:val="0"/>
          <w:color w:val="auto"/>
          <w:sz w:val="20"/>
          <w:szCs w:val="20"/>
          <w:lang w:val="sr-Cyrl-RS"/>
        </w:rPr>
        <w:t>Табела 6: Табела предности, слабости, могућности и опасности за територију Ресавице</w:t>
      </w:r>
      <w:r w:rsidR="001D5D36" w:rsidRPr="009C19C5">
        <w:rPr>
          <w:rFonts w:ascii="Times New Roman" w:hAnsi="Times New Roman" w:cs="Times New Roman"/>
          <w:i w:val="0"/>
          <w:iCs w:val="0"/>
          <w:color w:val="auto"/>
          <w:sz w:val="20"/>
          <w:szCs w:val="20"/>
          <w:lang w:val="sr-Cyrl-RS"/>
        </w:rPr>
        <w:t xml:space="preserve"> </w:t>
      </w:r>
      <w:r w:rsidR="00423DAA" w:rsidRPr="009C19C5">
        <w:rPr>
          <w:rFonts w:ascii="Times New Roman" w:hAnsi="Times New Roman" w:cs="Times New Roman"/>
          <w:i w:val="0"/>
          <w:iCs w:val="0"/>
          <w:color w:val="auto"/>
          <w:sz w:val="20"/>
          <w:szCs w:val="20"/>
          <w:lang w:val="sr-Cyrl-RS"/>
        </w:rPr>
        <w:t>- илустративни пример</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40" w:type="dxa"/>
          <w:right w:w="1440" w:type="dxa"/>
        </w:tblCellMar>
        <w:tblLook w:val="04A0" w:firstRow="1" w:lastRow="0" w:firstColumn="1" w:lastColumn="0" w:noHBand="0" w:noVBand="1"/>
      </w:tblPr>
      <w:tblGrid>
        <w:gridCol w:w="819"/>
        <w:gridCol w:w="4820"/>
        <w:gridCol w:w="4821"/>
      </w:tblGrid>
      <w:tr w:rsidR="00F276BC" w:rsidRPr="009C19C5" w14:paraId="6AFC34D7" w14:textId="6F74BCEE" w:rsidTr="00DB040D">
        <w:trPr>
          <w:trHeight w:val="167"/>
          <w:jc w:val="center"/>
        </w:trPr>
        <w:tc>
          <w:tcPr>
            <w:tcW w:w="314" w:type="pct"/>
            <w:tcMar>
              <w:top w:w="72" w:type="dxa"/>
              <w:left w:w="144" w:type="dxa"/>
              <w:bottom w:w="72" w:type="dxa"/>
              <w:right w:w="144" w:type="dxa"/>
            </w:tcMar>
          </w:tcPr>
          <w:p w14:paraId="30A6FC50" w14:textId="47DE230E" w:rsidR="00F276BC" w:rsidRPr="009C19C5" w:rsidRDefault="00F276BC">
            <w:pPr>
              <w:rPr>
                <w:rFonts w:ascii="Times New Roman" w:hAnsi="Times New Roman" w:cs="Times New Roman"/>
                <w:sz w:val="18"/>
                <w:szCs w:val="18"/>
                <w:lang w:val="sr-Cyrl-RS"/>
              </w:rPr>
            </w:pPr>
          </w:p>
        </w:tc>
        <w:tc>
          <w:tcPr>
            <w:tcW w:w="2343" w:type="pct"/>
            <w:shd w:val="clear" w:color="auto" w:fill="auto"/>
            <w:tcMar>
              <w:top w:w="72" w:type="dxa"/>
              <w:left w:w="144" w:type="dxa"/>
              <w:bottom w:w="72" w:type="dxa"/>
              <w:right w:w="144" w:type="dxa"/>
            </w:tcMar>
            <w:vAlign w:val="center"/>
          </w:tcPr>
          <w:p w14:paraId="112A4D40" w14:textId="2FED903D" w:rsidR="00F276BC" w:rsidRPr="009C19C5" w:rsidRDefault="000A0E4E">
            <w:pPr>
              <w:pStyle w:val="Bodytextprebullet"/>
              <w:spacing w:before="0" w:after="0" w:line="276" w:lineRule="auto"/>
              <w:jc w:val="center"/>
              <w:rPr>
                <w:rFonts w:ascii="Times New Roman" w:hAnsi="Times New Roman" w:cs="Times New Roman"/>
                <w:b/>
                <w:color w:val="auto"/>
                <w:kern w:val="2"/>
                <w:sz w:val="18"/>
                <w:szCs w:val="18"/>
                <w:lang w:val="sr-Cyrl-RS"/>
                <w14:ligatures w14:val="standardContextual"/>
              </w:rPr>
            </w:pPr>
            <w:r w:rsidRPr="009C19C5">
              <w:rPr>
                <w:rFonts w:ascii="Times New Roman" w:hAnsi="Times New Roman" w:cs="Times New Roman"/>
                <w:b/>
                <w:color w:val="auto"/>
                <w:kern w:val="2"/>
                <w:sz w:val="18"/>
                <w:szCs w:val="18"/>
                <w:lang w:val="sr-Cyrl-RS"/>
              </w:rPr>
              <w:t>Корисно</w:t>
            </w:r>
          </w:p>
        </w:tc>
        <w:tc>
          <w:tcPr>
            <w:tcW w:w="2343" w:type="pct"/>
            <w:shd w:val="clear" w:color="auto" w:fill="auto"/>
            <w:tcMar>
              <w:top w:w="72" w:type="dxa"/>
              <w:left w:w="144" w:type="dxa"/>
              <w:bottom w:w="72" w:type="dxa"/>
              <w:right w:w="144" w:type="dxa"/>
            </w:tcMar>
            <w:vAlign w:val="center"/>
          </w:tcPr>
          <w:p w14:paraId="1EE24EF8" w14:textId="298BB392" w:rsidR="00F276BC" w:rsidRPr="009C19C5" w:rsidRDefault="000A0E4E">
            <w:pPr>
              <w:pStyle w:val="Bodytextprebullet"/>
              <w:spacing w:before="0" w:after="0" w:line="276" w:lineRule="auto"/>
              <w:jc w:val="center"/>
              <w:rPr>
                <w:rFonts w:ascii="Times New Roman" w:hAnsi="Times New Roman" w:cs="Times New Roman"/>
                <w:b/>
                <w:color w:val="auto"/>
                <w:kern w:val="2"/>
                <w:sz w:val="18"/>
                <w:szCs w:val="18"/>
                <w:lang w:val="sr-Cyrl-RS"/>
              </w:rPr>
            </w:pPr>
            <w:r w:rsidRPr="009C19C5">
              <w:rPr>
                <w:rFonts w:ascii="Times New Roman" w:hAnsi="Times New Roman" w:cs="Times New Roman"/>
                <w:b/>
                <w:color w:val="auto"/>
                <w:kern w:val="2"/>
                <w:sz w:val="18"/>
                <w:szCs w:val="18"/>
                <w:lang w:val="sr-Cyrl-RS"/>
              </w:rPr>
              <w:t>Штетно</w:t>
            </w:r>
          </w:p>
        </w:tc>
      </w:tr>
      <w:tr w:rsidR="00F276BC" w:rsidRPr="009C19C5" w14:paraId="32AAC9E7" w14:textId="4849BD2B" w:rsidTr="00DB040D">
        <w:trPr>
          <w:trHeight w:val="2798"/>
          <w:jc w:val="center"/>
        </w:trPr>
        <w:tc>
          <w:tcPr>
            <w:tcW w:w="314" w:type="pct"/>
            <w:shd w:val="clear" w:color="auto" w:fill="auto"/>
            <w:tcMar>
              <w:top w:w="72" w:type="dxa"/>
              <w:left w:w="144" w:type="dxa"/>
              <w:bottom w:w="72" w:type="dxa"/>
              <w:right w:w="144" w:type="dxa"/>
            </w:tcMar>
            <w:textDirection w:val="btLr"/>
            <w:vAlign w:val="center"/>
          </w:tcPr>
          <w:p w14:paraId="68841783" w14:textId="295B96C0" w:rsidR="00F276BC" w:rsidRPr="009C19C5" w:rsidRDefault="000A0E4E">
            <w:pPr>
              <w:pStyle w:val="Bodytextprebullet"/>
              <w:spacing w:line="276" w:lineRule="auto"/>
              <w:jc w:val="center"/>
              <w:rPr>
                <w:rFonts w:ascii="Times New Roman" w:hAnsi="Times New Roman" w:cs="Times New Roman"/>
                <w:b/>
                <w:color w:val="FFFFFF" w:themeColor="background1"/>
                <w:kern w:val="2"/>
                <w:sz w:val="18"/>
                <w:szCs w:val="18"/>
                <w:lang w:val="sr-Cyrl-RS"/>
              </w:rPr>
            </w:pPr>
            <w:r w:rsidRPr="009C19C5">
              <w:rPr>
                <w:rFonts w:ascii="Times New Roman" w:hAnsi="Times New Roman" w:cs="Times New Roman"/>
                <w:b/>
                <w:color w:val="FFFFFF" w:themeColor="background1"/>
                <w:kern w:val="2"/>
                <w:sz w:val="18"/>
                <w:szCs w:val="18"/>
                <w:lang w:val="sr-Cyrl-RS"/>
              </w:rPr>
              <w:t>Унутрашње</w:t>
            </w:r>
          </w:p>
        </w:tc>
        <w:tc>
          <w:tcPr>
            <w:tcW w:w="2343" w:type="pct"/>
            <w:shd w:val="clear" w:color="auto" w:fill="auto"/>
            <w:tcMar>
              <w:top w:w="72" w:type="dxa"/>
              <w:left w:w="144" w:type="dxa"/>
              <w:bottom w:w="72" w:type="dxa"/>
              <w:right w:w="144" w:type="dxa"/>
            </w:tcMar>
            <w:vAlign w:val="center"/>
          </w:tcPr>
          <w:p w14:paraId="2E86DCB9" w14:textId="27D377E8" w:rsidR="00F276BC" w:rsidRPr="009C19C5" w:rsidRDefault="000A0E4E">
            <w:pPr>
              <w:pStyle w:val="Bodytextprebullet"/>
              <w:jc w:val="both"/>
              <w:rPr>
                <w:rFonts w:ascii="Times New Roman" w:hAnsi="Times New Roman" w:cs="Times New Roman"/>
                <w:color w:val="auto"/>
                <w:kern w:val="2"/>
                <w:sz w:val="18"/>
                <w:szCs w:val="18"/>
                <w:lang w:val="sr-Cyrl-RS"/>
              </w:rPr>
            </w:pPr>
            <w:r w:rsidRPr="009C19C5">
              <w:rPr>
                <w:rFonts w:ascii="Times New Roman" w:hAnsi="Times New Roman" w:cs="Times New Roman"/>
                <w:b/>
                <w:bCs/>
                <w:color w:val="auto"/>
                <w:kern w:val="2"/>
                <w:sz w:val="18"/>
                <w:szCs w:val="18"/>
                <w:lang w:val="sr-Cyrl-RS"/>
              </w:rPr>
              <w:t>Предности</w:t>
            </w:r>
          </w:p>
          <w:p w14:paraId="750F4E28" w14:textId="39988D3A" w:rsidR="00DF4AF6" w:rsidRPr="009C19C5" w:rsidRDefault="000A0E4E" w:rsidP="008D7F6B">
            <w:pPr>
              <w:pStyle w:val="Bodytextprebullet"/>
              <w:numPr>
                <w:ilvl w:val="0"/>
                <w:numId w:val="23"/>
              </w:numPr>
              <w:tabs>
                <w:tab w:val="clear" w:pos="360"/>
                <w:tab w:val="left" w:pos="0"/>
                <w:tab w:val="left" w:pos="271"/>
              </w:tabs>
              <w:spacing w:before="0" w:after="0" w:line="276" w:lineRule="auto"/>
              <w:ind w:left="0" w:firstLine="0"/>
              <w:jc w:val="both"/>
              <w:rPr>
                <w:rFonts w:ascii="Times New Roman" w:hAnsi="Times New Roman" w:cs="Times New Roman"/>
                <w:color w:val="auto"/>
                <w:kern w:val="2"/>
                <w:sz w:val="18"/>
                <w:szCs w:val="18"/>
                <w:lang w:val="sr-Cyrl-RS"/>
              </w:rPr>
            </w:pPr>
            <w:r w:rsidRPr="009C19C5">
              <w:rPr>
                <w:rFonts w:ascii="Times New Roman" w:hAnsi="Times New Roman" w:cs="Times New Roman"/>
                <w:color w:val="auto"/>
                <w:kern w:val="2"/>
                <w:sz w:val="18"/>
                <w:szCs w:val="18"/>
                <w:lang w:val="sr-Cyrl-RS"/>
              </w:rPr>
              <w:t xml:space="preserve">Локална природна средина била би погодна за развој специфичних облика туризма </w:t>
            </w:r>
          </w:p>
          <w:p w14:paraId="06CE80C6" w14:textId="0BFA1DA5" w:rsidR="00F276BC" w:rsidRPr="009C19C5" w:rsidRDefault="000A0E4E" w:rsidP="008D7F6B">
            <w:pPr>
              <w:pStyle w:val="Bodytextprebullet"/>
              <w:numPr>
                <w:ilvl w:val="0"/>
                <w:numId w:val="23"/>
              </w:numPr>
              <w:tabs>
                <w:tab w:val="clear" w:pos="360"/>
                <w:tab w:val="left" w:pos="0"/>
                <w:tab w:val="left" w:pos="271"/>
              </w:tabs>
              <w:spacing w:before="0" w:after="0" w:line="276" w:lineRule="auto"/>
              <w:ind w:left="0" w:firstLine="0"/>
              <w:jc w:val="both"/>
              <w:rPr>
                <w:rFonts w:ascii="Times New Roman" w:hAnsi="Times New Roman" w:cs="Times New Roman"/>
                <w:color w:val="auto"/>
                <w:kern w:val="2"/>
                <w:sz w:val="18"/>
                <w:szCs w:val="18"/>
                <w:lang w:val="sr-Cyrl-RS"/>
              </w:rPr>
            </w:pPr>
            <w:r w:rsidRPr="009C19C5">
              <w:rPr>
                <w:rFonts w:ascii="Times New Roman" w:hAnsi="Times New Roman" w:cs="Times New Roman"/>
                <w:color w:val="auto"/>
                <w:kern w:val="2"/>
                <w:sz w:val="18"/>
                <w:szCs w:val="18"/>
                <w:lang w:val="sr-Cyrl-RS"/>
              </w:rPr>
              <w:t xml:space="preserve">Пољопривредни сектор (у облику индивидуалних </w:t>
            </w:r>
            <w:r w:rsidR="00DF4AF6" w:rsidRPr="009C19C5">
              <w:rPr>
                <w:rFonts w:ascii="Times New Roman" w:hAnsi="Times New Roman" w:cs="Times New Roman"/>
                <w:color w:val="auto"/>
                <w:kern w:val="2"/>
                <w:sz w:val="18"/>
                <w:szCs w:val="18"/>
                <w:lang w:val="sr-Cyrl-RS"/>
              </w:rPr>
              <w:t>газдинстава</w:t>
            </w:r>
            <w:r w:rsidRPr="009C19C5">
              <w:rPr>
                <w:rFonts w:ascii="Times New Roman" w:hAnsi="Times New Roman" w:cs="Times New Roman"/>
                <w:color w:val="auto"/>
                <w:kern w:val="2"/>
                <w:sz w:val="18"/>
                <w:szCs w:val="18"/>
                <w:lang w:val="sr-Cyrl-RS"/>
              </w:rPr>
              <w:t>) прилично је добро заступљен, у толикој мери да се може сматрати потенцијалним сектором за развој.</w:t>
            </w:r>
          </w:p>
          <w:p w14:paraId="1009ACC9" w14:textId="2BC4FE40" w:rsidR="00F276BC" w:rsidRPr="009C19C5" w:rsidRDefault="000A0E4E" w:rsidP="008D7F6B">
            <w:pPr>
              <w:pStyle w:val="Bodytextprebullet"/>
              <w:numPr>
                <w:ilvl w:val="0"/>
                <w:numId w:val="23"/>
              </w:numPr>
              <w:tabs>
                <w:tab w:val="clear" w:pos="360"/>
                <w:tab w:val="left" w:pos="0"/>
                <w:tab w:val="left" w:pos="271"/>
              </w:tabs>
              <w:spacing w:before="0" w:after="0" w:line="276" w:lineRule="auto"/>
              <w:ind w:left="0" w:firstLine="0"/>
              <w:jc w:val="both"/>
              <w:rPr>
                <w:rFonts w:ascii="Times New Roman" w:hAnsi="Times New Roman" w:cs="Times New Roman"/>
                <w:color w:val="auto"/>
                <w:kern w:val="2"/>
                <w:sz w:val="18"/>
                <w:szCs w:val="18"/>
                <w:lang w:val="sr-Cyrl-RS"/>
              </w:rPr>
            </w:pPr>
            <w:r w:rsidRPr="009C19C5">
              <w:rPr>
                <w:rFonts w:ascii="Times New Roman" w:hAnsi="Times New Roman" w:cs="Times New Roman"/>
                <w:color w:val="auto"/>
                <w:kern w:val="2"/>
                <w:sz w:val="18"/>
                <w:szCs w:val="18"/>
                <w:lang w:val="sr-Cyrl-RS"/>
              </w:rPr>
              <w:t xml:space="preserve">У Деспотовцу послује </w:t>
            </w:r>
            <w:r w:rsidR="00DF4AF6" w:rsidRPr="009C19C5">
              <w:rPr>
                <w:rFonts w:ascii="Times New Roman" w:hAnsi="Times New Roman" w:cs="Times New Roman"/>
                <w:color w:val="auto"/>
                <w:kern w:val="2"/>
                <w:sz w:val="18"/>
                <w:szCs w:val="18"/>
                <w:lang w:val="sr-Cyrl-RS"/>
              </w:rPr>
              <w:t>д</w:t>
            </w:r>
            <w:r w:rsidRPr="009C19C5">
              <w:rPr>
                <w:rFonts w:ascii="Times New Roman" w:hAnsi="Times New Roman" w:cs="Times New Roman"/>
                <w:color w:val="auto"/>
                <w:kern w:val="2"/>
                <w:sz w:val="18"/>
                <w:szCs w:val="18"/>
                <w:lang w:val="sr-Cyrl-RS"/>
              </w:rPr>
              <w:t xml:space="preserve">ржавно предузеће за шумарство. </w:t>
            </w:r>
          </w:p>
          <w:p w14:paraId="5E364B7F" w14:textId="12A547C5" w:rsidR="00F276BC" w:rsidRPr="009C19C5" w:rsidRDefault="000A0E4E" w:rsidP="008D7F6B">
            <w:pPr>
              <w:pStyle w:val="Bodytextprebullet"/>
              <w:numPr>
                <w:ilvl w:val="0"/>
                <w:numId w:val="23"/>
              </w:numPr>
              <w:tabs>
                <w:tab w:val="clear" w:pos="360"/>
                <w:tab w:val="left" w:pos="0"/>
                <w:tab w:val="left" w:pos="271"/>
              </w:tabs>
              <w:spacing w:before="0" w:after="0" w:line="276" w:lineRule="auto"/>
              <w:ind w:left="0" w:firstLine="0"/>
              <w:jc w:val="both"/>
              <w:rPr>
                <w:rFonts w:ascii="Times New Roman" w:hAnsi="Times New Roman" w:cs="Times New Roman"/>
                <w:color w:val="auto"/>
                <w:kern w:val="2"/>
                <w:sz w:val="18"/>
                <w:szCs w:val="18"/>
                <w:lang w:val="sr-Cyrl-RS"/>
              </w:rPr>
            </w:pPr>
            <w:r w:rsidRPr="009C19C5">
              <w:rPr>
                <w:rFonts w:ascii="Times New Roman" w:hAnsi="Times New Roman" w:cs="Times New Roman"/>
                <w:color w:val="auto"/>
                <w:kern w:val="2"/>
                <w:sz w:val="18"/>
                <w:szCs w:val="18"/>
                <w:lang w:val="sr-Cyrl-RS"/>
              </w:rPr>
              <w:t>Мала предузећа у Деспотовцу последњих година бележе повећане приходе. Иако послују углавном у малопродаји, повећани приходи указују на одређени потенцијал на општинском нивоу.</w:t>
            </w:r>
          </w:p>
        </w:tc>
        <w:tc>
          <w:tcPr>
            <w:tcW w:w="2343" w:type="pct"/>
            <w:shd w:val="clear" w:color="auto" w:fill="auto"/>
            <w:tcMar>
              <w:top w:w="72" w:type="dxa"/>
              <w:left w:w="144" w:type="dxa"/>
              <w:bottom w:w="72" w:type="dxa"/>
              <w:right w:w="144" w:type="dxa"/>
            </w:tcMar>
            <w:vAlign w:val="center"/>
          </w:tcPr>
          <w:p w14:paraId="63FB34FB" w14:textId="5F0B172D" w:rsidR="00F276BC" w:rsidRPr="009C19C5" w:rsidRDefault="000A0E4E">
            <w:pPr>
              <w:pStyle w:val="Bodytextprebullet"/>
              <w:jc w:val="both"/>
              <w:rPr>
                <w:rFonts w:ascii="Times New Roman" w:hAnsi="Times New Roman" w:cs="Times New Roman"/>
                <w:color w:val="auto"/>
                <w:kern w:val="2"/>
                <w:sz w:val="18"/>
                <w:szCs w:val="18"/>
                <w:lang w:val="sr-Cyrl-RS"/>
              </w:rPr>
            </w:pPr>
            <w:r w:rsidRPr="009C19C5">
              <w:rPr>
                <w:rFonts w:ascii="Times New Roman" w:hAnsi="Times New Roman" w:cs="Times New Roman"/>
                <w:b/>
                <w:bCs/>
                <w:color w:val="auto"/>
                <w:kern w:val="2"/>
                <w:sz w:val="18"/>
                <w:szCs w:val="18"/>
                <w:lang w:val="sr-Cyrl-RS"/>
              </w:rPr>
              <w:t>Слабости</w:t>
            </w:r>
          </w:p>
          <w:p w14:paraId="372C65F7" w14:textId="559A05C5" w:rsidR="00F276BC" w:rsidRPr="009C19C5" w:rsidRDefault="000A0E4E" w:rsidP="008D7F6B">
            <w:pPr>
              <w:pStyle w:val="Bodytextprebullet"/>
              <w:numPr>
                <w:ilvl w:val="0"/>
                <w:numId w:val="24"/>
              </w:numPr>
              <w:tabs>
                <w:tab w:val="clear" w:pos="360"/>
                <w:tab w:val="left" w:pos="0"/>
                <w:tab w:val="left" w:pos="331"/>
              </w:tabs>
              <w:spacing w:before="0" w:after="0" w:line="276" w:lineRule="auto"/>
              <w:ind w:left="0" w:firstLine="0"/>
              <w:jc w:val="both"/>
              <w:rPr>
                <w:rFonts w:ascii="Times New Roman" w:hAnsi="Times New Roman" w:cs="Times New Roman"/>
                <w:color w:val="auto"/>
                <w:kern w:val="2"/>
                <w:sz w:val="18"/>
                <w:szCs w:val="18"/>
                <w:lang w:val="sr-Cyrl-RS"/>
              </w:rPr>
            </w:pPr>
            <w:r w:rsidRPr="009C19C5">
              <w:rPr>
                <w:rFonts w:ascii="Times New Roman" w:hAnsi="Times New Roman" w:cs="Times New Roman"/>
                <w:color w:val="auto"/>
                <w:kern w:val="2"/>
                <w:sz w:val="18"/>
                <w:szCs w:val="18"/>
                <w:lang w:val="sr-Cyrl-RS"/>
              </w:rPr>
              <w:t>Локална економска активност је директно или индиректно у великој мери повезана са радом рудника Рембас.</w:t>
            </w:r>
          </w:p>
          <w:p w14:paraId="3D5073F8" w14:textId="69178483" w:rsidR="00F276BC" w:rsidRPr="009C19C5" w:rsidRDefault="000A0E4E" w:rsidP="008D7F6B">
            <w:pPr>
              <w:pStyle w:val="Bodytextprebullet"/>
              <w:numPr>
                <w:ilvl w:val="0"/>
                <w:numId w:val="24"/>
              </w:numPr>
              <w:tabs>
                <w:tab w:val="clear" w:pos="360"/>
                <w:tab w:val="left" w:pos="0"/>
                <w:tab w:val="left" w:pos="331"/>
              </w:tabs>
              <w:spacing w:before="0" w:after="0" w:line="276" w:lineRule="auto"/>
              <w:ind w:left="0" w:firstLine="0"/>
              <w:jc w:val="both"/>
              <w:rPr>
                <w:rFonts w:ascii="Times New Roman" w:hAnsi="Times New Roman" w:cs="Times New Roman"/>
                <w:color w:val="auto"/>
                <w:kern w:val="2"/>
                <w:sz w:val="18"/>
                <w:szCs w:val="18"/>
                <w:lang w:val="sr-Cyrl-RS"/>
              </w:rPr>
            </w:pPr>
            <w:r w:rsidRPr="009C19C5">
              <w:rPr>
                <w:rFonts w:ascii="Times New Roman" w:hAnsi="Times New Roman" w:cs="Times New Roman"/>
                <w:color w:val="auto"/>
                <w:kern w:val="2"/>
                <w:sz w:val="18"/>
                <w:szCs w:val="18"/>
                <w:lang w:val="sr-Cyrl-RS"/>
              </w:rPr>
              <w:t>Индустријска зона Деспотовца тренутно није довољно развијена да привуче велике инвеститоре.</w:t>
            </w:r>
          </w:p>
          <w:p w14:paraId="527DD69F" w14:textId="28E7C927" w:rsidR="00F276BC" w:rsidRPr="009C19C5" w:rsidRDefault="000A0E4E" w:rsidP="008D7F6B">
            <w:pPr>
              <w:pStyle w:val="Bodytextprebullet"/>
              <w:numPr>
                <w:ilvl w:val="0"/>
                <w:numId w:val="24"/>
              </w:numPr>
              <w:tabs>
                <w:tab w:val="clear" w:pos="360"/>
                <w:tab w:val="left" w:pos="0"/>
                <w:tab w:val="left" w:pos="331"/>
              </w:tabs>
              <w:spacing w:before="0" w:after="0" w:line="276" w:lineRule="auto"/>
              <w:ind w:left="0" w:firstLine="0"/>
              <w:jc w:val="both"/>
              <w:rPr>
                <w:rFonts w:ascii="Times New Roman" w:hAnsi="Times New Roman" w:cs="Times New Roman"/>
                <w:color w:val="auto"/>
                <w:kern w:val="2"/>
                <w:sz w:val="18"/>
                <w:szCs w:val="18"/>
                <w:lang w:val="sr-Cyrl-RS"/>
              </w:rPr>
            </w:pPr>
            <w:r w:rsidRPr="009C19C5">
              <w:rPr>
                <w:rFonts w:ascii="Times New Roman" w:hAnsi="Times New Roman" w:cs="Times New Roman"/>
                <w:color w:val="auto"/>
                <w:kern w:val="2"/>
                <w:sz w:val="18"/>
                <w:szCs w:val="18"/>
                <w:lang w:val="sr-Cyrl-RS"/>
              </w:rPr>
              <w:t xml:space="preserve">Становништво стари и то брже од националног просека и брже од свих других погођених територија. </w:t>
            </w:r>
          </w:p>
          <w:p w14:paraId="409F7052" w14:textId="5551891E" w:rsidR="00F276BC" w:rsidRPr="009C19C5" w:rsidRDefault="000A0E4E" w:rsidP="008D7F6B">
            <w:pPr>
              <w:pStyle w:val="Bodytextprebullet"/>
              <w:numPr>
                <w:ilvl w:val="0"/>
                <w:numId w:val="24"/>
              </w:numPr>
              <w:tabs>
                <w:tab w:val="clear" w:pos="360"/>
                <w:tab w:val="left" w:pos="0"/>
                <w:tab w:val="left" w:pos="331"/>
              </w:tabs>
              <w:spacing w:before="0" w:after="0" w:line="276" w:lineRule="auto"/>
              <w:ind w:left="0" w:firstLine="0"/>
              <w:jc w:val="both"/>
              <w:rPr>
                <w:rFonts w:ascii="Times New Roman" w:hAnsi="Times New Roman" w:cs="Times New Roman"/>
                <w:color w:val="auto"/>
                <w:kern w:val="2"/>
                <w:sz w:val="18"/>
                <w:szCs w:val="18"/>
                <w:lang w:val="sr-Cyrl-RS"/>
              </w:rPr>
            </w:pPr>
            <w:r w:rsidRPr="009C19C5">
              <w:rPr>
                <w:rFonts w:ascii="Times New Roman" w:hAnsi="Times New Roman" w:cs="Times New Roman"/>
                <w:color w:val="auto"/>
                <w:kern w:val="2"/>
                <w:sz w:val="18"/>
                <w:szCs w:val="18"/>
                <w:lang w:val="sr-Cyrl-RS"/>
              </w:rPr>
              <w:t>Дуготрајна незапосленост је већ висока, са врло мало слободних радних места на 100 регистрованих незапослених. Низак ниво образовања женск</w:t>
            </w:r>
            <w:r w:rsidR="00C30F64" w:rsidRPr="009C19C5">
              <w:rPr>
                <w:rFonts w:ascii="Times New Roman" w:hAnsi="Times New Roman" w:cs="Times New Roman"/>
                <w:color w:val="auto"/>
                <w:kern w:val="2"/>
                <w:sz w:val="18"/>
                <w:szCs w:val="18"/>
                <w:lang w:val="sr-Cyrl-RS"/>
              </w:rPr>
              <w:t xml:space="preserve">е </w:t>
            </w:r>
            <w:r w:rsidRPr="009C19C5">
              <w:rPr>
                <w:rFonts w:ascii="Times New Roman" w:hAnsi="Times New Roman" w:cs="Times New Roman"/>
                <w:color w:val="auto"/>
                <w:kern w:val="2"/>
                <w:sz w:val="18"/>
                <w:szCs w:val="18"/>
                <w:lang w:val="sr-Cyrl-RS"/>
              </w:rPr>
              <w:t>популациј</w:t>
            </w:r>
            <w:r w:rsidR="00C30F64" w:rsidRPr="009C19C5">
              <w:rPr>
                <w:rFonts w:ascii="Times New Roman" w:hAnsi="Times New Roman" w:cs="Times New Roman"/>
                <w:color w:val="auto"/>
                <w:kern w:val="2"/>
                <w:sz w:val="18"/>
                <w:szCs w:val="18"/>
                <w:lang w:val="sr-Cyrl-RS"/>
              </w:rPr>
              <w:t xml:space="preserve">е отежава </w:t>
            </w:r>
            <w:r w:rsidRPr="009C19C5">
              <w:rPr>
                <w:rFonts w:ascii="Times New Roman" w:hAnsi="Times New Roman" w:cs="Times New Roman"/>
                <w:color w:val="auto"/>
                <w:kern w:val="2"/>
                <w:sz w:val="18"/>
                <w:szCs w:val="18"/>
                <w:lang w:val="sr-Cyrl-RS"/>
              </w:rPr>
              <w:t>запошљавањ</w:t>
            </w:r>
            <w:r w:rsidR="00C30F64" w:rsidRPr="009C19C5">
              <w:rPr>
                <w:rFonts w:ascii="Times New Roman" w:hAnsi="Times New Roman" w:cs="Times New Roman"/>
                <w:color w:val="auto"/>
                <w:kern w:val="2"/>
                <w:sz w:val="18"/>
                <w:szCs w:val="18"/>
                <w:lang w:val="sr-Cyrl-RS"/>
              </w:rPr>
              <w:t>е</w:t>
            </w:r>
            <w:r w:rsidRPr="009C19C5">
              <w:rPr>
                <w:rFonts w:ascii="Times New Roman" w:hAnsi="Times New Roman" w:cs="Times New Roman"/>
                <w:color w:val="auto"/>
                <w:kern w:val="2"/>
                <w:sz w:val="18"/>
                <w:szCs w:val="18"/>
                <w:lang w:val="sr-Cyrl-RS"/>
              </w:rPr>
              <w:t>.</w:t>
            </w:r>
          </w:p>
          <w:p w14:paraId="3FA4DC78" w14:textId="6C926C18" w:rsidR="00F276BC" w:rsidRPr="009C19C5" w:rsidRDefault="000A0E4E" w:rsidP="008D7F6B">
            <w:pPr>
              <w:pStyle w:val="Bodytextprebullet"/>
              <w:numPr>
                <w:ilvl w:val="0"/>
                <w:numId w:val="24"/>
              </w:numPr>
              <w:tabs>
                <w:tab w:val="clear" w:pos="360"/>
                <w:tab w:val="left" w:pos="0"/>
                <w:tab w:val="left" w:pos="331"/>
              </w:tabs>
              <w:spacing w:before="0" w:after="0" w:line="276" w:lineRule="auto"/>
              <w:ind w:left="0" w:firstLine="0"/>
              <w:jc w:val="both"/>
              <w:rPr>
                <w:rFonts w:ascii="Times New Roman" w:hAnsi="Times New Roman" w:cs="Times New Roman"/>
                <w:color w:val="auto"/>
                <w:kern w:val="2"/>
                <w:sz w:val="18"/>
                <w:szCs w:val="18"/>
                <w:lang w:val="sr-Cyrl-RS"/>
              </w:rPr>
            </w:pPr>
            <w:r w:rsidRPr="009C19C5">
              <w:rPr>
                <w:rFonts w:ascii="Times New Roman" w:hAnsi="Times New Roman" w:cs="Times New Roman"/>
                <w:color w:val="auto"/>
                <w:kern w:val="2"/>
                <w:sz w:val="18"/>
                <w:szCs w:val="18"/>
                <w:lang w:val="sr-Cyrl-RS"/>
              </w:rPr>
              <w:t>Услови живота у насељима нису погодни за задржавање омладине или радне снаге уопште (нпр. само 55% кућа је прикључено на водоводну мрежу).</w:t>
            </w:r>
          </w:p>
        </w:tc>
      </w:tr>
      <w:tr w:rsidR="00F276BC" w:rsidRPr="009C19C5" w14:paraId="3E82EC47" w14:textId="63659109" w:rsidTr="00DB040D">
        <w:trPr>
          <w:trHeight w:val="2797"/>
          <w:jc w:val="center"/>
        </w:trPr>
        <w:tc>
          <w:tcPr>
            <w:tcW w:w="314" w:type="pct"/>
            <w:shd w:val="clear" w:color="auto" w:fill="auto"/>
            <w:tcMar>
              <w:top w:w="72" w:type="dxa"/>
              <w:left w:w="144" w:type="dxa"/>
              <w:bottom w:w="72" w:type="dxa"/>
              <w:right w:w="144" w:type="dxa"/>
            </w:tcMar>
            <w:textDirection w:val="btLr"/>
            <w:vAlign w:val="center"/>
          </w:tcPr>
          <w:p w14:paraId="5D106261" w14:textId="04E79693" w:rsidR="00F276BC" w:rsidRPr="009C19C5" w:rsidRDefault="000A0E4E">
            <w:pPr>
              <w:pStyle w:val="Bodytextprebullet"/>
              <w:spacing w:line="276" w:lineRule="auto"/>
              <w:jc w:val="center"/>
              <w:rPr>
                <w:rFonts w:ascii="Times New Roman" w:hAnsi="Times New Roman" w:cs="Times New Roman"/>
                <w:b/>
                <w:color w:val="FFFFFF" w:themeColor="background1"/>
                <w:kern w:val="2"/>
                <w:sz w:val="18"/>
                <w:szCs w:val="18"/>
                <w:lang w:val="sr-Cyrl-RS"/>
              </w:rPr>
            </w:pPr>
            <w:r w:rsidRPr="009C19C5">
              <w:rPr>
                <w:rFonts w:ascii="Times New Roman" w:hAnsi="Times New Roman" w:cs="Times New Roman"/>
                <w:b/>
                <w:color w:val="FFFFFF" w:themeColor="background1"/>
                <w:kern w:val="2"/>
                <w:sz w:val="18"/>
                <w:szCs w:val="18"/>
                <w:lang w:val="sr-Cyrl-RS"/>
              </w:rPr>
              <w:t>Спољашње</w:t>
            </w:r>
          </w:p>
        </w:tc>
        <w:tc>
          <w:tcPr>
            <w:tcW w:w="2343" w:type="pct"/>
            <w:shd w:val="clear" w:color="auto" w:fill="auto"/>
            <w:tcMar>
              <w:top w:w="72" w:type="dxa"/>
              <w:left w:w="144" w:type="dxa"/>
              <w:bottom w:w="72" w:type="dxa"/>
              <w:right w:w="144" w:type="dxa"/>
            </w:tcMar>
            <w:vAlign w:val="center"/>
          </w:tcPr>
          <w:p w14:paraId="589B1DAC" w14:textId="5E3407CD" w:rsidR="00F276BC" w:rsidRPr="009C19C5" w:rsidRDefault="000A0E4E">
            <w:pPr>
              <w:pStyle w:val="Bodytextprebullet"/>
              <w:jc w:val="both"/>
              <w:rPr>
                <w:rFonts w:ascii="Times New Roman" w:hAnsi="Times New Roman" w:cs="Times New Roman"/>
                <w:b/>
                <w:bCs/>
                <w:color w:val="auto"/>
                <w:kern w:val="2"/>
                <w:sz w:val="18"/>
                <w:szCs w:val="18"/>
                <w:lang w:val="sr-Cyrl-RS"/>
              </w:rPr>
            </w:pPr>
            <w:r w:rsidRPr="009C19C5">
              <w:rPr>
                <w:rFonts w:ascii="Times New Roman" w:hAnsi="Times New Roman" w:cs="Times New Roman"/>
                <w:b/>
                <w:bCs/>
                <w:color w:val="auto"/>
                <w:kern w:val="2"/>
                <w:sz w:val="18"/>
                <w:szCs w:val="18"/>
                <w:lang w:val="sr-Cyrl-RS"/>
              </w:rPr>
              <w:t>Могућности</w:t>
            </w:r>
          </w:p>
          <w:p w14:paraId="51CE21AE" w14:textId="354398C8" w:rsidR="00F276BC" w:rsidRPr="009C19C5" w:rsidRDefault="000A0E4E" w:rsidP="008D7F6B">
            <w:pPr>
              <w:pStyle w:val="Bodytextprebullet"/>
              <w:numPr>
                <w:ilvl w:val="0"/>
                <w:numId w:val="25"/>
              </w:numPr>
              <w:tabs>
                <w:tab w:val="clear" w:pos="360"/>
                <w:tab w:val="left" w:pos="91"/>
                <w:tab w:val="left" w:pos="271"/>
              </w:tabs>
              <w:spacing w:before="0" w:after="0" w:line="276" w:lineRule="auto"/>
              <w:ind w:left="1" w:firstLine="90"/>
              <w:jc w:val="both"/>
              <w:rPr>
                <w:rFonts w:ascii="Times New Roman" w:hAnsi="Times New Roman" w:cs="Times New Roman"/>
                <w:color w:val="auto"/>
                <w:kern w:val="2"/>
                <w:sz w:val="18"/>
                <w:szCs w:val="18"/>
                <w:lang w:val="sr-Cyrl-RS"/>
              </w:rPr>
            </w:pPr>
            <w:r w:rsidRPr="009C19C5">
              <w:rPr>
                <w:rFonts w:ascii="Times New Roman" w:hAnsi="Times New Roman" w:cs="Times New Roman"/>
                <w:color w:val="auto"/>
                <w:kern w:val="2"/>
                <w:sz w:val="18"/>
                <w:szCs w:val="18"/>
                <w:lang w:val="sr-Cyrl-RS"/>
              </w:rPr>
              <w:t xml:space="preserve">Општинска индустријска зона Кабловка </w:t>
            </w:r>
            <w:r w:rsidR="00C30F64" w:rsidRPr="009C19C5">
              <w:rPr>
                <w:rFonts w:ascii="Times New Roman" w:hAnsi="Times New Roman" w:cs="Times New Roman"/>
                <w:color w:val="auto"/>
                <w:kern w:val="2"/>
                <w:sz w:val="18"/>
                <w:szCs w:val="18"/>
                <w:lang w:val="sr-Cyrl-RS"/>
              </w:rPr>
              <w:t xml:space="preserve">у општини Деспотовац </w:t>
            </w:r>
            <w:r w:rsidRPr="009C19C5">
              <w:rPr>
                <w:rFonts w:ascii="Times New Roman" w:hAnsi="Times New Roman" w:cs="Times New Roman"/>
                <w:color w:val="auto"/>
                <w:kern w:val="2"/>
                <w:sz w:val="18"/>
                <w:szCs w:val="18"/>
                <w:lang w:val="sr-Cyrl-RS"/>
              </w:rPr>
              <w:t xml:space="preserve">још није опремљена било каквим садржајима, што значи да се они могу пројектовати и инсталирати према специјализованим потребама сваког потенцијалног инвеститора. Тренутно су уређени само путеви. Општина има на располагању укупно 50 хектара, а тренутно нема предузећа у зонама. </w:t>
            </w:r>
          </w:p>
          <w:p w14:paraId="6BEEF403" w14:textId="754A05A2" w:rsidR="00F276BC" w:rsidRPr="009C19C5" w:rsidRDefault="000A0E4E" w:rsidP="008D7F6B">
            <w:pPr>
              <w:pStyle w:val="Bodytextprebullet"/>
              <w:numPr>
                <w:ilvl w:val="0"/>
                <w:numId w:val="25"/>
              </w:numPr>
              <w:tabs>
                <w:tab w:val="clear" w:pos="360"/>
                <w:tab w:val="left" w:pos="91"/>
                <w:tab w:val="left" w:pos="271"/>
              </w:tabs>
              <w:spacing w:before="0" w:after="0" w:line="276" w:lineRule="auto"/>
              <w:ind w:left="1" w:firstLine="90"/>
              <w:jc w:val="both"/>
              <w:rPr>
                <w:rFonts w:ascii="Times New Roman" w:hAnsi="Times New Roman" w:cs="Times New Roman"/>
                <w:color w:val="auto"/>
                <w:kern w:val="2"/>
                <w:sz w:val="18"/>
                <w:szCs w:val="18"/>
                <w:lang w:val="sr-Cyrl-RS"/>
              </w:rPr>
            </w:pPr>
            <w:r w:rsidRPr="009C19C5">
              <w:rPr>
                <w:rFonts w:ascii="Times New Roman" w:hAnsi="Times New Roman" w:cs="Times New Roman"/>
                <w:color w:val="auto"/>
                <w:kern w:val="2"/>
                <w:sz w:val="18"/>
                <w:szCs w:val="18"/>
                <w:lang w:val="sr-Cyrl-RS"/>
              </w:rPr>
              <w:t>Имајући у виду велики број потенцијално погођених радника, и апсолутно и у односу на укупну популацију, постоји могућност да се план осмисли и спроведе на свеобухватнији начин, што би повећало ефикасност планираних мера.</w:t>
            </w:r>
          </w:p>
        </w:tc>
        <w:tc>
          <w:tcPr>
            <w:tcW w:w="2343" w:type="pct"/>
            <w:shd w:val="clear" w:color="auto" w:fill="auto"/>
            <w:tcMar>
              <w:top w:w="72" w:type="dxa"/>
              <w:left w:w="144" w:type="dxa"/>
              <w:bottom w:w="72" w:type="dxa"/>
              <w:right w:w="144" w:type="dxa"/>
            </w:tcMar>
            <w:vAlign w:val="center"/>
          </w:tcPr>
          <w:p w14:paraId="49141532" w14:textId="78D8987C" w:rsidR="00F276BC" w:rsidRPr="009C19C5" w:rsidRDefault="000A0E4E">
            <w:pPr>
              <w:pStyle w:val="Bodytextprebullet"/>
              <w:jc w:val="both"/>
              <w:rPr>
                <w:rFonts w:ascii="Times New Roman" w:hAnsi="Times New Roman" w:cs="Times New Roman"/>
                <w:color w:val="auto"/>
                <w:kern w:val="2"/>
                <w:sz w:val="18"/>
                <w:szCs w:val="18"/>
                <w:lang w:val="sr-Cyrl-RS"/>
              </w:rPr>
            </w:pPr>
            <w:r w:rsidRPr="009C19C5">
              <w:rPr>
                <w:rFonts w:ascii="Times New Roman" w:hAnsi="Times New Roman" w:cs="Times New Roman"/>
                <w:b/>
                <w:bCs/>
                <w:color w:val="auto"/>
                <w:kern w:val="2"/>
                <w:sz w:val="18"/>
                <w:szCs w:val="18"/>
                <w:lang w:val="sr-Cyrl-RS"/>
              </w:rPr>
              <w:t>Опасности</w:t>
            </w:r>
          </w:p>
          <w:p w14:paraId="227DED9E" w14:textId="6CFE15A1" w:rsidR="00F276BC" w:rsidRPr="009C19C5" w:rsidRDefault="000A0E4E" w:rsidP="008D7F6B">
            <w:pPr>
              <w:pStyle w:val="Bodytextprebullet"/>
              <w:numPr>
                <w:ilvl w:val="0"/>
                <w:numId w:val="26"/>
              </w:numPr>
              <w:tabs>
                <w:tab w:val="clear" w:pos="360"/>
                <w:tab w:val="left" w:pos="0"/>
                <w:tab w:val="left" w:pos="226"/>
              </w:tabs>
              <w:spacing w:before="0" w:after="0" w:line="276" w:lineRule="auto"/>
              <w:ind w:left="0" w:firstLine="0"/>
              <w:jc w:val="both"/>
              <w:rPr>
                <w:rFonts w:ascii="Times New Roman" w:hAnsi="Times New Roman" w:cs="Times New Roman"/>
                <w:color w:val="auto"/>
                <w:kern w:val="2"/>
                <w:sz w:val="18"/>
                <w:szCs w:val="18"/>
                <w:lang w:val="sr-Cyrl-RS"/>
              </w:rPr>
            </w:pPr>
            <w:r w:rsidRPr="009C19C5">
              <w:rPr>
                <w:rFonts w:ascii="Times New Roman" w:hAnsi="Times New Roman" w:cs="Times New Roman"/>
                <w:color w:val="auto"/>
                <w:kern w:val="2"/>
                <w:sz w:val="18"/>
                <w:szCs w:val="18"/>
                <w:lang w:val="sr-Cyrl-RS"/>
              </w:rPr>
              <w:t xml:space="preserve">Тренутно не постоји јасан временски оквир нити план енергетске транзиције, </w:t>
            </w:r>
            <w:r w:rsidR="00C30F64" w:rsidRPr="009C19C5">
              <w:rPr>
                <w:rFonts w:ascii="Times New Roman" w:hAnsi="Times New Roman" w:cs="Times New Roman"/>
                <w:color w:val="auto"/>
                <w:kern w:val="2"/>
                <w:sz w:val="18"/>
                <w:szCs w:val="18"/>
                <w:lang w:val="sr-Cyrl-RS"/>
              </w:rPr>
              <w:t xml:space="preserve"> </w:t>
            </w:r>
            <w:r w:rsidRPr="009C19C5">
              <w:rPr>
                <w:rFonts w:ascii="Times New Roman" w:hAnsi="Times New Roman" w:cs="Times New Roman"/>
                <w:color w:val="auto"/>
                <w:kern w:val="2"/>
                <w:sz w:val="18"/>
                <w:szCs w:val="18"/>
                <w:lang w:val="sr-Cyrl-RS"/>
              </w:rPr>
              <w:t xml:space="preserve">што се мора исправити како би се испланирале и спровеле циљане мере ублажавања њених последица. </w:t>
            </w:r>
          </w:p>
          <w:p w14:paraId="541180B1" w14:textId="128069BF" w:rsidR="00F276BC" w:rsidRPr="009C19C5" w:rsidRDefault="000A0E4E" w:rsidP="008D7F6B">
            <w:pPr>
              <w:pStyle w:val="Bodytextprebullet"/>
              <w:numPr>
                <w:ilvl w:val="0"/>
                <w:numId w:val="26"/>
              </w:numPr>
              <w:tabs>
                <w:tab w:val="clear" w:pos="360"/>
                <w:tab w:val="left" w:pos="0"/>
                <w:tab w:val="left" w:pos="226"/>
              </w:tabs>
              <w:spacing w:before="0" w:after="0" w:line="276" w:lineRule="auto"/>
              <w:ind w:left="0" w:firstLine="0"/>
              <w:jc w:val="both"/>
              <w:rPr>
                <w:rFonts w:ascii="Times New Roman" w:hAnsi="Times New Roman" w:cs="Times New Roman"/>
                <w:color w:val="auto"/>
                <w:kern w:val="2"/>
                <w:sz w:val="18"/>
                <w:szCs w:val="18"/>
                <w:lang w:val="sr-Cyrl-RS"/>
              </w:rPr>
            </w:pPr>
            <w:r w:rsidRPr="009C19C5">
              <w:rPr>
                <w:rFonts w:ascii="Times New Roman" w:hAnsi="Times New Roman" w:cs="Times New Roman"/>
                <w:color w:val="auto"/>
                <w:kern w:val="2"/>
                <w:sz w:val="18"/>
                <w:szCs w:val="18"/>
                <w:lang w:val="sr-Cyrl-RS"/>
              </w:rPr>
              <w:t>Велики број потенцијално погођених радника, како апсолутно тако и у односу на укупну популацију, захтева ефикаснију подршку локалних власти и становништва како би мере биле успешне. Ово пак захтева одговарајући приступ заинтересованим странама и заједничко креирање детаљног плана акција које треба предузети, како би се осигурало власништво заједнице</w:t>
            </w:r>
            <w:r w:rsidR="00C30F64" w:rsidRPr="009C19C5">
              <w:rPr>
                <w:rFonts w:ascii="Times New Roman" w:hAnsi="Times New Roman" w:cs="Times New Roman"/>
                <w:color w:val="auto"/>
                <w:kern w:val="2"/>
                <w:sz w:val="18"/>
                <w:szCs w:val="18"/>
                <w:lang w:val="sr-Cyrl-RS"/>
              </w:rPr>
              <w:t xml:space="preserve"> над процесом</w:t>
            </w:r>
            <w:r w:rsidRPr="009C19C5">
              <w:rPr>
                <w:rFonts w:ascii="Times New Roman" w:hAnsi="Times New Roman" w:cs="Times New Roman"/>
                <w:color w:val="auto"/>
                <w:kern w:val="2"/>
                <w:sz w:val="18"/>
                <w:szCs w:val="18"/>
                <w:lang w:val="sr-Cyrl-RS"/>
              </w:rPr>
              <w:t>.</w:t>
            </w:r>
          </w:p>
        </w:tc>
      </w:tr>
    </w:tbl>
    <w:p w14:paraId="44E1C9C8" w14:textId="77777777" w:rsidR="006C0EE0" w:rsidRPr="009C19C5" w:rsidRDefault="006C0EE0" w:rsidP="006C0EE0">
      <w:pPr>
        <w:rPr>
          <w:rFonts w:ascii="Times New Roman" w:hAnsi="Times New Roman" w:cs="Times New Roman"/>
          <w:sz w:val="24"/>
          <w:szCs w:val="24"/>
          <w:lang w:val="sr-Cyrl-RS"/>
        </w:rPr>
      </w:pPr>
    </w:p>
    <w:p w14:paraId="14CB486B" w14:textId="3870C091" w:rsidR="00721128" w:rsidRPr="009C19C5" w:rsidRDefault="006C0EE0" w:rsidP="006C0EE0">
      <w:pPr>
        <w:tabs>
          <w:tab w:val="left" w:pos="4005"/>
        </w:tabs>
        <w:rPr>
          <w:rFonts w:ascii="Times New Roman" w:hAnsi="Times New Roman" w:cs="Times New Roman"/>
          <w:sz w:val="24"/>
          <w:szCs w:val="24"/>
          <w:lang w:val="sr-Cyrl-RS"/>
        </w:rPr>
      </w:pPr>
      <w:r w:rsidRPr="009C19C5">
        <w:rPr>
          <w:rFonts w:ascii="Times New Roman" w:hAnsi="Times New Roman" w:cs="Times New Roman"/>
          <w:sz w:val="24"/>
          <w:szCs w:val="24"/>
          <w:lang w:val="sr-Cyrl-RS"/>
        </w:rPr>
        <w:tab/>
      </w:r>
      <w:r w:rsidR="0025193D" w:rsidRPr="009C19C5">
        <w:rPr>
          <w:rFonts w:ascii="Times New Roman" w:hAnsi="Times New Roman" w:cs="Times New Roman"/>
          <w:sz w:val="24"/>
          <w:szCs w:val="24"/>
          <w:lang w:val="sr-Cyrl-RS"/>
        </w:rPr>
        <w:t>4.5. Резултати анализа</w:t>
      </w:r>
    </w:p>
    <w:p w14:paraId="2F4A276C" w14:textId="50ED5E6B" w:rsidR="00DE5172" w:rsidRPr="009C19C5" w:rsidRDefault="0025193D" w:rsidP="00534A78">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Дијагностика праведне тра</w:t>
      </w:r>
      <w:r w:rsidR="003220C7" w:rsidRPr="009C19C5">
        <w:rPr>
          <w:rFonts w:ascii="Times New Roman" w:hAnsi="Times New Roman" w:cs="Times New Roman"/>
          <w:sz w:val="24"/>
          <w:szCs w:val="24"/>
          <w:lang w:val="sr-Cyrl-RS"/>
        </w:rPr>
        <w:t>н</w:t>
      </w:r>
      <w:r w:rsidRPr="009C19C5">
        <w:rPr>
          <w:rFonts w:ascii="Times New Roman" w:hAnsi="Times New Roman" w:cs="Times New Roman"/>
          <w:sz w:val="24"/>
          <w:szCs w:val="24"/>
          <w:lang w:val="sr-Cyrl-RS"/>
        </w:rPr>
        <w:t>зиције показала је да би у</w:t>
      </w:r>
      <w:r w:rsidR="008C219B" w:rsidRPr="009C19C5">
        <w:rPr>
          <w:rFonts w:ascii="Times New Roman" w:hAnsi="Times New Roman" w:cs="Times New Roman"/>
          <w:sz w:val="24"/>
          <w:szCs w:val="24"/>
          <w:lang w:val="sr-Cyrl-RS"/>
        </w:rPr>
        <w:t xml:space="preserve"> случају затварања ТЕ Колубара и ТЕ Морава, у</w:t>
      </w:r>
      <w:r w:rsidRPr="009C19C5">
        <w:rPr>
          <w:rFonts w:ascii="Times New Roman" w:hAnsi="Times New Roman" w:cs="Times New Roman"/>
          <w:sz w:val="24"/>
          <w:szCs w:val="24"/>
          <w:lang w:val="sr-Cyrl-RS"/>
        </w:rPr>
        <w:t xml:space="preserve"> Колубарском региону могла бити индиректно погођена 472 радна места, углавном подизвођачи и предузећа у ланцу вредности </w:t>
      </w:r>
      <w:r w:rsidR="00A7582E" w:rsidRPr="009C19C5">
        <w:rPr>
          <w:rFonts w:ascii="Times New Roman" w:hAnsi="Times New Roman" w:cs="Times New Roman"/>
          <w:sz w:val="24"/>
          <w:szCs w:val="24"/>
          <w:lang w:val="sr-Cyrl-RS"/>
        </w:rPr>
        <w:t>ЕПС АД</w:t>
      </w:r>
      <w:r w:rsidRPr="009C19C5">
        <w:rPr>
          <w:rFonts w:ascii="Times New Roman" w:hAnsi="Times New Roman" w:cs="Times New Roman"/>
          <w:sz w:val="24"/>
          <w:szCs w:val="24"/>
          <w:lang w:val="sr-Cyrl-RS"/>
        </w:rPr>
        <w:t xml:space="preserve">, али који представљају прихватљив проценат укупне запослености на овој територији. Костолац ће се краткорочно суочити са ограниченим ефектима као резултат спровођења зелене транзиције. Дијагностика је </w:t>
      </w:r>
      <w:r w:rsidR="00DE5172" w:rsidRPr="009C19C5">
        <w:rPr>
          <w:rFonts w:ascii="Times New Roman" w:hAnsi="Times New Roman" w:cs="Times New Roman"/>
          <w:sz w:val="24"/>
          <w:szCs w:val="24"/>
          <w:lang w:val="sr-Cyrl-RS"/>
        </w:rPr>
        <w:t xml:space="preserve">анализирала могуће ефекте </w:t>
      </w:r>
      <w:r w:rsidR="008C219B" w:rsidRPr="009C19C5">
        <w:rPr>
          <w:rFonts w:ascii="Times New Roman" w:hAnsi="Times New Roman" w:cs="Times New Roman"/>
          <w:sz w:val="24"/>
          <w:szCs w:val="24"/>
          <w:lang w:val="sr-Cyrl-RS"/>
        </w:rPr>
        <w:t>затварања ТЕ Колубара и ТЕ Морава</w:t>
      </w:r>
      <w:r w:rsidR="00505AB6" w:rsidRPr="009C19C5">
        <w:rPr>
          <w:rFonts w:ascii="Times New Roman" w:hAnsi="Times New Roman" w:cs="Times New Roman"/>
          <w:sz w:val="24"/>
          <w:szCs w:val="24"/>
          <w:lang w:val="sr-Cyrl-RS"/>
        </w:rPr>
        <w:t xml:space="preserve"> </w:t>
      </w:r>
      <w:r w:rsidR="0010317C" w:rsidRPr="009C19C5">
        <w:rPr>
          <w:rFonts w:ascii="Times New Roman" w:hAnsi="Times New Roman" w:cs="Times New Roman"/>
          <w:sz w:val="24"/>
          <w:szCs w:val="24"/>
          <w:lang w:val="sr-Cyrl-RS"/>
        </w:rPr>
        <w:t xml:space="preserve">и највећи </w:t>
      </w:r>
      <w:r w:rsidR="008C219B" w:rsidRPr="009C19C5">
        <w:rPr>
          <w:rFonts w:ascii="Times New Roman" w:hAnsi="Times New Roman" w:cs="Times New Roman"/>
          <w:sz w:val="24"/>
          <w:szCs w:val="24"/>
          <w:lang w:val="sr-Cyrl-RS"/>
        </w:rPr>
        <w:t xml:space="preserve"> </w:t>
      </w:r>
      <w:r w:rsidRPr="009C19C5">
        <w:rPr>
          <w:rFonts w:ascii="Times New Roman" w:hAnsi="Times New Roman" w:cs="Times New Roman"/>
          <w:sz w:val="24"/>
          <w:szCs w:val="24"/>
          <w:lang w:val="sr-Cyrl-RS"/>
        </w:rPr>
        <w:t>рудник у оквиру ЈП ПЕУ Ресавица, рудник Рембас</w:t>
      </w:r>
      <w:r w:rsidR="0010317C" w:rsidRPr="009C19C5">
        <w:rPr>
          <w:rFonts w:ascii="Times New Roman" w:hAnsi="Times New Roman" w:cs="Times New Roman"/>
          <w:sz w:val="24"/>
          <w:szCs w:val="24"/>
          <w:lang w:val="sr-Cyrl-RS"/>
        </w:rPr>
        <w:t>, као илустративни пример</w:t>
      </w:r>
      <w:r w:rsidRPr="009C19C5">
        <w:rPr>
          <w:rFonts w:ascii="Times New Roman" w:hAnsi="Times New Roman" w:cs="Times New Roman"/>
          <w:sz w:val="24"/>
          <w:szCs w:val="24"/>
          <w:lang w:val="sr-Cyrl-RS"/>
        </w:rPr>
        <w:t>. Процењује се да у Рембасу може бити директно угрожено укупно 930 радних места рудара до 2030.</w:t>
      </w:r>
      <w:r w:rsidR="00AC6371">
        <w:rPr>
          <w:rFonts w:ascii="Times New Roman" w:hAnsi="Times New Roman" w:cs="Times New Roman"/>
          <w:sz w:val="24"/>
          <w:szCs w:val="24"/>
          <w:lang w:val="sr-Cyrl-RS"/>
        </w:rPr>
        <w:t xml:space="preserve"> године</w:t>
      </w:r>
      <w:r w:rsidRPr="009C19C5">
        <w:rPr>
          <w:rFonts w:ascii="Times New Roman" w:hAnsi="Times New Roman" w:cs="Times New Roman"/>
          <w:sz w:val="24"/>
          <w:szCs w:val="24"/>
          <w:lang w:val="sr-Cyrl-RS"/>
        </w:rPr>
        <w:t xml:space="preserve"> </w:t>
      </w:r>
      <w:r w:rsidR="008C219B" w:rsidRPr="009C19C5">
        <w:rPr>
          <w:rFonts w:ascii="Times New Roman" w:hAnsi="Times New Roman" w:cs="Times New Roman"/>
          <w:sz w:val="24"/>
          <w:szCs w:val="24"/>
          <w:lang w:val="sr-Cyrl-RS"/>
        </w:rPr>
        <w:t>и</w:t>
      </w:r>
      <w:r w:rsidR="00BE0330">
        <w:rPr>
          <w:rFonts w:ascii="Times New Roman" w:hAnsi="Times New Roman" w:cs="Times New Roman"/>
          <w:sz w:val="24"/>
          <w:szCs w:val="24"/>
          <w:lang w:val="sr-Cyrl-RS"/>
        </w:rPr>
        <w:t xml:space="preserve"> </w:t>
      </w:r>
      <w:r w:rsidRPr="009C19C5">
        <w:rPr>
          <w:rFonts w:ascii="Times New Roman" w:hAnsi="Times New Roman" w:cs="Times New Roman"/>
          <w:sz w:val="24"/>
          <w:szCs w:val="24"/>
          <w:lang w:val="sr-Cyrl-RS"/>
        </w:rPr>
        <w:t>још 958-1.367 радних места индиректно, углавном везаних за подизвођаче рудника, што ће имати значајан потенцијални утицај на локалне приходе.</w:t>
      </w:r>
      <w:r w:rsidR="00593819" w:rsidRPr="009C19C5">
        <w:rPr>
          <w:rFonts w:ascii="Times New Roman" w:hAnsi="Times New Roman" w:cs="Times New Roman"/>
          <w:sz w:val="24"/>
          <w:szCs w:val="24"/>
          <w:lang w:val="sr-Cyrl-RS"/>
        </w:rPr>
        <w:t xml:space="preserve"> </w:t>
      </w:r>
      <w:r w:rsidR="00DE5172" w:rsidRPr="009C19C5">
        <w:rPr>
          <w:rFonts w:ascii="Times New Roman" w:hAnsi="Times New Roman" w:cs="Times New Roman"/>
          <w:sz w:val="24"/>
          <w:szCs w:val="24"/>
          <w:lang w:val="sr-Cyrl-RS"/>
        </w:rPr>
        <w:t xml:space="preserve"> </w:t>
      </w:r>
    </w:p>
    <w:p w14:paraId="47DC2706" w14:textId="0B976D11" w:rsidR="0025193D" w:rsidRPr="009C19C5" w:rsidRDefault="0025193D" w:rsidP="00534A78">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После 2030. године, у процесу енергетске транзиције, како је предвиђено ИНЕКП, термоелектране би радиле са смањеним капацитетом, али без убрзаних затварања. Ово би као последицу имало значајно смањење радне снаге у производњи лигнита.</w:t>
      </w:r>
    </w:p>
    <w:p w14:paraId="4680A97C" w14:textId="0E974BD9" w:rsidR="0025193D" w:rsidRPr="009C19C5" w:rsidRDefault="0025193D" w:rsidP="00534A78">
      <w:pPr>
        <w:pStyle w:val="ListParagraph"/>
        <w:autoSpaceDE w:val="0"/>
        <w:autoSpaceDN w:val="0"/>
        <w:adjustRightInd w:val="0"/>
        <w:spacing w:after="0" w:line="240" w:lineRule="auto"/>
        <w:ind w:left="0" w:firstLine="720"/>
        <w:jc w:val="both"/>
        <w:rPr>
          <w:rFonts w:ascii="Times New Roman" w:hAnsi="Times New Roman" w:cs="Times New Roman"/>
          <w:sz w:val="20"/>
          <w:szCs w:val="20"/>
          <w:lang w:val="sr-Cyrl-RS"/>
        </w:rPr>
      </w:pPr>
      <w:r w:rsidRPr="009C19C5">
        <w:rPr>
          <w:rFonts w:ascii="Times New Roman" w:hAnsi="Times New Roman" w:cs="Times New Roman"/>
          <w:sz w:val="24"/>
          <w:szCs w:val="24"/>
          <w:lang w:val="sr-Cyrl-RS"/>
        </w:rPr>
        <w:t>Транзиција ка зеленој економији створиће нова радна места са пуним радним временом у целој земљи на пословима изградње, управљања и одржавања нових капацитета који користе ОИЕ за производњу електричне и</w:t>
      </w:r>
      <w:r w:rsidR="001D5D36" w:rsidRPr="009C19C5">
        <w:rPr>
          <w:rFonts w:ascii="Times New Roman" w:hAnsi="Times New Roman" w:cs="Times New Roman"/>
          <w:sz w:val="24"/>
          <w:szCs w:val="24"/>
          <w:lang w:val="sr-Cyrl-RS"/>
        </w:rPr>
        <w:t>/</w:t>
      </w:r>
      <w:r w:rsidRPr="009C19C5">
        <w:rPr>
          <w:rFonts w:ascii="Times New Roman" w:hAnsi="Times New Roman" w:cs="Times New Roman"/>
          <w:sz w:val="24"/>
          <w:szCs w:val="24"/>
          <w:lang w:val="sr-Cyrl-RS"/>
        </w:rPr>
        <w:t xml:space="preserve">или топлотне енергије до 2030. године и касније. Кључни фактори у одређивању директног утицаја пројекта на запосленост укључују обим домаће производње и време потребно за изградњу, и производњу као и за послове рада и одржавања. Имајући у виду планове пројеката изградње нових постројења која користе ОИЕ у </w:t>
      </w:r>
      <w:r w:rsidR="007D4593" w:rsidRPr="009C19C5">
        <w:rPr>
          <w:rFonts w:ascii="Times New Roman" w:hAnsi="Times New Roman" w:cs="Times New Roman"/>
          <w:sz w:val="24"/>
          <w:szCs w:val="24"/>
          <w:lang w:val="sr-Cyrl-RS"/>
        </w:rPr>
        <w:t xml:space="preserve">Републици </w:t>
      </w:r>
      <w:r w:rsidRPr="009C19C5">
        <w:rPr>
          <w:rFonts w:ascii="Times New Roman" w:hAnsi="Times New Roman" w:cs="Times New Roman"/>
          <w:sz w:val="24"/>
          <w:szCs w:val="24"/>
          <w:lang w:val="sr-Cyrl-RS"/>
        </w:rPr>
        <w:t xml:space="preserve">Србији и узимајући у обзир </w:t>
      </w:r>
      <w:r w:rsidRPr="009C19C5">
        <w:rPr>
          <w:rFonts w:ascii="Times New Roman" w:hAnsi="Times New Roman" w:cs="Times New Roman"/>
          <w:sz w:val="24"/>
          <w:szCs w:val="24"/>
          <w:lang w:val="sr-Cyrl-RS"/>
        </w:rPr>
        <w:lastRenderedPageBreak/>
        <w:t>дужину циклуса изградње за сваку засебну врсту пројекта, послови у вези с изградњом, и производњом електрана које користе ОИЕ могу се сматрати „трајним</w:t>
      </w:r>
      <w:r w:rsidR="005D47AC" w:rsidRPr="009C19C5">
        <w:rPr>
          <w:rFonts w:ascii="Times New Roman" w:hAnsi="Times New Roman" w:cs="Times New Roman"/>
          <w:bCs/>
          <w:color w:val="000000"/>
          <w:sz w:val="24"/>
          <w:szCs w:val="24"/>
          <w:lang w:val="sr-Cyrl-RS" w:eastAsia="sr-Latn-CS"/>
        </w:rPr>
        <w:t>”</w:t>
      </w:r>
      <w:r w:rsidRPr="009C19C5">
        <w:rPr>
          <w:rFonts w:ascii="Times New Roman" w:hAnsi="Times New Roman" w:cs="Times New Roman"/>
          <w:sz w:val="24"/>
          <w:szCs w:val="24"/>
          <w:lang w:val="sr-Cyrl-RS"/>
        </w:rPr>
        <w:t xml:space="preserve"> најмање до 2030. године и даље. Послови везани за рад и одржавање електрана трају током читавог животног века електране. Очекује се да ће индустрија ОИЕ у </w:t>
      </w:r>
      <w:r w:rsidR="007D4593" w:rsidRPr="009C19C5">
        <w:rPr>
          <w:rFonts w:ascii="Times New Roman" w:hAnsi="Times New Roman" w:cs="Times New Roman"/>
          <w:sz w:val="24"/>
          <w:szCs w:val="24"/>
          <w:lang w:val="sr-Cyrl-RS"/>
        </w:rPr>
        <w:t xml:space="preserve">Републици </w:t>
      </w:r>
      <w:r w:rsidRPr="009C19C5">
        <w:rPr>
          <w:rFonts w:ascii="Times New Roman" w:hAnsi="Times New Roman" w:cs="Times New Roman"/>
          <w:sz w:val="24"/>
          <w:szCs w:val="24"/>
          <w:lang w:val="sr-Cyrl-RS"/>
        </w:rPr>
        <w:t>Србији до 2030. године отворити до 6.105 радних места широм земље, од којих ће већина (око 4.397) бити у соларној индустрији.</w:t>
      </w:r>
    </w:p>
    <w:p w14:paraId="66881BC5" w14:textId="77777777" w:rsidR="0025193D" w:rsidRPr="009C19C5" w:rsidRDefault="0025193D">
      <w:pPr>
        <w:rPr>
          <w:rFonts w:ascii="Times New Roman" w:hAnsi="Times New Roman" w:cs="Times New Roman"/>
          <w:sz w:val="20"/>
          <w:szCs w:val="20"/>
          <w:lang w:val="sr-Cyrl-RS"/>
        </w:rPr>
      </w:pPr>
    </w:p>
    <w:p w14:paraId="6C1FE9FB" w14:textId="0020D6C8" w:rsidR="00721128" w:rsidRPr="009C19C5" w:rsidRDefault="00721128" w:rsidP="005C292A">
      <w:pPr>
        <w:pStyle w:val="Style2"/>
        <w:numPr>
          <w:ilvl w:val="0"/>
          <w:numId w:val="0"/>
        </w:numPr>
        <w:ind w:firstLine="900"/>
        <w:jc w:val="center"/>
        <w:rPr>
          <w:rFonts w:ascii="Times New Roman" w:hAnsi="Times New Roman" w:cs="Times New Roman"/>
          <w:b w:val="0"/>
          <w:bCs/>
          <w:color w:val="auto"/>
          <w:szCs w:val="24"/>
          <w:lang w:val="sr-Cyrl-RS"/>
        </w:rPr>
      </w:pPr>
      <w:r w:rsidRPr="009C19C5">
        <w:rPr>
          <w:rFonts w:ascii="Times New Roman" w:hAnsi="Times New Roman" w:cs="Times New Roman"/>
          <w:b w:val="0"/>
          <w:bCs/>
          <w:color w:val="auto"/>
          <w:szCs w:val="24"/>
          <w:lang w:val="sr-Cyrl-RS"/>
        </w:rPr>
        <w:t>4.6.</w:t>
      </w:r>
      <w:bookmarkStart w:id="30" w:name="_Toc183082947"/>
      <w:r w:rsidRPr="009C19C5">
        <w:rPr>
          <w:rFonts w:ascii="Times New Roman" w:hAnsi="Times New Roman" w:cs="Times New Roman"/>
          <w:b w:val="0"/>
          <w:bCs/>
          <w:color w:val="auto"/>
          <w:szCs w:val="24"/>
          <w:lang w:val="sr-Cyrl-RS"/>
        </w:rPr>
        <w:t xml:space="preserve"> </w:t>
      </w:r>
      <w:bookmarkEnd w:id="30"/>
      <w:r w:rsidRPr="009C19C5">
        <w:rPr>
          <w:rFonts w:ascii="Times New Roman" w:hAnsi="Times New Roman" w:cs="Times New Roman"/>
          <w:b w:val="0"/>
          <w:bCs/>
          <w:color w:val="auto"/>
          <w:szCs w:val="24"/>
          <w:lang w:val="sr-Cyrl-RS"/>
        </w:rPr>
        <w:t>Најважније заинтересоване странке у праведној транзицији</w:t>
      </w:r>
    </w:p>
    <w:p w14:paraId="1F603666" w14:textId="50DE7E27" w:rsidR="00721128" w:rsidRPr="009C19C5" w:rsidRDefault="00721128" w:rsidP="004B08C1">
      <w:pPr>
        <w:spacing w:line="276" w:lineRule="auto"/>
        <w:jc w:val="both"/>
        <w:rPr>
          <w:rFonts w:ascii="Times New Roman" w:eastAsia="Calibri" w:hAnsi="Times New Roman" w:cs="Times New Roman"/>
          <w:spacing w:val="-4"/>
          <w:sz w:val="24"/>
          <w:szCs w:val="24"/>
          <w:lang w:val="sr-Cyrl-RS" w:eastAsia="el-GR"/>
        </w:rPr>
      </w:pPr>
      <w:r w:rsidRPr="009C19C5">
        <w:rPr>
          <w:rFonts w:ascii="Times New Roman" w:eastAsia="Calibri" w:hAnsi="Times New Roman" w:cs="Times New Roman"/>
          <w:spacing w:val="-4"/>
          <w:sz w:val="24"/>
          <w:szCs w:val="24"/>
          <w:lang w:val="sr-Cyrl-RS" w:eastAsia="el-GR"/>
        </w:rPr>
        <w:t xml:space="preserve">Кључни актери енергетског сектора у </w:t>
      </w:r>
      <w:r w:rsidR="007D4593" w:rsidRPr="009C19C5">
        <w:rPr>
          <w:rFonts w:ascii="Times New Roman" w:hAnsi="Times New Roman" w:cs="Times New Roman"/>
          <w:sz w:val="24"/>
          <w:szCs w:val="24"/>
          <w:lang w:val="sr-Cyrl-RS"/>
        </w:rPr>
        <w:t>Републици</w:t>
      </w:r>
      <w:r w:rsidR="007D4593" w:rsidRPr="009C19C5">
        <w:rPr>
          <w:rFonts w:ascii="Times New Roman" w:eastAsia="Calibri" w:hAnsi="Times New Roman" w:cs="Times New Roman"/>
          <w:spacing w:val="-4"/>
          <w:sz w:val="24"/>
          <w:szCs w:val="24"/>
          <w:lang w:val="sr-Cyrl-RS" w:eastAsia="el-GR"/>
        </w:rPr>
        <w:t xml:space="preserve"> </w:t>
      </w:r>
      <w:r w:rsidRPr="009C19C5">
        <w:rPr>
          <w:rFonts w:ascii="Times New Roman" w:eastAsia="Calibri" w:hAnsi="Times New Roman" w:cs="Times New Roman"/>
          <w:spacing w:val="-4"/>
          <w:sz w:val="24"/>
          <w:szCs w:val="24"/>
          <w:lang w:val="sr-Cyrl-RS" w:eastAsia="el-GR"/>
        </w:rPr>
        <w:t xml:space="preserve">Србији представљени су у </w:t>
      </w:r>
      <w:r w:rsidR="00E46D2F" w:rsidRPr="009C19C5">
        <w:rPr>
          <w:rFonts w:ascii="Times New Roman" w:eastAsia="Calibri" w:hAnsi="Times New Roman" w:cs="Times New Roman"/>
          <w:spacing w:val="-4"/>
          <w:sz w:val="24"/>
          <w:szCs w:val="24"/>
          <w:lang w:val="sr-Cyrl-RS" w:eastAsia="el-GR"/>
        </w:rPr>
        <w:t>Т</w:t>
      </w:r>
      <w:r w:rsidRPr="009C19C5">
        <w:rPr>
          <w:rFonts w:ascii="Times New Roman" w:eastAsia="Calibri" w:hAnsi="Times New Roman" w:cs="Times New Roman"/>
          <w:spacing w:val="-4"/>
          <w:sz w:val="24"/>
          <w:szCs w:val="24"/>
          <w:lang w:val="sr-Cyrl-RS" w:eastAsia="el-GR"/>
        </w:rPr>
        <w:t xml:space="preserve">абели </w:t>
      </w:r>
      <w:r w:rsidR="006F2AD7" w:rsidRPr="009C19C5">
        <w:rPr>
          <w:rFonts w:ascii="Times New Roman" w:eastAsia="Calibri" w:hAnsi="Times New Roman" w:cs="Times New Roman"/>
          <w:spacing w:val="-4"/>
          <w:sz w:val="24"/>
          <w:szCs w:val="24"/>
          <w:lang w:val="sr-Cyrl-RS" w:eastAsia="el-GR"/>
        </w:rPr>
        <w:t>7</w:t>
      </w:r>
      <w:r w:rsidRPr="009C19C5">
        <w:rPr>
          <w:rFonts w:ascii="Times New Roman" w:eastAsia="Calibri" w:hAnsi="Times New Roman" w:cs="Times New Roman"/>
          <w:spacing w:val="-4"/>
          <w:sz w:val="24"/>
          <w:szCs w:val="24"/>
          <w:lang w:val="sr-Cyrl-RS" w:eastAsia="el-GR"/>
        </w:rPr>
        <w:t>.</w:t>
      </w:r>
    </w:p>
    <w:p w14:paraId="4913B667" w14:textId="1DE13A25" w:rsidR="00721128" w:rsidRPr="009C19C5" w:rsidRDefault="00721128" w:rsidP="006C0EE0">
      <w:pPr>
        <w:pStyle w:val="Caption"/>
        <w:keepNext/>
        <w:spacing w:after="0" w:line="240" w:lineRule="auto"/>
        <w:jc w:val="left"/>
        <w:rPr>
          <w:rFonts w:ascii="Times New Roman" w:hAnsi="Times New Roman" w:cs="Times New Roman"/>
          <w:i w:val="0"/>
          <w:iCs w:val="0"/>
          <w:color w:val="auto"/>
          <w:sz w:val="20"/>
          <w:szCs w:val="20"/>
          <w:lang w:val="sr-Cyrl-RS"/>
        </w:rPr>
      </w:pPr>
      <w:r w:rsidRPr="009C19C5">
        <w:rPr>
          <w:rFonts w:ascii="Times New Roman" w:hAnsi="Times New Roman" w:cs="Times New Roman"/>
          <w:i w:val="0"/>
          <w:iCs w:val="0"/>
          <w:color w:val="auto"/>
          <w:sz w:val="20"/>
          <w:szCs w:val="20"/>
          <w:lang w:val="sr-Cyrl-RS"/>
        </w:rPr>
        <w:t xml:space="preserve">Табела </w:t>
      </w:r>
      <w:r w:rsidR="00D56599" w:rsidRPr="009C19C5">
        <w:rPr>
          <w:rFonts w:ascii="Times New Roman" w:hAnsi="Times New Roman" w:cs="Times New Roman"/>
          <w:i w:val="0"/>
          <w:iCs w:val="0"/>
          <w:color w:val="auto"/>
          <w:sz w:val="20"/>
          <w:szCs w:val="20"/>
          <w:lang w:val="sr-Cyrl-RS"/>
        </w:rPr>
        <w:t>7</w:t>
      </w:r>
      <w:r w:rsidRPr="009C19C5">
        <w:rPr>
          <w:rFonts w:ascii="Times New Roman" w:hAnsi="Times New Roman" w:cs="Times New Roman"/>
          <w:i w:val="0"/>
          <w:iCs w:val="0"/>
          <w:color w:val="auto"/>
          <w:sz w:val="20"/>
          <w:szCs w:val="20"/>
          <w:lang w:val="sr-Cyrl-RS"/>
        </w:rPr>
        <w:t>: Кратак преглед свих најважнијих заинтересованих странки</w:t>
      </w:r>
    </w:p>
    <w:tbl>
      <w:tblPr>
        <w:tblStyle w:val="TableGrid"/>
        <w:tblW w:w="0" w:type="auto"/>
        <w:tblLook w:val="04A0" w:firstRow="1" w:lastRow="0" w:firstColumn="1" w:lastColumn="0" w:noHBand="0" w:noVBand="1"/>
      </w:tblPr>
      <w:tblGrid>
        <w:gridCol w:w="4945"/>
        <w:gridCol w:w="5511"/>
      </w:tblGrid>
      <w:tr w:rsidR="00721128" w:rsidRPr="009C19C5" w14:paraId="1D460BB0" w14:textId="77777777" w:rsidTr="006C0EE0">
        <w:trPr>
          <w:tblHeader/>
        </w:trPr>
        <w:tc>
          <w:tcPr>
            <w:tcW w:w="4945" w:type="dxa"/>
            <w:shd w:val="clear" w:color="auto" w:fill="auto"/>
          </w:tcPr>
          <w:p w14:paraId="144974F9" w14:textId="68E781C7" w:rsidR="00721128" w:rsidRPr="009C19C5" w:rsidRDefault="00721128" w:rsidP="00747240">
            <w:pPr>
              <w:spacing w:after="0" w:line="276" w:lineRule="auto"/>
              <w:jc w:val="center"/>
              <w:rPr>
                <w:rFonts w:ascii="Times New Roman" w:eastAsia="Calibri" w:hAnsi="Times New Roman" w:cs="Times New Roman"/>
                <w:kern w:val="0"/>
                <w:sz w:val="20"/>
                <w:szCs w:val="20"/>
                <w:lang w:val="sr-Cyrl-RS" w:eastAsia="el-GR"/>
                <w14:ligatures w14:val="none"/>
              </w:rPr>
            </w:pPr>
            <w:r w:rsidRPr="009C19C5">
              <w:rPr>
                <w:rFonts w:ascii="Times New Roman" w:eastAsia="Calibri" w:hAnsi="Times New Roman" w:cs="Times New Roman"/>
                <w:kern w:val="0"/>
                <w:sz w:val="20"/>
                <w:szCs w:val="20"/>
                <w:lang w:val="sr-Cyrl-RS" w:eastAsia="el-GR"/>
                <w14:ligatures w14:val="none"/>
              </w:rPr>
              <w:t>Заинтересована страна</w:t>
            </w:r>
          </w:p>
        </w:tc>
        <w:tc>
          <w:tcPr>
            <w:tcW w:w="5511" w:type="dxa"/>
            <w:shd w:val="clear" w:color="auto" w:fill="auto"/>
          </w:tcPr>
          <w:p w14:paraId="611928FB" w14:textId="77777777" w:rsidR="00721128" w:rsidRPr="009C19C5" w:rsidRDefault="00721128" w:rsidP="00747240">
            <w:pPr>
              <w:spacing w:after="0" w:line="276" w:lineRule="auto"/>
              <w:jc w:val="center"/>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Улога у процесу праведне транзиције</w:t>
            </w:r>
          </w:p>
        </w:tc>
      </w:tr>
      <w:tr w:rsidR="00721128" w:rsidRPr="009C19C5" w14:paraId="3F1AD8FC" w14:textId="77777777" w:rsidTr="006C0EE0">
        <w:tc>
          <w:tcPr>
            <w:tcW w:w="4945" w:type="dxa"/>
            <w:shd w:val="clear" w:color="auto" w:fill="auto"/>
            <w:vAlign w:val="center"/>
          </w:tcPr>
          <w:p w14:paraId="233B24FF" w14:textId="5FAF8B9C" w:rsidR="00721128" w:rsidRPr="009C19C5" w:rsidRDefault="00721128" w:rsidP="00867E4F">
            <w:pPr>
              <w:spacing w:after="0" w:line="276" w:lineRule="auto"/>
              <w:rPr>
                <w:rFonts w:ascii="Times New Roman" w:eastAsia="Times New Roman" w:hAnsi="Times New Roman" w:cs="Times New Roman"/>
                <w:kern w:val="0"/>
                <w:sz w:val="20"/>
                <w:szCs w:val="20"/>
                <w:lang w:val="sr-Cyrl-RS"/>
                <w14:ligatures w14:val="none"/>
              </w:rPr>
            </w:pPr>
            <w:r w:rsidRPr="009C19C5">
              <w:rPr>
                <w:rFonts w:ascii="Times New Roman" w:eastAsia="Calibri" w:hAnsi="Times New Roman" w:cs="Times New Roman"/>
                <w:kern w:val="0"/>
                <w:sz w:val="20"/>
                <w:szCs w:val="20"/>
                <w:lang w:val="sr-Cyrl-RS" w:eastAsia="el-GR"/>
                <w14:ligatures w14:val="none"/>
              </w:rPr>
              <w:t xml:space="preserve">Влада </w:t>
            </w:r>
          </w:p>
        </w:tc>
        <w:tc>
          <w:tcPr>
            <w:tcW w:w="5511" w:type="dxa"/>
            <w:shd w:val="clear" w:color="auto" w:fill="auto"/>
            <w:vAlign w:val="center"/>
          </w:tcPr>
          <w:p w14:paraId="2F071E1C" w14:textId="1AB55D7C" w:rsidR="00721128" w:rsidRPr="009C19C5" w:rsidRDefault="00223734" w:rsidP="00747240">
            <w:pPr>
              <w:spacing w:after="0" w:line="276" w:lineRule="auto"/>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Координација, усвајање, реализација и мониторинг политика и мера у области праведне транзиције.</w:t>
            </w:r>
          </w:p>
        </w:tc>
      </w:tr>
      <w:tr w:rsidR="00721128" w:rsidRPr="009C19C5" w14:paraId="6DAEA9EF" w14:textId="77777777" w:rsidTr="006C0EE0">
        <w:tc>
          <w:tcPr>
            <w:tcW w:w="4945" w:type="dxa"/>
            <w:shd w:val="clear" w:color="auto" w:fill="auto"/>
            <w:vAlign w:val="center"/>
          </w:tcPr>
          <w:p w14:paraId="040319F6" w14:textId="77777777" w:rsidR="00721128" w:rsidRPr="009C19C5" w:rsidRDefault="00721128" w:rsidP="00747240">
            <w:pPr>
              <w:spacing w:after="0" w:line="276" w:lineRule="auto"/>
              <w:rPr>
                <w:rFonts w:ascii="Times New Roman" w:eastAsia="Times New Roman" w:hAnsi="Times New Roman" w:cs="Times New Roman"/>
                <w:kern w:val="0"/>
                <w:sz w:val="20"/>
                <w:szCs w:val="20"/>
                <w:lang w:val="sr-Cyrl-RS"/>
                <w14:ligatures w14:val="none"/>
              </w:rPr>
            </w:pPr>
            <w:r w:rsidRPr="009C19C5">
              <w:rPr>
                <w:rFonts w:ascii="Times New Roman" w:eastAsia="Calibri" w:hAnsi="Times New Roman" w:cs="Times New Roman"/>
                <w:kern w:val="0"/>
                <w:sz w:val="20"/>
                <w:szCs w:val="20"/>
                <w:lang w:val="sr-Cyrl-RS" w:eastAsia="el-GR"/>
                <w14:ligatures w14:val="none"/>
              </w:rPr>
              <w:t>Министарство рударства и енергетике</w:t>
            </w:r>
          </w:p>
        </w:tc>
        <w:tc>
          <w:tcPr>
            <w:tcW w:w="5511" w:type="dxa"/>
            <w:shd w:val="clear" w:color="auto" w:fill="auto"/>
            <w:vAlign w:val="center"/>
          </w:tcPr>
          <w:p w14:paraId="0607A0C0" w14:textId="563EC416" w:rsidR="00721128" w:rsidRPr="009C19C5" w:rsidRDefault="00223734" w:rsidP="006C0EE0">
            <w:pPr>
              <w:spacing w:after="0" w:line="276" w:lineRule="auto"/>
              <w:ind w:right="-89"/>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Дефинисање, коодинација и реализација енергетске политике у области праведне транзиције</w:t>
            </w:r>
            <w:r w:rsidR="006C0EE0" w:rsidRPr="009C19C5">
              <w:rPr>
                <w:rFonts w:ascii="Times New Roman" w:eastAsia="Times New Roman" w:hAnsi="Times New Roman" w:cs="Times New Roman"/>
                <w:kern w:val="0"/>
                <w:sz w:val="20"/>
                <w:szCs w:val="20"/>
                <w:lang w:val="sr-Cyrl-RS"/>
                <w14:ligatures w14:val="none"/>
              </w:rPr>
              <w:t>.</w:t>
            </w:r>
          </w:p>
        </w:tc>
      </w:tr>
      <w:tr w:rsidR="00443989" w:rsidRPr="009C19C5" w14:paraId="736A7CF8" w14:textId="77777777" w:rsidTr="006C0EE0">
        <w:tc>
          <w:tcPr>
            <w:tcW w:w="4945" w:type="dxa"/>
            <w:shd w:val="clear" w:color="auto" w:fill="auto"/>
          </w:tcPr>
          <w:p w14:paraId="00B14B21" w14:textId="49B02AC7" w:rsidR="00443989" w:rsidRPr="009C19C5" w:rsidRDefault="00443989" w:rsidP="00443989">
            <w:pPr>
              <w:spacing w:after="0" w:line="276" w:lineRule="auto"/>
              <w:rPr>
                <w:rFonts w:ascii="Times New Roman" w:eastAsia="Calibri" w:hAnsi="Times New Roman" w:cs="Times New Roman"/>
                <w:kern w:val="0"/>
                <w:sz w:val="20"/>
                <w:szCs w:val="20"/>
                <w:lang w:val="sr-Cyrl-RS" w:eastAsia="el-GR"/>
                <w14:ligatures w14:val="none"/>
              </w:rPr>
            </w:pPr>
            <w:r w:rsidRPr="009C19C5">
              <w:rPr>
                <w:rFonts w:ascii="Times New Roman" w:hAnsi="Times New Roman" w:cs="Times New Roman"/>
                <w:sz w:val="20"/>
                <w:szCs w:val="20"/>
                <w:lang w:val="sr-Cyrl-RS"/>
              </w:rPr>
              <w:t>Министарство за рад,</w:t>
            </w:r>
            <w:r w:rsidR="00505AB6" w:rsidRPr="009C19C5">
              <w:rPr>
                <w:rFonts w:ascii="Times New Roman" w:hAnsi="Times New Roman" w:cs="Times New Roman"/>
                <w:sz w:val="20"/>
                <w:szCs w:val="20"/>
                <w:lang w:val="sr-Cyrl-RS"/>
              </w:rPr>
              <w:t xml:space="preserve"> </w:t>
            </w:r>
            <w:r w:rsidRPr="009C19C5">
              <w:rPr>
                <w:rFonts w:ascii="Times New Roman" w:hAnsi="Times New Roman" w:cs="Times New Roman"/>
                <w:sz w:val="20"/>
                <w:szCs w:val="20"/>
                <w:lang w:val="sr-Cyrl-RS"/>
              </w:rPr>
              <w:t xml:space="preserve">запошљавање, борачка и социјална питања </w:t>
            </w:r>
          </w:p>
        </w:tc>
        <w:tc>
          <w:tcPr>
            <w:tcW w:w="5511" w:type="dxa"/>
            <w:shd w:val="clear" w:color="auto" w:fill="auto"/>
            <w:vAlign w:val="center"/>
          </w:tcPr>
          <w:p w14:paraId="2C9BE344" w14:textId="61350F0B" w:rsidR="00443989" w:rsidRPr="009C19C5" w:rsidRDefault="00E35F73" w:rsidP="00443989">
            <w:pPr>
              <w:spacing w:after="0" w:line="276" w:lineRule="auto"/>
              <w:rPr>
                <w:rFonts w:ascii="Times New Roman" w:eastAsia="Times New Roman" w:hAnsi="Times New Roman" w:cs="Times New Roman"/>
                <w:kern w:val="0"/>
                <w:sz w:val="20"/>
                <w:szCs w:val="20"/>
                <w:lang w:val="sr-Cyrl-RS"/>
                <w14:ligatures w14:val="none"/>
              </w:rPr>
            </w:pPr>
            <w:r w:rsidRPr="009C19C5">
              <w:rPr>
                <w:rFonts w:ascii="Times New Roman" w:hAnsi="Times New Roman" w:cs="Times New Roman"/>
                <w:sz w:val="20"/>
                <w:szCs w:val="20"/>
                <w:lang w:val="sr-Cyrl-RS"/>
              </w:rPr>
              <w:t>Учешће у радним групама у циљу коорди</w:t>
            </w:r>
            <w:r w:rsidR="00F94D9D" w:rsidRPr="009C19C5">
              <w:rPr>
                <w:rFonts w:ascii="Times New Roman" w:hAnsi="Times New Roman" w:cs="Times New Roman"/>
                <w:sz w:val="20"/>
                <w:szCs w:val="20"/>
                <w:lang w:val="sr-Cyrl-RS"/>
              </w:rPr>
              <w:t>на</w:t>
            </w:r>
            <w:r w:rsidRPr="009C19C5">
              <w:rPr>
                <w:rFonts w:ascii="Times New Roman" w:hAnsi="Times New Roman" w:cs="Times New Roman"/>
                <w:sz w:val="20"/>
                <w:szCs w:val="20"/>
                <w:lang w:val="sr-Cyrl-RS"/>
              </w:rPr>
              <w:t>ције,</w:t>
            </w:r>
            <w:r w:rsidR="00505AB6" w:rsidRPr="009C19C5">
              <w:rPr>
                <w:rFonts w:ascii="Times New Roman" w:hAnsi="Times New Roman" w:cs="Times New Roman"/>
                <w:sz w:val="20"/>
                <w:szCs w:val="20"/>
                <w:lang w:val="sr-Cyrl-RS"/>
              </w:rPr>
              <w:t xml:space="preserve"> </w:t>
            </w:r>
            <w:r w:rsidRPr="009C19C5">
              <w:rPr>
                <w:rFonts w:ascii="Times New Roman" w:hAnsi="Times New Roman" w:cs="Times New Roman"/>
                <w:sz w:val="20"/>
                <w:szCs w:val="20"/>
                <w:lang w:val="sr-Cyrl-RS"/>
              </w:rPr>
              <w:t>реализације и мониторинга  мера и активности.</w:t>
            </w:r>
            <w:r w:rsidR="00505AB6" w:rsidRPr="009C19C5">
              <w:rPr>
                <w:rFonts w:ascii="Times New Roman" w:hAnsi="Times New Roman" w:cs="Times New Roman"/>
                <w:sz w:val="20"/>
                <w:szCs w:val="20"/>
                <w:lang w:val="sr-Cyrl-RS"/>
              </w:rPr>
              <w:t xml:space="preserve"> </w:t>
            </w:r>
            <w:r w:rsidR="00443989" w:rsidRPr="009C19C5">
              <w:rPr>
                <w:rFonts w:ascii="Times New Roman" w:eastAsia="Times New Roman" w:hAnsi="Times New Roman" w:cs="Times New Roman"/>
                <w:kern w:val="0"/>
                <w:sz w:val="20"/>
                <w:szCs w:val="20"/>
                <w:lang w:val="sr-Cyrl-RS"/>
                <w14:ligatures w14:val="none"/>
              </w:rPr>
              <w:t>Спровођење мера и политика праведне енергетске транзиције везаних за прекв</w:t>
            </w:r>
            <w:r w:rsidR="00735673">
              <w:rPr>
                <w:rFonts w:ascii="Times New Roman" w:eastAsia="Times New Roman" w:hAnsi="Times New Roman" w:cs="Times New Roman"/>
                <w:kern w:val="0"/>
                <w:sz w:val="20"/>
                <w:szCs w:val="20"/>
                <w:lang w:val="sr-Cyrl-RS"/>
                <w14:ligatures w14:val="none"/>
              </w:rPr>
              <w:t>а</w:t>
            </w:r>
            <w:r w:rsidR="00443989" w:rsidRPr="009C19C5">
              <w:rPr>
                <w:rFonts w:ascii="Times New Roman" w:eastAsia="Times New Roman" w:hAnsi="Times New Roman" w:cs="Times New Roman"/>
                <w:kern w:val="0"/>
                <w:sz w:val="20"/>
                <w:szCs w:val="20"/>
                <w:lang w:val="sr-Cyrl-RS"/>
                <w14:ligatures w14:val="none"/>
              </w:rPr>
              <w:t>лификацију, стварање нових радних места</w:t>
            </w:r>
            <w:r w:rsidR="006C0EE0" w:rsidRPr="009C19C5">
              <w:rPr>
                <w:rFonts w:ascii="Times New Roman" w:eastAsia="Times New Roman" w:hAnsi="Times New Roman" w:cs="Times New Roman"/>
                <w:kern w:val="0"/>
                <w:sz w:val="20"/>
                <w:szCs w:val="20"/>
                <w:lang w:val="sr-Cyrl-RS"/>
                <w14:ligatures w14:val="none"/>
              </w:rPr>
              <w:t>.</w:t>
            </w:r>
          </w:p>
        </w:tc>
      </w:tr>
      <w:tr w:rsidR="00443989" w:rsidRPr="009C19C5" w14:paraId="0ACFCFD0" w14:textId="77777777" w:rsidTr="006C0EE0">
        <w:tc>
          <w:tcPr>
            <w:tcW w:w="4945" w:type="dxa"/>
            <w:shd w:val="clear" w:color="auto" w:fill="auto"/>
          </w:tcPr>
          <w:p w14:paraId="7075964A" w14:textId="5A3292F5" w:rsidR="00443989" w:rsidRPr="009C19C5" w:rsidRDefault="00443989" w:rsidP="00443989">
            <w:pPr>
              <w:spacing w:after="0" w:line="276" w:lineRule="auto"/>
              <w:rPr>
                <w:rFonts w:ascii="Times New Roman" w:eastAsia="Calibri" w:hAnsi="Times New Roman" w:cs="Times New Roman"/>
                <w:kern w:val="0"/>
                <w:sz w:val="20"/>
                <w:szCs w:val="20"/>
                <w:lang w:val="sr-Cyrl-RS" w:eastAsia="el-GR"/>
                <w14:ligatures w14:val="none"/>
              </w:rPr>
            </w:pPr>
            <w:r w:rsidRPr="009C19C5">
              <w:rPr>
                <w:rFonts w:ascii="Times New Roman" w:hAnsi="Times New Roman" w:cs="Times New Roman"/>
                <w:sz w:val="20"/>
                <w:szCs w:val="20"/>
                <w:lang w:val="sr-Cyrl-RS"/>
              </w:rPr>
              <w:t>Министарство просвете</w:t>
            </w:r>
          </w:p>
        </w:tc>
        <w:tc>
          <w:tcPr>
            <w:tcW w:w="5511" w:type="dxa"/>
            <w:shd w:val="clear" w:color="auto" w:fill="auto"/>
            <w:vAlign w:val="center"/>
          </w:tcPr>
          <w:p w14:paraId="6A138B31" w14:textId="2DD437BB" w:rsidR="00443989" w:rsidRPr="009C19C5" w:rsidRDefault="00E35F73" w:rsidP="00443989">
            <w:pPr>
              <w:spacing w:after="0" w:line="276" w:lineRule="auto"/>
              <w:rPr>
                <w:rFonts w:ascii="Times New Roman" w:eastAsia="Times New Roman" w:hAnsi="Times New Roman" w:cs="Times New Roman"/>
                <w:kern w:val="0"/>
                <w:sz w:val="20"/>
                <w:szCs w:val="20"/>
                <w:lang w:val="sr-Cyrl-RS"/>
                <w14:ligatures w14:val="none"/>
              </w:rPr>
            </w:pPr>
            <w:r w:rsidRPr="009C19C5">
              <w:rPr>
                <w:rFonts w:ascii="Times New Roman" w:hAnsi="Times New Roman" w:cs="Times New Roman"/>
                <w:sz w:val="20"/>
                <w:szCs w:val="20"/>
                <w:lang w:val="sr-Cyrl-RS"/>
              </w:rPr>
              <w:t>Учешће у радним групама у циљу коорд</w:t>
            </w:r>
            <w:r w:rsidR="00F94D9D" w:rsidRPr="009C19C5">
              <w:rPr>
                <w:rFonts w:ascii="Times New Roman" w:hAnsi="Times New Roman" w:cs="Times New Roman"/>
                <w:sz w:val="20"/>
                <w:szCs w:val="20"/>
                <w:lang w:val="sr-Cyrl-RS"/>
              </w:rPr>
              <w:t>и</w:t>
            </w:r>
            <w:r w:rsidRPr="009C19C5">
              <w:rPr>
                <w:rFonts w:ascii="Times New Roman" w:hAnsi="Times New Roman" w:cs="Times New Roman"/>
                <w:sz w:val="20"/>
                <w:szCs w:val="20"/>
                <w:lang w:val="sr-Cyrl-RS"/>
              </w:rPr>
              <w:t>н</w:t>
            </w:r>
            <w:r w:rsidR="00F94D9D" w:rsidRPr="009C19C5">
              <w:rPr>
                <w:rFonts w:ascii="Times New Roman" w:hAnsi="Times New Roman" w:cs="Times New Roman"/>
                <w:sz w:val="20"/>
                <w:szCs w:val="20"/>
                <w:lang w:val="sr-Cyrl-RS"/>
              </w:rPr>
              <w:t>а</w:t>
            </w:r>
            <w:r w:rsidRPr="009C19C5">
              <w:rPr>
                <w:rFonts w:ascii="Times New Roman" w:hAnsi="Times New Roman" w:cs="Times New Roman"/>
                <w:sz w:val="20"/>
                <w:szCs w:val="20"/>
                <w:lang w:val="sr-Cyrl-RS"/>
              </w:rPr>
              <w:t>ције,</w:t>
            </w:r>
            <w:r w:rsidR="004F5272" w:rsidRPr="009C19C5">
              <w:rPr>
                <w:rFonts w:ascii="Times New Roman" w:hAnsi="Times New Roman" w:cs="Times New Roman"/>
                <w:sz w:val="20"/>
                <w:szCs w:val="20"/>
                <w:lang w:val="sr-Cyrl-RS"/>
              </w:rPr>
              <w:t xml:space="preserve"> </w:t>
            </w:r>
            <w:r w:rsidRPr="009C19C5">
              <w:rPr>
                <w:rFonts w:ascii="Times New Roman" w:hAnsi="Times New Roman" w:cs="Times New Roman"/>
                <w:sz w:val="20"/>
                <w:szCs w:val="20"/>
                <w:lang w:val="sr-Cyrl-RS"/>
              </w:rPr>
              <w:t>реализације и мониторинга  мера и активности</w:t>
            </w:r>
            <w:r w:rsidR="006C0EE0" w:rsidRPr="009C19C5">
              <w:rPr>
                <w:rFonts w:ascii="Times New Roman" w:hAnsi="Times New Roman" w:cs="Times New Roman"/>
                <w:sz w:val="20"/>
                <w:szCs w:val="20"/>
                <w:lang w:val="sr-Cyrl-RS"/>
              </w:rPr>
              <w:t>.</w:t>
            </w:r>
          </w:p>
        </w:tc>
      </w:tr>
      <w:tr w:rsidR="00EB4C9A" w:rsidRPr="009C19C5" w14:paraId="316675AF" w14:textId="77777777" w:rsidTr="006C0EE0">
        <w:tc>
          <w:tcPr>
            <w:tcW w:w="4945" w:type="dxa"/>
            <w:shd w:val="clear" w:color="auto" w:fill="auto"/>
          </w:tcPr>
          <w:p w14:paraId="078E5314" w14:textId="48650EE3" w:rsidR="00EB4C9A" w:rsidRPr="009C19C5" w:rsidRDefault="00EB4C9A" w:rsidP="00EB4C9A">
            <w:pPr>
              <w:spacing w:after="0" w:line="276" w:lineRule="auto"/>
              <w:rPr>
                <w:rFonts w:ascii="Times New Roman" w:hAnsi="Times New Roman" w:cs="Times New Roman"/>
                <w:sz w:val="20"/>
                <w:szCs w:val="20"/>
                <w:lang w:val="sr-Cyrl-RS"/>
              </w:rPr>
            </w:pPr>
            <w:r w:rsidRPr="009C19C5">
              <w:rPr>
                <w:rFonts w:ascii="Times New Roman" w:hAnsi="Times New Roman" w:cs="Times New Roman"/>
                <w:sz w:val="20"/>
                <w:szCs w:val="20"/>
                <w:lang w:val="sr-Cyrl-RS"/>
              </w:rPr>
              <w:t>Министарство заштите животне средине</w:t>
            </w:r>
          </w:p>
        </w:tc>
        <w:tc>
          <w:tcPr>
            <w:tcW w:w="5511" w:type="dxa"/>
            <w:shd w:val="clear" w:color="auto" w:fill="auto"/>
          </w:tcPr>
          <w:p w14:paraId="7A15CD00" w14:textId="35950F76" w:rsidR="00EB4C9A" w:rsidRPr="009C19C5" w:rsidRDefault="00EB4C9A" w:rsidP="00EB4C9A">
            <w:pPr>
              <w:spacing w:after="0" w:line="276" w:lineRule="auto"/>
              <w:rPr>
                <w:rFonts w:ascii="Times New Roman" w:eastAsia="Times New Roman" w:hAnsi="Times New Roman" w:cs="Times New Roman"/>
                <w:kern w:val="0"/>
                <w:sz w:val="20"/>
                <w:szCs w:val="20"/>
                <w:lang w:val="sr-Cyrl-RS"/>
                <w14:ligatures w14:val="none"/>
              </w:rPr>
            </w:pPr>
            <w:r w:rsidRPr="009C19C5">
              <w:rPr>
                <w:rFonts w:ascii="Times New Roman" w:hAnsi="Times New Roman" w:cs="Times New Roman"/>
                <w:sz w:val="20"/>
                <w:szCs w:val="20"/>
                <w:lang w:val="sr-Cyrl-RS"/>
              </w:rPr>
              <w:t>Учешће у радним групама у циљу координације,</w:t>
            </w:r>
            <w:r w:rsidR="00540C76" w:rsidRPr="009C19C5">
              <w:rPr>
                <w:rFonts w:ascii="Times New Roman" w:hAnsi="Times New Roman" w:cs="Times New Roman"/>
                <w:sz w:val="20"/>
                <w:szCs w:val="20"/>
                <w:lang w:val="sr-Cyrl-RS"/>
              </w:rPr>
              <w:t xml:space="preserve"> </w:t>
            </w:r>
            <w:r w:rsidRPr="009C19C5">
              <w:rPr>
                <w:rFonts w:ascii="Times New Roman" w:hAnsi="Times New Roman" w:cs="Times New Roman"/>
                <w:sz w:val="20"/>
                <w:szCs w:val="20"/>
                <w:lang w:val="sr-Cyrl-RS"/>
              </w:rPr>
              <w:t>реализације и мониторинга  мера и активности</w:t>
            </w:r>
            <w:r w:rsidR="006C0EE0" w:rsidRPr="009C19C5">
              <w:rPr>
                <w:rFonts w:ascii="Times New Roman" w:hAnsi="Times New Roman" w:cs="Times New Roman"/>
                <w:sz w:val="20"/>
                <w:szCs w:val="20"/>
                <w:lang w:val="sr-Cyrl-RS"/>
              </w:rPr>
              <w:t>.</w:t>
            </w:r>
          </w:p>
        </w:tc>
      </w:tr>
      <w:tr w:rsidR="00EB4C9A" w:rsidRPr="009C19C5" w14:paraId="1FE5FD0B" w14:textId="77777777" w:rsidTr="006C0EE0">
        <w:tc>
          <w:tcPr>
            <w:tcW w:w="4945" w:type="dxa"/>
            <w:shd w:val="clear" w:color="auto" w:fill="auto"/>
          </w:tcPr>
          <w:p w14:paraId="5204AC5E" w14:textId="55D239B9" w:rsidR="00EB4C9A" w:rsidRPr="009C19C5" w:rsidRDefault="00EB4C9A" w:rsidP="00EB4C9A">
            <w:pPr>
              <w:spacing w:after="0" w:line="276" w:lineRule="auto"/>
              <w:rPr>
                <w:rFonts w:ascii="Times New Roman" w:hAnsi="Times New Roman" w:cs="Times New Roman"/>
                <w:sz w:val="20"/>
                <w:szCs w:val="20"/>
                <w:lang w:val="sr-Cyrl-RS"/>
              </w:rPr>
            </w:pPr>
            <w:r w:rsidRPr="009C19C5">
              <w:rPr>
                <w:rFonts w:ascii="Times New Roman" w:hAnsi="Times New Roman" w:cs="Times New Roman"/>
                <w:sz w:val="20"/>
                <w:szCs w:val="20"/>
                <w:lang w:val="sr-Cyrl-RS"/>
              </w:rPr>
              <w:t>Министарство финансија</w:t>
            </w:r>
          </w:p>
        </w:tc>
        <w:tc>
          <w:tcPr>
            <w:tcW w:w="5511" w:type="dxa"/>
            <w:shd w:val="clear" w:color="auto" w:fill="auto"/>
          </w:tcPr>
          <w:p w14:paraId="18556A91" w14:textId="327EE47B" w:rsidR="00EB4C9A" w:rsidRPr="009C19C5" w:rsidRDefault="00EB4C9A" w:rsidP="00EB4C9A">
            <w:pPr>
              <w:spacing w:after="0" w:line="276" w:lineRule="auto"/>
              <w:rPr>
                <w:rFonts w:ascii="Times New Roman" w:eastAsia="Times New Roman" w:hAnsi="Times New Roman" w:cs="Times New Roman"/>
                <w:kern w:val="0"/>
                <w:sz w:val="20"/>
                <w:szCs w:val="20"/>
                <w:lang w:val="sr-Cyrl-RS"/>
                <w14:ligatures w14:val="none"/>
              </w:rPr>
            </w:pPr>
            <w:r w:rsidRPr="009C19C5">
              <w:rPr>
                <w:rFonts w:ascii="Times New Roman" w:hAnsi="Times New Roman" w:cs="Times New Roman"/>
                <w:sz w:val="20"/>
                <w:szCs w:val="20"/>
                <w:lang w:val="sr-Cyrl-RS"/>
              </w:rPr>
              <w:t>Учешће у радним групама у циљу координације,</w:t>
            </w:r>
            <w:r w:rsidR="00540C76" w:rsidRPr="009C19C5">
              <w:rPr>
                <w:rFonts w:ascii="Times New Roman" w:hAnsi="Times New Roman" w:cs="Times New Roman"/>
                <w:sz w:val="20"/>
                <w:szCs w:val="20"/>
                <w:lang w:val="sr-Cyrl-RS"/>
              </w:rPr>
              <w:t xml:space="preserve"> </w:t>
            </w:r>
            <w:r w:rsidRPr="009C19C5">
              <w:rPr>
                <w:rFonts w:ascii="Times New Roman" w:hAnsi="Times New Roman" w:cs="Times New Roman"/>
                <w:sz w:val="20"/>
                <w:szCs w:val="20"/>
                <w:lang w:val="sr-Cyrl-RS"/>
              </w:rPr>
              <w:t>реализације и мониторинга  мера и активности</w:t>
            </w:r>
            <w:r w:rsidR="006C0EE0" w:rsidRPr="009C19C5">
              <w:rPr>
                <w:rFonts w:ascii="Times New Roman" w:hAnsi="Times New Roman" w:cs="Times New Roman"/>
                <w:sz w:val="20"/>
                <w:szCs w:val="20"/>
                <w:lang w:val="sr-Cyrl-RS"/>
              </w:rPr>
              <w:t>.</w:t>
            </w:r>
          </w:p>
        </w:tc>
      </w:tr>
      <w:tr w:rsidR="00EB4C9A" w:rsidRPr="009C19C5" w14:paraId="572BAD33" w14:textId="77777777" w:rsidTr="006C0EE0">
        <w:tc>
          <w:tcPr>
            <w:tcW w:w="4945" w:type="dxa"/>
            <w:shd w:val="clear" w:color="auto" w:fill="auto"/>
          </w:tcPr>
          <w:p w14:paraId="2376D12D" w14:textId="1A82B464" w:rsidR="00EB4C9A" w:rsidRPr="009C19C5" w:rsidRDefault="00EB4C9A" w:rsidP="00EB4C9A">
            <w:pPr>
              <w:spacing w:after="0" w:line="276" w:lineRule="auto"/>
              <w:rPr>
                <w:rFonts w:ascii="Times New Roman" w:hAnsi="Times New Roman" w:cs="Times New Roman"/>
                <w:sz w:val="20"/>
                <w:szCs w:val="20"/>
                <w:lang w:val="sr-Cyrl-RS"/>
              </w:rPr>
            </w:pPr>
            <w:r w:rsidRPr="009C19C5">
              <w:rPr>
                <w:rFonts w:ascii="Times New Roman" w:hAnsi="Times New Roman" w:cs="Times New Roman"/>
                <w:sz w:val="20"/>
                <w:szCs w:val="20"/>
                <w:lang w:val="sr-Cyrl-RS"/>
              </w:rPr>
              <w:t xml:space="preserve">Министарство привреде </w:t>
            </w:r>
          </w:p>
        </w:tc>
        <w:tc>
          <w:tcPr>
            <w:tcW w:w="5511" w:type="dxa"/>
            <w:shd w:val="clear" w:color="auto" w:fill="auto"/>
          </w:tcPr>
          <w:p w14:paraId="204376A7" w14:textId="49100884" w:rsidR="00EB4C9A" w:rsidRPr="009C19C5" w:rsidRDefault="00EB4C9A" w:rsidP="00EB4C9A">
            <w:pPr>
              <w:spacing w:after="0" w:line="276" w:lineRule="auto"/>
              <w:rPr>
                <w:rFonts w:ascii="Times New Roman" w:eastAsia="Times New Roman" w:hAnsi="Times New Roman" w:cs="Times New Roman"/>
                <w:kern w:val="0"/>
                <w:sz w:val="20"/>
                <w:szCs w:val="20"/>
                <w:lang w:val="sr-Cyrl-RS"/>
                <w14:ligatures w14:val="none"/>
              </w:rPr>
            </w:pPr>
            <w:r w:rsidRPr="009C19C5">
              <w:rPr>
                <w:rFonts w:ascii="Times New Roman" w:hAnsi="Times New Roman" w:cs="Times New Roman"/>
                <w:sz w:val="20"/>
                <w:szCs w:val="20"/>
                <w:lang w:val="sr-Cyrl-RS"/>
              </w:rPr>
              <w:t>Учешће у радним групама у циљу координације,</w:t>
            </w:r>
            <w:r w:rsidR="00540C76" w:rsidRPr="009C19C5">
              <w:rPr>
                <w:rFonts w:ascii="Times New Roman" w:hAnsi="Times New Roman" w:cs="Times New Roman"/>
                <w:sz w:val="20"/>
                <w:szCs w:val="20"/>
                <w:lang w:val="sr-Cyrl-RS"/>
              </w:rPr>
              <w:t xml:space="preserve"> </w:t>
            </w:r>
            <w:r w:rsidRPr="009C19C5">
              <w:rPr>
                <w:rFonts w:ascii="Times New Roman" w:hAnsi="Times New Roman" w:cs="Times New Roman"/>
                <w:sz w:val="20"/>
                <w:szCs w:val="20"/>
                <w:lang w:val="sr-Cyrl-RS"/>
              </w:rPr>
              <w:t>реализације и мониторинга  мера и активности</w:t>
            </w:r>
            <w:r w:rsidR="006C0EE0" w:rsidRPr="009C19C5">
              <w:rPr>
                <w:rFonts w:ascii="Times New Roman" w:hAnsi="Times New Roman" w:cs="Times New Roman"/>
                <w:sz w:val="20"/>
                <w:szCs w:val="20"/>
                <w:lang w:val="sr-Cyrl-RS"/>
              </w:rPr>
              <w:t>.</w:t>
            </w:r>
          </w:p>
        </w:tc>
      </w:tr>
      <w:tr w:rsidR="00EB4C9A" w:rsidRPr="009C19C5" w14:paraId="0391EE7B" w14:textId="77777777" w:rsidTr="006C0EE0">
        <w:tc>
          <w:tcPr>
            <w:tcW w:w="4945" w:type="dxa"/>
            <w:shd w:val="clear" w:color="auto" w:fill="auto"/>
          </w:tcPr>
          <w:p w14:paraId="1FA037F7" w14:textId="3944223F" w:rsidR="00EB4C9A" w:rsidRPr="009C19C5" w:rsidRDefault="00EB4C9A" w:rsidP="00337A99">
            <w:pPr>
              <w:spacing w:after="0" w:line="276" w:lineRule="auto"/>
              <w:rPr>
                <w:rFonts w:ascii="Times New Roman" w:hAnsi="Times New Roman" w:cs="Times New Roman"/>
                <w:sz w:val="20"/>
                <w:szCs w:val="20"/>
                <w:lang w:val="sr-Cyrl-RS"/>
              </w:rPr>
            </w:pPr>
            <w:r w:rsidRPr="009C19C5">
              <w:rPr>
                <w:rFonts w:ascii="Times New Roman" w:hAnsi="Times New Roman" w:cs="Times New Roman"/>
                <w:sz w:val="20"/>
                <w:szCs w:val="20"/>
                <w:lang w:val="sr-Cyrl-RS"/>
              </w:rPr>
              <w:t>Министарство грађевин</w:t>
            </w:r>
            <w:r w:rsidR="00337A99" w:rsidRPr="009C19C5">
              <w:rPr>
                <w:rFonts w:ascii="Times New Roman" w:hAnsi="Times New Roman" w:cs="Times New Roman"/>
                <w:sz w:val="20"/>
                <w:szCs w:val="20"/>
                <w:lang w:val="sr-Cyrl-RS"/>
              </w:rPr>
              <w:t>aрства</w:t>
            </w:r>
            <w:r w:rsidRPr="009C19C5">
              <w:rPr>
                <w:rFonts w:ascii="Times New Roman" w:hAnsi="Times New Roman" w:cs="Times New Roman"/>
                <w:sz w:val="20"/>
                <w:szCs w:val="20"/>
                <w:lang w:val="sr-Cyrl-RS"/>
              </w:rPr>
              <w:t xml:space="preserve">, </w:t>
            </w:r>
            <w:r w:rsidR="00337A99" w:rsidRPr="009C19C5">
              <w:rPr>
                <w:rFonts w:ascii="Times New Roman" w:hAnsi="Times New Roman" w:cs="Times New Roman"/>
                <w:sz w:val="20"/>
                <w:szCs w:val="20"/>
                <w:lang w:val="sr-Cyrl-RS"/>
              </w:rPr>
              <w:t>саобраћаја и инфраструктуре</w:t>
            </w:r>
          </w:p>
        </w:tc>
        <w:tc>
          <w:tcPr>
            <w:tcW w:w="5511" w:type="dxa"/>
            <w:shd w:val="clear" w:color="auto" w:fill="auto"/>
          </w:tcPr>
          <w:p w14:paraId="608FB14E" w14:textId="072394E3" w:rsidR="00EB4C9A" w:rsidRPr="009C19C5" w:rsidRDefault="00EB4C9A" w:rsidP="00EB4C9A">
            <w:pPr>
              <w:spacing w:after="0" w:line="276" w:lineRule="auto"/>
              <w:rPr>
                <w:rFonts w:ascii="Times New Roman" w:hAnsi="Times New Roman" w:cs="Times New Roman"/>
                <w:sz w:val="20"/>
                <w:szCs w:val="20"/>
                <w:lang w:val="sr-Cyrl-RS"/>
              </w:rPr>
            </w:pPr>
            <w:r w:rsidRPr="009C19C5">
              <w:rPr>
                <w:rFonts w:ascii="Times New Roman" w:hAnsi="Times New Roman" w:cs="Times New Roman"/>
                <w:sz w:val="20"/>
                <w:szCs w:val="20"/>
                <w:lang w:val="sr-Cyrl-RS"/>
              </w:rPr>
              <w:t>Учешће у радним групама у циљу координације,</w:t>
            </w:r>
            <w:r w:rsidR="00540C76" w:rsidRPr="009C19C5">
              <w:rPr>
                <w:rFonts w:ascii="Times New Roman" w:hAnsi="Times New Roman" w:cs="Times New Roman"/>
                <w:sz w:val="20"/>
                <w:szCs w:val="20"/>
                <w:lang w:val="sr-Cyrl-RS"/>
              </w:rPr>
              <w:t xml:space="preserve"> </w:t>
            </w:r>
            <w:r w:rsidRPr="009C19C5">
              <w:rPr>
                <w:rFonts w:ascii="Times New Roman" w:hAnsi="Times New Roman" w:cs="Times New Roman"/>
                <w:sz w:val="20"/>
                <w:szCs w:val="20"/>
                <w:lang w:val="sr-Cyrl-RS"/>
              </w:rPr>
              <w:t>реализације и мониторинга  мера и активности</w:t>
            </w:r>
            <w:r w:rsidR="006C0EE0" w:rsidRPr="009C19C5">
              <w:rPr>
                <w:rFonts w:ascii="Times New Roman" w:hAnsi="Times New Roman" w:cs="Times New Roman"/>
                <w:sz w:val="20"/>
                <w:szCs w:val="20"/>
                <w:lang w:val="sr-Cyrl-RS"/>
              </w:rPr>
              <w:t>.</w:t>
            </w:r>
          </w:p>
        </w:tc>
      </w:tr>
      <w:tr w:rsidR="00EB4C9A" w:rsidRPr="009C19C5" w14:paraId="449646D2" w14:textId="77777777" w:rsidTr="006C0EE0">
        <w:tc>
          <w:tcPr>
            <w:tcW w:w="4945" w:type="dxa"/>
            <w:shd w:val="clear" w:color="auto" w:fill="auto"/>
            <w:vAlign w:val="center"/>
          </w:tcPr>
          <w:p w14:paraId="60BA1AE7" w14:textId="116E1B0C" w:rsidR="00EB4C9A" w:rsidRPr="009C19C5" w:rsidRDefault="00EB4C9A" w:rsidP="00EB4C9A">
            <w:pPr>
              <w:spacing w:after="0" w:line="276" w:lineRule="auto"/>
              <w:rPr>
                <w:rFonts w:ascii="Times New Roman" w:eastAsia="Times New Roman" w:hAnsi="Times New Roman" w:cs="Times New Roman"/>
                <w:kern w:val="0"/>
                <w:sz w:val="20"/>
                <w:szCs w:val="20"/>
                <w:lang w:val="sr-Cyrl-RS"/>
                <w14:ligatures w14:val="none"/>
              </w:rPr>
            </w:pPr>
            <w:r w:rsidRPr="009C19C5">
              <w:rPr>
                <w:rFonts w:ascii="Times New Roman" w:eastAsia="Calibri" w:hAnsi="Times New Roman" w:cs="Times New Roman"/>
                <w:kern w:val="0"/>
                <w:sz w:val="20"/>
                <w:szCs w:val="20"/>
                <w:lang w:val="sr-Cyrl-RS" w:eastAsia="el-GR"/>
                <w14:ligatures w14:val="none"/>
              </w:rPr>
              <w:t>Агенција за енергетику Републике Србије</w:t>
            </w:r>
            <w:r w:rsidR="00337A99" w:rsidRPr="009C19C5">
              <w:rPr>
                <w:rFonts w:ascii="Times New Roman" w:eastAsia="Calibri" w:hAnsi="Times New Roman" w:cs="Times New Roman"/>
                <w:kern w:val="0"/>
                <w:sz w:val="20"/>
                <w:szCs w:val="20"/>
                <w:lang w:val="sr-Cyrl-RS" w:eastAsia="el-GR"/>
                <w14:ligatures w14:val="none"/>
              </w:rPr>
              <w:t xml:space="preserve"> </w:t>
            </w:r>
          </w:p>
        </w:tc>
        <w:tc>
          <w:tcPr>
            <w:tcW w:w="5511" w:type="dxa"/>
            <w:shd w:val="clear" w:color="auto" w:fill="auto"/>
          </w:tcPr>
          <w:p w14:paraId="5EA6EB1B" w14:textId="710FA68F" w:rsidR="00EB4C9A" w:rsidRPr="009C19C5" w:rsidRDefault="00EB4C9A" w:rsidP="00EB4C9A">
            <w:pPr>
              <w:spacing w:after="0" w:line="276" w:lineRule="auto"/>
              <w:rPr>
                <w:rFonts w:ascii="Times New Roman" w:eastAsia="Times New Roman" w:hAnsi="Times New Roman" w:cs="Times New Roman"/>
                <w:kern w:val="0"/>
                <w:sz w:val="20"/>
                <w:szCs w:val="20"/>
                <w:lang w:val="sr-Cyrl-RS"/>
                <w14:ligatures w14:val="none"/>
              </w:rPr>
            </w:pPr>
            <w:r w:rsidRPr="009C19C5">
              <w:rPr>
                <w:rFonts w:ascii="Times New Roman" w:hAnsi="Times New Roman" w:cs="Times New Roman"/>
                <w:sz w:val="20"/>
                <w:szCs w:val="20"/>
                <w:lang w:val="sr-Cyrl-RS"/>
              </w:rPr>
              <w:t>Учешће у радним групама у циљу подршке и помоћи у спровођењу мера и активности</w:t>
            </w:r>
            <w:r w:rsidR="006C0EE0" w:rsidRPr="009C19C5">
              <w:rPr>
                <w:rFonts w:ascii="Times New Roman" w:hAnsi="Times New Roman" w:cs="Times New Roman"/>
                <w:sz w:val="20"/>
                <w:szCs w:val="20"/>
                <w:lang w:val="sr-Cyrl-RS"/>
              </w:rPr>
              <w:t>.</w:t>
            </w:r>
            <w:r w:rsidRPr="009C19C5" w:rsidDel="00531F58">
              <w:rPr>
                <w:rFonts w:ascii="Times New Roman" w:eastAsia="Times New Roman" w:hAnsi="Times New Roman" w:cs="Times New Roman"/>
                <w:kern w:val="0"/>
                <w:sz w:val="20"/>
                <w:szCs w:val="20"/>
                <w:lang w:val="sr-Cyrl-RS"/>
                <w14:ligatures w14:val="none"/>
              </w:rPr>
              <w:t xml:space="preserve"> </w:t>
            </w:r>
          </w:p>
        </w:tc>
      </w:tr>
      <w:tr w:rsidR="00EB4C9A" w:rsidRPr="009C19C5" w14:paraId="4C9989EC" w14:textId="77777777" w:rsidTr="006C0EE0">
        <w:tc>
          <w:tcPr>
            <w:tcW w:w="4945" w:type="dxa"/>
            <w:shd w:val="clear" w:color="auto" w:fill="auto"/>
            <w:vAlign w:val="center"/>
          </w:tcPr>
          <w:p w14:paraId="1453000B" w14:textId="65FF534C" w:rsidR="00EB4C9A" w:rsidRPr="009C19C5" w:rsidRDefault="00EB4C9A" w:rsidP="00BD28AA">
            <w:pPr>
              <w:spacing w:after="0" w:line="276" w:lineRule="auto"/>
              <w:rPr>
                <w:rFonts w:ascii="Times New Roman" w:eastAsia="Times New Roman" w:hAnsi="Times New Roman" w:cs="Times New Roman"/>
                <w:kern w:val="0"/>
                <w:sz w:val="20"/>
                <w:szCs w:val="20"/>
                <w:lang w:val="sr-Cyrl-RS"/>
                <w14:ligatures w14:val="none"/>
              </w:rPr>
            </w:pPr>
            <w:r w:rsidRPr="009C19C5">
              <w:rPr>
                <w:rFonts w:ascii="Times New Roman" w:eastAsia="Calibri" w:hAnsi="Times New Roman" w:cs="Times New Roman"/>
                <w:kern w:val="0"/>
                <w:sz w:val="20"/>
                <w:szCs w:val="20"/>
                <w:lang w:val="sr-Cyrl-RS" w:eastAsia="el-GR"/>
                <w14:ligatures w14:val="none"/>
              </w:rPr>
              <w:t xml:space="preserve">Оператор преносног система и оператор тржишта (АД </w:t>
            </w:r>
            <w:r w:rsidR="00BD28AA" w:rsidRPr="009C19C5">
              <w:rPr>
                <w:rFonts w:ascii="Times New Roman" w:eastAsia="Calibri" w:hAnsi="Times New Roman" w:cs="Times New Roman"/>
                <w:color w:val="000000"/>
                <w:kern w:val="0"/>
                <w:sz w:val="20"/>
                <w:szCs w:val="20"/>
                <w:lang w:val="sr-Cyrl-RS" w:eastAsia="sr-Latn-CS"/>
                <w14:ligatures w14:val="none"/>
              </w:rPr>
              <w:t>„</w:t>
            </w:r>
            <w:r w:rsidRPr="009C19C5">
              <w:rPr>
                <w:rFonts w:ascii="Times New Roman" w:eastAsia="Calibri" w:hAnsi="Times New Roman" w:cs="Times New Roman"/>
                <w:iCs/>
                <w:kern w:val="0"/>
                <w:sz w:val="20"/>
                <w:szCs w:val="20"/>
                <w:lang w:val="sr-Cyrl-RS" w:eastAsia="el-GR"/>
                <w14:ligatures w14:val="none"/>
              </w:rPr>
              <w:t>Електромрежа Србије</w:t>
            </w:r>
            <w:r w:rsidR="00BD28AA" w:rsidRPr="009C19C5">
              <w:rPr>
                <w:rFonts w:ascii="Times New Roman" w:eastAsia="Calibri" w:hAnsi="Times New Roman" w:cs="Times New Roman"/>
                <w:bCs/>
                <w:color w:val="000000"/>
                <w:kern w:val="0"/>
                <w:sz w:val="20"/>
                <w:szCs w:val="20"/>
                <w:lang w:val="sr-Cyrl-RS" w:eastAsia="sr-Latn-CS"/>
                <w14:ligatures w14:val="none"/>
              </w:rPr>
              <w:t>”</w:t>
            </w:r>
            <w:r w:rsidRPr="009C19C5">
              <w:rPr>
                <w:rFonts w:ascii="Times New Roman" w:eastAsia="Calibri" w:hAnsi="Times New Roman" w:cs="Times New Roman"/>
                <w:iCs/>
                <w:kern w:val="0"/>
                <w:sz w:val="20"/>
                <w:szCs w:val="20"/>
                <w:lang w:val="sr-Cyrl-RS" w:eastAsia="el-GR"/>
                <w14:ligatures w14:val="none"/>
              </w:rPr>
              <w:t xml:space="preserve"> Београд</w:t>
            </w:r>
            <w:r w:rsidRPr="009C19C5">
              <w:rPr>
                <w:rFonts w:ascii="Times New Roman" w:eastAsia="Calibri" w:hAnsi="Times New Roman" w:cs="Times New Roman"/>
                <w:kern w:val="0"/>
                <w:sz w:val="20"/>
                <w:szCs w:val="20"/>
                <w:lang w:val="sr-Cyrl-RS" w:eastAsia="el-GR"/>
                <w14:ligatures w14:val="none"/>
              </w:rPr>
              <w:t>)</w:t>
            </w:r>
          </w:p>
        </w:tc>
        <w:tc>
          <w:tcPr>
            <w:tcW w:w="5511" w:type="dxa"/>
            <w:shd w:val="clear" w:color="auto" w:fill="auto"/>
          </w:tcPr>
          <w:p w14:paraId="4F3558B9" w14:textId="49879298" w:rsidR="00EB4C9A" w:rsidRPr="009C19C5" w:rsidRDefault="00EB4C9A" w:rsidP="00EB4C9A">
            <w:pPr>
              <w:spacing w:after="0" w:line="276" w:lineRule="auto"/>
              <w:rPr>
                <w:rFonts w:ascii="Times New Roman" w:eastAsia="Times New Roman" w:hAnsi="Times New Roman" w:cs="Times New Roman"/>
                <w:kern w:val="0"/>
                <w:sz w:val="20"/>
                <w:szCs w:val="20"/>
                <w:lang w:val="sr-Cyrl-RS"/>
                <w14:ligatures w14:val="none"/>
              </w:rPr>
            </w:pPr>
            <w:r w:rsidRPr="009C19C5">
              <w:rPr>
                <w:rFonts w:ascii="Times New Roman" w:hAnsi="Times New Roman" w:cs="Times New Roman"/>
                <w:sz w:val="20"/>
                <w:szCs w:val="20"/>
                <w:lang w:val="sr-Cyrl-RS"/>
              </w:rPr>
              <w:t>Учешће у радним групама у циљу подршке и помоћи у спровођењу мера и активности</w:t>
            </w:r>
            <w:r w:rsidRPr="009C19C5" w:rsidDel="00531F58">
              <w:rPr>
                <w:rFonts w:ascii="Times New Roman" w:hAnsi="Times New Roman" w:cs="Times New Roman"/>
                <w:sz w:val="20"/>
                <w:szCs w:val="20"/>
                <w:lang w:val="sr-Cyrl-RS"/>
              </w:rPr>
              <w:t xml:space="preserve"> </w:t>
            </w:r>
            <w:r w:rsidR="006C0EE0" w:rsidRPr="009C19C5">
              <w:rPr>
                <w:rFonts w:ascii="Times New Roman" w:hAnsi="Times New Roman" w:cs="Times New Roman"/>
                <w:sz w:val="20"/>
                <w:szCs w:val="20"/>
                <w:lang w:val="sr-Cyrl-RS"/>
              </w:rPr>
              <w:t>.</w:t>
            </w:r>
          </w:p>
        </w:tc>
      </w:tr>
      <w:tr w:rsidR="00EB4C9A" w:rsidRPr="009C19C5" w14:paraId="43399FCB" w14:textId="77777777" w:rsidTr="006C0EE0">
        <w:tc>
          <w:tcPr>
            <w:tcW w:w="4945" w:type="dxa"/>
            <w:shd w:val="clear" w:color="auto" w:fill="auto"/>
            <w:vAlign w:val="center"/>
          </w:tcPr>
          <w:p w14:paraId="394CFEF9" w14:textId="77777777" w:rsidR="00EB4C9A" w:rsidRPr="009C19C5" w:rsidRDefault="00EB4C9A" w:rsidP="00EB4C9A">
            <w:pPr>
              <w:spacing w:after="0" w:line="276" w:lineRule="auto"/>
              <w:rPr>
                <w:rFonts w:ascii="Times New Roman" w:hAnsi="Times New Roman" w:cs="Times New Roman"/>
                <w:sz w:val="20"/>
                <w:szCs w:val="20"/>
                <w:lang w:val="sr-Cyrl-RS"/>
              </w:rPr>
            </w:pPr>
            <w:r w:rsidRPr="009C19C5">
              <w:rPr>
                <w:rFonts w:ascii="Times New Roman" w:eastAsia="Calibri" w:hAnsi="Times New Roman" w:cs="Times New Roman"/>
                <w:sz w:val="20"/>
                <w:szCs w:val="20"/>
                <w:lang w:val="sr-Cyrl-RS"/>
              </w:rPr>
              <w:t>Оператор система дистрибуције (Електродистрибуција Србије д.о.о. Београд)</w:t>
            </w:r>
          </w:p>
        </w:tc>
        <w:tc>
          <w:tcPr>
            <w:tcW w:w="5511" w:type="dxa"/>
            <w:shd w:val="clear" w:color="auto" w:fill="auto"/>
          </w:tcPr>
          <w:p w14:paraId="59DE60EF" w14:textId="1C998B74" w:rsidR="00EB4C9A" w:rsidRPr="009C19C5" w:rsidRDefault="00EB4C9A" w:rsidP="00EB4C9A">
            <w:pPr>
              <w:spacing w:after="0" w:line="276" w:lineRule="auto"/>
              <w:rPr>
                <w:rFonts w:ascii="Times New Roman" w:eastAsia="Times New Roman" w:hAnsi="Times New Roman" w:cs="Times New Roman"/>
                <w:kern w:val="0"/>
                <w:sz w:val="20"/>
                <w:szCs w:val="20"/>
                <w:lang w:val="sr-Cyrl-RS"/>
                <w14:ligatures w14:val="none"/>
              </w:rPr>
            </w:pPr>
            <w:r w:rsidRPr="009C19C5">
              <w:rPr>
                <w:rFonts w:ascii="Times New Roman" w:hAnsi="Times New Roman" w:cs="Times New Roman"/>
                <w:sz w:val="20"/>
                <w:szCs w:val="20"/>
                <w:lang w:val="sr-Cyrl-RS"/>
              </w:rPr>
              <w:t>Учешће у радним групама у циљу подршке и помоћи у спровођењу мера и активности</w:t>
            </w:r>
            <w:r w:rsidR="006C0EE0" w:rsidRPr="009C19C5">
              <w:rPr>
                <w:rFonts w:ascii="Times New Roman" w:hAnsi="Times New Roman" w:cs="Times New Roman"/>
                <w:sz w:val="20"/>
                <w:szCs w:val="20"/>
                <w:lang w:val="sr-Cyrl-RS"/>
              </w:rPr>
              <w:t>.</w:t>
            </w:r>
            <w:r w:rsidRPr="009C19C5">
              <w:rPr>
                <w:rFonts w:ascii="Times New Roman" w:hAnsi="Times New Roman" w:cs="Times New Roman"/>
                <w:sz w:val="20"/>
                <w:szCs w:val="20"/>
                <w:lang w:val="sr-Cyrl-RS"/>
              </w:rPr>
              <w:t xml:space="preserve"> </w:t>
            </w:r>
          </w:p>
        </w:tc>
      </w:tr>
      <w:tr w:rsidR="00EB4C9A" w:rsidRPr="009C19C5" w14:paraId="7ED01A19" w14:textId="77777777" w:rsidTr="006C0EE0">
        <w:tc>
          <w:tcPr>
            <w:tcW w:w="4945" w:type="dxa"/>
            <w:shd w:val="clear" w:color="auto" w:fill="auto"/>
            <w:vAlign w:val="center"/>
          </w:tcPr>
          <w:p w14:paraId="14B408F6" w14:textId="3CA4AF71" w:rsidR="00EB4C9A" w:rsidRPr="009C19C5" w:rsidRDefault="00EB4C9A" w:rsidP="00E46D2F">
            <w:pPr>
              <w:spacing w:after="0" w:line="276" w:lineRule="auto"/>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Пословно удружење</w:t>
            </w:r>
            <w:r w:rsidR="00E46D2F" w:rsidRPr="009C19C5">
              <w:rPr>
                <w:rFonts w:ascii="Times New Roman" w:eastAsia="Times New Roman" w:hAnsi="Times New Roman" w:cs="Times New Roman"/>
                <w:kern w:val="0"/>
                <w:sz w:val="20"/>
                <w:szCs w:val="20"/>
                <w:lang w:val="sr-Cyrl-RS"/>
                <w14:ligatures w14:val="none"/>
              </w:rPr>
              <w:t xml:space="preserve"> </w:t>
            </w:r>
            <w:r w:rsidR="00E46D2F" w:rsidRPr="009C19C5">
              <w:rPr>
                <w:rFonts w:ascii="Times New Roman" w:eastAsia="Times New Roman" w:hAnsi="Times New Roman" w:cs="Times New Roman"/>
                <w:color w:val="000000"/>
                <w:kern w:val="0"/>
                <w:sz w:val="20"/>
                <w:szCs w:val="20"/>
                <w:lang w:val="sr-Cyrl-RS" w:eastAsia="sr-Latn-CS"/>
                <w14:ligatures w14:val="none"/>
              </w:rPr>
              <w:t>„</w:t>
            </w:r>
            <w:r w:rsidRPr="009C19C5">
              <w:rPr>
                <w:rFonts w:ascii="Times New Roman" w:eastAsia="Times New Roman" w:hAnsi="Times New Roman" w:cs="Times New Roman"/>
                <w:kern w:val="0"/>
                <w:sz w:val="20"/>
                <w:szCs w:val="20"/>
                <w:lang w:val="sr-Cyrl-RS"/>
                <w14:ligatures w14:val="none"/>
              </w:rPr>
              <w:t>Топлане Србије</w:t>
            </w:r>
            <w:r w:rsidR="00E46D2F" w:rsidRPr="009C19C5">
              <w:rPr>
                <w:rFonts w:ascii="Times New Roman" w:eastAsia="Times New Roman" w:hAnsi="Times New Roman" w:cs="Times New Roman"/>
                <w:bCs/>
                <w:color w:val="000000"/>
                <w:kern w:val="0"/>
                <w:sz w:val="20"/>
                <w:szCs w:val="20"/>
                <w:lang w:val="sr-Cyrl-RS" w:eastAsia="sr-Latn-CS"/>
                <w14:ligatures w14:val="none"/>
              </w:rPr>
              <w:t>”</w:t>
            </w:r>
          </w:p>
        </w:tc>
        <w:tc>
          <w:tcPr>
            <w:tcW w:w="5511" w:type="dxa"/>
            <w:shd w:val="clear" w:color="auto" w:fill="auto"/>
          </w:tcPr>
          <w:p w14:paraId="59C89384" w14:textId="6284D2D8" w:rsidR="00EB4C9A" w:rsidRPr="009C19C5" w:rsidRDefault="00EB4C9A" w:rsidP="00EB4C9A">
            <w:pPr>
              <w:spacing w:after="0" w:line="276" w:lineRule="auto"/>
              <w:rPr>
                <w:rFonts w:ascii="Times New Roman" w:eastAsia="Times New Roman" w:hAnsi="Times New Roman" w:cs="Times New Roman"/>
                <w:kern w:val="0"/>
                <w:sz w:val="20"/>
                <w:szCs w:val="20"/>
                <w:lang w:val="sr-Cyrl-RS"/>
                <w14:ligatures w14:val="none"/>
              </w:rPr>
            </w:pPr>
            <w:r w:rsidRPr="009C19C5">
              <w:rPr>
                <w:rFonts w:ascii="Times New Roman" w:hAnsi="Times New Roman" w:cs="Times New Roman"/>
                <w:sz w:val="20"/>
                <w:szCs w:val="20"/>
                <w:lang w:val="sr-Cyrl-RS"/>
              </w:rPr>
              <w:t>Учешће у радним групама у циљу подршке и помоћи у спровођењу мера и активности</w:t>
            </w:r>
            <w:r w:rsidR="006C0EE0" w:rsidRPr="009C19C5">
              <w:rPr>
                <w:rFonts w:ascii="Times New Roman" w:hAnsi="Times New Roman" w:cs="Times New Roman"/>
                <w:sz w:val="20"/>
                <w:szCs w:val="20"/>
                <w:lang w:val="sr-Cyrl-RS"/>
              </w:rPr>
              <w:t>.</w:t>
            </w:r>
            <w:r w:rsidRPr="009C19C5" w:rsidDel="00531F58">
              <w:rPr>
                <w:rFonts w:ascii="Times New Roman" w:hAnsi="Times New Roman" w:cs="Times New Roman"/>
                <w:sz w:val="20"/>
                <w:szCs w:val="20"/>
                <w:lang w:val="sr-Cyrl-RS"/>
              </w:rPr>
              <w:t xml:space="preserve"> </w:t>
            </w:r>
          </w:p>
        </w:tc>
      </w:tr>
      <w:tr w:rsidR="00EB4C9A" w:rsidRPr="009C19C5" w14:paraId="144C3E47" w14:textId="77777777" w:rsidTr="006C0EE0">
        <w:tc>
          <w:tcPr>
            <w:tcW w:w="4945" w:type="dxa"/>
            <w:shd w:val="clear" w:color="auto" w:fill="auto"/>
            <w:vAlign w:val="center"/>
          </w:tcPr>
          <w:p w14:paraId="1086278C" w14:textId="4BF5581F" w:rsidR="00EB4C9A" w:rsidRPr="009C19C5" w:rsidRDefault="00EB4C9A" w:rsidP="00405D96">
            <w:pPr>
              <w:spacing w:after="0" w:line="276" w:lineRule="auto"/>
              <w:rPr>
                <w:rFonts w:ascii="Times New Roman" w:eastAsia="Times New Roman" w:hAnsi="Times New Roman" w:cs="Times New Roman"/>
                <w:kern w:val="0"/>
                <w:sz w:val="20"/>
                <w:szCs w:val="20"/>
                <w:lang w:val="sr-Cyrl-RS"/>
                <w14:ligatures w14:val="none"/>
              </w:rPr>
            </w:pPr>
            <w:r w:rsidRPr="009C19C5">
              <w:rPr>
                <w:rFonts w:ascii="Times New Roman" w:eastAsia="Calibri" w:hAnsi="Times New Roman" w:cs="Times New Roman"/>
                <w:kern w:val="0"/>
                <w:sz w:val="20"/>
                <w:szCs w:val="20"/>
                <w:lang w:val="sr-Cyrl-RS" w:eastAsia="el-GR"/>
                <w14:ligatures w14:val="none"/>
              </w:rPr>
              <w:t>Акционарско друштво</w:t>
            </w:r>
            <w:r w:rsidR="00405D96" w:rsidRPr="009C19C5">
              <w:rPr>
                <w:rFonts w:ascii="Times New Roman" w:eastAsia="Calibri" w:hAnsi="Times New Roman" w:cs="Times New Roman"/>
                <w:kern w:val="0"/>
                <w:sz w:val="20"/>
                <w:szCs w:val="20"/>
                <w:lang w:val="sr-Cyrl-RS" w:eastAsia="el-GR"/>
                <w14:ligatures w14:val="none"/>
              </w:rPr>
              <w:t xml:space="preserve"> </w:t>
            </w:r>
            <w:r w:rsidR="00405D96" w:rsidRPr="009C19C5">
              <w:rPr>
                <w:rFonts w:ascii="Times New Roman" w:eastAsia="Calibri" w:hAnsi="Times New Roman" w:cs="Times New Roman"/>
                <w:color w:val="000000"/>
                <w:kern w:val="0"/>
                <w:sz w:val="20"/>
                <w:szCs w:val="20"/>
                <w:lang w:val="sr-Cyrl-RS" w:eastAsia="sr-Latn-CS"/>
                <w14:ligatures w14:val="none"/>
              </w:rPr>
              <w:t>„</w:t>
            </w:r>
            <w:r w:rsidRPr="009C19C5">
              <w:rPr>
                <w:rFonts w:ascii="Times New Roman" w:eastAsia="Calibri" w:hAnsi="Times New Roman" w:cs="Times New Roman"/>
                <w:kern w:val="0"/>
                <w:sz w:val="20"/>
                <w:szCs w:val="20"/>
                <w:lang w:val="sr-Cyrl-RS" w:eastAsia="el-GR"/>
                <w14:ligatures w14:val="none"/>
              </w:rPr>
              <w:t>Електропривреда Србије</w:t>
            </w:r>
            <w:r w:rsidR="00405D96" w:rsidRPr="009C19C5">
              <w:rPr>
                <w:rFonts w:ascii="Times New Roman" w:eastAsia="Calibri" w:hAnsi="Times New Roman" w:cs="Times New Roman"/>
                <w:bCs/>
                <w:color w:val="000000"/>
                <w:kern w:val="0"/>
                <w:sz w:val="20"/>
                <w:szCs w:val="20"/>
                <w:lang w:val="sr-Cyrl-RS" w:eastAsia="sr-Latn-CS"/>
                <w14:ligatures w14:val="none"/>
              </w:rPr>
              <w:t>”</w:t>
            </w:r>
            <w:r w:rsidRPr="009C19C5">
              <w:rPr>
                <w:rFonts w:ascii="Times New Roman" w:eastAsia="Calibri" w:hAnsi="Times New Roman" w:cs="Times New Roman"/>
                <w:kern w:val="0"/>
                <w:sz w:val="20"/>
                <w:szCs w:val="20"/>
                <w:lang w:val="sr-Cyrl-RS" w:eastAsia="el-GR"/>
                <w14:ligatures w14:val="none"/>
              </w:rPr>
              <w:t xml:space="preserve"> (</w:t>
            </w:r>
            <w:r w:rsidR="00A7582E" w:rsidRPr="009C19C5">
              <w:rPr>
                <w:rFonts w:ascii="Times New Roman" w:hAnsi="Times New Roman" w:cs="Times New Roman"/>
                <w:sz w:val="20"/>
                <w:szCs w:val="20"/>
                <w:lang w:val="sr-Cyrl-RS"/>
              </w:rPr>
              <w:t>ЕПС АД</w:t>
            </w:r>
            <w:r w:rsidRPr="009C19C5">
              <w:rPr>
                <w:rFonts w:ascii="Times New Roman" w:eastAsia="Calibri" w:hAnsi="Times New Roman" w:cs="Times New Roman"/>
                <w:kern w:val="0"/>
                <w:sz w:val="20"/>
                <w:szCs w:val="20"/>
                <w:lang w:val="sr-Cyrl-RS" w:eastAsia="el-GR"/>
                <w14:ligatures w14:val="none"/>
              </w:rPr>
              <w:t>)</w:t>
            </w:r>
          </w:p>
        </w:tc>
        <w:tc>
          <w:tcPr>
            <w:tcW w:w="5511" w:type="dxa"/>
            <w:shd w:val="clear" w:color="auto" w:fill="auto"/>
          </w:tcPr>
          <w:p w14:paraId="05A7E015" w14:textId="568F00A2" w:rsidR="00EB4C9A" w:rsidRPr="009C19C5" w:rsidRDefault="00EB4C9A" w:rsidP="00EB4C9A">
            <w:pPr>
              <w:spacing w:after="0" w:line="276" w:lineRule="auto"/>
              <w:rPr>
                <w:rFonts w:ascii="Times New Roman" w:hAnsi="Times New Roman" w:cs="Times New Roman"/>
                <w:sz w:val="20"/>
                <w:szCs w:val="20"/>
                <w:lang w:val="sr-Cyrl-RS"/>
              </w:rPr>
            </w:pPr>
            <w:r w:rsidRPr="009C19C5">
              <w:rPr>
                <w:rFonts w:ascii="Times New Roman" w:hAnsi="Times New Roman" w:cs="Times New Roman"/>
                <w:sz w:val="20"/>
                <w:szCs w:val="20"/>
                <w:lang w:val="sr-Cyrl-RS"/>
              </w:rPr>
              <w:t>Учешће у радним групама у циљу коорд</w:t>
            </w:r>
            <w:r w:rsidR="00A53D3C" w:rsidRPr="009C19C5">
              <w:rPr>
                <w:rFonts w:ascii="Times New Roman" w:hAnsi="Times New Roman" w:cs="Times New Roman"/>
                <w:sz w:val="20"/>
                <w:szCs w:val="20"/>
                <w:lang w:val="sr-Cyrl-RS"/>
              </w:rPr>
              <w:t>и</w:t>
            </w:r>
            <w:r w:rsidRPr="009C19C5">
              <w:rPr>
                <w:rFonts w:ascii="Times New Roman" w:hAnsi="Times New Roman" w:cs="Times New Roman"/>
                <w:sz w:val="20"/>
                <w:szCs w:val="20"/>
                <w:lang w:val="sr-Cyrl-RS"/>
              </w:rPr>
              <w:t>н</w:t>
            </w:r>
            <w:r w:rsidR="00A53D3C" w:rsidRPr="009C19C5">
              <w:rPr>
                <w:rFonts w:ascii="Times New Roman" w:hAnsi="Times New Roman" w:cs="Times New Roman"/>
                <w:sz w:val="20"/>
                <w:szCs w:val="20"/>
                <w:lang w:val="sr-Cyrl-RS"/>
              </w:rPr>
              <w:t>а</w:t>
            </w:r>
            <w:r w:rsidRPr="009C19C5">
              <w:rPr>
                <w:rFonts w:ascii="Times New Roman" w:hAnsi="Times New Roman" w:cs="Times New Roman"/>
                <w:sz w:val="20"/>
                <w:szCs w:val="20"/>
                <w:lang w:val="sr-Cyrl-RS"/>
              </w:rPr>
              <w:t>ције,</w:t>
            </w:r>
            <w:r w:rsidR="00540C76" w:rsidRPr="009C19C5">
              <w:rPr>
                <w:rFonts w:ascii="Times New Roman" w:hAnsi="Times New Roman" w:cs="Times New Roman"/>
                <w:sz w:val="20"/>
                <w:szCs w:val="20"/>
                <w:lang w:val="sr-Cyrl-RS"/>
              </w:rPr>
              <w:t xml:space="preserve"> </w:t>
            </w:r>
            <w:r w:rsidRPr="009C19C5">
              <w:rPr>
                <w:rFonts w:ascii="Times New Roman" w:hAnsi="Times New Roman" w:cs="Times New Roman"/>
                <w:sz w:val="20"/>
                <w:szCs w:val="20"/>
                <w:lang w:val="sr-Cyrl-RS"/>
              </w:rPr>
              <w:t>реализације и мониторинга  мера и активности.</w:t>
            </w:r>
            <w:r w:rsidR="00540C76" w:rsidRPr="009C19C5">
              <w:rPr>
                <w:rFonts w:ascii="Times New Roman" w:hAnsi="Times New Roman" w:cs="Times New Roman"/>
                <w:sz w:val="20"/>
                <w:szCs w:val="20"/>
                <w:lang w:val="sr-Cyrl-RS"/>
              </w:rPr>
              <w:t xml:space="preserve"> </w:t>
            </w:r>
            <w:r w:rsidRPr="009C19C5">
              <w:rPr>
                <w:rFonts w:ascii="Times New Roman" w:hAnsi="Times New Roman" w:cs="Times New Roman"/>
                <w:sz w:val="20"/>
                <w:szCs w:val="20"/>
                <w:lang w:val="sr-Cyrl-RS"/>
              </w:rPr>
              <w:t>Спровођење мера и политика праведне енергетске транзиције</w:t>
            </w:r>
            <w:r w:rsidR="006C0EE0" w:rsidRPr="009C19C5">
              <w:rPr>
                <w:rFonts w:ascii="Times New Roman" w:hAnsi="Times New Roman" w:cs="Times New Roman"/>
                <w:sz w:val="20"/>
                <w:szCs w:val="20"/>
                <w:lang w:val="sr-Cyrl-RS"/>
              </w:rPr>
              <w:t>.</w:t>
            </w:r>
            <w:r w:rsidRPr="009C19C5">
              <w:rPr>
                <w:rFonts w:ascii="Times New Roman" w:hAnsi="Times New Roman" w:cs="Times New Roman"/>
                <w:sz w:val="20"/>
                <w:szCs w:val="20"/>
                <w:lang w:val="sr-Cyrl-RS"/>
              </w:rPr>
              <w:t xml:space="preserve"> </w:t>
            </w:r>
          </w:p>
        </w:tc>
      </w:tr>
      <w:tr w:rsidR="00EB4C9A" w:rsidRPr="009C19C5" w14:paraId="011A0F1F" w14:textId="77777777" w:rsidTr="006C0EE0">
        <w:tc>
          <w:tcPr>
            <w:tcW w:w="4945" w:type="dxa"/>
            <w:shd w:val="clear" w:color="auto" w:fill="auto"/>
            <w:vAlign w:val="center"/>
          </w:tcPr>
          <w:p w14:paraId="4BFDE98E" w14:textId="77777777" w:rsidR="00EB4C9A" w:rsidRPr="009C19C5" w:rsidRDefault="00EB4C9A" w:rsidP="00EB4C9A">
            <w:pPr>
              <w:spacing w:after="0" w:line="276" w:lineRule="auto"/>
              <w:rPr>
                <w:rFonts w:ascii="Times New Roman" w:eastAsia="Calibri" w:hAnsi="Times New Roman" w:cs="Times New Roman"/>
                <w:kern w:val="0"/>
                <w:sz w:val="20"/>
                <w:szCs w:val="20"/>
                <w:lang w:val="sr-Cyrl-RS" w:eastAsia="el-GR"/>
                <w14:ligatures w14:val="none"/>
              </w:rPr>
            </w:pPr>
            <w:r w:rsidRPr="009C19C5">
              <w:rPr>
                <w:rFonts w:ascii="Times New Roman" w:eastAsia="Calibri" w:hAnsi="Times New Roman" w:cs="Times New Roman"/>
                <w:kern w:val="0"/>
                <w:sz w:val="20"/>
                <w:szCs w:val="20"/>
                <w:lang w:val="sr-Cyrl-RS" w:eastAsia="el-GR"/>
                <w14:ligatures w14:val="none"/>
              </w:rPr>
              <w:t xml:space="preserve">ЈП ПЕУ Ресавица </w:t>
            </w:r>
          </w:p>
        </w:tc>
        <w:tc>
          <w:tcPr>
            <w:tcW w:w="5511" w:type="dxa"/>
            <w:shd w:val="clear" w:color="auto" w:fill="auto"/>
          </w:tcPr>
          <w:p w14:paraId="66F5DC87" w14:textId="4EDC0E02" w:rsidR="00EB4C9A" w:rsidRPr="009C19C5" w:rsidRDefault="00EB4C9A" w:rsidP="00EB4C9A">
            <w:pPr>
              <w:spacing w:after="0" w:line="276" w:lineRule="auto"/>
              <w:rPr>
                <w:rFonts w:ascii="Times New Roman" w:hAnsi="Times New Roman" w:cs="Times New Roman"/>
                <w:sz w:val="20"/>
                <w:szCs w:val="20"/>
                <w:lang w:val="sr-Cyrl-RS"/>
              </w:rPr>
            </w:pPr>
            <w:r w:rsidRPr="009C19C5">
              <w:rPr>
                <w:rFonts w:ascii="Times New Roman" w:hAnsi="Times New Roman" w:cs="Times New Roman"/>
                <w:sz w:val="20"/>
                <w:szCs w:val="20"/>
                <w:lang w:val="sr-Cyrl-RS"/>
              </w:rPr>
              <w:t>Учешће у радним групама у циљу коорд</w:t>
            </w:r>
            <w:r w:rsidR="00A53D3C" w:rsidRPr="009C19C5">
              <w:rPr>
                <w:rFonts w:ascii="Times New Roman" w:hAnsi="Times New Roman" w:cs="Times New Roman"/>
                <w:sz w:val="20"/>
                <w:szCs w:val="20"/>
                <w:lang w:val="sr-Cyrl-RS"/>
              </w:rPr>
              <w:t>и</w:t>
            </w:r>
            <w:r w:rsidRPr="009C19C5">
              <w:rPr>
                <w:rFonts w:ascii="Times New Roman" w:hAnsi="Times New Roman" w:cs="Times New Roman"/>
                <w:sz w:val="20"/>
                <w:szCs w:val="20"/>
                <w:lang w:val="sr-Cyrl-RS"/>
              </w:rPr>
              <w:t>н</w:t>
            </w:r>
            <w:r w:rsidR="00A53D3C" w:rsidRPr="009C19C5">
              <w:rPr>
                <w:rFonts w:ascii="Times New Roman" w:hAnsi="Times New Roman" w:cs="Times New Roman"/>
                <w:sz w:val="20"/>
                <w:szCs w:val="20"/>
                <w:lang w:val="sr-Cyrl-RS"/>
              </w:rPr>
              <w:t>а</w:t>
            </w:r>
            <w:r w:rsidRPr="009C19C5">
              <w:rPr>
                <w:rFonts w:ascii="Times New Roman" w:hAnsi="Times New Roman" w:cs="Times New Roman"/>
                <w:sz w:val="20"/>
                <w:szCs w:val="20"/>
                <w:lang w:val="sr-Cyrl-RS"/>
              </w:rPr>
              <w:t>ције,</w:t>
            </w:r>
            <w:r w:rsidR="00540C76" w:rsidRPr="009C19C5">
              <w:rPr>
                <w:rFonts w:ascii="Times New Roman" w:hAnsi="Times New Roman" w:cs="Times New Roman"/>
                <w:sz w:val="20"/>
                <w:szCs w:val="20"/>
                <w:lang w:val="sr-Cyrl-RS"/>
              </w:rPr>
              <w:t xml:space="preserve"> </w:t>
            </w:r>
            <w:r w:rsidRPr="009C19C5">
              <w:rPr>
                <w:rFonts w:ascii="Times New Roman" w:hAnsi="Times New Roman" w:cs="Times New Roman"/>
                <w:sz w:val="20"/>
                <w:szCs w:val="20"/>
                <w:lang w:val="sr-Cyrl-RS"/>
              </w:rPr>
              <w:t>реализације и мониторинга  мера и активности.</w:t>
            </w:r>
            <w:r w:rsidR="00540C76" w:rsidRPr="009C19C5">
              <w:rPr>
                <w:rFonts w:ascii="Times New Roman" w:hAnsi="Times New Roman" w:cs="Times New Roman"/>
                <w:sz w:val="20"/>
                <w:szCs w:val="20"/>
                <w:lang w:val="sr-Cyrl-RS"/>
              </w:rPr>
              <w:t xml:space="preserve"> </w:t>
            </w:r>
            <w:r w:rsidRPr="009C19C5">
              <w:rPr>
                <w:rFonts w:ascii="Times New Roman" w:hAnsi="Times New Roman" w:cs="Times New Roman"/>
                <w:sz w:val="20"/>
                <w:szCs w:val="20"/>
                <w:lang w:val="sr-Cyrl-RS"/>
              </w:rPr>
              <w:t>Спровођење мера и политика праведне енергетске транзиције</w:t>
            </w:r>
            <w:r w:rsidR="006C0EE0" w:rsidRPr="009C19C5">
              <w:rPr>
                <w:rFonts w:ascii="Times New Roman" w:hAnsi="Times New Roman" w:cs="Times New Roman"/>
                <w:sz w:val="20"/>
                <w:szCs w:val="20"/>
                <w:lang w:val="sr-Cyrl-RS"/>
              </w:rPr>
              <w:t>.</w:t>
            </w:r>
            <w:r w:rsidRPr="009C19C5">
              <w:rPr>
                <w:rFonts w:ascii="Times New Roman" w:hAnsi="Times New Roman" w:cs="Times New Roman"/>
                <w:sz w:val="20"/>
                <w:szCs w:val="20"/>
                <w:lang w:val="sr-Cyrl-RS"/>
              </w:rPr>
              <w:t xml:space="preserve"> </w:t>
            </w:r>
          </w:p>
        </w:tc>
      </w:tr>
      <w:tr w:rsidR="00EB4C9A" w:rsidRPr="009C19C5" w14:paraId="661D5CEE" w14:textId="77777777" w:rsidTr="006C0EE0">
        <w:tc>
          <w:tcPr>
            <w:tcW w:w="4945" w:type="dxa"/>
            <w:shd w:val="clear" w:color="auto" w:fill="auto"/>
            <w:vAlign w:val="center"/>
          </w:tcPr>
          <w:p w14:paraId="175A5933" w14:textId="5604D856" w:rsidR="00EB4C9A" w:rsidRPr="009C19C5" w:rsidRDefault="00EB4C9A" w:rsidP="00EB4C9A">
            <w:pPr>
              <w:spacing w:after="0" w:line="276" w:lineRule="auto"/>
              <w:rPr>
                <w:rFonts w:ascii="Times New Roman" w:eastAsia="Calibri" w:hAnsi="Times New Roman" w:cs="Times New Roman"/>
                <w:kern w:val="0"/>
                <w:sz w:val="20"/>
                <w:szCs w:val="20"/>
                <w:lang w:val="sr-Cyrl-RS" w:eastAsia="el-GR"/>
                <w14:ligatures w14:val="none"/>
              </w:rPr>
            </w:pPr>
            <w:r w:rsidRPr="009C19C5">
              <w:rPr>
                <w:rFonts w:ascii="Times New Roman" w:eastAsia="Calibri" w:hAnsi="Times New Roman" w:cs="Times New Roman"/>
                <w:kern w:val="0"/>
                <w:sz w:val="20"/>
                <w:szCs w:val="20"/>
                <w:lang w:val="sr-Cyrl-RS" w:eastAsia="el-GR"/>
                <w14:ligatures w14:val="none"/>
              </w:rPr>
              <w:t>Рудник Ковин а</w:t>
            </w:r>
            <w:r w:rsidR="00540C76" w:rsidRPr="009C19C5">
              <w:rPr>
                <w:rFonts w:ascii="Times New Roman" w:eastAsia="Calibri" w:hAnsi="Times New Roman" w:cs="Times New Roman"/>
                <w:kern w:val="0"/>
                <w:sz w:val="20"/>
                <w:szCs w:val="20"/>
                <w:lang w:val="sr-Cyrl-RS" w:eastAsia="el-GR"/>
                <w14:ligatures w14:val="none"/>
              </w:rPr>
              <w:t>.</w:t>
            </w:r>
            <w:r w:rsidRPr="009C19C5">
              <w:rPr>
                <w:rFonts w:ascii="Times New Roman" w:eastAsia="Calibri" w:hAnsi="Times New Roman" w:cs="Times New Roman"/>
                <w:kern w:val="0"/>
                <w:sz w:val="20"/>
                <w:szCs w:val="20"/>
                <w:lang w:val="sr-Cyrl-RS" w:eastAsia="el-GR"/>
                <w14:ligatures w14:val="none"/>
              </w:rPr>
              <w:t>д</w:t>
            </w:r>
            <w:r w:rsidR="00540C76" w:rsidRPr="009C19C5">
              <w:rPr>
                <w:rFonts w:ascii="Times New Roman" w:eastAsia="Calibri" w:hAnsi="Times New Roman" w:cs="Times New Roman"/>
                <w:kern w:val="0"/>
                <w:sz w:val="20"/>
                <w:szCs w:val="20"/>
                <w:lang w:val="sr-Cyrl-RS" w:eastAsia="el-GR"/>
                <w14:ligatures w14:val="none"/>
              </w:rPr>
              <w:t>.</w:t>
            </w:r>
          </w:p>
        </w:tc>
        <w:tc>
          <w:tcPr>
            <w:tcW w:w="5511" w:type="dxa"/>
            <w:shd w:val="clear" w:color="auto" w:fill="auto"/>
          </w:tcPr>
          <w:p w14:paraId="001CA61D" w14:textId="4402D422" w:rsidR="00EB4C9A" w:rsidRPr="009C19C5" w:rsidRDefault="00EB4C9A" w:rsidP="00EB4C9A">
            <w:pPr>
              <w:spacing w:after="0" w:line="276" w:lineRule="auto"/>
              <w:rPr>
                <w:rFonts w:ascii="Times New Roman" w:hAnsi="Times New Roman" w:cs="Times New Roman"/>
                <w:sz w:val="20"/>
                <w:szCs w:val="20"/>
                <w:lang w:val="sr-Cyrl-RS"/>
              </w:rPr>
            </w:pPr>
            <w:r w:rsidRPr="009C19C5">
              <w:rPr>
                <w:rFonts w:ascii="Times New Roman" w:hAnsi="Times New Roman" w:cs="Times New Roman"/>
                <w:sz w:val="20"/>
                <w:szCs w:val="20"/>
                <w:lang w:val="sr-Cyrl-RS"/>
              </w:rPr>
              <w:t>Учешће у радним групама у циљу координације,</w:t>
            </w:r>
            <w:r w:rsidR="00540C76" w:rsidRPr="009C19C5">
              <w:rPr>
                <w:rFonts w:ascii="Times New Roman" w:hAnsi="Times New Roman" w:cs="Times New Roman"/>
                <w:sz w:val="20"/>
                <w:szCs w:val="20"/>
                <w:lang w:val="sr-Cyrl-RS"/>
              </w:rPr>
              <w:t xml:space="preserve"> </w:t>
            </w:r>
            <w:r w:rsidRPr="009C19C5">
              <w:rPr>
                <w:rFonts w:ascii="Times New Roman" w:hAnsi="Times New Roman" w:cs="Times New Roman"/>
                <w:sz w:val="20"/>
                <w:szCs w:val="20"/>
                <w:lang w:val="sr-Cyrl-RS"/>
              </w:rPr>
              <w:t>реализације и мониторинга  мера и активности.</w:t>
            </w:r>
            <w:r w:rsidR="00540C76" w:rsidRPr="009C19C5">
              <w:rPr>
                <w:rFonts w:ascii="Times New Roman" w:hAnsi="Times New Roman" w:cs="Times New Roman"/>
                <w:sz w:val="20"/>
                <w:szCs w:val="20"/>
                <w:lang w:val="sr-Cyrl-RS"/>
              </w:rPr>
              <w:t xml:space="preserve"> </w:t>
            </w:r>
            <w:r w:rsidRPr="009C19C5">
              <w:rPr>
                <w:rFonts w:ascii="Times New Roman" w:hAnsi="Times New Roman" w:cs="Times New Roman"/>
                <w:sz w:val="20"/>
                <w:szCs w:val="20"/>
                <w:lang w:val="sr-Cyrl-RS"/>
              </w:rPr>
              <w:t xml:space="preserve">Спровођење мера и политика праведне енергетске транзиције </w:t>
            </w:r>
            <w:r w:rsidR="006C0EE0" w:rsidRPr="009C19C5">
              <w:rPr>
                <w:rFonts w:ascii="Times New Roman" w:hAnsi="Times New Roman" w:cs="Times New Roman"/>
                <w:sz w:val="20"/>
                <w:szCs w:val="20"/>
                <w:lang w:val="sr-Cyrl-RS"/>
              </w:rPr>
              <w:t>.</w:t>
            </w:r>
          </w:p>
        </w:tc>
      </w:tr>
      <w:tr w:rsidR="00EB4C9A" w:rsidRPr="009C19C5" w14:paraId="745BE8C0" w14:textId="77777777" w:rsidTr="006C0EE0">
        <w:tc>
          <w:tcPr>
            <w:tcW w:w="4945" w:type="dxa"/>
            <w:shd w:val="clear" w:color="auto" w:fill="auto"/>
            <w:vAlign w:val="center"/>
          </w:tcPr>
          <w:p w14:paraId="65EB8FDE" w14:textId="73B3EA1D" w:rsidR="00EB4C9A" w:rsidRPr="009C19C5" w:rsidRDefault="00EB4C9A" w:rsidP="00747240">
            <w:pPr>
              <w:spacing w:after="0" w:line="276" w:lineRule="auto"/>
              <w:rPr>
                <w:rFonts w:ascii="Times New Roman" w:eastAsia="Calibri" w:hAnsi="Times New Roman" w:cs="Times New Roman"/>
                <w:kern w:val="0"/>
                <w:sz w:val="20"/>
                <w:szCs w:val="20"/>
                <w:lang w:val="sr-Cyrl-RS" w:eastAsia="el-GR"/>
                <w14:ligatures w14:val="none"/>
              </w:rPr>
            </w:pPr>
            <w:r w:rsidRPr="009C19C5">
              <w:rPr>
                <w:rFonts w:ascii="Times New Roman" w:eastAsia="Calibri" w:hAnsi="Times New Roman" w:cs="Times New Roman"/>
                <w:kern w:val="0"/>
                <w:sz w:val="20"/>
                <w:szCs w:val="20"/>
                <w:lang w:val="sr-Cyrl-RS" w:eastAsia="el-GR"/>
                <w14:ligatures w14:val="none"/>
              </w:rPr>
              <w:t>Развојна Агенција Србије и регионалне развојне агенције</w:t>
            </w:r>
          </w:p>
        </w:tc>
        <w:tc>
          <w:tcPr>
            <w:tcW w:w="5511" w:type="dxa"/>
            <w:shd w:val="clear" w:color="auto" w:fill="auto"/>
            <w:vAlign w:val="center"/>
          </w:tcPr>
          <w:p w14:paraId="18FB1B88" w14:textId="4255D214" w:rsidR="00EB4C9A" w:rsidRPr="009C19C5" w:rsidRDefault="00EB4C9A" w:rsidP="00747240">
            <w:pPr>
              <w:spacing w:after="0" w:line="276" w:lineRule="auto"/>
              <w:rPr>
                <w:rFonts w:ascii="Times New Roman" w:hAnsi="Times New Roman" w:cs="Times New Roman"/>
                <w:sz w:val="20"/>
                <w:szCs w:val="20"/>
                <w:lang w:val="sr-Cyrl-RS"/>
              </w:rPr>
            </w:pPr>
            <w:r w:rsidRPr="009C19C5">
              <w:rPr>
                <w:rFonts w:ascii="Times New Roman" w:hAnsi="Times New Roman" w:cs="Times New Roman"/>
                <w:sz w:val="20"/>
                <w:szCs w:val="20"/>
                <w:lang w:val="sr-Cyrl-RS"/>
              </w:rPr>
              <w:t>Учешће у радним групама у циљу координације,</w:t>
            </w:r>
            <w:r w:rsidR="00540C76" w:rsidRPr="009C19C5">
              <w:rPr>
                <w:rFonts w:ascii="Times New Roman" w:hAnsi="Times New Roman" w:cs="Times New Roman"/>
                <w:sz w:val="20"/>
                <w:szCs w:val="20"/>
                <w:lang w:val="sr-Cyrl-RS"/>
              </w:rPr>
              <w:t xml:space="preserve"> </w:t>
            </w:r>
            <w:r w:rsidRPr="009C19C5">
              <w:rPr>
                <w:rFonts w:ascii="Times New Roman" w:hAnsi="Times New Roman" w:cs="Times New Roman"/>
                <w:sz w:val="20"/>
                <w:szCs w:val="20"/>
                <w:lang w:val="sr-Cyrl-RS"/>
              </w:rPr>
              <w:t>реализације и мониторинга  мера и активности.</w:t>
            </w:r>
            <w:r w:rsidR="00540C76" w:rsidRPr="009C19C5">
              <w:rPr>
                <w:rFonts w:ascii="Times New Roman" w:hAnsi="Times New Roman" w:cs="Times New Roman"/>
                <w:sz w:val="20"/>
                <w:szCs w:val="20"/>
                <w:lang w:val="sr-Cyrl-RS"/>
              </w:rPr>
              <w:t xml:space="preserve"> </w:t>
            </w:r>
            <w:r w:rsidRPr="009C19C5">
              <w:rPr>
                <w:rFonts w:ascii="Times New Roman" w:hAnsi="Times New Roman" w:cs="Times New Roman"/>
                <w:sz w:val="20"/>
                <w:szCs w:val="20"/>
                <w:lang w:val="sr-Cyrl-RS"/>
              </w:rPr>
              <w:t>Спровођење мера и политика праведне енергетске транзиције</w:t>
            </w:r>
            <w:r w:rsidR="006C0EE0" w:rsidRPr="009C19C5">
              <w:rPr>
                <w:rFonts w:ascii="Times New Roman" w:hAnsi="Times New Roman" w:cs="Times New Roman"/>
                <w:sz w:val="20"/>
                <w:szCs w:val="20"/>
                <w:lang w:val="sr-Cyrl-RS"/>
              </w:rPr>
              <w:t>.</w:t>
            </w:r>
          </w:p>
        </w:tc>
      </w:tr>
      <w:tr w:rsidR="00EB4C9A" w:rsidRPr="009C19C5" w14:paraId="438074A2" w14:textId="77777777" w:rsidTr="006C0EE0">
        <w:tc>
          <w:tcPr>
            <w:tcW w:w="4945" w:type="dxa"/>
            <w:shd w:val="clear" w:color="auto" w:fill="auto"/>
            <w:vAlign w:val="center"/>
          </w:tcPr>
          <w:p w14:paraId="3C6FC3F4" w14:textId="285F2A4C" w:rsidR="00EB4C9A" w:rsidRPr="009C19C5" w:rsidRDefault="00EB4C9A" w:rsidP="00747240">
            <w:pPr>
              <w:spacing w:after="0" w:line="276" w:lineRule="auto"/>
              <w:rPr>
                <w:rFonts w:ascii="Times New Roman" w:eastAsia="Calibri" w:hAnsi="Times New Roman" w:cs="Times New Roman"/>
                <w:kern w:val="0"/>
                <w:sz w:val="20"/>
                <w:szCs w:val="20"/>
                <w:lang w:val="sr-Cyrl-RS" w:eastAsia="el-GR"/>
                <w14:ligatures w14:val="none"/>
              </w:rPr>
            </w:pPr>
            <w:r w:rsidRPr="009C19C5">
              <w:rPr>
                <w:rFonts w:ascii="Times New Roman" w:eastAsia="Calibri" w:hAnsi="Times New Roman" w:cs="Times New Roman"/>
                <w:kern w:val="0"/>
                <w:sz w:val="20"/>
                <w:szCs w:val="20"/>
                <w:lang w:val="sr-Cyrl-RS" w:eastAsia="el-GR"/>
                <w14:ligatures w14:val="none"/>
              </w:rPr>
              <w:t>Национална служба з</w:t>
            </w:r>
            <w:r w:rsidR="00540C76" w:rsidRPr="009C19C5">
              <w:rPr>
                <w:rFonts w:ascii="Times New Roman" w:eastAsia="Calibri" w:hAnsi="Times New Roman" w:cs="Times New Roman"/>
                <w:kern w:val="0"/>
                <w:sz w:val="20"/>
                <w:szCs w:val="20"/>
                <w:lang w:val="sr-Cyrl-RS" w:eastAsia="el-GR"/>
                <w14:ligatures w14:val="none"/>
              </w:rPr>
              <w:t xml:space="preserve">а </w:t>
            </w:r>
            <w:r w:rsidRPr="009C19C5">
              <w:rPr>
                <w:rFonts w:ascii="Times New Roman" w:eastAsia="Calibri" w:hAnsi="Times New Roman" w:cs="Times New Roman"/>
                <w:kern w:val="0"/>
                <w:sz w:val="20"/>
                <w:szCs w:val="20"/>
                <w:lang w:val="sr-Cyrl-RS" w:eastAsia="el-GR"/>
                <w14:ligatures w14:val="none"/>
              </w:rPr>
              <w:t>запошљавање</w:t>
            </w:r>
          </w:p>
        </w:tc>
        <w:tc>
          <w:tcPr>
            <w:tcW w:w="5511" w:type="dxa"/>
            <w:shd w:val="clear" w:color="auto" w:fill="auto"/>
            <w:vAlign w:val="center"/>
          </w:tcPr>
          <w:p w14:paraId="26BD33FF" w14:textId="0A641EBB" w:rsidR="00EB4C9A" w:rsidRPr="009C19C5" w:rsidRDefault="00EB4C9A" w:rsidP="00747240">
            <w:pPr>
              <w:spacing w:after="0" w:line="276" w:lineRule="auto"/>
              <w:rPr>
                <w:rFonts w:ascii="Times New Roman" w:hAnsi="Times New Roman" w:cs="Times New Roman"/>
                <w:sz w:val="20"/>
                <w:szCs w:val="20"/>
                <w:lang w:val="sr-Cyrl-RS"/>
              </w:rPr>
            </w:pPr>
            <w:r w:rsidRPr="009C19C5">
              <w:rPr>
                <w:rFonts w:ascii="Times New Roman" w:hAnsi="Times New Roman" w:cs="Times New Roman"/>
                <w:sz w:val="20"/>
                <w:szCs w:val="20"/>
                <w:lang w:val="sr-Cyrl-RS"/>
              </w:rPr>
              <w:t>Учешће у радним групама у циљу координације,</w:t>
            </w:r>
            <w:r w:rsidR="003730F3" w:rsidRPr="009C19C5">
              <w:rPr>
                <w:rFonts w:ascii="Times New Roman" w:hAnsi="Times New Roman" w:cs="Times New Roman"/>
                <w:sz w:val="20"/>
                <w:szCs w:val="20"/>
                <w:lang w:val="sr-Cyrl-RS"/>
              </w:rPr>
              <w:t xml:space="preserve"> </w:t>
            </w:r>
            <w:r w:rsidRPr="009C19C5">
              <w:rPr>
                <w:rFonts w:ascii="Times New Roman" w:hAnsi="Times New Roman" w:cs="Times New Roman"/>
                <w:sz w:val="20"/>
                <w:szCs w:val="20"/>
                <w:lang w:val="sr-Cyrl-RS"/>
              </w:rPr>
              <w:t>реализације и мониторинга  мера и активности.</w:t>
            </w:r>
            <w:r w:rsidR="003730F3" w:rsidRPr="009C19C5">
              <w:rPr>
                <w:rFonts w:ascii="Times New Roman" w:hAnsi="Times New Roman" w:cs="Times New Roman"/>
                <w:sz w:val="20"/>
                <w:szCs w:val="20"/>
                <w:lang w:val="sr-Cyrl-RS"/>
              </w:rPr>
              <w:t xml:space="preserve"> </w:t>
            </w:r>
            <w:r w:rsidRPr="009C19C5">
              <w:rPr>
                <w:rFonts w:ascii="Times New Roman" w:hAnsi="Times New Roman" w:cs="Times New Roman"/>
                <w:sz w:val="20"/>
                <w:szCs w:val="20"/>
                <w:lang w:val="sr-Cyrl-RS"/>
              </w:rPr>
              <w:t>Спровођење мера и политика праведне енергетске транзиције</w:t>
            </w:r>
            <w:r w:rsidR="006C0EE0" w:rsidRPr="009C19C5">
              <w:rPr>
                <w:rFonts w:ascii="Times New Roman" w:hAnsi="Times New Roman" w:cs="Times New Roman"/>
                <w:sz w:val="20"/>
                <w:szCs w:val="20"/>
                <w:lang w:val="sr-Cyrl-RS"/>
              </w:rPr>
              <w:t>.</w:t>
            </w:r>
          </w:p>
        </w:tc>
      </w:tr>
      <w:tr w:rsidR="00E35F73" w:rsidRPr="009C19C5" w14:paraId="05D2658A" w14:textId="77777777" w:rsidTr="006C0EE0">
        <w:tc>
          <w:tcPr>
            <w:tcW w:w="4945" w:type="dxa"/>
            <w:shd w:val="clear" w:color="auto" w:fill="auto"/>
            <w:vAlign w:val="center"/>
          </w:tcPr>
          <w:p w14:paraId="619A48DB" w14:textId="603A21CA" w:rsidR="00E35F73" w:rsidRPr="009C19C5" w:rsidRDefault="00E35F73" w:rsidP="00E35F73">
            <w:pPr>
              <w:spacing w:after="0" w:line="276" w:lineRule="auto"/>
              <w:rPr>
                <w:rFonts w:ascii="Times New Roman" w:eastAsia="Calibri" w:hAnsi="Times New Roman" w:cs="Times New Roman"/>
                <w:kern w:val="0"/>
                <w:sz w:val="20"/>
                <w:szCs w:val="20"/>
                <w:lang w:val="sr-Cyrl-RS" w:eastAsia="el-GR"/>
                <w14:ligatures w14:val="none"/>
              </w:rPr>
            </w:pPr>
            <w:r w:rsidRPr="009C19C5">
              <w:rPr>
                <w:rFonts w:ascii="Times New Roman" w:eastAsia="Calibri" w:hAnsi="Times New Roman" w:cs="Times New Roman"/>
                <w:kern w:val="0"/>
                <w:sz w:val="20"/>
                <w:szCs w:val="20"/>
                <w:lang w:val="sr-Cyrl-RS" w:eastAsia="el-GR"/>
                <w14:ligatures w14:val="none"/>
              </w:rPr>
              <w:lastRenderedPageBreak/>
              <w:t>Јединице локалне самоуправе</w:t>
            </w:r>
          </w:p>
        </w:tc>
        <w:tc>
          <w:tcPr>
            <w:tcW w:w="5511" w:type="dxa"/>
            <w:shd w:val="clear" w:color="auto" w:fill="auto"/>
            <w:vAlign w:val="center"/>
          </w:tcPr>
          <w:p w14:paraId="76E9E3BB" w14:textId="2C005E33" w:rsidR="00E35F73" w:rsidRPr="009C19C5" w:rsidRDefault="003730F3" w:rsidP="00E35F73">
            <w:pPr>
              <w:spacing w:after="0" w:line="276" w:lineRule="auto"/>
              <w:rPr>
                <w:rFonts w:ascii="Times New Roman" w:hAnsi="Times New Roman" w:cs="Times New Roman"/>
                <w:sz w:val="20"/>
                <w:szCs w:val="20"/>
                <w:lang w:val="sr-Cyrl-RS"/>
              </w:rPr>
            </w:pPr>
            <w:r w:rsidRPr="009C19C5">
              <w:rPr>
                <w:rFonts w:ascii="Times New Roman" w:hAnsi="Times New Roman" w:cs="Times New Roman"/>
                <w:sz w:val="20"/>
                <w:szCs w:val="20"/>
                <w:lang w:val="sr-Cyrl-RS"/>
              </w:rPr>
              <w:t>П</w:t>
            </w:r>
            <w:r w:rsidR="00223734" w:rsidRPr="009C19C5">
              <w:rPr>
                <w:rFonts w:ascii="Times New Roman" w:hAnsi="Times New Roman" w:cs="Times New Roman"/>
                <w:sz w:val="20"/>
                <w:szCs w:val="20"/>
                <w:lang w:val="sr-Cyrl-RS"/>
              </w:rPr>
              <w:t>рипада</w:t>
            </w:r>
            <w:r w:rsidRPr="009C19C5">
              <w:rPr>
                <w:rFonts w:ascii="Times New Roman" w:hAnsi="Times New Roman" w:cs="Times New Roman"/>
                <w:sz w:val="20"/>
                <w:szCs w:val="20"/>
                <w:lang w:val="sr-Cyrl-RS"/>
              </w:rPr>
              <w:t xml:space="preserve"> </w:t>
            </w:r>
            <w:r w:rsidR="00A53D3C" w:rsidRPr="009C19C5">
              <w:rPr>
                <w:rFonts w:ascii="Times New Roman" w:hAnsi="Times New Roman" w:cs="Times New Roman"/>
                <w:sz w:val="20"/>
                <w:szCs w:val="20"/>
                <w:lang w:val="sr-Cyrl-RS"/>
              </w:rPr>
              <w:t>к</w:t>
            </w:r>
            <w:r w:rsidR="00223734" w:rsidRPr="009C19C5">
              <w:rPr>
                <w:rFonts w:ascii="Times New Roman" w:hAnsi="Times New Roman" w:cs="Times New Roman"/>
                <w:sz w:val="20"/>
                <w:szCs w:val="20"/>
                <w:lang w:val="sr-Cyrl-RS"/>
              </w:rPr>
              <w:t>оординација, реализација и извештавање о мерама и политикама за спровођење процеса праведне енергетске транзиције на лок</w:t>
            </w:r>
            <w:r w:rsidRPr="009C19C5">
              <w:rPr>
                <w:rFonts w:ascii="Times New Roman" w:hAnsi="Times New Roman" w:cs="Times New Roman"/>
                <w:sz w:val="20"/>
                <w:szCs w:val="20"/>
                <w:lang w:val="sr-Cyrl-RS"/>
              </w:rPr>
              <w:t>а</w:t>
            </w:r>
            <w:r w:rsidR="00223734" w:rsidRPr="009C19C5">
              <w:rPr>
                <w:rFonts w:ascii="Times New Roman" w:hAnsi="Times New Roman" w:cs="Times New Roman"/>
                <w:sz w:val="20"/>
                <w:szCs w:val="20"/>
                <w:lang w:val="sr-Cyrl-RS"/>
              </w:rPr>
              <w:t>лном нивоу.</w:t>
            </w:r>
          </w:p>
        </w:tc>
      </w:tr>
      <w:tr w:rsidR="00E35F73" w:rsidRPr="009C19C5" w14:paraId="3D47142A" w14:textId="77777777" w:rsidTr="006C0EE0">
        <w:tc>
          <w:tcPr>
            <w:tcW w:w="4945" w:type="dxa"/>
            <w:shd w:val="clear" w:color="auto" w:fill="auto"/>
            <w:vAlign w:val="center"/>
          </w:tcPr>
          <w:p w14:paraId="2FECDB01" w14:textId="0CC1DA1A" w:rsidR="00E35F73" w:rsidRPr="009C19C5" w:rsidRDefault="00E35F73" w:rsidP="00E35F73">
            <w:pPr>
              <w:spacing w:after="0" w:line="276" w:lineRule="auto"/>
              <w:rPr>
                <w:rFonts w:ascii="Times New Roman" w:eastAsia="Calibri" w:hAnsi="Times New Roman" w:cs="Times New Roman"/>
                <w:kern w:val="0"/>
                <w:sz w:val="20"/>
                <w:szCs w:val="20"/>
                <w:lang w:val="sr-Cyrl-RS" w:eastAsia="el-GR"/>
                <w14:ligatures w14:val="none"/>
              </w:rPr>
            </w:pPr>
            <w:r w:rsidRPr="009C19C5">
              <w:rPr>
                <w:rFonts w:ascii="Times New Roman" w:eastAsia="Calibri" w:hAnsi="Times New Roman" w:cs="Times New Roman"/>
                <w:kern w:val="0"/>
                <w:sz w:val="20"/>
                <w:szCs w:val="20"/>
                <w:lang w:val="sr-Cyrl-RS" w:eastAsia="el-GR"/>
                <w14:ligatures w14:val="none"/>
              </w:rPr>
              <w:t>Привредна комора Србије</w:t>
            </w:r>
          </w:p>
        </w:tc>
        <w:tc>
          <w:tcPr>
            <w:tcW w:w="5511" w:type="dxa"/>
            <w:shd w:val="clear" w:color="auto" w:fill="auto"/>
            <w:vAlign w:val="center"/>
          </w:tcPr>
          <w:p w14:paraId="2C9A7A00" w14:textId="0F8E9A06" w:rsidR="00E35F73" w:rsidRPr="009C19C5" w:rsidDel="00443989" w:rsidRDefault="00E35F73" w:rsidP="00E35F73">
            <w:pPr>
              <w:spacing w:after="0" w:line="276" w:lineRule="auto"/>
              <w:rPr>
                <w:rFonts w:ascii="Times New Roman" w:hAnsi="Times New Roman" w:cs="Times New Roman"/>
                <w:sz w:val="20"/>
                <w:szCs w:val="20"/>
                <w:lang w:val="sr-Cyrl-RS"/>
              </w:rPr>
            </w:pPr>
            <w:r w:rsidRPr="009C19C5">
              <w:rPr>
                <w:rFonts w:ascii="Times New Roman" w:hAnsi="Times New Roman" w:cs="Times New Roman"/>
                <w:sz w:val="20"/>
                <w:szCs w:val="20"/>
                <w:lang w:val="sr-Cyrl-RS"/>
              </w:rPr>
              <w:t>Учешће у радним групама у циљу подршке и помоћи у спровођењу мера и активности</w:t>
            </w:r>
            <w:r w:rsidR="005C0116" w:rsidRPr="009C19C5">
              <w:rPr>
                <w:rFonts w:ascii="Times New Roman" w:hAnsi="Times New Roman" w:cs="Times New Roman"/>
                <w:sz w:val="20"/>
                <w:szCs w:val="20"/>
                <w:lang w:val="sr-Cyrl-RS"/>
              </w:rPr>
              <w:t>.</w:t>
            </w:r>
          </w:p>
        </w:tc>
      </w:tr>
      <w:tr w:rsidR="00E35F73" w:rsidRPr="009C19C5" w14:paraId="7230FF21" w14:textId="77777777" w:rsidTr="006C0EE0">
        <w:trPr>
          <w:trHeight w:val="305"/>
        </w:trPr>
        <w:tc>
          <w:tcPr>
            <w:tcW w:w="4945" w:type="dxa"/>
            <w:shd w:val="clear" w:color="auto" w:fill="auto"/>
            <w:vAlign w:val="center"/>
          </w:tcPr>
          <w:p w14:paraId="5464F1DF" w14:textId="31BF10F2" w:rsidR="00E35F73" w:rsidRPr="009C19C5" w:rsidRDefault="00E35F73" w:rsidP="00E35F73">
            <w:pPr>
              <w:spacing w:after="0" w:line="276" w:lineRule="auto"/>
              <w:rPr>
                <w:rFonts w:ascii="Times New Roman" w:eastAsia="Calibri" w:hAnsi="Times New Roman" w:cs="Times New Roman"/>
                <w:kern w:val="0"/>
                <w:sz w:val="20"/>
                <w:szCs w:val="20"/>
                <w:lang w:val="sr-Cyrl-RS" w:eastAsia="el-GR"/>
                <w14:ligatures w14:val="none"/>
              </w:rPr>
            </w:pPr>
            <w:r w:rsidRPr="009C19C5">
              <w:rPr>
                <w:rFonts w:ascii="Times New Roman" w:eastAsia="Calibri" w:hAnsi="Times New Roman" w:cs="Times New Roman"/>
                <w:kern w:val="0"/>
                <w:sz w:val="20"/>
                <w:szCs w:val="20"/>
                <w:lang w:val="sr-Cyrl-RS" w:eastAsia="el-GR"/>
                <w14:ligatures w14:val="none"/>
              </w:rPr>
              <w:t>Стална конференција градова и општина</w:t>
            </w:r>
          </w:p>
        </w:tc>
        <w:tc>
          <w:tcPr>
            <w:tcW w:w="5511" w:type="dxa"/>
            <w:shd w:val="clear" w:color="auto" w:fill="auto"/>
            <w:vAlign w:val="center"/>
          </w:tcPr>
          <w:p w14:paraId="3F9FD812" w14:textId="3F9E36B4" w:rsidR="00E35F73" w:rsidRPr="009C19C5" w:rsidDel="00443989" w:rsidRDefault="00E35F73" w:rsidP="006C0EE0">
            <w:pPr>
              <w:spacing w:after="0" w:line="276" w:lineRule="auto"/>
              <w:rPr>
                <w:rFonts w:ascii="Times New Roman" w:hAnsi="Times New Roman" w:cs="Times New Roman"/>
                <w:sz w:val="20"/>
                <w:szCs w:val="20"/>
                <w:lang w:val="sr-Cyrl-RS"/>
              </w:rPr>
            </w:pPr>
            <w:r w:rsidRPr="009C19C5">
              <w:rPr>
                <w:rFonts w:ascii="Times New Roman" w:hAnsi="Times New Roman" w:cs="Times New Roman"/>
                <w:sz w:val="20"/>
                <w:szCs w:val="20"/>
                <w:lang w:val="sr-Cyrl-RS"/>
              </w:rPr>
              <w:t>Учешће у радним групама у циљу подршке и помоћи у спровођењу мера и активности</w:t>
            </w:r>
            <w:r w:rsidR="005C0116" w:rsidRPr="009C19C5">
              <w:rPr>
                <w:rFonts w:ascii="Times New Roman" w:hAnsi="Times New Roman" w:cs="Times New Roman"/>
                <w:sz w:val="20"/>
                <w:szCs w:val="20"/>
                <w:lang w:val="sr-Cyrl-RS"/>
              </w:rPr>
              <w:t>.</w:t>
            </w:r>
          </w:p>
        </w:tc>
      </w:tr>
      <w:tr w:rsidR="00E35F73" w:rsidRPr="009C19C5" w14:paraId="28AA69FF" w14:textId="77777777" w:rsidTr="006C0EE0">
        <w:trPr>
          <w:trHeight w:val="557"/>
        </w:trPr>
        <w:tc>
          <w:tcPr>
            <w:tcW w:w="4945" w:type="dxa"/>
            <w:shd w:val="clear" w:color="auto" w:fill="auto"/>
            <w:vAlign w:val="center"/>
          </w:tcPr>
          <w:p w14:paraId="6222B425" w14:textId="0FFD0FBD" w:rsidR="00E35F73" w:rsidRPr="009C19C5" w:rsidRDefault="00E35F73" w:rsidP="00E35F73">
            <w:pPr>
              <w:spacing w:after="0" w:line="276" w:lineRule="auto"/>
              <w:rPr>
                <w:rFonts w:ascii="Times New Roman" w:eastAsia="Calibri" w:hAnsi="Times New Roman" w:cs="Times New Roman"/>
                <w:kern w:val="0"/>
                <w:sz w:val="20"/>
                <w:szCs w:val="20"/>
                <w:lang w:val="sr-Cyrl-RS" w:eastAsia="el-GR"/>
                <w14:ligatures w14:val="none"/>
              </w:rPr>
            </w:pPr>
            <w:r w:rsidRPr="009C19C5">
              <w:rPr>
                <w:rFonts w:ascii="Times New Roman" w:eastAsia="Calibri" w:hAnsi="Times New Roman" w:cs="Times New Roman"/>
                <w:kern w:val="0"/>
                <w:sz w:val="20"/>
                <w:szCs w:val="20"/>
                <w:lang w:val="sr-Cyrl-RS" w:eastAsia="el-GR"/>
                <w14:ligatures w14:val="none"/>
              </w:rPr>
              <w:t>Представници организација цивилног друштва</w:t>
            </w:r>
          </w:p>
        </w:tc>
        <w:tc>
          <w:tcPr>
            <w:tcW w:w="5511" w:type="dxa"/>
            <w:shd w:val="clear" w:color="auto" w:fill="auto"/>
            <w:vAlign w:val="center"/>
          </w:tcPr>
          <w:p w14:paraId="6865E90C" w14:textId="2204CBDF" w:rsidR="00E35F73" w:rsidRPr="009C19C5" w:rsidDel="00443989" w:rsidRDefault="00E35F73" w:rsidP="006C0EE0">
            <w:pPr>
              <w:spacing w:after="0" w:line="276" w:lineRule="auto"/>
              <w:rPr>
                <w:rFonts w:ascii="Times New Roman" w:hAnsi="Times New Roman" w:cs="Times New Roman"/>
                <w:sz w:val="20"/>
                <w:szCs w:val="20"/>
                <w:lang w:val="sr-Cyrl-RS"/>
              </w:rPr>
            </w:pPr>
            <w:r w:rsidRPr="009C19C5">
              <w:rPr>
                <w:rFonts w:ascii="Times New Roman" w:hAnsi="Times New Roman" w:cs="Times New Roman"/>
                <w:sz w:val="20"/>
                <w:szCs w:val="20"/>
                <w:lang w:val="sr-Cyrl-RS"/>
              </w:rPr>
              <w:t>Учешће у радним групама у циљу подршке и помоћи у спровођењу мера и активности</w:t>
            </w:r>
            <w:r w:rsidR="005C0116" w:rsidRPr="009C19C5">
              <w:rPr>
                <w:rFonts w:ascii="Times New Roman" w:hAnsi="Times New Roman" w:cs="Times New Roman"/>
                <w:sz w:val="20"/>
                <w:szCs w:val="20"/>
                <w:lang w:val="sr-Cyrl-RS"/>
              </w:rPr>
              <w:t>.</w:t>
            </w:r>
          </w:p>
        </w:tc>
      </w:tr>
      <w:tr w:rsidR="00DB1473" w:rsidRPr="009C19C5" w14:paraId="1675C294" w14:textId="77777777" w:rsidTr="006C0EE0">
        <w:trPr>
          <w:trHeight w:val="512"/>
        </w:trPr>
        <w:tc>
          <w:tcPr>
            <w:tcW w:w="4945" w:type="dxa"/>
            <w:shd w:val="clear" w:color="auto" w:fill="auto"/>
            <w:vAlign w:val="center"/>
          </w:tcPr>
          <w:p w14:paraId="5C99C8A8" w14:textId="1DC6C5C3" w:rsidR="00DB1473" w:rsidRPr="009C19C5" w:rsidRDefault="00DB1473" w:rsidP="00DB1473">
            <w:pPr>
              <w:spacing w:after="0" w:line="276" w:lineRule="auto"/>
              <w:rPr>
                <w:rFonts w:ascii="Times New Roman" w:eastAsia="Calibri" w:hAnsi="Times New Roman" w:cs="Times New Roman"/>
                <w:kern w:val="0"/>
                <w:sz w:val="20"/>
                <w:szCs w:val="20"/>
                <w:lang w:val="sr-Cyrl-RS" w:eastAsia="el-GR"/>
                <w14:ligatures w14:val="none"/>
              </w:rPr>
            </w:pPr>
            <w:r w:rsidRPr="009C19C5">
              <w:rPr>
                <w:rFonts w:ascii="Times New Roman" w:eastAsia="Calibri" w:hAnsi="Times New Roman" w:cs="Times New Roman"/>
                <w:kern w:val="0"/>
                <w:sz w:val="20"/>
                <w:szCs w:val="20"/>
                <w:lang w:val="sr-Cyrl-RS" w:eastAsia="el-GR"/>
                <w14:ligatures w14:val="none"/>
              </w:rPr>
              <w:t>Унија послодаваца</w:t>
            </w:r>
          </w:p>
        </w:tc>
        <w:tc>
          <w:tcPr>
            <w:tcW w:w="5511" w:type="dxa"/>
            <w:shd w:val="clear" w:color="auto" w:fill="auto"/>
            <w:vAlign w:val="center"/>
          </w:tcPr>
          <w:p w14:paraId="12B3CABF" w14:textId="52B61C92" w:rsidR="00DB1473" w:rsidRPr="009C19C5" w:rsidRDefault="00DB1473" w:rsidP="006C0EE0">
            <w:pPr>
              <w:spacing w:after="0" w:line="276" w:lineRule="auto"/>
              <w:rPr>
                <w:rFonts w:ascii="Times New Roman" w:hAnsi="Times New Roman" w:cs="Times New Roman"/>
                <w:sz w:val="20"/>
                <w:szCs w:val="20"/>
                <w:lang w:val="sr-Cyrl-RS"/>
              </w:rPr>
            </w:pPr>
            <w:r w:rsidRPr="009C19C5">
              <w:rPr>
                <w:rFonts w:ascii="Times New Roman" w:hAnsi="Times New Roman" w:cs="Times New Roman"/>
                <w:sz w:val="20"/>
                <w:szCs w:val="20"/>
                <w:lang w:val="sr-Cyrl-RS"/>
              </w:rPr>
              <w:t>Учешће у радним групама у циљу подршке и помоћи у спровођењу мера и активности</w:t>
            </w:r>
            <w:r w:rsidR="005C0116" w:rsidRPr="009C19C5">
              <w:rPr>
                <w:rFonts w:ascii="Times New Roman" w:hAnsi="Times New Roman" w:cs="Times New Roman"/>
                <w:sz w:val="20"/>
                <w:szCs w:val="20"/>
                <w:lang w:val="sr-Cyrl-RS"/>
              </w:rPr>
              <w:t>.</w:t>
            </w:r>
          </w:p>
        </w:tc>
      </w:tr>
    </w:tbl>
    <w:p w14:paraId="79A411DD" w14:textId="5A769A95" w:rsidR="00F276BC" w:rsidRPr="009C19C5" w:rsidRDefault="00BA7CED" w:rsidP="00BE195F">
      <w:pPr>
        <w:pStyle w:val="Heading2"/>
        <w:numPr>
          <w:ilvl w:val="0"/>
          <w:numId w:val="2"/>
        </w:numPr>
      </w:pPr>
      <w:r w:rsidRPr="009C19C5">
        <w:t>АНАЛИЗА ЦИЉЕВА</w:t>
      </w:r>
    </w:p>
    <w:p w14:paraId="5E55A5FA" w14:textId="00590176" w:rsidR="00BA7CED" w:rsidRPr="009C19C5" w:rsidRDefault="00BA7CED" w:rsidP="004A5AEC">
      <w:pPr>
        <w:autoSpaceDE w:val="0"/>
        <w:autoSpaceDN w:val="0"/>
        <w:adjustRightInd w:val="0"/>
        <w:spacing w:before="120" w:after="0" w:line="240" w:lineRule="auto"/>
        <w:ind w:firstLine="720"/>
        <w:jc w:val="both"/>
        <w:rPr>
          <w:rFonts w:ascii="Times New Roman" w:hAnsi="Times New Roman" w:cs="Times New Roman"/>
          <w:color w:val="2F343A"/>
          <w:sz w:val="24"/>
          <w:szCs w:val="24"/>
          <w:shd w:val="clear" w:color="auto" w:fill="FFFFFF"/>
          <w:lang w:val="sr-Cyrl-RS"/>
        </w:rPr>
      </w:pPr>
      <w:r w:rsidRPr="009C19C5">
        <w:rPr>
          <w:rFonts w:ascii="Times New Roman" w:hAnsi="Times New Roman" w:cs="Times New Roman"/>
          <w:sz w:val="24"/>
          <w:szCs w:val="24"/>
          <w:lang w:val="sr-Cyrl-RS"/>
        </w:rPr>
        <w:t>Циљеви плана изведени су у складу са концептом ЕК за праведну транзицију који обухвата социјалне, демографске, економске, здравствене и еколошке димензије транзиције ка климатски неутралној економији, а који је изражен кроз регулаторни оквир</w:t>
      </w:r>
      <w:r w:rsidRPr="009C19C5">
        <w:rPr>
          <w:rStyle w:val="FootnoteReference"/>
          <w:rFonts w:ascii="Times New Roman" w:hAnsi="Times New Roman" w:cs="Times New Roman"/>
          <w:sz w:val="24"/>
          <w:szCs w:val="24"/>
          <w:lang w:val="sr-Cyrl-RS"/>
        </w:rPr>
        <w:footnoteReference w:id="3"/>
      </w:r>
      <w:r w:rsidRPr="009C19C5">
        <w:rPr>
          <w:rFonts w:ascii="Times New Roman" w:hAnsi="Times New Roman" w:cs="Times New Roman"/>
          <w:sz w:val="24"/>
          <w:szCs w:val="24"/>
          <w:lang w:val="sr-Cyrl-RS"/>
        </w:rPr>
        <w:t xml:space="preserve"> (EК 2021/1056 којим се успоставља Фонд за праведну тра</w:t>
      </w:r>
      <w:r w:rsidR="003730F3" w:rsidRPr="009C19C5">
        <w:rPr>
          <w:rFonts w:ascii="Times New Roman" w:hAnsi="Times New Roman" w:cs="Times New Roman"/>
          <w:sz w:val="24"/>
          <w:szCs w:val="24"/>
          <w:lang w:val="sr-Cyrl-RS"/>
        </w:rPr>
        <w:t>н</w:t>
      </w:r>
      <w:r w:rsidRPr="009C19C5">
        <w:rPr>
          <w:rFonts w:ascii="Times New Roman" w:hAnsi="Times New Roman" w:cs="Times New Roman"/>
          <w:sz w:val="24"/>
          <w:szCs w:val="24"/>
          <w:lang w:val="sr-Cyrl-RS"/>
        </w:rPr>
        <w:t>зицију) и Платформу за праведну транзицију</w:t>
      </w:r>
      <w:r w:rsidRPr="009C19C5">
        <w:rPr>
          <w:rStyle w:val="FootnoteReference"/>
          <w:rFonts w:ascii="Times New Roman" w:hAnsi="Times New Roman" w:cs="Times New Roman"/>
          <w:sz w:val="24"/>
          <w:szCs w:val="24"/>
          <w:lang w:val="sr-Cyrl-RS"/>
        </w:rPr>
        <w:footnoteReference w:id="4"/>
      </w:r>
      <w:r w:rsidRPr="009C19C5">
        <w:rPr>
          <w:rFonts w:ascii="Times New Roman" w:hAnsi="Times New Roman" w:cs="Times New Roman"/>
          <w:sz w:val="24"/>
          <w:szCs w:val="24"/>
          <w:lang w:val="sr-Cyrl-RS"/>
        </w:rPr>
        <w:t>. Додатно се заснива на МОР „Смерницама за праведну транзицију ка еколошки одрживим економијама и друштвима за све</w:t>
      </w:r>
      <w:r w:rsidR="00F94E9A" w:rsidRPr="009C19C5">
        <w:rPr>
          <w:rFonts w:ascii="Times New Roman" w:hAnsi="Times New Roman" w:cs="Times New Roman"/>
          <w:lang w:val="sr-Cyrl-RS"/>
        </w:rPr>
        <w:t>”</w:t>
      </w:r>
      <w:r w:rsidRPr="009C19C5">
        <w:rPr>
          <w:rStyle w:val="FootnoteReference"/>
          <w:rFonts w:ascii="Times New Roman" w:hAnsi="Times New Roman" w:cs="Times New Roman"/>
          <w:sz w:val="24"/>
          <w:szCs w:val="24"/>
          <w:lang w:val="sr-Cyrl-RS"/>
        </w:rPr>
        <w:footnoteReference w:id="5"/>
      </w:r>
      <w:r w:rsidRPr="009C19C5">
        <w:rPr>
          <w:rFonts w:ascii="Times New Roman" w:hAnsi="Times New Roman" w:cs="Times New Roman"/>
          <w:sz w:val="24"/>
          <w:szCs w:val="24"/>
          <w:lang w:val="sr-Cyrl-RS"/>
        </w:rPr>
        <w:t xml:space="preserve"> и Акционом плану за имплементацију Софијског споразума о Зеленој агенди за Западни Балкан 2021-2030</w:t>
      </w:r>
      <w:r w:rsidRPr="009C19C5">
        <w:rPr>
          <w:rStyle w:val="FootnoteReference"/>
          <w:rFonts w:ascii="Times New Roman" w:hAnsi="Times New Roman" w:cs="Times New Roman"/>
          <w:sz w:val="24"/>
          <w:szCs w:val="24"/>
          <w:shd w:val="clear" w:color="auto" w:fill="FFFFFF"/>
          <w:lang w:val="sr-Cyrl-RS"/>
        </w:rPr>
        <w:footnoteReference w:id="6"/>
      </w:r>
      <w:r w:rsidRPr="009C19C5">
        <w:rPr>
          <w:rFonts w:ascii="Times New Roman" w:hAnsi="Times New Roman" w:cs="Times New Roman"/>
          <w:color w:val="2F343A"/>
          <w:sz w:val="24"/>
          <w:szCs w:val="24"/>
          <w:shd w:val="clear" w:color="auto" w:fill="FFFFFF"/>
          <w:lang w:val="sr-Cyrl-RS"/>
        </w:rPr>
        <w:t>.</w:t>
      </w:r>
      <w:r w:rsidR="00506BA6" w:rsidRPr="009C19C5">
        <w:rPr>
          <w:rFonts w:ascii="Times New Roman" w:hAnsi="Times New Roman" w:cs="Times New Roman"/>
          <w:color w:val="2F343A"/>
          <w:sz w:val="24"/>
          <w:szCs w:val="24"/>
          <w:shd w:val="clear" w:color="auto" w:fill="FFFFFF"/>
          <w:lang w:val="sr-Cyrl-RS"/>
        </w:rPr>
        <w:t xml:space="preserve"> Циљеви су:</w:t>
      </w:r>
    </w:p>
    <w:p w14:paraId="264E3D2E" w14:textId="625F85B6" w:rsidR="00F276BC" w:rsidRPr="009C19C5" w:rsidRDefault="000A0E4E" w:rsidP="004A5AEC">
      <w:pPr>
        <w:pStyle w:val="ListParagraph"/>
        <w:autoSpaceDE w:val="0"/>
        <w:autoSpaceDN w:val="0"/>
        <w:adjustRightInd w:val="0"/>
        <w:spacing w:before="120" w:after="0" w:line="240" w:lineRule="auto"/>
        <w:jc w:val="both"/>
        <w:rPr>
          <w:rFonts w:ascii="Times New Roman" w:hAnsi="Times New Roman" w:cs="Times New Roman"/>
          <w:bCs/>
          <w:sz w:val="24"/>
          <w:szCs w:val="24"/>
          <w:lang w:val="sr-Cyrl-RS"/>
        </w:rPr>
      </w:pPr>
      <w:r w:rsidRPr="009C19C5">
        <w:rPr>
          <w:rFonts w:ascii="Times New Roman" w:hAnsi="Times New Roman" w:cs="Times New Roman"/>
          <w:bCs/>
          <w:sz w:val="24"/>
          <w:szCs w:val="24"/>
          <w:lang w:val="sr-Cyrl-RS"/>
        </w:rPr>
        <w:t>А. Транзициј</w:t>
      </w:r>
      <w:r w:rsidR="001704DB" w:rsidRPr="009C19C5">
        <w:rPr>
          <w:rFonts w:ascii="Times New Roman" w:hAnsi="Times New Roman" w:cs="Times New Roman"/>
          <w:bCs/>
          <w:sz w:val="24"/>
          <w:szCs w:val="24"/>
          <w:lang w:val="sr-Cyrl-RS"/>
        </w:rPr>
        <w:t>а</w:t>
      </w:r>
      <w:r w:rsidRPr="009C19C5">
        <w:rPr>
          <w:rFonts w:ascii="Times New Roman" w:hAnsi="Times New Roman" w:cs="Times New Roman"/>
          <w:bCs/>
          <w:sz w:val="24"/>
          <w:szCs w:val="24"/>
          <w:lang w:val="sr-Cyrl-RS"/>
        </w:rPr>
        <w:t xml:space="preserve"> ка зеленој економији</w:t>
      </w:r>
    </w:p>
    <w:p w14:paraId="228DC4C9" w14:textId="668EC2C7" w:rsidR="00F276BC" w:rsidRPr="009C19C5" w:rsidRDefault="000A0E4E" w:rsidP="004A5AEC">
      <w:pPr>
        <w:pStyle w:val="ListParagraph"/>
        <w:autoSpaceDE w:val="0"/>
        <w:autoSpaceDN w:val="0"/>
        <w:adjustRightInd w:val="0"/>
        <w:spacing w:before="120" w:after="0" w:line="240" w:lineRule="auto"/>
        <w:ind w:left="0"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 xml:space="preserve">Појам зелене економије изнова пажњу усмерава на економију, инвестиције, капитал и инфраструктуру, запошљавање, вештине и позитивне друштвене и еколошке резултате. Реализује се кроз </w:t>
      </w:r>
      <w:r w:rsidR="001704DB" w:rsidRPr="009C19C5">
        <w:rPr>
          <w:rFonts w:ascii="Times New Roman" w:hAnsi="Times New Roman" w:cs="Times New Roman"/>
          <w:sz w:val="24"/>
          <w:szCs w:val="24"/>
          <w:lang w:val="sr-Cyrl-RS"/>
        </w:rPr>
        <w:t xml:space="preserve">следеће </w:t>
      </w:r>
      <w:r w:rsidRPr="009C19C5">
        <w:rPr>
          <w:rFonts w:ascii="Times New Roman" w:hAnsi="Times New Roman" w:cs="Times New Roman"/>
          <w:sz w:val="24"/>
          <w:szCs w:val="24"/>
          <w:lang w:val="sr-Cyrl-RS"/>
        </w:rPr>
        <w:t>оквире:</w:t>
      </w:r>
    </w:p>
    <w:p w14:paraId="33C319E7" w14:textId="4D659436" w:rsidR="00F276BC" w:rsidRPr="009C19C5" w:rsidRDefault="000A0E4E" w:rsidP="008D7F6B">
      <w:pPr>
        <w:pStyle w:val="ListParagraph"/>
        <w:numPr>
          <w:ilvl w:val="0"/>
          <w:numId w:val="27"/>
        </w:numPr>
        <w:tabs>
          <w:tab w:val="left" w:pos="990"/>
        </w:tabs>
        <w:autoSpaceDE w:val="0"/>
        <w:autoSpaceDN w:val="0"/>
        <w:adjustRightInd w:val="0"/>
        <w:spacing w:before="120" w:after="0" w:line="240" w:lineRule="auto"/>
        <w:ind w:left="0" w:firstLine="720"/>
        <w:jc w:val="both"/>
        <w:rPr>
          <w:rFonts w:ascii="Times New Roman" w:hAnsi="Times New Roman" w:cs="Times New Roman"/>
          <w:sz w:val="24"/>
          <w:szCs w:val="24"/>
          <w:lang w:val="sr-Cyrl-RS"/>
        </w:rPr>
      </w:pPr>
      <w:r w:rsidRPr="009C19C5">
        <w:rPr>
          <w:rFonts w:ascii="Times New Roman" w:eastAsia="Calibri" w:hAnsi="Times New Roman" w:cs="Times New Roman"/>
          <w:sz w:val="24"/>
          <w:szCs w:val="24"/>
          <w:lang w:val="sr-Cyrl-RS"/>
        </w:rPr>
        <w:t>Развој политике, техничке подршке и знања који за резултат имају политичке алате и смернице</w:t>
      </w:r>
      <w:r w:rsidR="00337A99" w:rsidRPr="009C19C5">
        <w:rPr>
          <w:rFonts w:ascii="Times New Roman" w:eastAsia="Calibri" w:hAnsi="Times New Roman" w:cs="Times New Roman"/>
          <w:sz w:val="24"/>
          <w:szCs w:val="24"/>
          <w:lang w:val="sr-Cyrl-RS"/>
        </w:rPr>
        <w:t>.</w:t>
      </w:r>
    </w:p>
    <w:p w14:paraId="5EC58650" w14:textId="663CC3A5" w:rsidR="00F276BC" w:rsidRPr="009C19C5" w:rsidRDefault="000A0E4E" w:rsidP="008D7F6B">
      <w:pPr>
        <w:pStyle w:val="ListParagraph"/>
        <w:numPr>
          <w:ilvl w:val="0"/>
          <w:numId w:val="27"/>
        </w:numPr>
        <w:tabs>
          <w:tab w:val="left" w:pos="360"/>
          <w:tab w:val="left" w:pos="990"/>
        </w:tabs>
        <w:autoSpaceDE w:val="0"/>
        <w:autoSpaceDN w:val="0"/>
        <w:adjustRightInd w:val="0"/>
        <w:spacing w:before="120" w:after="0" w:line="240" w:lineRule="auto"/>
        <w:ind w:left="0"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Механизм</w:t>
      </w:r>
      <w:r w:rsidR="001704DB" w:rsidRPr="009C19C5">
        <w:rPr>
          <w:rFonts w:ascii="Times New Roman" w:hAnsi="Times New Roman" w:cs="Times New Roman"/>
          <w:sz w:val="24"/>
          <w:szCs w:val="24"/>
          <w:lang w:val="sr-Cyrl-RS"/>
        </w:rPr>
        <w:t xml:space="preserve">и </w:t>
      </w:r>
      <w:r w:rsidRPr="009C19C5">
        <w:rPr>
          <w:rFonts w:ascii="Times New Roman" w:hAnsi="Times New Roman" w:cs="Times New Roman"/>
          <w:sz w:val="24"/>
          <w:szCs w:val="24"/>
          <w:lang w:val="sr-Cyrl-RS"/>
        </w:rPr>
        <w:t>финансирања и нов</w:t>
      </w:r>
      <w:r w:rsidR="001704DB" w:rsidRPr="009C19C5">
        <w:rPr>
          <w:rFonts w:ascii="Times New Roman" w:hAnsi="Times New Roman" w:cs="Times New Roman"/>
          <w:sz w:val="24"/>
          <w:szCs w:val="24"/>
          <w:lang w:val="sr-Cyrl-RS"/>
        </w:rPr>
        <w:t xml:space="preserve">и </w:t>
      </w:r>
      <w:r w:rsidRPr="009C19C5">
        <w:rPr>
          <w:rFonts w:ascii="Times New Roman" w:hAnsi="Times New Roman" w:cs="Times New Roman"/>
          <w:sz w:val="24"/>
          <w:szCs w:val="24"/>
          <w:lang w:val="sr-Cyrl-RS"/>
        </w:rPr>
        <w:t>пословн</w:t>
      </w:r>
      <w:r w:rsidR="001704DB" w:rsidRPr="009C19C5">
        <w:rPr>
          <w:rFonts w:ascii="Times New Roman" w:hAnsi="Times New Roman" w:cs="Times New Roman"/>
          <w:sz w:val="24"/>
          <w:szCs w:val="24"/>
          <w:lang w:val="sr-Cyrl-RS"/>
        </w:rPr>
        <w:t>и</w:t>
      </w:r>
      <w:r w:rsidR="00594672" w:rsidRPr="009C19C5">
        <w:rPr>
          <w:rFonts w:ascii="Times New Roman" w:hAnsi="Times New Roman" w:cs="Times New Roman"/>
          <w:sz w:val="24"/>
          <w:szCs w:val="24"/>
          <w:lang w:val="sr-Cyrl-RS"/>
        </w:rPr>
        <w:t xml:space="preserve"> </w:t>
      </w:r>
      <w:r w:rsidRPr="009C19C5">
        <w:rPr>
          <w:rFonts w:ascii="Times New Roman" w:hAnsi="Times New Roman" w:cs="Times New Roman"/>
          <w:sz w:val="24"/>
          <w:szCs w:val="24"/>
          <w:lang w:val="sr-Cyrl-RS"/>
        </w:rPr>
        <w:t>модел</w:t>
      </w:r>
      <w:r w:rsidR="001704DB" w:rsidRPr="009C19C5">
        <w:rPr>
          <w:rFonts w:ascii="Times New Roman" w:hAnsi="Times New Roman" w:cs="Times New Roman"/>
          <w:sz w:val="24"/>
          <w:szCs w:val="24"/>
          <w:lang w:val="sr-Cyrl-RS"/>
        </w:rPr>
        <w:t>и</w:t>
      </w:r>
      <w:r w:rsidR="00594672" w:rsidRPr="009C19C5">
        <w:rPr>
          <w:rFonts w:ascii="Times New Roman" w:hAnsi="Times New Roman" w:cs="Times New Roman"/>
          <w:sz w:val="24"/>
          <w:szCs w:val="24"/>
          <w:lang w:val="sr-Cyrl-RS"/>
        </w:rPr>
        <w:t>.</w:t>
      </w:r>
    </w:p>
    <w:p w14:paraId="5ABE8B45" w14:textId="2772D249" w:rsidR="00F276BC" w:rsidRPr="009C19C5" w:rsidRDefault="000A0E4E" w:rsidP="008D7F6B">
      <w:pPr>
        <w:pStyle w:val="ListParagraph"/>
        <w:numPr>
          <w:ilvl w:val="0"/>
          <w:numId w:val="27"/>
        </w:numPr>
        <w:tabs>
          <w:tab w:val="left" w:pos="360"/>
          <w:tab w:val="left" w:pos="990"/>
        </w:tabs>
        <w:autoSpaceDE w:val="0"/>
        <w:autoSpaceDN w:val="0"/>
        <w:adjustRightInd w:val="0"/>
        <w:spacing w:before="120" w:after="0" w:line="240" w:lineRule="auto"/>
        <w:ind w:left="0" w:firstLine="720"/>
        <w:jc w:val="both"/>
        <w:rPr>
          <w:rFonts w:ascii="Times New Roman" w:hAnsi="Times New Roman" w:cs="Times New Roman"/>
          <w:sz w:val="24"/>
          <w:szCs w:val="24"/>
          <w:lang w:val="sr-Cyrl-RS"/>
        </w:rPr>
      </w:pPr>
      <w:r w:rsidRPr="009C19C5">
        <w:rPr>
          <w:rFonts w:ascii="Times New Roman" w:eastAsia="Calibri" w:hAnsi="Times New Roman" w:cs="Times New Roman"/>
          <w:sz w:val="24"/>
          <w:szCs w:val="24"/>
          <w:lang w:val="sr-Cyrl-RS"/>
        </w:rPr>
        <w:t>Институционалн</w:t>
      </w:r>
      <w:r w:rsidR="001704DB" w:rsidRPr="009C19C5">
        <w:rPr>
          <w:rFonts w:ascii="Times New Roman" w:eastAsia="Calibri" w:hAnsi="Times New Roman" w:cs="Times New Roman"/>
          <w:sz w:val="24"/>
          <w:szCs w:val="24"/>
          <w:lang w:val="sr-Cyrl-RS"/>
        </w:rPr>
        <w:t>а</w:t>
      </w:r>
      <w:r w:rsidRPr="009C19C5">
        <w:rPr>
          <w:rFonts w:ascii="Times New Roman" w:eastAsia="Calibri" w:hAnsi="Times New Roman" w:cs="Times New Roman"/>
          <w:sz w:val="24"/>
          <w:szCs w:val="24"/>
          <w:lang w:val="sr-Cyrl-RS"/>
        </w:rPr>
        <w:t xml:space="preserve"> обук</w:t>
      </w:r>
      <w:r w:rsidR="001704DB" w:rsidRPr="009C19C5">
        <w:rPr>
          <w:rFonts w:ascii="Times New Roman" w:eastAsia="Calibri" w:hAnsi="Times New Roman" w:cs="Times New Roman"/>
          <w:sz w:val="24"/>
          <w:szCs w:val="24"/>
          <w:lang w:val="sr-Cyrl-RS"/>
        </w:rPr>
        <w:t>а</w:t>
      </w:r>
      <w:r w:rsidRPr="009C19C5">
        <w:rPr>
          <w:rFonts w:ascii="Times New Roman" w:eastAsia="Calibri" w:hAnsi="Times New Roman" w:cs="Times New Roman"/>
          <w:sz w:val="24"/>
          <w:szCs w:val="24"/>
          <w:lang w:val="sr-Cyrl-RS"/>
        </w:rPr>
        <w:t xml:space="preserve"> (укључујући организовање образовних институција </w:t>
      </w:r>
      <w:r w:rsidR="001704DB" w:rsidRPr="009C19C5">
        <w:rPr>
          <w:rFonts w:ascii="Times New Roman" w:eastAsia="Calibri" w:hAnsi="Times New Roman" w:cs="Times New Roman"/>
          <w:sz w:val="24"/>
          <w:szCs w:val="24"/>
          <w:lang w:val="sr-Cyrl-RS"/>
        </w:rPr>
        <w:t xml:space="preserve">тако да </w:t>
      </w:r>
      <w:r w:rsidRPr="009C19C5">
        <w:rPr>
          <w:rFonts w:ascii="Times New Roman" w:eastAsia="Calibri" w:hAnsi="Times New Roman" w:cs="Times New Roman"/>
          <w:sz w:val="24"/>
          <w:szCs w:val="24"/>
          <w:lang w:val="sr-Cyrl-RS"/>
        </w:rPr>
        <w:t>интегришу концепте</w:t>
      </w:r>
      <w:r w:rsidRPr="009C19C5">
        <w:rPr>
          <w:rFonts w:ascii="Times New Roman" w:hAnsi="Times New Roman" w:cs="Times New Roman"/>
          <w:sz w:val="24"/>
          <w:szCs w:val="24"/>
          <w:lang w:val="sr-Cyrl-RS"/>
        </w:rPr>
        <w:t xml:space="preserve"> зелене економије у одрживи аутономни наставни план и програм) и изградња капацитета.</w:t>
      </w:r>
    </w:p>
    <w:p w14:paraId="064399F5" w14:textId="61A25CBC" w:rsidR="004A5AEC" w:rsidRPr="009C19C5" w:rsidRDefault="000A0E4E" w:rsidP="00337A99">
      <w:pPr>
        <w:pStyle w:val="ListParagraph"/>
        <w:autoSpaceDE w:val="0"/>
        <w:autoSpaceDN w:val="0"/>
        <w:adjustRightInd w:val="0"/>
        <w:spacing w:before="120" w:after="0" w:line="240" w:lineRule="auto"/>
        <w:ind w:left="0"/>
        <w:jc w:val="both"/>
        <w:rPr>
          <w:rFonts w:ascii="Times New Roman" w:eastAsia="Calibri" w:hAnsi="Times New Roman" w:cs="Times New Roman"/>
          <w:sz w:val="24"/>
          <w:szCs w:val="24"/>
          <w:lang w:val="sr-Cyrl-RS"/>
        </w:rPr>
      </w:pPr>
      <w:r w:rsidRPr="009C19C5">
        <w:rPr>
          <w:rFonts w:ascii="Times New Roman" w:eastAsia="Calibri" w:hAnsi="Times New Roman" w:cs="Times New Roman"/>
          <w:sz w:val="24"/>
          <w:szCs w:val="24"/>
          <w:lang w:val="sr-Cyrl-RS"/>
        </w:rPr>
        <w:t xml:space="preserve"> </w:t>
      </w:r>
      <w:r w:rsidR="00337A99" w:rsidRPr="009C19C5">
        <w:rPr>
          <w:rFonts w:ascii="Times New Roman" w:eastAsia="Calibri" w:hAnsi="Times New Roman" w:cs="Times New Roman"/>
          <w:sz w:val="24"/>
          <w:szCs w:val="24"/>
          <w:lang w:val="sr-Cyrl-RS"/>
        </w:rPr>
        <w:tab/>
        <w:t xml:space="preserve"> </w:t>
      </w:r>
      <w:r w:rsidRPr="009C19C5">
        <w:rPr>
          <w:rFonts w:ascii="Times New Roman" w:hAnsi="Times New Roman" w:cs="Times New Roman"/>
          <w:bCs/>
          <w:sz w:val="24"/>
          <w:szCs w:val="24"/>
          <w:lang w:val="sr-Cyrl-RS"/>
        </w:rPr>
        <w:t xml:space="preserve">Α1. Реформе и инвестиције у секторима </w:t>
      </w:r>
      <w:r w:rsidR="001704DB" w:rsidRPr="009C19C5">
        <w:rPr>
          <w:rFonts w:ascii="Times New Roman" w:hAnsi="Times New Roman" w:cs="Times New Roman"/>
          <w:bCs/>
          <w:sz w:val="24"/>
          <w:szCs w:val="24"/>
          <w:lang w:val="sr-Cyrl-RS"/>
        </w:rPr>
        <w:t xml:space="preserve">електроенергетике </w:t>
      </w:r>
      <w:r w:rsidRPr="009C19C5">
        <w:rPr>
          <w:rFonts w:ascii="Times New Roman" w:hAnsi="Times New Roman" w:cs="Times New Roman"/>
          <w:bCs/>
          <w:sz w:val="24"/>
          <w:szCs w:val="24"/>
          <w:lang w:val="sr-Cyrl-RS"/>
        </w:rPr>
        <w:t>и даљинског грејања са циљем</w:t>
      </w:r>
      <w:r w:rsidR="004A5AEC" w:rsidRPr="009C19C5">
        <w:rPr>
          <w:rFonts w:ascii="Times New Roman" w:hAnsi="Times New Roman" w:cs="Times New Roman"/>
          <w:bCs/>
          <w:sz w:val="24"/>
          <w:szCs w:val="24"/>
          <w:lang w:val="sr-Cyrl-RS"/>
        </w:rPr>
        <w:t>:</w:t>
      </w:r>
    </w:p>
    <w:p w14:paraId="6A75ED58" w14:textId="7C07BB53" w:rsidR="00F276BC" w:rsidRPr="009C19C5" w:rsidRDefault="000A0E4E" w:rsidP="008D7F6B">
      <w:pPr>
        <w:pStyle w:val="ListParagraph"/>
        <w:widowControl w:val="0"/>
        <w:numPr>
          <w:ilvl w:val="0"/>
          <w:numId w:val="28"/>
        </w:numPr>
        <w:autoSpaceDE w:val="0"/>
        <w:autoSpaceDN w:val="0"/>
        <w:spacing w:after="0" w:line="240" w:lineRule="auto"/>
        <w:ind w:left="0" w:firstLine="450"/>
        <w:jc w:val="both"/>
        <w:rPr>
          <w:rFonts w:ascii="Times New Roman" w:eastAsia="Calibri" w:hAnsi="Times New Roman" w:cs="Times New Roman"/>
          <w:sz w:val="24"/>
          <w:szCs w:val="24"/>
          <w:lang w:val="sr-Cyrl-RS"/>
        </w:rPr>
      </w:pPr>
      <w:r w:rsidRPr="009C19C5">
        <w:rPr>
          <w:rFonts w:ascii="Times New Roman" w:eastAsia="Calibri" w:hAnsi="Times New Roman" w:cs="Times New Roman"/>
          <w:sz w:val="24"/>
          <w:szCs w:val="24"/>
          <w:lang w:val="sr-Cyrl-RS"/>
        </w:rPr>
        <w:t xml:space="preserve">емисије </w:t>
      </w:r>
      <w:r w:rsidR="00272C6F" w:rsidRPr="009C19C5">
        <w:rPr>
          <w:rFonts w:ascii="Times New Roman" w:eastAsia="Calibri" w:hAnsi="Times New Roman" w:cs="Times New Roman"/>
          <w:sz w:val="24"/>
          <w:szCs w:val="24"/>
          <w:lang w:val="sr-Cyrl-RS"/>
        </w:rPr>
        <w:t>са ефектом стаклене баште</w:t>
      </w:r>
      <w:r w:rsidRPr="009C19C5">
        <w:rPr>
          <w:rFonts w:ascii="Times New Roman" w:eastAsia="Calibri" w:hAnsi="Times New Roman" w:cs="Times New Roman"/>
          <w:sz w:val="24"/>
          <w:szCs w:val="24"/>
          <w:lang w:val="sr-Cyrl-RS"/>
        </w:rPr>
        <w:t xml:space="preserve"> у енергетском сектору и даљинском грејању постепеним укидањем употребе угља у складу са </w:t>
      </w:r>
      <w:r w:rsidR="001704DB" w:rsidRPr="009C19C5">
        <w:rPr>
          <w:rFonts w:ascii="Times New Roman" w:eastAsia="Calibri" w:hAnsi="Times New Roman" w:cs="Times New Roman"/>
          <w:sz w:val="24"/>
          <w:szCs w:val="24"/>
          <w:lang w:val="sr-Cyrl-RS"/>
        </w:rPr>
        <w:t>И</w:t>
      </w:r>
      <w:r w:rsidRPr="009C19C5">
        <w:rPr>
          <w:rFonts w:ascii="Times New Roman" w:eastAsia="Calibri" w:hAnsi="Times New Roman" w:cs="Times New Roman"/>
          <w:sz w:val="24"/>
          <w:szCs w:val="24"/>
          <w:lang w:val="sr-Cyrl-RS"/>
        </w:rPr>
        <w:t>НЕКП и Стратегиј</w:t>
      </w:r>
      <w:r w:rsidR="001704DB" w:rsidRPr="009C19C5">
        <w:rPr>
          <w:rFonts w:ascii="Times New Roman" w:eastAsia="Calibri" w:hAnsi="Times New Roman" w:cs="Times New Roman"/>
          <w:sz w:val="24"/>
          <w:szCs w:val="24"/>
          <w:lang w:val="sr-Cyrl-RS"/>
        </w:rPr>
        <w:t>ом развоја енергетике</w:t>
      </w:r>
      <w:r w:rsidRPr="009C19C5">
        <w:rPr>
          <w:rFonts w:ascii="Times New Roman" w:eastAsia="Calibri" w:hAnsi="Times New Roman" w:cs="Times New Roman"/>
          <w:sz w:val="24"/>
          <w:szCs w:val="24"/>
          <w:lang w:val="sr-Cyrl-RS"/>
        </w:rPr>
        <w:t>, чији је циљ његово потпуно укидањ</w:t>
      </w:r>
      <w:r w:rsidR="001704DB" w:rsidRPr="009C19C5">
        <w:rPr>
          <w:rFonts w:ascii="Times New Roman" w:eastAsia="Calibri" w:hAnsi="Times New Roman" w:cs="Times New Roman"/>
          <w:sz w:val="24"/>
          <w:szCs w:val="24"/>
          <w:lang w:val="sr-Cyrl-RS"/>
        </w:rPr>
        <w:t>е</w:t>
      </w:r>
      <w:r w:rsidRPr="009C19C5">
        <w:rPr>
          <w:rFonts w:ascii="Times New Roman" w:eastAsia="Calibri" w:hAnsi="Times New Roman" w:cs="Times New Roman"/>
          <w:sz w:val="24"/>
          <w:szCs w:val="24"/>
          <w:lang w:val="sr-Cyrl-RS"/>
        </w:rPr>
        <w:t xml:space="preserve"> до 2050.</w:t>
      </w:r>
      <w:r w:rsidR="00E57361" w:rsidRPr="009C19C5">
        <w:rPr>
          <w:rFonts w:ascii="Times New Roman" w:eastAsia="Calibri" w:hAnsi="Times New Roman" w:cs="Times New Roman"/>
          <w:sz w:val="24"/>
          <w:szCs w:val="24"/>
          <w:lang w:val="sr-Cyrl-RS"/>
        </w:rPr>
        <w:t xml:space="preserve"> године.</w:t>
      </w:r>
      <w:r w:rsidRPr="009C19C5">
        <w:rPr>
          <w:rFonts w:ascii="Times New Roman" w:eastAsia="Calibri" w:hAnsi="Times New Roman" w:cs="Times New Roman"/>
          <w:sz w:val="24"/>
          <w:szCs w:val="24"/>
          <w:lang w:val="sr-Cyrl-RS"/>
        </w:rPr>
        <w:t xml:space="preserve"> Постоји неколико алтернативних могућности за ТЕ </w:t>
      </w:r>
      <w:r w:rsidR="001704DB" w:rsidRPr="009C19C5">
        <w:rPr>
          <w:rFonts w:ascii="Times New Roman" w:eastAsia="Calibri" w:hAnsi="Times New Roman" w:cs="Times New Roman"/>
          <w:sz w:val="24"/>
          <w:szCs w:val="24"/>
          <w:lang w:val="sr-Cyrl-RS"/>
        </w:rPr>
        <w:t xml:space="preserve">које излазе </w:t>
      </w:r>
      <w:r w:rsidRPr="009C19C5">
        <w:rPr>
          <w:rFonts w:ascii="Times New Roman" w:eastAsia="Calibri" w:hAnsi="Times New Roman" w:cs="Times New Roman"/>
          <w:sz w:val="24"/>
          <w:szCs w:val="24"/>
          <w:lang w:val="sr-Cyrl-RS"/>
        </w:rPr>
        <w:t xml:space="preserve">из употребе, које су представљене </w:t>
      </w:r>
      <w:r w:rsidR="004A5AEC" w:rsidRPr="009C19C5">
        <w:rPr>
          <w:rFonts w:ascii="Times New Roman" w:eastAsia="Calibri" w:hAnsi="Times New Roman" w:cs="Times New Roman"/>
          <w:sz w:val="24"/>
          <w:szCs w:val="24"/>
          <w:lang w:val="sr-Cyrl-RS"/>
        </w:rPr>
        <w:t>у</w:t>
      </w:r>
      <w:r w:rsidR="00E57361" w:rsidRPr="009C19C5">
        <w:rPr>
          <w:rFonts w:ascii="Times New Roman" w:eastAsia="Calibri" w:hAnsi="Times New Roman" w:cs="Times New Roman"/>
          <w:sz w:val="24"/>
          <w:szCs w:val="24"/>
          <w:lang w:val="sr-Cyrl-RS"/>
        </w:rPr>
        <w:t xml:space="preserve"> Т</w:t>
      </w:r>
      <w:r w:rsidRPr="009C19C5">
        <w:rPr>
          <w:rFonts w:ascii="Times New Roman" w:eastAsia="Calibri" w:hAnsi="Times New Roman" w:cs="Times New Roman"/>
          <w:sz w:val="24"/>
          <w:szCs w:val="24"/>
          <w:lang w:val="sr-Cyrl-RS"/>
        </w:rPr>
        <w:t xml:space="preserve">абели </w:t>
      </w:r>
      <w:r w:rsidR="00D56599" w:rsidRPr="009C19C5">
        <w:rPr>
          <w:rFonts w:ascii="Times New Roman" w:eastAsia="Calibri" w:hAnsi="Times New Roman" w:cs="Times New Roman"/>
          <w:sz w:val="24"/>
          <w:szCs w:val="24"/>
          <w:lang w:val="sr-Cyrl-RS"/>
        </w:rPr>
        <w:t>8</w:t>
      </w:r>
      <w:r w:rsidRPr="009C19C5">
        <w:rPr>
          <w:rFonts w:ascii="Times New Roman" w:eastAsia="Calibri" w:hAnsi="Times New Roman" w:cs="Times New Roman"/>
          <w:sz w:val="24"/>
          <w:szCs w:val="24"/>
          <w:lang w:val="sr-Cyrl-RS"/>
        </w:rPr>
        <w:t>.</w:t>
      </w:r>
    </w:p>
    <w:p w14:paraId="50BAD8A9" w14:textId="25D78FDB" w:rsidR="004A5AEC" w:rsidRPr="009C19C5" w:rsidRDefault="004A5AEC" w:rsidP="008D7F6B">
      <w:pPr>
        <w:pStyle w:val="ListParagraph"/>
        <w:widowControl w:val="0"/>
        <w:numPr>
          <w:ilvl w:val="0"/>
          <w:numId w:val="29"/>
        </w:numPr>
        <w:autoSpaceDE w:val="0"/>
        <w:autoSpaceDN w:val="0"/>
        <w:spacing w:after="0" w:line="240" w:lineRule="auto"/>
        <w:ind w:left="0" w:firstLine="360"/>
        <w:jc w:val="both"/>
        <w:rPr>
          <w:rFonts w:ascii="Times New Roman" w:eastAsia="Calibri" w:hAnsi="Times New Roman" w:cs="Times New Roman"/>
          <w:sz w:val="24"/>
          <w:szCs w:val="24"/>
          <w:lang w:val="sr-Cyrl-RS"/>
        </w:rPr>
      </w:pPr>
      <w:r w:rsidRPr="009C19C5">
        <w:rPr>
          <w:rFonts w:ascii="Times New Roman" w:eastAsia="Calibri" w:hAnsi="Times New Roman" w:cs="Times New Roman"/>
          <w:sz w:val="24"/>
          <w:szCs w:val="24"/>
          <w:lang w:val="sr-Cyrl-RS"/>
        </w:rPr>
        <w:t>Повећање удела обновљивих извора енергије (ОИЕ) у укупној финалној потрошњи енергије, путем:</w:t>
      </w:r>
    </w:p>
    <w:p w14:paraId="2B16AFF3" w14:textId="24F62560" w:rsidR="004A5AEC" w:rsidRPr="009C19C5" w:rsidRDefault="004A5AEC" w:rsidP="008D7F6B">
      <w:pPr>
        <w:pStyle w:val="ListParagraph"/>
        <w:widowControl w:val="0"/>
        <w:numPr>
          <w:ilvl w:val="0"/>
          <w:numId w:val="30"/>
        </w:numPr>
        <w:autoSpaceDE w:val="0"/>
        <w:autoSpaceDN w:val="0"/>
        <w:spacing w:after="0" w:line="240" w:lineRule="auto"/>
        <w:ind w:left="0" w:firstLine="450"/>
        <w:jc w:val="both"/>
        <w:rPr>
          <w:rFonts w:ascii="Times New Roman" w:eastAsia="Calibri" w:hAnsi="Times New Roman" w:cs="Times New Roman"/>
          <w:sz w:val="24"/>
          <w:szCs w:val="24"/>
          <w:lang w:val="sr-Cyrl-RS"/>
        </w:rPr>
      </w:pPr>
      <w:r w:rsidRPr="009C19C5">
        <w:rPr>
          <w:rFonts w:ascii="Times New Roman" w:eastAsia="Calibri" w:hAnsi="Times New Roman" w:cs="Times New Roman"/>
          <w:sz w:val="24"/>
          <w:szCs w:val="24"/>
          <w:lang w:val="sr-Cyrl-RS"/>
        </w:rPr>
        <w:t>Изградње обновљивих извора (посебно ветроелектрана, фотонапонских и хидроелектрана) и система за складиштење енергије.</w:t>
      </w:r>
    </w:p>
    <w:p w14:paraId="2068CDFA" w14:textId="4D9066D5" w:rsidR="004A5AEC" w:rsidRPr="009C19C5" w:rsidRDefault="004A5AEC" w:rsidP="008D7F6B">
      <w:pPr>
        <w:pStyle w:val="ListParagraph"/>
        <w:widowControl w:val="0"/>
        <w:numPr>
          <w:ilvl w:val="0"/>
          <w:numId w:val="30"/>
        </w:numPr>
        <w:autoSpaceDE w:val="0"/>
        <w:autoSpaceDN w:val="0"/>
        <w:spacing w:after="0" w:line="240" w:lineRule="auto"/>
        <w:ind w:left="0" w:firstLine="450"/>
        <w:jc w:val="both"/>
        <w:rPr>
          <w:rFonts w:ascii="Times New Roman" w:eastAsia="Calibri" w:hAnsi="Times New Roman" w:cs="Times New Roman"/>
          <w:sz w:val="24"/>
          <w:szCs w:val="24"/>
          <w:lang w:val="sr-Cyrl-RS"/>
        </w:rPr>
      </w:pPr>
      <w:r w:rsidRPr="009C19C5">
        <w:rPr>
          <w:rFonts w:ascii="Times New Roman" w:eastAsia="Calibri" w:hAnsi="Times New Roman" w:cs="Times New Roman"/>
          <w:sz w:val="24"/>
          <w:szCs w:val="24"/>
          <w:lang w:val="sr-Cyrl-RS"/>
        </w:rPr>
        <w:t xml:space="preserve">Јачања и дигитализације електричних мрежа зарад омогућавања интеграција великог броја ОИЕ на свим нивоима напона. </w:t>
      </w:r>
    </w:p>
    <w:p w14:paraId="2C8FFEBD" w14:textId="3ECFCA1E" w:rsidR="004A5AEC" w:rsidRPr="009C19C5" w:rsidRDefault="004A5AEC" w:rsidP="008D7F6B">
      <w:pPr>
        <w:pStyle w:val="ListParagraph"/>
        <w:widowControl w:val="0"/>
        <w:numPr>
          <w:ilvl w:val="0"/>
          <w:numId w:val="30"/>
        </w:numPr>
        <w:autoSpaceDE w:val="0"/>
        <w:autoSpaceDN w:val="0"/>
        <w:spacing w:after="0" w:line="240" w:lineRule="auto"/>
        <w:ind w:left="0" w:firstLine="450"/>
        <w:jc w:val="both"/>
        <w:rPr>
          <w:rFonts w:ascii="Times New Roman" w:eastAsia="Calibri" w:hAnsi="Times New Roman" w:cs="Times New Roman"/>
          <w:sz w:val="24"/>
          <w:szCs w:val="24"/>
          <w:lang w:val="sr-Cyrl-RS"/>
        </w:rPr>
      </w:pPr>
      <w:r w:rsidRPr="009C19C5">
        <w:rPr>
          <w:rFonts w:ascii="Times New Roman" w:eastAsia="Calibri" w:hAnsi="Times New Roman" w:cs="Times New Roman"/>
          <w:sz w:val="24"/>
          <w:szCs w:val="24"/>
          <w:lang w:val="sr-Cyrl-RS"/>
        </w:rPr>
        <w:t>Повећане електрификације у индустријском, транспортном и сектору просторног грејања.</w:t>
      </w:r>
    </w:p>
    <w:p w14:paraId="4489B950" w14:textId="048B2DF1" w:rsidR="00E57361" w:rsidRPr="009C19C5" w:rsidRDefault="00E57361" w:rsidP="00E57361">
      <w:pPr>
        <w:pStyle w:val="ListParagraph"/>
        <w:widowControl w:val="0"/>
        <w:autoSpaceDE w:val="0"/>
        <w:autoSpaceDN w:val="0"/>
        <w:spacing w:after="0" w:line="240" w:lineRule="auto"/>
        <w:ind w:left="450"/>
        <w:jc w:val="both"/>
        <w:rPr>
          <w:rFonts w:ascii="Times New Roman" w:eastAsia="Calibri" w:hAnsi="Times New Roman" w:cs="Times New Roman"/>
          <w:sz w:val="24"/>
          <w:szCs w:val="24"/>
          <w:lang w:val="sr-Cyrl-RS"/>
        </w:rPr>
      </w:pPr>
    </w:p>
    <w:p w14:paraId="6A6E3C02" w14:textId="4EA7E296" w:rsidR="00DA2D8C" w:rsidRPr="009C19C5" w:rsidRDefault="00DA2D8C" w:rsidP="00E57361">
      <w:pPr>
        <w:pStyle w:val="ListParagraph"/>
        <w:widowControl w:val="0"/>
        <w:autoSpaceDE w:val="0"/>
        <w:autoSpaceDN w:val="0"/>
        <w:spacing w:after="0" w:line="240" w:lineRule="auto"/>
        <w:ind w:left="450"/>
        <w:jc w:val="both"/>
        <w:rPr>
          <w:rFonts w:ascii="Times New Roman" w:eastAsia="Calibri" w:hAnsi="Times New Roman" w:cs="Times New Roman"/>
          <w:sz w:val="24"/>
          <w:szCs w:val="24"/>
          <w:lang w:val="sr-Cyrl-RS"/>
        </w:rPr>
      </w:pPr>
    </w:p>
    <w:p w14:paraId="19AC6126" w14:textId="77777777" w:rsidR="00DA2D8C" w:rsidRPr="009C19C5" w:rsidRDefault="00DA2D8C" w:rsidP="00E57361">
      <w:pPr>
        <w:pStyle w:val="ListParagraph"/>
        <w:widowControl w:val="0"/>
        <w:autoSpaceDE w:val="0"/>
        <w:autoSpaceDN w:val="0"/>
        <w:spacing w:after="0" w:line="240" w:lineRule="auto"/>
        <w:ind w:left="450"/>
        <w:jc w:val="both"/>
        <w:rPr>
          <w:rFonts w:ascii="Times New Roman" w:eastAsia="Calibri" w:hAnsi="Times New Roman" w:cs="Times New Roman"/>
          <w:sz w:val="24"/>
          <w:szCs w:val="24"/>
          <w:lang w:val="sr-Cyrl-RS"/>
        </w:rPr>
      </w:pPr>
    </w:p>
    <w:p w14:paraId="491F42A7" w14:textId="2C8A1811" w:rsidR="00F276BC" w:rsidRPr="009C19C5" w:rsidRDefault="000A0E4E" w:rsidP="00B260A1">
      <w:pPr>
        <w:pStyle w:val="Caption"/>
        <w:keepNext/>
        <w:spacing w:after="0" w:line="240" w:lineRule="auto"/>
        <w:jc w:val="left"/>
        <w:rPr>
          <w:rFonts w:ascii="Times New Roman" w:hAnsi="Times New Roman" w:cs="Times New Roman"/>
          <w:i w:val="0"/>
          <w:iCs w:val="0"/>
          <w:color w:val="auto"/>
          <w:sz w:val="20"/>
          <w:szCs w:val="20"/>
          <w:lang w:val="sr-Cyrl-RS"/>
        </w:rPr>
      </w:pPr>
      <w:r w:rsidRPr="009C19C5">
        <w:rPr>
          <w:rFonts w:ascii="Times New Roman" w:hAnsi="Times New Roman" w:cs="Times New Roman"/>
          <w:i w:val="0"/>
          <w:iCs w:val="0"/>
          <w:color w:val="auto"/>
          <w:sz w:val="20"/>
          <w:szCs w:val="20"/>
          <w:lang w:val="sr-Cyrl-RS"/>
        </w:rPr>
        <w:lastRenderedPageBreak/>
        <w:t xml:space="preserve">Табела </w:t>
      </w:r>
      <w:r w:rsidR="00D56599" w:rsidRPr="009C19C5">
        <w:rPr>
          <w:rFonts w:ascii="Times New Roman" w:hAnsi="Times New Roman" w:cs="Times New Roman"/>
          <w:i w:val="0"/>
          <w:iCs w:val="0"/>
          <w:color w:val="auto"/>
          <w:sz w:val="20"/>
          <w:szCs w:val="20"/>
          <w:lang w:val="sr-Cyrl-RS"/>
        </w:rPr>
        <w:t>8</w:t>
      </w:r>
      <w:r w:rsidRPr="009C19C5">
        <w:rPr>
          <w:rFonts w:ascii="Times New Roman" w:hAnsi="Times New Roman" w:cs="Times New Roman"/>
          <w:i w:val="0"/>
          <w:iCs w:val="0"/>
          <w:color w:val="auto"/>
          <w:sz w:val="20"/>
          <w:szCs w:val="20"/>
          <w:lang w:val="sr-Cyrl-RS"/>
        </w:rPr>
        <w:t>: Алтернативе за затварање/пренамену ТЕ</w:t>
      </w:r>
    </w:p>
    <w:tbl>
      <w:tblPr>
        <w:tblStyle w:val="TableGrid"/>
        <w:tblW w:w="4985" w:type="pct"/>
        <w:tblLook w:val="04A0" w:firstRow="1" w:lastRow="0" w:firstColumn="1" w:lastColumn="0" w:noHBand="0" w:noVBand="1"/>
      </w:tblPr>
      <w:tblGrid>
        <w:gridCol w:w="3146"/>
        <w:gridCol w:w="7283"/>
      </w:tblGrid>
      <w:tr w:rsidR="00F276BC" w:rsidRPr="009C19C5" w14:paraId="7548C7D1" w14:textId="77777777" w:rsidTr="005C292A">
        <w:trPr>
          <w:trHeight w:val="342"/>
        </w:trPr>
        <w:tc>
          <w:tcPr>
            <w:tcW w:w="3145" w:type="dxa"/>
            <w:vMerge w:val="restart"/>
            <w:shd w:val="clear" w:color="auto" w:fill="auto"/>
            <w:vAlign w:val="center"/>
          </w:tcPr>
          <w:p w14:paraId="4F4CD9E8" w14:textId="4032D5DF" w:rsidR="00F276BC" w:rsidRPr="009C19C5" w:rsidRDefault="000A0E4E">
            <w:pPr>
              <w:pStyle w:val="ListParagraph"/>
              <w:autoSpaceDE w:val="0"/>
              <w:autoSpaceDN w:val="0"/>
              <w:adjustRightInd w:val="0"/>
              <w:spacing w:after="0" w:line="240" w:lineRule="auto"/>
              <w:ind w:left="0"/>
              <w:rPr>
                <w:rFonts w:ascii="Times New Roman" w:eastAsia="Times New Roman" w:hAnsi="Times New Roman" w:cs="Times New Roman"/>
                <w:bCs/>
                <w:kern w:val="0"/>
                <w:sz w:val="20"/>
                <w:szCs w:val="20"/>
                <w:lang w:val="sr-Cyrl-RS"/>
                <w14:ligatures w14:val="none"/>
              </w:rPr>
            </w:pPr>
            <w:r w:rsidRPr="009C19C5">
              <w:rPr>
                <w:rFonts w:ascii="Times New Roman" w:eastAsia="Times New Roman" w:hAnsi="Times New Roman" w:cs="Times New Roman"/>
                <w:bCs/>
                <w:kern w:val="0"/>
                <w:sz w:val="20"/>
                <w:szCs w:val="20"/>
                <w:lang w:val="sr-Cyrl-RS"/>
                <w14:ligatures w14:val="none"/>
              </w:rPr>
              <w:t>Трећа страна преуре</w:t>
            </w:r>
            <w:r w:rsidR="00030A4E" w:rsidRPr="009C19C5">
              <w:rPr>
                <w:rFonts w:ascii="Times New Roman" w:eastAsia="Times New Roman" w:hAnsi="Times New Roman" w:cs="Times New Roman"/>
                <w:bCs/>
                <w:kern w:val="0"/>
                <w:sz w:val="20"/>
                <w:szCs w:val="20"/>
                <w:lang w:val="sr-Cyrl-RS"/>
                <w14:ligatures w14:val="none"/>
              </w:rPr>
              <w:t xml:space="preserve">ђује </w:t>
            </w:r>
            <w:r w:rsidRPr="009C19C5">
              <w:rPr>
                <w:rFonts w:ascii="Times New Roman" w:eastAsia="Times New Roman" w:hAnsi="Times New Roman" w:cs="Times New Roman"/>
                <w:bCs/>
                <w:kern w:val="0"/>
                <w:sz w:val="20"/>
                <w:szCs w:val="20"/>
                <w:lang w:val="sr-Cyrl-RS"/>
                <w14:ligatures w14:val="none"/>
              </w:rPr>
              <w:t>за нову примену изван енергетског сектора</w:t>
            </w:r>
          </w:p>
        </w:tc>
        <w:tc>
          <w:tcPr>
            <w:tcW w:w="7280" w:type="dxa"/>
          </w:tcPr>
          <w:p w14:paraId="52507FEF" w14:textId="7A626C80" w:rsidR="00F276BC" w:rsidRPr="009C19C5" w:rsidRDefault="000A0E4E">
            <w:pPr>
              <w:autoSpaceDE w:val="0"/>
              <w:autoSpaceDN w:val="0"/>
              <w:adjustRightInd w:val="0"/>
              <w:spacing w:after="0" w:line="240" w:lineRule="auto"/>
              <w:rPr>
                <w:rFonts w:ascii="Times New Roman" w:eastAsia="Times New Roman" w:hAnsi="Times New Roman" w:cs="Times New Roman"/>
                <w:kern w:val="0"/>
                <w:sz w:val="20"/>
                <w:szCs w:val="20"/>
                <w:lang w:val="sr-Cyrl-RS"/>
                <w14:ligatures w14:val="none"/>
              </w:rPr>
            </w:pPr>
            <w:r w:rsidRPr="009C19C5">
              <w:rPr>
                <w:rFonts w:ascii="Times New Roman" w:hAnsi="Times New Roman" w:cs="Times New Roman"/>
                <w:sz w:val="20"/>
                <w:szCs w:val="20"/>
                <w:lang w:val="sr-Cyrl-RS"/>
              </w:rPr>
              <w:t xml:space="preserve">Продати грађевинским компанијама / инвеститорима за канцеларије / индустријску локацију / складиште и логистику / малопродајни центар / </w:t>
            </w:r>
            <w:r w:rsidR="00030A4E" w:rsidRPr="009C19C5">
              <w:rPr>
                <w:rFonts w:ascii="Times New Roman" w:hAnsi="Times New Roman" w:cs="Times New Roman"/>
                <w:sz w:val="20"/>
                <w:szCs w:val="20"/>
                <w:lang w:val="sr-Cyrl-RS"/>
              </w:rPr>
              <w:t xml:space="preserve">дата </w:t>
            </w:r>
            <w:r w:rsidRPr="009C19C5">
              <w:rPr>
                <w:rFonts w:ascii="Times New Roman" w:hAnsi="Times New Roman" w:cs="Times New Roman"/>
                <w:sz w:val="20"/>
                <w:szCs w:val="20"/>
                <w:lang w:val="sr-Cyrl-RS"/>
              </w:rPr>
              <w:t>центар / објекте за рекреацију (нпр. место за одржавање догађаја, терен за голф, коњске, ауто или мото трке)</w:t>
            </w:r>
            <w:r w:rsidR="005C292A" w:rsidRPr="009C19C5">
              <w:rPr>
                <w:rFonts w:ascii="Times New Roman" w:hAnsi="Times New Roman" w:cs="Times New Roman"/>
                <w:sz w:val="20"/>
                <w:szCs w:val="20"/>
                <w:lang w:val="sr-Cyrl-RS"/>
              </w:rPr>
              <w:t>.</w:t>
            </w:r>
          </w:p>
        </w:tc>
      </w:tr>
      <w:tr w:rsidR="00F276BC" w:rsidRPr="009C19C5" w14:paraId="7B23A01A" w14:textId="77777777" w:rsidTr="005C292A">
        <w:trPr>
          <w:trHeight w:val="275"/>
        </w:trPr>
        <w:tc>
          <w:tcPr>
            <w:tcW w:w="3145" w:type="dxa"/>
            <w:vMerge/>
            <w:shd w:val="clear" w:color="auto" w:fill="auto"/>
            <w:vAlign w:val="center"/>
          </w:tcPr>
          <w:p w14:paraId="04268E85" w14:textId="77777777" w:rsidR="00F276BC" w:rsidRPr="009C19C5" w:rsidRDefault="00F276BC">
            <w:pPr>
              <w:spacing w:after="0" w:line="240" w:lineRule="auto"/>
              <w:rPr>
                <w:rFonts w:ascii="Times New Roman" w:eastAsia="Times New Roman" w:hAnsi="Times New Roman" w:cs="Times New Roman"/>
                <w:kern w:val="0"/>
                <w:sz w:val="20"/>
                <w:szCs w:val="20"/>
                <w:lang w:val="sr-Cyrl-RS"/>
                <w14:ligatures w14:val="none"/>
              </w:rPr>
            </w:pPr>
          </w:p>
        </w:tc>
        <w:tc>
          <w:tcPr>
            <w:tcW w:w="7280" w:type="dxa"/>
          </w:tcPr>
          <w:p w14:paraId="563645E1" w14:textId="05FDF310" w:rsidR="00F276BC" w:rsidRPr="009C19C5" w:rsidRDefault="000A0E4E">
            <w:pPr>
              <w:autoSpaceDE w:val="0"/>
              <w:autoSpaceDN w:val="0"/>
              <w:adjustRightInd w:val="0"/>
              <w:spacing w:after="0" w:line="240" w:lineRule="auto"/>
              <w:rPr>
                <w:rFonts w:ascii="Times New Roman" w:eastAsia="Times New Roman" w:hAnsi="Times New Roman" w:cs="Times New Roman"/>
                <w:kern w:val="0"/>
                <w:sz w:val="20"/>
                <w:szCs w:val="20"/>
                <w:lang w:val="sr-Cyrl-RS"/>
                <w14:ligatures w14:val="none"/>
              </w:rPr>
            </w:pPr>
            <w:r w:rsidRPr="009C19C5">
              <w:rPr>
                <w:rFonts w:ascii="Times New Roman" w:hAnsi="Times New Roman" w:cs="Times New Roman"/>
                <w:sz w:val="20"/>
                <w:szCs w:val="20"/>
                <w:lang w:val="sr-Cyrl-RS"/>
              </w:rPr>
              <w:t>Дати средства локалним заједницама да их претворе у заједничке просторије/ конференцијске зграде / општинске зграде / култур</w:t>
            </w:r>
            <w:r w:rsidR="00030A4E" w:rsidRPr="009C19C5">
              <w:rPr>
                <w:rFonts w:ascii="Times New Roman" w:hAnsi="Times New Roman" w:cs="Times New Roman"/>
                <w:sz w:val="20"/>
                <w:szCs w:val="20"/>
                <w:lang w:val="sr-Cyrl-RS"/>
              </w:rPr>
              <w:t>не центре</w:t>
            </w:r>
            <w:r w:rsidR="005C292A" w:rsidRPr="009C19C5">
              <w:rPr>
                <w:rFonts w:ascii="Times New Roman" w:hAnsi="Times New Roman" w:cs="Times New Roman"/>
                <w:sz w:val="20"/>
                <w:szCs w:val="20"/>
                <w:lang w:val="sr-Cyrl-RS"/>
              </w:rPr>
              <w:t>.</w:t>
            </w:r>
          </w:p>
        </w:tc>
      </w:tr>
      <w:tr w:rsidR="00F276BC" w:rsidRPr="009C19C5" w14:paraId="180B91AC" w14:textId="77777777" w:rsidTr="005C292A">
        <w:trPr>
          <w:trHeight w:val="116"/>
        </w:trPr>
        <w:tc>
          <w:tcPr>
            <w:tcW w:w="3145" w:type="dxa"/>
            <w:vMerge/>
            <w:shd w:val="clear" w:color="auto" w:fill="auto"/>
            <w:vAlign w:val="center"/>
          </w:tcPr>
          <w:p w14:paraId="20C1FDB5" w14:textId="77777777" w:rsidR="00F276BC" w:rsidRPr="009C19C5" w:rsidRDefault="00F276BC">
            <w:pPr>
              <w:spacing w:after="0" w:line="240" w:lineRule="auto"/>
              <w:rPr>
                <w:rFonts w:ascii="Times New Roman" w:eastAsia="Times New Roman" w:hAnsi="Times New Roman" w:cs="Times New Roman"/>
                <w:kern w:val="0"/>
                <w:sz w:val="20"/>
                <w:szCs w:val="20"/>
                <w:lang w:val="sr-Cyrl-RS"/>
                <w14:ligatures w14:val="none"/>
              </w:rPr>
            </w:pPr>
          </w:p>
        </w:tc>
        <w:tc>
          <w:tcPr>
            <w:tcW w:w="7280" w:type="dxa"/>
          </w:tcPr>
          <w:p w14:paraId="4D2ED0C2" w14:textId="2A4A7883" w:rsidR="00F276BC" w:rsidRPr="009C19C5" w:rsidRDefault="000A0E4E">
            <w:pPr>
              <w:autoSpaceDE w:val="0"/>
              <w:autoSpaceDN w:val="0"/>
              <w:adjustRightInd w:val="0"/>
              <w:spacing w:after="0" w:line="240" w:lineRule="auto"/>
              <w:rPr>
                <w:rFonts w:ascii="Times New Roman" w:eastAsia="Times New Roman" w:hAnsi="Times New Roman" w:cs="Times New Roman"/>
                <w:kern w:val="0"/>
                <w:sz w:val="20"/>
                <w:szCs w:val="20"/>
                <w:lang w:val="sr-Cyrl-RS"/>
                <w14:ligatures w14:val="none"/>
              </w:rPr>
            </w:pPr>
            <w:r w:rsidRPr="009C19C5">
              <w:rPr>
                <w:rFonts w:ascii="Times New Roman" w:hAnsi="Times New Roman" w:cs="Times New Roman"/>
                <w:sz w:val="20"/>
                <w:szCs w:val="20"/>
                <w:lang w:val="sr-Cyrl-RS"/>
              </w:rPr>
              <w:t>Продати мрежне дозволе заинтересованим за ОИЕ/</w:t>
            </w:r>
            <w:r w:rsidR="00030A4E" w:rsidRPr="009C19C5">
              <w:rPr>
                <w:rFonts w:ascii="Times New Roman" w:hAnsi="Times New Roman" w:cs="Times New Roman"/>
                <w:sz w:val="20"/>
                <w:szCs w:val="20"/>
                <w:lang w:val="sr-Cyrl-RS"/>
              </w:rPr>
              <w:t xml:space="preserve">фотонапонске системе </w:t>
            </w:r>
            <w:r w:rsidRPr="009C19C5">
              <w:rPr>
                <w:rFonts w:ascii="Times New Roman" w:hAnsi="Times New Roman" w:cs="Times New Roman"/>
                <w:sz w:val="20"/>
                <w:szCs w:val="20"/>
                <w:lang w:val="sr-Cyrl-RS"/>
              </w:rPr>
              <w:t>у близини постројења/рудника</w:t>
            </w:r>
            <w:r w:rsidR="005C292A" w:rsidRPr="009C19C5">
              <w:rPr>
                <w:rFonts w:ascii="Times New Roman" w:hAnsi="Times New Roman" w:cs="Times New Roman"/>
                <w:sz w:val="20"/>
                <w:szCs w:val="20"/>
                <w:lang w:val="sr-Cyrl-RS"/>
              </w:rPr>
              <w:t>.</w:t>
            </w:r>
          </w:p>
        </w:tc>
      </w:tr>
      <w:tr w:rsidR="00F276BC" w:rsidRPr="009C19C5" w14:paraId="363E3AF9" w14:textId="77777777" w:rsidTr="005C292A">
        <w:trPr>
          <w:trHeight w:val="97"/>
        </w:trPr>
        <w:tc>
          <w:tcPr>
            <w:tcW w:w="3145" w:type="dxa"/>
            <w:vMerge/>
            <w:shd w:val="clear" w:color="auto" w:fill="auto"/>
            <w:vAlign w:val="center"/>
          </w:tcPr>
          <w:p w14:paraId="0EE03C3E" w14:textId="77777777" w:rsidR="00F276BC" w:rsidRPr="009C19C5" w:rsidRDefault="00F276BC">
            <w:pPr>
              <w:spacing w:after="0" w:line="240" w:lineRule="auto"/>
              <w:rPr>
                <w:rFonts w:ascii="Times New Roman" w:eastAsia="Times New Roman" w:hAnsi="Times New Roman" w:cs="Times New Roman"/>
                <w:kern w:val="0"/>
                <w:sz w:val="20"/>
                <w:szCs w:val="20"/>
                <w:lang w:val="sr-Cyrl-RS"/>
                <w14:ligatures w14:val="none"/>
              </w:rPr>
            </w:pPr>
          </w:p>
        </w:tc>
        <w:tc>
          <w:tcPr>
            <w:tcW w:w="7280" w:type="dxa"/>
          </w:tcPr>
          <w:p w14:paraId="4B73D84F" w14:textId="23345916" w:rsidR="00F276BC" w:rsidRPr="009C19C5" w:rsidRDefault="000A0E4E">
            <w:pPr>
              <w:autoSpaceDE w:val="0"/>
              <w:autoSpaceDN w:val="0"/>
              <w:adjustRightInd w:val="0"/>
              <w:spacing w:after="0" w:line="240" w:lineRule="auto"/>
              <w:rPr>
                <w:rFonts w:ascii="Times New Roman" w:eastAsia="Times New Roman" w:hAnsi="Times New Roman" w:cs="Times New Roman"/>
                <w:kern w:val="0"/>
                <w:sz w:val="20"/>
                <w:szCs w:val="20"/>
                <w:lang w:val="sr-Cyrl-RS"/>
                <w14:ligatures w14:val="none"/>
              </w:rPr>
            </w:pPr>
            <w:r w:rsidRPr="009C19C5">
              <w:rPr>
                <w:rFonts w:ascii="Times New Roman" w:hAnsi="Times New Roman" w:cs="Times New Roman"/>
                <w:sz w:val="20"/>
                <w:szCs w:val="20"/>
                <w:lang w:val="sr-Cyrl-RS"/>
              </w:rPr>
              <w:t xml:space="preserve">Претворити у </w:t>
            </w:r>
            <w:r w:rsidR="00030A4E" w:rsidRPr="009C19C5">
              <w:rPr>
                <w:rFonts w:ascii="Times New Roman" w:hAnsi="Times New Roman" w:cs="Times New Roman"/>
                <w:sz w:val="20"/>
                <w:szCs w:val="20"/>
                <w:lang w:val="sr-Cyrl-RS"/>
              </w:rPr>
              <w:t>о</w:t>
            </w:r>
            <w:r w:rsidRPr="009C19C5">
              <w:rPr>
                <w:rFonts w:ascii="Times New Roman" w:hAnsi="Times New Roman" w:cs="Times New Roman"/>
                <w:sz w:val="20"/>
                <w:szCs w:val="20"/>
                <w:lang w:val="sr-Cyrl-RS"/>
              </w:rPr>
              <w:t>бразовни и истраживачки центар за обновљиву енергију</w:t>
            </w:r>
            <w:r w:rsidR="005C292A" w:rsidRPr="009C19C5">
              <w:rPr>
                <w:rFonts w:ascii="Times New Roman" w:hAnsi="Times New Roman" w:cs="Times New Roman"/>
                <w:sz w:val="20"/>
                <w:szCs w:val="20"/>
                <w:lang w:val="sr-Cyrl-RS"/>
              </w:rPr>
              <w:t>.</w:t>
            </w:r>
          </w:p>
        </w:tc>
      </w:tr>
      <w:tr w:rsidR="00F276BC" w:rsidRPr="009C19C5" w14:paraId="0222E82E" w14:textId="77777777" w:rsidTr="005C292A">
        <w:trPr>
          <w:trHeight w:val="97"/>
        </w:trPr>
        <w:tc>
          <w:tcPr>
            <w:tcW w:w="3145" w:type="dxa"/>
            <w:vMerge/>
            <w:shd w:val="clear" w:color="auto" w:fill="auto"/>
            <w:vAlign w:val="center"/>
          </w:tcPr>
          <w:p w14:paraId="0C6927FE" w14:textId="77777777" w:rsidR="00F276BC" w:rsidRPr="009C19C5" w:rsidRDefault="00F276BC">
            <w:pPr>
              <w:spacing w:after="0" w:line="240" w:lineRule="auto"/>
              <w:rPr>
                <w:rFonts w:ascii="Times New Roman" w:eastAsia="Times New Roman" w:hAnsi="Times New Roman" w:cs="Times New Roman"/>
                <w:kern w:val="0"/>
                <w:sz w:val="20"/>
                <w:szCs w:val="20"/>
                <w:lang w:val="sr-Cyrl-RS"/>
                <w14:ligatures w14:val="none"/>
              </w:rPr>
            </w:pPr>
          </w:p>
        </w:tc>
        <w:tc>
          <w:tcPr>
            <w:tcW w:w="7280" w:type="dxa"/>
          </w:tcPr>
          <w:p w14:paraId="39300454" w14:textId="4C6AA5BA" w:rsidR="00F276BC" w:rsidRPr="009C19C5" w:rsidRDefault="000A0E4E">
            <w:pPr>
              <w:autoSpaceDE w:val="0"/>
              <w:autoSpaceDN w:val="0"/>
              <w:adjustRightInd w:val="0"/>
              <w:spacing w:after="0" w:line="240" w:lineRule="auto"/>
              <w:rPr>
                <w:rFonts w:ascii="Times New Roman" w:eastAsia="Times New Roman" w:hAnsi="Times New Roman" w:cs="Times New Roman"/>
                <w:kern w:val="0"/>
                <w:sz w:val="20"/>
                <w:szCs w:val="20"/>
                <w:lang w:val="sr-Cyrl-RS"/>
                <w14:ligatures w14:val="none"/>
              </w:rPr>
            </w:pPr>
            <w:bookmarkStart w:id="31" w:name="_Hlk202347007"/>
            <w:r w:rsidRPr="009C19C5">
              <w:rPr>
                <w:rFonts w:ascii="Times New Roman" w:hAnsi="Times New Roman" w:cs="Times New Roman"/>
                <w:sz w:val="20"/>
                <w:szCs w:val="20"/>
                <w:lang w:val="sr-Cyrl-RS"/>
              </w:rPr>
              <w:t>Претворити у шумарски посед или пољопривредну локацију</w:t>
            </w:r>
            <w:bookmarkEnd w:id="31"/>
            <w:r w:rsidR="005C292A" w:rsidRPr="009C19C5">
              <w:rPr>
                <w:rFonts w:ascii="Times New Roman" w:hAnsi="Times New Roman" w:cs="Times New Roman"/>
                <w:sz w:val="20"/>
                <w:szCs w:val="20"/>
                <w:lang w:val="sr-Cyrl-RS"/>
              </w:rPr>
              <w:t>.</w:t>
            </w:r>
          </w:p>
        </w:tc>
      </w:tr>
      <w:tr w:rsidR="00F276BC" w:rsidRPr="009C19C5" w14:paraId="4677DAB9" w14:textId="77777777" w:rsidTr="005C292A">
        <w:trPr>
          <w:trHeight w:val="97"/>
        </w:trPr>
        <w:tc>
          <w:tcPr>
            <w:tcW w:w="3145" w:type="dxa"/>
            <w:vMerge/>
            <w:shd w:val="clear" w:color="auto" w:fill="auto"/>
            <w:vAlign w:val="center"/>
          </w:tcPr>
          <w:p w14:paraId="1031E223" w14:textId="77777777" w:rsidR="00F276BC" w:rsidRPr="009C19C5" w:rsidRDefault="00F276BC">
            <w:pPr>
              <w:spacing w:after="0" w:line="240" w:lineRule="auto"/>
              <w:rPr>
                <w:rFonts w:ascii="Times New Roman" w:eastAsia="Times New Roman" w:hAnsi="Times New Roman" w:cs="Times New Roman"/>
                <w:kern w:val="0"/>
                <w:sz w:val="20"/>
                <w:szCs w:val="20"/>
                <w:lang w:val="sr-Cyrl-RS"/>
                <w14:ligatures w14:val="none"/>
              </w:rPr>
            </w:pPr>
          </w:p>
        </w:tc>
        <w:tc>
          <w:tcPr>
            <w:tcW w:w="7280" w:type="dxa"/>
          </w:tcPr>
          <w:p w14:paraId="64BD1FBF" w14:textId="6A3DD2CB" w:rsidR="00F276BC" w:rsidRPr="009C19C5" w:rsidRDefault="000A0E4E">
            <w:pPr>
              <w:autoSpaceDE w:val="0"/>
              <w:autoSpaceDN w:val="0"/>
              <w:adjustRightInd w:val="0"/>
              <w:spacing w:after="0" w:line="240" w:lineRule="auto"/>
              <w:rPr>
                <w:rFonts w:ascii="Times New Roman" w:eastAsia="Times New Roman" w:hAnsi="Times New Roman" w:cs="Times New Roman"/>
                <w:kern w:val="0"/>
                <w:sz w:val="20"/>
                <w:szCs w:val="20"/>
                <w:lang w:val="sr-Cyrl-RS"/>
                <w14:ligatures w14:val="none"/>
              </w:rPr>
            </w:pPr>
            <w:r w:rsidRPr="009C19C5">
              <w:rPr>
                <w:rFonts w:ascii="Times New Roman" w:hAnsi="Times New Roman" w:cs="Times New Roman"/>
                <w:sz w:val="20"/>
                <w:szCs w:val="20"/>
                <w:lang w:val="sr-Cyrl-RS"/>
              </w:rPr>
              <w:t>Претворити у урбани зелени простор/заједнички парк</w:t>
            </w:r>
            <w:r w:rsidR="005C292A" w:rsidRPr="009C19C5">
              <w:rPr>
                <w:rFonts w:ascii="Times New Roman" w:hAnsi="Times New Roman" w:cs="Times New Roman"/>
                <w:sz w:val="20"/>
                <w:szCs w:val="20"/>
                <w:lang w:val="sr-Cyrl-RS"/>
              </w:rPr>
              <w:t>.</w:t>
            </w:r>
          </w:p>
        </w:tc>
      </w:tr>
      <w:tr w:rsidR="00F276BC" w:rsidRPr="009C19C5" w14:paraId="5BB2BB42" w14:textId="77777777" w:rsidTr="005C292A">
        <w:trPr>
          <w:trHeight w:val="97"/>
        </w:trPr>
        <w:tc>
          <w:tcPr>
            <w:tcW w:w="3145" w:type="dxa"/>
            <w:vMerge/>
            <w:tcBorders>
              <w:bottom w:val="single" w:sz="4" w:space="0" w:color="auto"/>
            </w:tcBorders>
            <w:shd w:val="clear" w:color="auto" w:fill="auto"/>
            <w:vAlign w:val="center"/>
          </w:tcPr>
          <w:p w14:paraId="7F0EBA1A" w14:textId="77777777" w:rsidR="00F276BC" w:rsidRPr="009C19C5" w:rsidRDefault="00F276BC">
            <w:pPr>
              <w:spacing w:after="0" w:line="240" w:lineRule="auto"/>
              <w:rPr>
                <w:rFonts w:ascii="Times New Roman" w:eastAsia="Times New Roman" w:hAnsi="Times New Roman" w:cs="Times New Roman"/>
                <w:kern w:val="0"/>
                <w:sz w:val="20"/>
                <w:szCs w:val="20"/>
                <w:lang w:val="sr-Cyrl-RS"/>
                <w14:ligatures w14:val="none"/>
              </w:rPr>
            </w:pPr>
          </w:p>
        </w:tc>
        <w:tc>
          <w:tcPr>
            <w:tcW w:w="7280" w:type="dxa"/>
          </w:tcPr>
          <w:p w14:paraId="730681E9" w14:textId="2D4CAB25" w:rsidR="00F276BC" w:rsidRPr="009C19C5" w:rsidRDefault="000A0E4E">
            <w:pPr>
              <w:autoSpaceDE w:val="0"/>
              <w:autoSpaceDN w:val="0"/>
              <w:adjustRightInd w:val="0"/>
              <w:spacing w:after="0" w:line="240" w:lineRule="auto"/>
              <w:rPr>
                <w:rFonts w:ascii="Times New Roman" w:eastAsia="Times New Roman" w:hAnsi="Times New Roman" w:cs="Times New Roman"/>
                <w:kern w:val="0"/>
                <w:sz w:val="20"/>
                <w:szCs w:val="20"/>
                <w:lang w:val="sr-Cyrl-RS"/>
                <w14:ligatures w14:val="none"/>
              </w:rPr>
            </w:pPr>
            <w:r w:rsidRPr="009C19C5">
              <w:rPr>
                <w:rFonts w:ascii="Times New Roman" w:hAnsi="Times New Roman" w:cs="Times New Roman"/>
                <w:sz w:val="20"/>
                <w:szCs w:val="20"/>
                <w:lang w:val="sr-Cyrl-RS"/>
              </w:rPr>
              <w:t>Претворити у еко-туристичку локацију</w:t>
            </w:r>
            <w:r w:rsidR="005C292A" w:rsidRPr="009C19C5">
              <w:rPr>
                <w:rFonts w:ascii="Times New Roman" w:hAnsi="Times New Roman" w:cs="Times New Roman"/>
                <w:sz w:val="20"/>
                <w:szCs w:val="20"/>
                <w:lang w:val="sr-Cyrl-RS"/>
              </w:rPr>
              <w:t>.</w:t>
            </w:r>
          </w:p>
        </w:tc>
      </w:tr>
      <w:tr w:rsidR="00F276BC" w:rsidRPr="009C19C5" w14:paraId="74D972D0" w14:textId="77777777" w:rsidTr="005C292A">
        <w:trPr>
          <w:trHeight w:val="196"/>
        </w:trPr>
        <w:tc>
          <w:tcPr>
            <w:tcW w:w="3145" w:type="dxa"/>
            <w:vMerge w:val="restart"/>
            <w:tcBorders>
              <w:top w:val="single" w:sz="4" w:space="0" w:color="auto"/>
            </w:tcBorders>
            <w:shd w:val="clear" w:color="auto" w:fill="auto"/>
            <w:vAlign w:val="center"/>
          </w:tcPr>
          <w:p w14:paraId="72C6B74E" w14:textId="6611FBE0" w:rsidR="00F276BC" w:rsidRPr="009C19C5" w:rsidRDefault="000A0E4E">
            <w:pPr>
              <w:pStyle w:val="ListParagraph"/>
              <w:autoSpaceDE w:val="0"/>
              <w:autoSpaceDN w:val="0"/>
              <w:adjustRightInd w:val="0"/>
              <w:spacing w:after="0" w:line="240" w:lineRule="auto"/>
              <w:ind w:left="0"/>
              <w:rPr>
                <w:rFonts w:ascii="Times New Roman" w:eastAsia="Times New Roman" w:hAnsi="Times New Roman" w:cs="Times New Roman"/>
                <w:bCs/>
                <w:kern w:val="0"/>
                <w:sz w:val="20"/>
                <w:szCs w:val="20"/>
                <w:lang w:val="sr-Cyrl-RS"/>
                <w14:ligatures w14:val="none"/>
              </w:rPr>
            </w:pPr>
            <w:r w:rsidRPr="009C19C5">
              <w:rPr>
                <w:rFonts w:ascii="Times New Roman" w:eastAsia="Times New Roman" w:hAnsi="Times New Roman" w:cs="Times New Roman"/>
                <w:bCs/>
                <w:kern w:val="0"/>
                <w:sz w:val="20"/>
                <w:szCs w:val="20"/>
                <w:lang w:val="sr-Cyrl-RS"/>
                <w14:ligatures w14:val="none"/>
              </w:rPr>
              <w:t xml:space="preserve">Прилагођавање за нову примену у оквиру </w:t>
            </w:r>
            <w:r w:rsidR="00A7582E" w:rsidRPr="009C19C5">
              <w:rPr>
                <w:rFonts w:ascii="Times New Roman" w:eastAsia="Times New Roman" w:hAnsi="Times New Roman" w:cs="Times New Roman"/>
                <w:bCs/>
                <w:kern w:val="0"/>
                <w:sz w:val="20"/>
                <w:szCs w:val="20"/>
                <w:lang w:val="sr-Cyrl-RS"/>
                <w14:ligatures w14:val="none"/>
              </w:rPr>
              <w:t>ЕПС АД</w:t>
            </w:r>
            <w:r w:rsidR="00030A4E" w:rsidRPr="009C19C5">
              <w:rPr>
                <w:rFonts w:ascii="Times New Roman" w:eastAsia="Times New Roman" w:hAnsi="Times New Roman" w:cs="Times New Roman"/>
                <w:bCs/>
                <w:kern w:val="0"/>
                <w:sz w:val="20"/>
                <w:szCs w:val="20"/>
                <w:lang w:val="sr-Cyrl-RS"/>
                <w14:ligatures w14:val="none"/>
              </w:rPr>
              <w:t>,</w:t>
            </w:r>
            <w:r w:rsidRPr="009C19C5">
              <w:rPr>
                <w:rFonts w:ascii="Times New Roman" w:eastAsia="Times New Roman" w:hAnsi="Times New Roman" w:cs="Times New Roman"/>
                <w:bCs/>
                <w:kern w:val="0"/>
                <w:sz w:val="20"/>
                <w:szCs w:val="20"/>
                <w:lang w:val="sr-Cyrl-RS"/>
                <w14:ligatures w14:val="none"/>
              </w:rPr>
              <w:t xml:space="preserve"> али изван енергетског сектора </w:t>
            </w:r>
          </w:p>
        </w:tc>
        <w:tc>
          <w:tcPr>
            <w:tcW w:w="7280" w:type="dxa"/>
          </w:tcPr>
          <w:p w14:paraId="4C730D7E" w14:textId="055F1F9E" w:rsidR="00F276BC" w:rsidRPr="009C19C5" w:rsidRDefault="000A0E4E">
            <w:pPr>
              <w:autoSpaceDE w:val="0"/>
              <w:autoSpaceDN w:val="0"/>
              <w:adjustRightInd w:val="0"/>
              <w:spacing w:after="0" w:line="240" w:lineRule="auto"/>
              <w:rPr>
                <w:rFonts w:ascii="Times New Roman" w:eastAsia="Times New Roman" w:hAnsi="Times New Roman" w:cs="Times New Roman"/>
                <w:kern w:val="0"/>
                <w:sz w:val="20"/>
                <w:szCs w:val="20"/>
                <w:lang w:val="sr-Cyrl-RS"/>
                <w14:ligatures w14:val="none"/>
              </w:rPr>
            </w:pPr>
            <w:r w:rsidRPr="009C19C5">
              <w:rPr>
                <w:rFonts w:ascii="Times New Roman" w:hAnsi="Times New Roman" w:cs="Times New Roman"/>
                <w:sz w:val="20"/>
                <w:szCs w:val="20"/>
                <w:lang w:val="sr-Cyrl-RS"/>
              </w:rPr>
              <w:t>Продати зграду за складиштење</w:t>
            </w:r>
            <w:r w:rsidR="005C292A" w:rsidRPr="009C19C5">
              <w:rPr>
                <w:rFonts w:ascii="Times New Roman" w:hAnsi="Times New Roman" w:cs="Times New Roman"/>
                <w:sz w:val="20"/>
                <w:szCs w:val="20"/>
                <w:lang w:val="sr-Cyrl-RS"/>
              </w:rPr>
              <w:t>.</w:t>
            </w:r>
          </w:p>
        </w:tc>
      </w:tr>
      <w:tr w:rsidR="00F276BC" w:rsidRPr="009C19C5" w14:paraId="2BCC658B" w14:textId="77777777" w:rsidTr="005C292A">
        <w:trPr>
          <w:trHeight w:val="116"/>
        </w:trPr>
        <w:tc>
          <w:tcPr>
            <w:tcW w:w="3145" w:type="dxa"/>
            <w:vMerge/>
            <w:shd w:val="clear" w:color="auto" w:fill="auto"/>
            <w:vAlign w:val="center"/>
          </w:tcPr>
          <w:p w14:paraId="55167FCF" w14:textId="77777777" w:rsidR="00F276BC" w:rsidRPr="009C19C5" w:rsidRDefault="00F276BC">
            <w:pPr>
              <w:spacing w:after="0" w:line="240" w:lineRule="auto"/>
              <w:rPr>
                <w:rFonts w:ascii="Times New Roman" w:eastAsia="Times New Roman" w:hAnsi="Times New Roman" w:cs="Times New Roman"/>
                <w:kern w:val="0"/>
                <w:sz w:val="20"/>
                <w:szCs w:val="20"/>
                <w:lang w:val="sr-Cyrl-RS"/>
                <w14:ligatures w14:val="none"/>
              </w:rPr>
            </w:pPr>
          </w:p>
        </w:tc>
        <w:tc>
          <w:tcPr>
            <w:tcW w:w="7280" w:type="dxa"/>
          </w:tcPr>
          <w:p w14:paraId="5B3217EA" w14:textId="77777777" w:rsidR="00F276BC" w:rsidRPr="009C19C5" w:rsidRDefault="000A0E4E">
            <w:pPr>
              <w:autoSpaceDE w:val="0"/>
              <w:autoSpaceDN w:val="0"/>
              <w:adjustRightInd w:val="0"/>
              <w:spacing w:after="0" w:line="240" w:lineRule="auto"/>
              <w:rPr>
                <w:rFonts w:ascii="Times New Roman" w:eastAsia="Times New Roman" w:hAnsi="Times New Roman" w:cs="Times New Roman"/>
                <w:kern w:val="0"/>
                <w:sz w:val="20"/>
                <w:szCs w:val="20"/>
                <w:lang w:val="sr-Cyrl-RS"/>
                <w14:ligatures w14:val="none"/>
              </w:rPr>
            </w:pPr>
            <w:r w:rsidRPr="009C19C5">
              <w:rPr>
                <w:rFonts w:ascii="Times New Roman" w:hAnsi="Times New Roman" w:cs="Times New Roman"/>
                <w:sz w:val="20"/>
                <w:szCs w:val="20"/>
                <w:lang w:val="sr-Cyrl-RS"/>
              </w:rPr>
              <w:t>Претворити у постројење за управљање отпадом</w:t>
            </w:r>
          </w:p>
        </w:tc>
      </w:tr>
      <w:tr w:rsidR="00F276BC" w:rsidRPr="009C19C5" w14:paraId="78AFA69B" w14:textId="77777777" w:rsidTr="005C292A">
        <w:trPr>
          <w:trHeight w:val="116"/>
        </w:trPr>
        <w:tc>
          <w:tcPr>
            <w:tcW w:w="3145" w:type="dxa"/>
            <w:vMerge/>
            <w:tcBorders>
              <w:bottom w:val="single" w:sz="4" w:space="0" w:color="auto"/>
            </w:tcBorders>
            <w:shd w:val="clear" w:color="auto" w:fill="auto"/>
            <w:vAlign w:val="center"/>
          </w:tcPr>
          <w:p w14:paraId="5B6050CC" w14:textId="77777777" w:rsidR="00F276BC" w:rsidRPr="009C19C5" w:rsidRDefault="00F276BC">
            <w:pPr>
              <w:spacing w:after="0" w:line="240" w:lineRule="auto"/>
              <w:rPr>
                <w:rFonts w:ascii="Times New Roman" w:eastAsia="Times New Roman" w:hAnsi="Times New Roman" w:cs="Times New Roman"/>
                <w:kern w:val="0"/>
                <w:sz w:val="20"/>
                <w:szCs w:val="20"/>
                <w:lang w:val="sr-Cyrl-RS"/>
                <w14:ligatures w14:val="none"/>
              </w:rPr>
            </w:pPr>
          </w:p>
        </w:tc>
        <w:tc>
          <w:tcPr>
            <w:tcW w:w="7280" w:type="dxa"/>
          </w:tcPr>
          <w:p w14:paraId="19089102" w14:textId="17BE94CC" w:rsidR="00F276BC" w:rsidRPr="009C19C5" w:rsidRDefault="000A0E4E">
            <w:pPr>
              <w:autoSpaceDE w:val="0"/>
              <w:autoSpaceDN w:val="0"/>
              <w:adjustRightInd w:val="0"/>
              <w:spacing w:after="0" w:line="240" w:lineRule="auto"/>
              <w:rPr>
                <w:rFonts w:ascii="Times New Roman" w:eastAsia="Times New Roman" w:hAnsi="Times New Roman" w:cs="Times New Roman"/>
                <w:kern w:val="0"/>
                <w:sz w:val="20"/>
                <w:szCs w:val="20"/>
                <w:lang w:val="sr-Cyrl-RS"/>
                <w14:ligatures w14:val="none"/>
              </w:rPr>
            </w:pPr>
            <w:r w:rsidRPr="009C19C5">
              <w:rPr>
                <w:rFonts w:ascii="Times New Roman" w:hAnsi="Times New Roman" w:cs="Times New Roman"/>
                <w:sz w:val="20"/>
                <w:szCs w:val="20"/>
                <w:lang w:val="sr-Cyrl-RS"/>
              </w:rPr>
              <w:t>Претворити у индустријско чвориште за зелену производњу</w:t>
            </w:r>
            <w:r w:rsidR="005C292A" w:rsidRPr="009C19C5">
              <w:rPr>
                <w:rFonts w:ascii="Times New Roman" w:hAnsi="Times New Roman" w:cs="Times New Roman"/>
                <w:sz w:val="20"/>
                <w:szCs w:val="20"/>
                <w:lang w:val="sr-Cyrl-RS"/>
              </w:rPr>
              <w:t>.</w:t>
            </w:r>
          </w:p>
        </w:tc>
      </w:tr>
      <w:tr w:rsidR="00F276BC" w:rsidRPr="009C19C5" w14:paraId="00926B85" w14:textId="77777777" w:rsidTr="005C292A">
        <w:trPr>
          <w:trHeight w:val="295"/>
        </w:trPr>
        <w:tc>
          <w:tcPr>
            <w:tcW w:w="3145" w:type="dxa"/>
            <w:tcBorders>
              <w:top w:val="single" w:sz="4" w:space="0" w:color="auto"/>
              <w:bottom w:val="single" w:sz="4" w:space="0" w:color="auto"/>
            </w:tcBorders>
            <w:shd w:val="clear" w:color="auto" w:fill="auto"/>
            <w:vAlign w:val="center"/>
          </w:tcPr>
          <w:p w14:paraId="059780F2" w14:textId="77777777" w:rsidR="00F276BC" w:rsidRPr="009C19C5" w:rsidRDefault="000A0E4E">
            <w:pPr>
              <w:pStyle w:val="ListParagraph"/>
              <w:autoSpaceDE w:val="0"/>
              <w:autoSpaceDN w:val="0"/>
              <w:adjustRightInd w:val="0"/>
              <w:spacing w:after="0" w:line="240" w:lineRule="auto"/>
              <w:ind w:left="0"/>
              <w:rPr>
                <w:rFonts w:ascii="Times New Roman" w:eastAsia="Times New Roman" w:hAnsi="Times New Roman" w:cs="Times New Roman"/>
                <w:bCs/>
                <w:kern w:val="0"/>
                <w:sz w:val="20"/>
                <w:szCs w:val="20"/>
                <w:lang w:val="sr-Cyrl-RS"/>
                <w14:ligatures w14:val="none"/>
              </w:rPr>
            </w:pPr>
            <w:r w:rsidRPr="009C19C5">
              <w:rPr>
                <w:rFonts w:ascii="Times New Roman" w:eastAsia="Times New Roman" w:hAnsi="Times New Roman" w:cs="Times New Roman"/>
                <w:bCs/>
                <w:kern w:val="0"/>
                <w:sz w:val="20"/>
                <w:szCs w:val="20"/>
                <w:lang w:val="sr-Cyrl-RS"/>
                <w14:ligatures w14:val="none"/>
              </w:rPr>
              <w:t>Основна реконструкција</w:t>
            </w:r>
          </w:p>
        </w:tc>
        <w:tc>
          <w:tcPr>
            <w:tcW w:w="7280" w:type="dxa"/>
          </w:tcPr>
          <w:p w14:paraId="203A887A" w14:textId="0BF6D7B9" w:rsidR="00F276BC" w:rsidRPr="009C19C5" w:rsidRDefault="000A0E4E">
            <w:pPr>
              <w:autoSpaceDE w:val="0"/>
              <w:autoSpaceDN w:val="0"/>
              <w:adjustRightInd w:val="0"/>
              <w:spacing w:after="0" w:line="240" w:lineRule="auto"/>
              <w:rPr>
                <w:rFonts w:ascii="Times New Roman" w:eastAsia="Times New Roman" w:hAnsi="Times New Roman" w:cs="Times New Roman"/>
                <w:kern w:val="0"/>
                <w:sz w:val="20"/>
                <w:szCs w:val="20"/>
                <w:lang w:val="sr-Cyrl-RS"/>
                <w14:ligatures w14:val="none"/>
              </w:rPr>
            </w:pPr>
            <w:r w:rsidRPr="009C19C5">
              <w:rPr>
                <w:rFonts w:ascii="Times New Roman" w:hAnsi="Times New Roman" w:cs="Times New Roman"/>
                <w:sz w:val="20"/>
                <w:szCs w:val="20"/>
                <w:lang w:val="sr-Cyrl-RS"/>
              </w:rPr>
              <w:t>Претворити у земљиште – продати дозволе заинтересованим за улагање у ОИЕ/</w:t>
            </w:r>
            <w:r w:rsidR="00030A4E" w:rsidRPr="009C19C5">
              <w:rPr>
                <w:rFonts w:ascii="Times New Roman" w:hAnsi="Times New Roman" w:cs="Times New Roman"/>
                <w:sz w:val="20"/>
                <w:szCs w:val="20"/>
                <w:lang w:val="sr-Cyrl-RS"/>
              </w:rPr>
              <w:t>фотонапонске системе</w:t>
            </w:r>
            <w:r w:rsidR="005C292A" w:rsidRPr="009C19C5">
              <w:rPr>
                <w:rFonts w:ascii="Times New Roman" w:hAnsi="Times New Roman" w:cs="Times New Roman"/>
                <w:sz w:val="20"/>
                <w:szCs w:val="20"/>
                <w:lang w:val="sr-Cyrl-RS"/>
              </w:rPr>
              <w:t>.</w:t>
            </w:r>
          </w:p>
        </w:tc>
      </w:tr>
      <w:tr w:rsidR="00F276BC" w:rsidRPr="009C19C5" w14:paraId="5BD8DEF8" w14:textId="77777777" w:rsidTr="005C292A">
        <w:trPr>
          <w:trHeight w:val="295"/>
        </w:trPr>
        <w:tc>
          <w:tcPr>
            <w:tcW w:w="3145" w:type="dxa"/>
            <w:tcBorders>
              <w:top w:val="single" w:sz="4" w:space="0" w:color="auto"/>
              <w:bottom w:val="single" w:sz="4" w:space="0" w:color="auto"/>
            </w:tcBorders>
            <w:shd w:val="clear" w:color="auto" w:fill="auto"/>
            <w:vAlign w:val="center"/>
          </w:tcPr>
          <w:p w14:paraId="0C336D77" w14:textId="77777777" w:rsidR="00F276BC" w:rsidRPr="009C19C5" w:rsidRDefault="000A0E4E">
            <w:pPr>
              <w:pStyle w:val="ListParagraph"/>
              <w:autoSpaceDE w:val="0"/>
              <w:autoSpaceDN w:val="0"/>
              <w:adjustRightInd w:val="0"/>
              <w:spacing w:after="0" w:line="240" w:lineRule="auto"/>
              <w:ind w:left="0"/>
              <w:rPr>
                <w:rFonts w:ascii="Times New Roman" w:eastAsia="Times New Roman" w:hAnsi="Times New Roman" w:cs="Times New Roman"/>
                <w:bCs/>
                <w:kern w:val="0"/>
                <w:sz w:val="20"/>
                <w:szCs w:val="20"/>
                <w:lang w:val="sr-Cyrl-RS"/>
                <w14:ligatures w14:val="none"/>
              </w:rPr>
            </w:pPr>
            <w:r w:rsidRPr="009C19C5">
              <w:rPr>
                <w:rFonts w:ascii="Times New Roman" w:eastAsia="Times New Roman" w:hAnsi="Times New Roman" w:cs="Times New Roman"/>
                <w:bCs/>
                <w:kern w:val="0"/>
                <w:sz w:val="20"/>
                <w:szCs w:val="20"/>
                <w:lang w:val="sr-Cyrl-RS"/>
                <w14:ligatures w14:val="none"/>
              </w:rPr>
              <w:t>Реконструкција</w:t>
            </w:r>
          </w:p>
        </w:tc>
        <w:tc>
          <w:tcPr>
            <w:tcW w:w="7280" w:type="dxa"/>
          </w:tcPr>
          <w:p w14:paraId="2BFB1EC9" w14:textId="2578DA82" w:rsidR="00F276BC" w:rsidRPr="009C19C5" w:rsidRDefault="000A0E4E">
            <w:pPr>
              <w:autoSpaceDE w:val="0"/>
              <w:autoSpaceDN w:val="0"/>
              <w:adjustRightInd w:val="0"/>
              <w:spacing w:after="0" w:line="240" w:lineRule="auto"/>
              <w:rPr>
                <w:rFonts w:ascii="Times New Roman" w:eastAsia="Times New Roman" w:hAnsi="Times New Roman" w:cs="Times New Roman"/>
                <w:kern w:val="0"/>
                <w:sz w:val="20"/>
                <w:szCs w:val="20"/>
                <w:lang w:val="sr-Cyrl-RS"/>
                <w14:ligatures w14:val="none"/>
              </w:rPr>
            </w:pPr>
            <w:bookmarkStart w:id="32" w:name="_Hlk202347053"/>
            <w:r w:rsidRPr="009C19C5">
              <w:rPr>
                <w:rFonts w:ascii="Times New Roman" w:hAnsi="Times New Roman" w:cs="Times New Roman"/>
                <w:sz w:val="20"/>
                <w:szCs w:val="20"/>
                <w:lang w:val="sr-Cyrl-RS"/>
              </w:rPr>
              <w:t>У потпуности вратити експлоатисано земљиште у претходно стање (као што је прописано законом)</w:t>
            </w:r>
            <w:bookmarkEnd w:id="32"/>
            <w:r w:rsidR="005C292A" w:rsidRPr="009C19C5">
              <w:rPr>
                <w:rFonts w:ascii="Times New Roman" w:hAnsi="Times New Roman" w:cs="Times New Roman"/>
                <w:sz w:val="20"/>
                <w:szCs w:val="20"/>
                <w:lang w:val="sr-Cyrl-RS"/>
              </w:rPr>
              <w:t>.</w:t>
            </w:r>
          </w:p>
        </w:tc>
      </w:tr>
      <w:tr w:rsidR="00F276BC" w:rsidRPr="009C19C5" w14:paraId="53CA7E44" w14:textId="77777777" w:rsidTr="005C292A">
        <w:trPr>
          <w:trHeight w:val="186"/>
        </w:trPr>
        <w:tc>
          <w:tcPr>
            <w:tcW w:w="3145" w:type="dxa"/>
            <w:vMerge w:val="restart"/>
            <w:tcBorders>
              <w:top w:val="single" w:sz="4" w:space="0" w:color="auto"/>
            </w:tcBorders>
            <w:shd w:val="clear" w:color="auto" w:fill="auto"/>
            <w:vAlign w:val="center"/>
          </w:tcPr>
          <w:p w14:paraId="29EEBF67" w14:textId="77777777" w:rsidR="00F276BC" w:rsidRPr="009C19C5" w:rsidRDefault="000A0E4E">
            <w:pPr>
              <w:pStyle w:val="ListParagraph"/>
              <w:autoSpaceDE w:val="0"/>
              <w:autoSpaceDN w:val="0"/>
              <w:adjustRightInd w:val="0"/>
              <w:spacing w:after="0" w:line="240" w:lineRule="auto"/>
              <w:ind w:left="0"/>
              <w:rPr>
                <w:rFonts w:ascii="Times New Roman" w:eastAsia="Times New Roman" w:hAnsi="Times New Roman" w:cs="Times New Roman"/>
                <w:bCs/>
                <w:kern w:val="0"/>
                <w:sz w:val="20"/>
                <w:szCs w:val="20"/>
                <w:lang w:val="sr-Cyrl-RS"/>
                <w14:ligatures w14:val="none"/>
              </w:rPr>
            </w:pPr>
            <w:r w:rsidRPr="009C19C5">
              <w:rPr>
                <w:rFonts w:ascii="Times New Roman" w:eastAsia="Times New Roman" w:hAnsi="Times New Roman" w:cs="Times New Roman"/>
                <w:bCs/>
                <w:kern w:val="0"/>
                <w:sz w:val="20"/>
                <w:szCs w:val="20"/>
                <w:lang w:val="sr-Cyrl-RS"/>
                <w14:ligatures w14:val="none"/>
              </w:rPr>
              <w:t>Примене везане за енергетски сектор</w:t>
            </w:r>
          </w:p>
        </w:tc>
        <w:tc>
          <w:tcPr>
            <w:tcW w:w="7280" w:type="dxa"/>
          </w:tcPr>
          <w:p w14:paraId="47319268" w14:textId="23CA630D" w:rsidR="00F276BC" w:rsidRPr="009C19C5" w:rsidRDefault="000A0E4E">
            <w:pPr>
              <w:autoSpaceDE w:val="0"/>
              <w:autoSpaceDN w:val="0"/>
              <w:adjustRightInd w:val="0"/>
              <w:spacing w:after="0" w:line="240" w:lineRule="auto"/>
              <w:rPr>
                <w:rFonts w:ascii="Times New Roman" w:eastAsia="Times New Roman" w:hAnsi="Times New Roman" w:cs="Times New Roman"/>
                <w:kern w:val="0"/>
                <w:sz w:val="20"/>
                <w:szCs w:val="20"/>
                <w:lang w:val="sr-Cyrl-RS"/>
                <w14:ligatures w14:val="none"/>
              </w:rPr>
            </w:pPr>
            <w:r w:rsidRPr="009C19C5">
              <w:rPr>
                <w:rFonts w:ascii="Times New Roman" w:hAnsi="Times New Roman" w:cs="Times New Roman"/>
                <w:sz w:val="20"/>
                <w:szCs w:val="20"/>
                <w:lang w:val="sr-Cyrl-RS"/>
              </w:rPr>
              <w:t xml:space="preserve">Претворити у </w:t>
            </w:r>
            <w:r w:rsidR="005C292A" w:rsidRPr="009C19C5">
              <w:rPr>
                <w:rFonts w:ascii="Times New Roman" w:hAnsi="Times New Roman" w:cs="Times New Roman"/>
                <w:sz w:val="20"/>
                <w:szCs w:val="20"/>
                <w:lang w:val="sr-Cyrl-RS"/>
              </w:rPr>
              <w:t>постројење</w:t>
            </w:r>
            <w:r w:rsidRPr="009C19C5">
              <w:rPr>
                <w:rFonts w:ascii="Times New Roman" w:hAnsi="Times New Roman" w:cs="Times New Roman"/>
                <w:sz w:val="20"/>
                <w:szCs w:val="20"/>
                <w:lang w:val="sr-Cyrl-RS"/>
              </w:rPr>
              <w:t xml:space="preserve"> на природни гас за даљинско грејање, потенцијално у комбинацији са </w:t>
            </w:r>
            <w:r w:rsidR="005C292A" w:rsidRPr="009C19C5">
              <w:rPr>
                <w:rFonts w:ascii="Times New Roman" w:hAnsi="Times New Roman" w:cs="Times New Roman"/>
                <w:sz w:val="20"/>
                <w:szCs w:val="20"/>
                <w:lang w:val="sr-Cyrl-RS"/>
              </w:rPr>
              <w:t>хватањем и складиштењем угљеника</w:t>
            </w:r>
          </w:p>
        </w:tc>
      </w:tr>
      <w:tr w:rsidR="00F276BC" w:rsidRPr="009C19C5" w14:paraId="26AE4047" w14:textId="77777777" w:rsidTr="005C292A">
        <w:trPr>
          <w:trHeight w:val="116"/>
        </w:trPr>
        <w:tc>
          <w:tcPr>
            <w:tcW w:w="3145" w:type="dxa"/>
            <w:vMerge/>
            <w:shd w:val="clear" w:color="auto" w:fill="auto"/>
          </w:tcPr>
          <w:p w14:paraId="1A5AD26B" w14:textId="77777777" w:rsidR="00F276BC" w:rsidRPr="009C19C5" w:rsidRDefault="00F276BC">
            <w:pPr>
              <w:spacing w:after="0" w:line="240" w:lineRule="auto"/>
              <w:rPr>
                <w:rFonts w:ascii="Times New Roman" w:eastAsia="Times New Roman" w:hAnsi="Times New Roman" w:cs="Times New Roman"/>
                <w:color w:val="FFFFFF" w:themeColor="background1"/>
                <w:kern w:val="0"/>
                <w:sz w:val="20"/>
                <w:szCs w:val="20"/>
                <w:lang w:val="sr-Cyrl-RS"/>
                <w14:ligatures w14:val="none"/>
              </w:rPr>
            </w:pPr>
          </w:p>
        </w:tc>
        <w:tc>
          <w:tcPr>
            <w:tcW w:w="7280" w:type="dxa"/>
          </w:tcPr>
          <w:p w14:paraId="294712F0" w14:textId="28637E73" w:rsidR="00F276BC" w:rsidRPr="009C19C5" w:rsidRDefault="000A0E4E">
            <w:pPr>
              <w:autoSpaceDE w:val="0"/>
              <w:autoSpaceDN w:val="0"/>
              <w:adjustRightInd w:val="0"/>
              <w:spacing w:after="0" w:line="240" w:lineRule="auto"/>
              <w:rPr>
                <w:rFonts w:ascii="Times New Roman" w:eastAsia="Times New Roman" w:hAnsi="Times New Roman" w:cs="Times New Roman"/>
                <w:kern w:val="0"/>
                <w:sz w:val="20"/>
                <w:szCs w:val="20"/>
                <w:lang w:val="sr-Cyrl-RS"/>
                <w14:ligatures w14:val="none"/>
              </w:rPr>
            </w:pPr>
            <w:r w:rsidRPr="009C19C5">
              <w:rPr>
                <w:rFonts w:ascii="Times New Roman" w:hAnsi="Times New Roman" w:cs="Times New Roman"/>
                <w:sz w:val="20"/>
                <w:szCs w:val="20"/>
                <w:lang w:val="sr-Cyrl-RS"/>
              </w:rPr>
              <w:t>Развити постројења за складиштење (на локацијама</w:t>
            </w:r>
            <w:r w:rsidR="005C292A" w:rsidRPr="009C19C5">
              <w:rPr>
                <w:rFonts w:ascii="Times New Roman" w:hAnsi="Times New Roman" w:cs="Times New Roman"/>
                <w:sz w:val="20"/>
                <w:szCs w:val="20"/>
                <w:lang w:val="sr-Cyrl-RS"/>
              </w:rPr>
              <w:t xml:space="preserve"> термоелектрана</w:t>
            </w:r>
            <w:r w:rsidRPr="009C19C5">
              <w:rPr>
                <w:rFonts w:ascii="Times New Roman" w:hAnsi="Times New Roman" w:cs="Times New Roman"/>
                <w:sz w:val="20"/>
                <w:szCs w:val="20"/>
                <w:lang w:val="sr-Cyrl-RS"/>
              </w:rPr>
              <w:t xml:space="preserve"> стављених ван употребе</w:t>
            </w:r>
            <w:r w:rsidR="005C292A" w:rsidRPr="009C19C5">
              <w:rPr>
                <w:rFonts w:ascii="Times New Roman" w:hAnsi="Times New Roman" w:cs="Times New Roman"/>
                <w:sz w:val="20"/>
                <w:szCs w:val="20"/>
                <w:lang w:val="sr-Cyrl-RS"/>
              </w:rPr>
              <w:t>).</w:t>
            </w:r>
          </w:p>
        </w:tc>
      </w:tr>
      <w:tr w:rsidR="00F276BC" w:rsidRPr="009C19C5" w14:paraId="100BA25A" w14:textId="77777777" w:rsidTr="005C292A">
        <w:trPr>
          <w:trHeight w:val="116"/>
        </w:trPr>
        <w:tc>
          <w:tcPr>
            <w:tcW w:w="3145" w:type="dxa"/>
            <w:vMerge/>
            <w:shd w:val="clear" w:color="auto" w:fill="auto"/>
          </w:tcPr>
          <w:p w14:paraId="05E4BB63" w14:textId="77777777" w:rsidR="00F276BC" w:rsidRPr="009C19C5" w:rsidRDefault="00F276BC">
            <w:pPr>
              <w:spacing w:after="0" w:line="240" w:lineRule="auto"/>
              <w:rPr>
                <w:rFonts w:ascii="Times New Roman" w:eastAsia="Times New Roman" w:hAnsi="Times New Roman" w:cs="Times New Roman"/>
                <w:color w:val="FFFFFF" w:themeColor="background1"/>
                <w:kern w:val="0"/>
                <w:sz w:val="20"/>
                <w:szCs w:val="20"/>
                <w:lang w:val="sr-Cyrl-RS"/>
                <w14:ligatures w14:val="none"/>
              </w:rPr>
            </w:pPr>
          </w:p>
        </w:tc>
        <w:tc>
          <w:tcPr>
            <w:tcW w:w="7280" w:type="dxa"/>
          </w:tcPr>
          <w:p w14:paraId="32F58568" w14:textId="6A3F9D0D" w:rsidR="00F276BC" w:rsidRPr="009C19C5" w:rsidRDefault="000A0E4E">
            <w:pPr>
              <w:autoSpaceDE w:val="0"/>
              <w:autoSpaceDN w:val="0"/>
              <w:adjustRightInd w:val="0"/>
              <w:spacing w:after="0" w:line="240" w:lineRule="auto"/>
              <w:rPr>
                <w:rFonts w:ascii="Times New Roman" w:eastAsia="Times New Roman" w:hAnsi="Times New Roman" w:cs="Times New Roman"/>
                <w:kern w:val="0"/>
                <w:sz w:val="20"/>
                <w:szCs w:val="20"/>
                <w:lang w:val="sr-Cyrl-RS"/>
                <w14:ligatures w14:val="none"/>
              </w:rPr>
            </w:pPr>
            <w:r w:rsidRPr="009C19C5">
              <w:rPr>
                <w:rFonts w:ascii="Times New Roman" w:hAnsi="Times New Roman" w:cs="Times New Roman"/>
                <w:sz w:val="20"/>
                <w:szCs w:val="20"/>
                <w:lang w:val="sr-Cyrl-RS"/>
              </w:rPr>
              <w:t>Сачувати као стратешку резерву</w:t>
            </w:r>
            <w:r w:rsidR="005C292A" w:rsidRPr="009C19C5">
              <w:rPr>
                <w:rFonts w:ascii="Times New Roman" w:hAnsi="Times New Roman" w:cs="Times New Roman"/>
                <w:sz w:val="20"/>
                <w:szCs w:val="20"/>
                <w:lang w:val="sr-Cyrl-RS"/>
              </w:rPr>
              <w:t>.</w:t>
            </w:r>
          </w:p>
        </w:tc>
      </w:tr>
    </w:tbl>
    <w:p w14:paraId="35A16A19" w14:textId="77777777" w:rsidR="00F276BC" w:rsidRPr="009C19C5" w:rsidRDefault="00F276BC" w:rsidP="006255BB">
      <w:pPr>
        <w:pStyle w:val="ListParagraph"/>
        <w:autoSpaceDE w:val="0"/>
        <w:autoSpaceDN w:val="0"/>
        <w:adjustRightInd w:val="0"/>
        <w:spacing w:line="240" w:lineRule="auto"/>
        <w:ind w:left="0"/>
        <w:jc w:val="both"/>
        <w:rPr>
          <w:rFonts w:ascii="Times New Roman" w:hAnsi="Times New Roman" w:cs="Times New Roman"/>
          <w:sz w:val="24"/>
          <w:szCs w:val="24"/>
          <w:lang w:val="sr-Cyrl-RS"/>
        </w:rPr>
      </w:pPr>
    </w:p>
    <w:p w14:paraId="0C701A40" w14:textId="4C6DF649" w:rsidR="00F276BC" w:rsidRPr="009C19C5" w:rsidRDefault="00E42998" w:rsidP="00A53D3C">
      <w:pPr>
        <w:pStyle w:val="ListParagraph"/>
        <w:numPr>
          <w:ilvl w:val="0"/>
          <w:numId w:val="31"/>
        </w:numPr>
        <w:tabs>
          <w:tab w:val="left" w:pos="990"/>
        </w:tabs>
        <w:autoSpaceDE w:val="0"/>
        <w:autoSpaceDN w:val="0"/>
        <w:adjustRightInd w:val="0"/>
        <w:spacing w:before="240" w:after="0" w:line="240" w:lineRule="auto"/>
        <w:ind w:left="990" w:hanging="27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 xml:space="preserve">Рекултивација и санација </w:t>
      </w:r>
      <w:r w:rsidR="000A0E4E" w:rsidRPr="009C19C5">
        <w:rPr>
          <w:rFonts w:ascii="Times New Roman" w:hAnsi="Times New Roman" w:cs="Times New Roman"/>
          <w:sz w:val="24"/>
          <w:szCs w:val="24"/>
          <w:lang w:val="sr-Cyrl-RS"/>
        </w:rPr>
        <w:t xml:space="preserve">рударског земљишта и санација рудника. Постоји неколико алтернативних опција за рехабилитовано рударско земљиште као што је представљено у </w:t>
      </w:r>
      <w:r w:rsidR="00A53D3C" w:rsidRPr="009C19C5">
        <w:rPr>
          <w:rFonts w:ascii="Times New Roman" w:hAnsi="Times New Roman" w:cs="Times New Roman"/>
          <w:sz w:val="24"/>
          <w:szCs w:val="24"/>
          <w:lang w:val="sr-Cyrl-RS"/>
        </w:rPr>
        <w:t>Т</w:t>
      </w:r>
      <w:r w:rsidR="000A0E4E" w:rsidRPr="009C19C5">
        <w:rPr>
          <w:rFonts w:ascii="Times New Roman" w:hAnsi="Times New Roman" w:cs="Times New Roman"/>
          <w:sz w:val="24"/>
          <w:szCs w:val="24"/>
          <w:lang w:val="sr-Cyrl-RS"/>
        </w:rPr>
        <w:t xml:space="preserve">абели </w:t>
      </w:r>
      <w:r w:rsidR="00D56599" w:rsidRPr="009C19C5">
        <w:rPr>
          <w:rFonts w:ascii="Times New Roman" w:hAnsi="Times New Roman" w:cs="Times New Roman"/>
          <w:sz w:val="24"/>
          <w:szCs w:val="24"/>
          <w:lang w:val="sr-Cyrl-RS"/>
        </w:rPr>
        <w:t>9</w:t>
      </w:r>
      <w:r w:rsidR="000A0E4E" w:rsidRPr="009C19C5">
        <w:rPr>
          <w:rFonts w:ascii="Times New Roman" w:hAnsi="Times New Roman" w:cs="Times New Roman"/>
          <w:sz w:val="24"/>
          <w:szCs w:val="24"/>
          <w:lang w:val="sr-Cyrl-RS"/>
        </w:rPr>
        <w:t>.</w:t>
      </w:r>
    </w:p>
    <w:p w14:paraId="00D2C45C" w14:textId="77777777" w:rsidR="00023E2C" w:rsidRPr="009C19C5" w:rsidRDefault="00023E2C" w:rsidP="004B08C1">
      <w:pPr>
        <w:pStyle w:val="ListParagraph"/>
        <w:autoSpaceDE w:val="0"/>
        <w:autoSpaceDN w:val="0"/>
        <w:adjustRightInd w:val="0"/>
        <w:spacing w:before="240" w:after="0" w:line="240" w:lineRule="auto"/>
        <w:ind w:left="0" w:firstLine="360"/>
        <w:jc w:val="both"/>
        <w:rPr>
          <w:rFonts w:ascii="Times New Roman" w:hAnsi="Times New Roman" w:cs="Times New Roman"/>
          <w:sz w:val="24"/>
          <w:szCs w:val="24"/>
          <w:lang w:val="sr-Cyrl-RS"/>
        </w:rPr>
      </w:pPr>
    </w:p>
    <w:p w14:paraId="43ABC292" w14:textId="6C2A17B4" w:rsidR="00F276BC" w:rsidRPr="009C19C5" w:rsidRDefault="000A0E4E" w:rsidP="00B260A1">
      <w:pPr>
        <w:pStyle w:val="Caption"/>
        <w:keepNext/>
        <w:spacing w:after="0" w:line="240" w:lineRule="auto"/>
        <w:jc w:val="left"/>
        <w:rPr>
          <w:rFonts w:ascii="Times New Roman" w:hAnsi="Times New Roman" w:cs="Times New Roman"/>
          <w:i w:val="0"/>
          <w:iCs w:val="0"/>
          <w:color w:val="auto"/>
          <w:sz w:val="20"/>
          <w:szCs w:val="20"/>
          <w:lang w:val="sr-Cyrl-RS"/>
        </w:rPr>
      </w:pPr>
      <w:r w:rsidRPr="009C19C5">
        <w:rPr>
          <w:rFonts w:ascii="Times New Roman" w:hAnsi="Times New Roman" w:cs="Times New Roman"/>
          <w:i w:val="0"/>
          <w:iCs w:val="0"/>
          <w:color w:val="auto"/>
          <w:sz w:val="20"/>
          <w:szCs w:val="20"/>
          <w:lang w:val="sr-Cyrl-RS"/>
        </w:rPr>
        <w:t xml:space="preserve">Табела </w:t>
      </w:r>
      <w:r w:rsidR="00D56599" w:rsidRPr="009C19C5">
        <w:rPr>
          <w:rFonts w:ascii="Times New Roman" w:hAnsi="Times New Roman" w:cs="Times New Roman"/>
          <w:i w:val="0"/>
          <w:iCs w:val="0"/>
          <w:color w:val="auto"/>
          <w:sz w:val="20"/>
          <w:szCs w:val="20"/>
          <w:lang w:val="sr-Cyrl-RS"/>
        </w:rPr>
        <w:t>9</w:t>
      </w:r>
      <w:r w:rsidRPr="009C19C5">
        <w:rPr>
          <w:rFonts w:ascii="Times New Roman" w:hAnsi="Times New Roman" w:cs="Times New Roman"/>
          <w:i w:val="0"/>
          <w:iCs w:val="0"/>
          <w:color w:val="auto"/>
          <w:sz w:val="20"/>
          <w:szCs w:val="20"/>
          <w:lang w:val="sr-Cyrl-RS"/>
        </w:rPr>
        <w:t>: Алтернативе за рехабилитовано рударско земљиште</w:t>
      </w:r>
    </w:p>
    <w:tbl>
      <w:tblPr>
        <w:tblW w:w="4974" w:type="pct"/>
        <w:tblInd w:w="-5" w:type="dxa"/>
        <w:tblLook w:val="04A0" w:firstRow="1" w:lastRow="0" w:firstColumn="1" w:lastColumn="0" w:noHBand="0" w:noVBand="1"/>
      </w:tblPr>
      <w:tblGrid>
        <w:gridCol w:w="4724"/>
        <w:gridCol w:w="5682"/>
      </w:tblGrid>
      <w:tr w:rsidR="00F276BC" w:rsidRPr="009C19C5" w14:paraId="1A87AB0D" w14:textId="77777777" w:rsidTr="00B260A1">
        <w:trPr>
          <w:trHeight w:val="225"/>
        </w:trPr>
        <w:tc>
          <w:tcPr>
            <w:tcW w:w="227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543328" w14:textId="77777777" w:rsidR="00F276BC" w:rsidRPr="009C19C5" w:rsidRDefault="000A0E4E" w:rsidP="00935A37">
            <w:pPr>
              <w:pStyle w:val="ListParagraph"/>
              <w:autoSpaceDE w:val="0"/>
              <w:autoSpaceDN w:val="0"/>
              <w:adjustRightInd w:val="0"/>
              <w:spacing w:after="0" w:line="240" w:lineRule="auto"/>
              <w:ind w:left="0"/>
              <w:jc w:val="center"/>
              <w:rPr>
                <w:rFonts w:ascii="Times New Roman" w:hAnsi="Times New Roman" w:cs="Times New Roman"/>
                <w:sz w:val="20"/>
                <w:szCs w:val="20"/>
                <w:lang w:val="sr-Cyrl-RS"/>
              </w:rPr>
            </w:pPr>
            <w:r w:rsidRPr="009C19C5">
              <w:rPr>
                <w:rFonts w:ascii="Times New Roman" w:hAnsi="Times New Roman" w:cs="Times New Roman"/>
                <w:sz w:val="20"/>
                <w:szCs w:val="20"/>
                <w:lang w:val="sr-Cyrl-RS"/>
              </w:rPr>
              <w:t>Коришћење ОИЕ</w:t>
            </w:r>
          </w:p>
        </w:tc>
        <w:tc>
          <w:tcPr>
            <w:tcW w:w="2730" w:type="pct"/>
            <w:tcBorders>
              <w:top w:val="single" w:sz="4" w:space="0" w:color="auto"/>
              <w:left w:val="single" w:sz="4" w:space="0" w:color="auto"/>
              <w:bottom w:val="single" w:sz="4" w:space="0" w:color="auto"/>
              <w:right w:val="single" w:sz="4" w:space="0" w:color="auto"/>
            </w:tcBorders>
            <w:shd w:val="clear" w:color="auto" w:fill="auto"/>
            <w:vAlign w:val="center"/>
          </w:tcPr>
          <w:p w14:paraId="4C3B5062" w14:textId="675C6C31" w:rsidR="00F276BC" w:rsidRPr="009C19C5" w:rsidRDefault="000A0E4E">
            <w:pPr>
              <w:autoSpaceDE w:val="0"/>
              <w:autoSpaceDN w:val="0"/>
              <w:adjustRightInd w:val="0"/>
              <w:spacing w:after="0" w:line="240" w:lineRule="auto"/>
              <w:rPr>
                <w:rFonts w:ascii="Times New Roman" w:hAnsi="Times New Roman" w:cs="Times New Roman"/>
                <w:sz w:val="20"/>
                <w:szCs w:val="20"/>
                <w:lang w:val="sr-Cyrl-RS"/>
              </w:rPr>
            </w:pPr>
            <w:r w:rsidRPr="009C19C5">
              <w:rPr>
                <w:rFonts w:ascii="Times New Roman" w:hAnsi="Times New Roman" w:cs="Times New Roman"/>
                <w:sz w:val="20"/>
                <w:szCs w:val="20"/>
                <w:lang w:val="sr-Cyrl-RS"/>
              </w:rPr>
              <w:t xml:space="preserve">Инсталирати </w:t>
            </w:r>
            <w:r w:rsidR="00030A4E" w:rsidRPr="009C19C5">
              <w:rPr>
                <w:rFonts w:ascii="Times New Roman" w:hAnsi="Times New Roman" w:cs="Times New Roman"/>
                <w:sz w:val="20"/>
                <w:szCs w:val="20"/>
                <w:lang w:val="sr-Cyrl-RS"/>
              </w:rPr>
              <w:t>фотонапонске</w:t>
            </w:r>
            <w:r w:rsidR="00506BA6" w:rsidRPr="009C19C5">
              <w:rPr>
                <w:rFonts w:ascii="Times New Roman" w:hAnsi="Times New Roman" w:cs="Times New Roman"/>
                <w:sz w:val="20"/>
                <w:szCs w:val="20"/>
                <w:lang w:val="sr-Cyrl-RS"/>
              </w:rPr>
              <w:t xml:space="preserve"> </w:t>
            </w:r>
            <w:r w:rsidRPr="009C19C5">
              <w:rPr>
                <w:rFonts w:ascii="Times New Roman" w:hAnsi="Times New Roman" w:cs="Times New Roman"/>
                <w:sz w:val="20"/>
                <w:szCs w:val="20"/>
                <w:lang w:val="sr-Cyrl-RS"/>
              </w:rPr>
              <w:t>паркове</w:t>
            </w:r>
            <w:r w:rsidR="00506BA6" w:rsidRPr="009C19C5">
              <w:rPr>
                <w:rFonts w:ascii="Times New Roman" w:hAnsi="Times New Roman" w:cs="Times New Roman"/>
                <w:sz w:val="20"/>
                <w:szCs w:val="20"/>
                <w:lang w:val="sr-Cyrl-RS"/>
              </w:rPr>
              <w:t>.</w:t>
            </w:r>
          </w:p>
        </w:tc>
      </w:tr>
      <w:tr w:rsidR="00F276BC" w:rsidRPr="009C19C5" w14:paraId="15E42276" w14:textId="77777777" w:rsidTr="00B260A1">
        <w:trPr>
          <w:trHeight w:val="53"/>
        </w:trPr>
        <w:tc>
          <w:tcPr>
            <w:tcW w:w="227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1B9D754" w14:textId="77777777" w:rsidR="00F276BC" w:rsidRPr="009C19C5" w:rsidRDefault="00F276BC">
            <w:pPr>
              <w:spacing w:after="0" w:line="240" w:lineRule="auto"/>
              <w:rPr>
                <w:rFonts w:ascii="Times New Roman" w:hAnsi="Times New Roman" w:cs="Times New Roman"/>
                <w:sz w:val="20"/>
                <w:szCs w:val="20"/>
                <w:lang w:val="sr-Cyrl-RS"/>
              </w:rPr>
            </w:pPr>
          </w:p>
        </w:tc>
        <w:tc>
          <w:tcPr>
            <w:tcW w:w="2730" w:type="pct"/>
            <w:tcBorders>
              <w:top w:val="single" w:sz="4" w:space="0" w:color="auto"/>
              <w:left w:val="single" w:sz="4" w:space="0" w:color="auto"/>
              <w:bottom w:val="single" w:sz="4" w:space="0" w:color="auto"/>
              <w:right w:val="single" w:sz="4" w:space="0" w:color="auto"/>
            </w:tcBorders>
            <w:shd w:val="clear" w:color="auto" w:fill="auto"/>
            <w:vAlign w:val="center"/>
          </w:tcPr>
          <w:p w14:paraId="3186A7E7" w14:textId="5FAF70B6" w:rsidR="00F276BC" w:rsidRPr="009C19C5" w:rsidRDefault="000A0E4E">
            <w:pPr>
              <w:autoSpaceDE w:val="0"/>
              <w:autoSpaceDN w:val="0"/>
              <w:adjustRightInd w:val="0"/>
              <w:spacing w:after="0" w:line="240" w:lineRule="auto"/>
              <w:rPr>
                <w:rFonts w:ascii="Times New Roman" w:hAnsi="Times New Roman" w:cs="Times New Roman"/>
                <w:sz w:val="20"/>
                <w:szCs w:val="20"/>
                <w:lang w:val="sr-Cyrl-RS"/>
              </w:rPr>
            </w:pPr>
            <w:r w:rsidRPr="009C19C5">
              <w:rPr>
                <w:rFonts w:ascii="Times New Roman" w:hAnsi="Times New Roman" w:cs="Times New Roman"/>
                <w:sz w:val="20"/>
                <w:szCs w:val="20"/>
                <w:lang w:val="sr-Cyrl-RS"/>
              </w:rPr>
              <w:t>Инсталирати ветроелектране</w:t>
            </w:r>
            <w:r w:rsidR="00506BA6" w:rsidRPr="009C19C5">
              <w:rPr>
                <w:rFonts w:ascii="Times New Roman" w:hAnsi="Times New Roman" w:cs="Times New Roman"/>
                <w:sz w:val="20"/>
                <w:szCs w:val="20"/>
                <w:lang w:val="sr-Cyrl-RS"/>
              </w:rPr>
              <w:t>.</w:t>
            </w:r>
          </w:p>
        </w:tc>
      </w:tr>
      <w:tr w:rsidR="00F276BC" w:rsidRPr="009C19C5" w14:paraId="2F7E38A8" w14:textId="77777777" w:rsidTr="00B260A1">
        <w:trPr>
          <w:trHeight w:val="53"/>
        </w:trPr>
        <w:tc>
          <w:tcPr>
            <w:tcW w:w="227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C0ABEAA" w14:textId="77777777" w:rsidR="00F276BC" w:rsidRPr="009C19C5" w:rsidRDefault="00F276BC">
            <w:pPr>
              <w:spacing w:after="0" w:line="240" w:lineRule="auto"/>
              <w:rPr>
                <w:rFonts w:ascii="Times New Roman" w:hAnsi="Times New Roman" w:cs="Times New Roman"/>
                <w:sz w:val="20"/>
                <w:szCs w:val="20"/>
                <w:lang w:val="sr-Cyrl-RS"/>
              </w:rPr>
            </w:pPr>
          </w:p>
        </w:tc>
        <w:tc>
          <w:tcPr>
            <w:tcW w:w="2730" w:type="pct"/>
            <w:tcBorders>
              <w:top w:val="single" w:sz="4" w:space="0" w:color="auto"/>
              <w:left w:val="single" w:sz="4" w:space="0" w:color="auto"/>
              <w:bottom w:val="single" w:sz="4" w:space="0" w:color="auto"/>
              <w:right w:val="single" w:sz="4" w:space="0" w:color="auto"/>
            </w:tcBorders>
            <w:shd w:val="clear" w:color="auto" w:fill="auto"/>
            <w:vAlign w:val="center"/>
          </w:tcPr>
          <w:p w14:paraId="734169A1" w14:textId="6883D8F2" w:rsidR="00F276BC" w:rsidRPr="009C19C5" w:rsidRDefault="000A0E4E">
            <w:pPr>
              <w:autoSpaceDE w:val="0"/>
              <w:autoSpaceDN w:val="0"/>
              <w:adjustRightInd w:val="0"/>
              <w:spacing w:after="0" w:line="240" w:lineRule="auto"/>
              <w:rPr>
                <w:rFonts w:ascii="Times New Roman" w:hAnsi="Times New Roman" w:cs="Times New Roman"/>
                <w:sz w:val="20"/>
                <w:szCs w:val="20"/>
                <w:lang w:val="sr-Cyrl-RS"/>
              </w:rPr>
            </w:pPr>
            <w:r w:rsidRPr="009C19C5">
              <w:rPr>
                <w:rFonts w:ascii="Times New Roman" w:hAnsi="Times New Roman" w:cs="Times New Roman"/>
                <w:sz w:val="20"/>
                <w:szCs w:val="20"/>
                <w:lang w:val="sr-Cyrl-RS"/>
              </w:rPr>
              <w:t>Користити санирано земљишт</w:t>
            </w:r>
            <w:r w:rsidR="00030A4E" w:rsidRPr="009C19C5">
              <w:rPr>
                <w:rFonts w:ascii="Times New Roman" w:hAnsi="Times New Roman" w:cs="Times New Roman"/>
                <w:sz w:val="20"/>
                <w:szCs w:val="20"/>
                <w:lang w:val="sr-Cyrl-RS"/>
              </w:rPr>
              <w:t>е</w:t>
            </w:r>
            <w:r w:rsidRPr="009C19C5">
              <w:rPr>
                <w:rFonts w:ascii="Times New Roman" w:hAnsi="Times New Roman" w:cs="Times New Roman"/>
                <w:sz w:val="20"/>
                <w:szCs w:val="20"/>
                <w:lang w:val="sr-Cyrl-RS"/>
              </w:rPr>
              <w:t xml:space="preserve"> за раст енергетских </w:t>
            </w:r>
            <w:r w:rsidR="00A2316B" w:rsidRPr="009C19C5">
              <w:rPr>
                <w:rFonts w:ascii="Times New Roman" w:hAnsi="Times New Roman" w:cs="Times New Roman"/>
                <w:sz w:val="20"/>
                <w:szCs w:val="20"/>
                <w:lang w:val="sr-Cyrl-RS"/>
              </w:rPr>
              <w:t>засада</w:t>
            </w:r>
            <w:r w:rsidR="00506BA6" w:rsidRPr="009C19C5">
              <w:rPr>
                <w:rFonts w:ascii="Times New Roman" w:hAnsi="Times New Roman" w:cs="Times New Roman"/>
                <w:sz w:val="20"/>
                <w:szCs w:val="20"/>
                <w:lang w:val="sr-Cyrl-RS"/>
              </w:rPr>
              <w:t>.</w:t>
            </w:r>
          </w:p>
        </w:tc>
      </w:tr>
      <w:tr w:rsidR="00F276BC" w:rsidRPr="009C19C5" w14:paraId="5761C6AA" w14:textId="77777777" w:rsidTr="00B260A1">
        <w:trPr>
          <w:trHeight w:val="169"/>
        </w:trPr>
        <w:tc>
          <w:tcPr>
            <w:tcW w:w="227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8503F8E" w14:textId="221BA311" w:rsidR="00F276BC" w:rsidRPr="009C19C5" w:rsidRDefault="000A0E4E">
            <w:pPr>
              <w:pStyle w:val="ListParagraph"/>
              <w:autoSpaceDE w:val="0"/>
              <w:autoSpaceDN w:val="0"/>
              <w:adjustRightInd w:val="0"/>
              <w:spacing w:after="0" w:line="240" w:lineRule="auto"/>
              <w:ind w:left="0"/>
              <w:rPr>
                <w:rFonts w:ascii="Times New Roman" w:hAnsi="Times New Roman" w:cs="Times New Roman"/>
                <w:sz w:val="20"/>
                <w:szCs w:val="20"/>
                <w:lang w:val="sr-Cyrl-RS"/>
              </w:rPr>
            </w:pPr>
            <w:r w:rsidRPr="009C19C5">
              <w:rPr>
                <w:rFonts w:ascii="Times New Roman" w:hAnsi="Times New Roman" w:cs="Times New Roman"/>
                <w:sz w:val="20"/>
                <w:szCs w:val="20"/>
                <w:lang w:val="sr-Cyrl-RS"/>
              </w:rPr>
              <w:t>Трећа страна преуре</w:t>
            </w:r>
            <w:r w:rsidR="008B62EC" w:rsidRPr="009C19C5">
              <w:rPr>
                <w:rFonts w:ascii="Times New Roman" w:hAnsi="Times New Roman" w:cs="Times New Roman"/>
                <w:sz w:val="20"/>
                <w:szCs w:val="20"/>
                <w:lang w:val="sr-Cyrl-RS"/>
              </w:rPr>
              <w:t>ђује</w:t>
            </w:r>
            <w:r w:rsidRPr="009C19C5">
              <w:rPr>
                <w:rFonts w:ascii="Times New Roman" w:hAnsi="Times New Roman" w:cs="Times New Roman"/>
                <w:sz w:val="20"/>
                <w:szCs w:val="20"/>
                <w:lang w:val="sr-Cyrl-RS"/>
              </w:rPr>
              <w:t xml:space="preserve"> за нову примену изван енергетског сектора</w:t>
            </w:r>
          </w:p>
        </w:tc>
        <w:tc>
          <w:tcPr>
            <w:tcW w:w="2730" w:type="pct"/>
            <w:tcBorders>
              <w:top w:val="single" w:sz="4" w:space="0" w:color="auto"/>
              <w:left w:val="single" w:sz="4" w:space="0" w:color="auto"/>
              <w:bottom w:val="single" w:sz="4" w:space="0" w:color="auto"/>
              <w:right w:val="single" w:sz="4" w:space="0" w:color="auto"/>
            </w:tcBorders>
            <w:shd w:val="clear" w:color="auto" w:fill="auto"/>
            <w:vAlign w:val="center"/>
          </w:tcPr>
          <w:p w14:paraId="59A2D8BE" w14:textId="2526AC29" w:rsidR="00F276BC" w:rsidRPr="009C19C5" w:rsidRDefault="000A0E4E">
            <w:pPr>
              <w:autoSpaceDE w:val="0"/>
              <w:autoSpaceDN w:val="0"/>
              <w:adjustRightInd w:val="0"/>
              <w:spacing w:after="0" w:line="240" w:lineRule="auto"/>
              <w:rPr>
                <w:rFonts w:ascii="Times New Roman" w:hAnsi="Times New Roman" w:cs="Times New Roman"/>
                <w:sz w:val="20"/>
                <w:szCs w:val="20"/>
                <w:lang w:val="sr-Cyrl-RS"/>
              </w:rPr>
            </w:pPr>
            <w:r w:rsidRPr="009C19C5">
              <w:rPr>
                <w:rFonts w:ascii="Times New Roman" w:hAnsi="Times New Roman" w:cs="Times New Roman"/>
                <w:sz w:val="20"/>
                <w:szCs w:val="20"/>
                <w:lang w:val="sr-Cyrl-RS"/>
              </w:rPr>
              <w:t>Продати земљишт</w:t>
            </w:r>
            <w:r w:rsidR="00030A4E" w:rsidRPr="009C19C5">
              <w:rPr>
                <w:rFonts w:ascii="Times New Roman" w:hAnsi="Times New Roman" w:cs="Times New Roman"/>
                <w:sz w:val="20"/>
                <w:szCs w:val="20"/>
                <w:lang w:val="sr-Cyrl-RS"/>
              </w:rPr>
              <w:t>е</w:t>
            </w:r>
            <w:r w:rsidRPr="009C19C5">
              <w:rPr>
                <w:rFonts w:ascii="Times New Roman" w:hAnsi="Times New Roman" w:cs="Times New Roman"/>
                <w:sz w:val="20"/>
                <w:szCs w:val="20"/>
                <w:lang w:val="sr-Cyrl-RS"/>
              </w:rPr>
              <w:t xml:space="preserve"> инвеститору за екотуристички парк / забавне паркове / комерцијалне / индустријске / стамбене центре</w:t>
            </w:r>
            <w:r w:rsidR="00506BA6" w:rsidRPr="009C19C5">
              <w:rPr>
                <w:rFonts w:ascii="Times New Roman" w:hAnsi="Times New Roman" w:cs="Times New Roman"/>
                <w:sz w:val="20"/>
                <w:szCs w:val="20"/>
                <w:lang w:val="sr-Cyrl-RS"/>
              </w:rPr>
              <w:t>.</w:t>
            </w:r>
          </w:p>
        </w:tc>
      </w:tr>
      <w:tr w:rsidR="00F276BC" w:rsidRPr="009C19C5" w14:paraId="49084E90" w14:textId="77777777" w:rsidTr="00B260A1">
        <w:trPr>
          <w:trHeight w:val="57"/>
        </w:trPr>
        <w:tc>
          <w:tcPr>
            <w:tcW w:w="227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D0F5933" w14:textId="77777777" w:rsidR="00F276BC" w:rsidRPr="009C19C5" w:rsidRDefault="00F276BC">
            <w:pPr>
              <w:spacing w:after="0" w:line="240" w:lineRule="auto"/>
              <w:rPr>
                <w:rFonts w:ascii="Times New Roman" w:hAnsi="Times New Roman" w:cs="Times New Roman"/>
                <w:sz w:val="20"/>
                <w:szCs w:val="20"/>
                <w:lang w:val="sr-Cyrl-RS"/>
              </w:rPr>
            </w:pPr>
          </w:p>
        </w:tc>
        <w:tc>
          <w:tcPr>
            <w:tcW w:w="2730" w:type="pct"/>
            <w:tcBorders>
              <w:top w:val="single" w:sz="4" w:space="0" w:color="auto"/>
              <w:left w:val="single" w:sz="4" w:space="0" w:color="auto"/>
              <w:bottom w:val="single" w:sz="4" w:space="0" w:color="auto"/>
              <w:right w:val="single" w:sz="4" w:space="0" w:color="auto"/>
            </w:tcBorders>
            <w:shd w:val="clear" w:color="auto" w:fill="auto"/>
            <w:vAlign w:val="center"/>
          </w:tcPr>
          <w:p w14:paraId="30DDD384" w14:textId="57A7581E" w:rsidR="00F276BC" w:rsidRPr="009C19C5" w:rsidRDefault="000A0E4E">
            <w:pPr>
              <w:autoSpaceDE w:val="0"/>
              <w:autoSpaceDN w:val="0"/>
              <w:adjustRightInd w:val="0"/>
              <w:spacing w:after="0" w:line="240" w:lineRule="auto"/>
              <w:rPr>
                <w:rFonts w:ascii="Times New Roman" w:hAnsi="Times New Roman" w:cs="Times New Roman"/>
                <w:sz w:val="20"/>
                <w:szCs w:val="20"/>
                <w:lang w:val="sr-Cyrl-RS"/>
              </w:rPr>
            </w:pPr>
            <w:r w:rsidRPr="009C19C5">
              <w:rPr>
                <w:rFonts w:ascii="Times New Roman" w:hAnsi="Times New Roman" w:cs="Times New Roman"/>
                <w:sz w:val="20"/>
                <w:szCs w:val="20"/>
                <w:lang w:val="sr-Cyrl-RS"/>
              </w:rPr>
              <w:t>Претворити у обрадиво земљиште / природни резерват са језерима и аквакултуром</w:t>
            </w:r>
            <w:r w:rsidR="00506BA6" w:rsidRPr="009C19C5">
              <w:rPr>
                <w:rFonts w:ascii="Times New Roman" w:hAnsi="Times New Roman" w:cs="Times New Roman"/>
                <w:sz w:val="20"/>
                <w:szCs w:val="20"/>
                <w:lang w:val="sr-Cyrl-RS"/>
              </w:rPr>
              <w:t>.</w:t>
            </w:r>
          </w:p>
        </w:tc>
      </w:tr>
      <w:tr w:rsidR="00F276BC" w:rsidRPr="009C19C5" w14:paraId="3D7A5F2E" w14:textId="77777777" w:rsidTr="00B260A1">
        <w:trPr>
          <w:trHeight w:val="366"/>
        </w:trPr>
        <w:tc>
          <w:tcPr>
            <w:tcW w:w="227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EBABB75" w14:textId="77777777" w:rsidR="00F276BC" w:rsidRPr="009C19C5" w:rsidRDefault="00F276BC">
            <w:pPr>
              <w:spacing w:after="0" w:line="240" w:lineRule="auto"/>
              <w:rPr>
                <w:rFonts w:ascii="Times New Roman" w:hAnsi="Times New Roman" w:cs="Times New Roman"/>
                <w:sz w:val="20"/>
                <w:szCs w:val="20"/>
                <w:lang w:val="sr-Cyrl-RS"/>
              </w:rPr>
            </w:pPr>
          </w:p>
        </w:tc>
        <w:tc>
          <w:tcPr>
            <w:tcW w:w="2730" w:type="pct"/>
            <w:tcBorders>
              <w:top w:val="single" w:sz="4" w:space="0" w:color="auto"/>
              <w:left w:val="single" w:sz="4" w:space="0" w:color="auto"/>
              <w:bottom w:val="single" w:sz="4" w:space="0" w:color="auto"/>
              <w:right w:val="single" w:sz="4" w:space="0" w:color="auto"/>
            </w:tcBorders>
            <w:shd w:val="clear" w:color="auto" w:fill="auto"/>
            <w:vAlign w:val="center"/>
          </w:tcPr>
          <w:p w14:paraId="3CB66CD8" w14:textId="49EC4BB8" w:rsidR="00F276BC" w:rsidRPr="009C19C5" w:rsidRDefault="000A0E4E">
            <w:pPr>
              <w:autoSpaceDE w:val="0"/>
              <w:autoSpaceDN w:val="0"/>
              <w:adjustRightInd w:val="0"/>
              <w:spacing w:after="0" w:line="240" w:lineRule="auto"/>
              <w:rPr>
                <w:rFonts w:ascii="Times New Roman" w:hAnsi="Times New Roman" w:cs="Times New Roman"/>
                <w:sz w:val="20"/>
                <w:szCs w:val="20"/>
                <w:lang w:val="sr-Cyrl-RS"/>
              </w:rPr>
            </w:pPr>
            <w:r w:rsidRPr="009C19C5">
              <w:rPr>
                <w:rFonts w:ascii="Times New Roman" w:hAnsi="Times New Roman" w:cs="Times New Roman"/>
                <w:sz w:val="20"/>
                <w:szCs w:val="20"/>
                <w:lang w:val="sr-Cyrl-RS"/>
              </w:rPr>
              <w:t>Продати инвеститору за теретни аеродром/</w:t>
            </w:r>
            <w:r w:rsidR="008B62EC" w:rsidRPr="009C19C5">
              <w:rPr>
                <w:rFonts w:ascii="Times New Roman" w:hAnsi="Times New Roman" w:cs="Times New Roman"/>
                <w:sz w:val="20"/>
                <w:szCs w:val="20"/>
                <w:lang w:val="sr-Cyrl-RS"/>
              </w:rPr>
              <w:t xml:space="preserve"> </w:t>
            </w:r>
            <w:r w:rsidRPr="009C19C5">
              <w:rPr>
                <w:rFonts w:ascii="Times New Roman" w:hAnsi="Times New Roman" w:cs="Times New Roman"/>
                <w:sz w:val="20"/>
                <w:szCs w:val="20"/>
                <w:lang w:val="sr-Cyrl-RS"/>
              </w:rPr>
              <w:t>болнички комплекс/</w:t>
            </w:r>
            <w:r w:rsidR="008B62EC" w:rsidRPr="009C19C5">
              <w:rPr>
                <w:rFonts w:ascii="Times New Roman" w:hAnsi="Times New Roman" w:cs="Times New Roman"/>
                <w:sz w:val="20"/>
                <w:szCs w:val="20"/>
                <w:lang w:val="sr-Cyrl-RS"/>
              </w:rPr>
              <w:t xml:space="preserve"> </w:t>
            </w:r>
            <w:r w:rsidRPr="009C19C5">
              <w:rPr>
                <w:rFonts w:ascii="Times New Roman" w:hAnsi="Times New Roman" w:cs="Times New Roman"/>
                <w:sz w:val="20"/>
                <w:szCs w:val="20"/>
                <w:lang w:val="sr-Cyrl-RS"/>
              </w:rPr>
              <w:t xml:space="preserve">универзитет или другу образовну установу </w:t>
            </w:r>
            <w:r w:rsidR="00506BA6" w:rsidRPr="009C19C5">
              <w:rPr>
                <w:rFonts w:ascii="Times New Roman" w:hAnsi="Times New Roman" w:cs="Times New Roman"/>
                <w:sz w:val="20"/>
                <w:szCs w:val="20"/>
                <w:lang w:val="sr-Cyrl-RS"/>
              </w:rPr>
              <w:t>.</w:t>
            </w:r>
          </w:p>
        </w:tc>
      </w:tr>
      <w:tr w:rsidR="00F276BC" w:rsidRPr="009C19C5" w14:paraId="237BDFF7" w14:textId="77777777" w:rsidTr="00B260A1">
        <w:trPr>
          <w:trHeight w:val="225"/>
        </w:trPr>
        <w:tc>
          <w:tcPr>
            <w:tcW w:w="227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1AA230D8" w14:textId="77777777" w:rsidR="00F276BC" w:rsidRPr="009C19C5" w:rsidRDefault="00F276BC">
            <w:pPr>
              <w:spacing w:after="0" w:line="240" w:lineRule="auto"/>
              <w:rPr>
                <w:rFonts w:ascii="Times New Roman" w:hAnsi="Times New Roman" w:cs="Times New Roman"/>
                <w:sz w:val="20"/>
                <w:szCs w:val="20"/>
                <w:lang w:val="sr-Cyrl-RS"/>
              </w:rPr>
            </w:pPr>
          </w:p>
        </w:tc>
        <w:tc>
          <w:tcPr>
            <w:tcW w:w="2730" w:type="pct"/>
            <w:tcBorders>
              <w:top w:val="single" w:sz="4" w:space="0" w:color="auto"/>
              <w:left w:val="single" w:sz="4" w:space="0" w:color="auto"/>
              <w:bottom w:val="single" w:sz="4" w:space="0" w:color="auto"/>
              <w:right w:val="single" w:sz="4" w:space="0" w:color="auto"/>
            </w:tcBorders>
            <w:shd w:val="clear" w:color="auto" w:fill="auto"/>
            <w:vAlign w:val="center"/>
          </w:tcPr>
          <w:p w14:paraId="5B388CBC" w14:textId="09219D00" w:rsidR="00F276BC" w:rsidRPr="009C19C5" w:rsidRDefault="000A0E4E">
            <w:pPr>
              <w:autoSpaceDE w:val="0"/>
              <w:autoSpaceDN w:val="0"/>
              <w:adjustRightInd w:val="0"/>
              <w:spacing w:after="0" w:line="240" w:lineRule="auto"/>
              <w:rPr>
                <w:rFonts w:ascii="Times New Roman" w:hAnsi="Times New Roman" w:cs="Times New Roman"/>
                <w:sz w:val="20"/>
                <w:szCs w:val="20"/>
                <w:lang w:val="sr-Cyrl-RS"/>
              </w:rPr>
            </w:pPr>
            <w:r w:rsidRPr="009C19C5">
              <w:rPr>
                <w:rFonts w:ascii="Times New Roman" w:hAnsi="Times New Roman" w:cs="Times New Roman"/>
                <w:sz w:val="20"/>
                <w:szCs w:val="20"/>
                <w:lang w:val="sr-Cyrl-RS"/>
              </w:rPr>
              <w:t>Претворити у војно земљиште / депо</w:t>
            </w:r>
            <w:r w:rsidR="00506BA6" w:rsidRPr="009C19C5">
              <w:rPr>
                <w:rFonts w:ascii="Times New Roman" w:hAnsi="Times New Roman" w:cs="Times New Roman"/>
                <w:sz w:val="20"/>
                <w:szCs w:val="20"/>
                <w:lang w:val="sr-Cyrl-RS"/>
              </w:rPr>
              <w:t>.</w:t>
            </w:r>
          </w:p>
        </w:tc>
      </w:tr>
      <w:tr w:rsidR="00F276BC" w:rsidRPr="009C19C5" w14:paraId="7777E867" w14:textId="77777777" w:rsidTr="00B260A1">
        <w:trPr>
          <w:trHeight w:val="53"/>
        </w:trPr>
        <w:tc>
          <w:tcPr>
            <w:tcW w:w="227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24BCE23" w14:textId="77777777" w:rsidR="00F276BC" w:rsidRPr="009C19C5" w:rsidRDefault="00F276BC">
            <w:pPr>
              <w:spacing w:after="0" w:line="240" w:lineRule="auto"/>
              <w:rPr>
                <w:rFonts w:ascii="Times New Roman" w:hAnsi="Times New Roman" w:cs="Times New Roman"/>
                <w:sz w:val="20"/>
                <w:szCs w:val="20"/>
                <w:lang w:val="sr-Cyrl-RS"/>
              </w:rPr>
            </w:pPr>
          </w:p>
        </w:tc>
        <w:tc>
          <w:tcPr>
            <w:tcW w:w="2730" w:type="pct"/>
            <w:tcBorders>
              <w:top w:val="single" w:sz="4" w:space="0" w:color="auto"/>
              <w:left w:val="single" w:sz="4" w:space="0" w:color="auto"/>
              <w:bottom w:val="single" w:sz="4" w:space="0" w:color="auto"/>
              <w:right w:val="single" w:sz="4" w:space="0" w:color="auto"/>
            </w:tcBorders>
            <w:shd w:val="clear" w:color="auto" w:fill="auto"/>
            <w:vAlign w:val="center"/>
          </w:tcPr>
          <w:p w14:paraId="112FF287" w14:textId="6990C397" w:rsidR="00F276BC" w:rsidRPr="009C19C5" w:rsidRDefault="000A0E4E">
            <w:pPr>
              <w:autoSpaceDE w:val="0"/>
              <w:autoSpaceDN w:val="0"/>
              <w:adjustRightInd w:val="0"/>
              <w:spacing w:after="0" w:line="240" w:lineRule="auto"/>
              <w:rPr>
                <w:rFonts w:ascii="Times New Roman" w:hAnsi="Times New Roman" w:cs="Times New Roman"/>
                <w:sz w:val="20"/>
                <w:szCs w:val="20"/>
                <w:lang w:val="sr-Cyrl-RS"/>
              </w:rPr>
            </w:pPr>
            <w:r w:rsidRPr="009C19C5">
              <w:rPr>
                <w:rFonts w:ascii="Times New Roman" w:hAnsi="Times New Roman" w:cs="Times New Roman"/>
                <w:sz w:val="20"/>
                <w:szCs w:val="20"/>
                <w:lang w:val="sr-Cyrl-RS"/>
              </w:rPr>
              <w:t>Пошумити за добијање CO2 сертификата</w:t>
            </w:r>
            <w:r w:rsidR="00506BA6" w:rsidRPr="009C19C5">
              <w:rPr>
                <w:rFonts w:ascii="Times New Roman" w:hAnsi="Times New Roman" w:cs="Times New Roman"/>
                <w:sz w:val="20"/>
                <w:szCs w:val="20"/>
                <w:lang w:val="sr-Cyrl-RS"/>
              </w:rPr>
              <w:t>.</w:t>
            </w:r>
          </w:p>
        </w:tc>
      </w:tr>
      <w:tr w:rsidR="00F276BC" w:rsidRPr="009C19C5" w14:paraId="398388ED" w14:textId="77777777" w:rsidTr="00B260A1">
        <w:trPr>
          <w:trHeight w:val="284"/>
        </w:trPr>
        <w:tc>
          <w:tcPr>
            <w:tcW w:w="2270" w:type="pct"/>
            <w:tcBorders>
              <w:top w:val="single" w:sz="4" w:space="0" w:color="auto"/>
              <w:left w:val="single" w:sz="4" w:space="0" w:color="auto"/>
              <w:bottom w:val="single" w:sz="4" w:space="0" w:color="auto"/>
              <w:right w:val="single" w:sz="4" w:space="0" w:color="auto"/>
            </w:tcBorders>
            <w:shd w:val="clear" w:color="auto" w:fill="auto"/>
            <w:vAlign w:val="center"/>
          </w:tcPr>
          <w:p w14:paraId="4E1B9C92" w14:textId="655791A4" w:rsidR="00F276BC" w:rsidRPr="009C19C5" w:rsidRDefault="00B260A1">
            <w:pPr>
              <w:pStyle w:val="ListParagraph"/>
              <w:autoSpaceDE w:val="0"/>
              <w:autoSpaceDN w:val="0"/>
              <w:adjustRightInd w:val="0"/>
              <w:spacing w:after="0" w:line="240" w:lineRule="auto"/>
              <w:ind w:left="0"/>
              <w:rPr>
                <w:rFonts w:ascii="Times New Roman" w:hAnsi="Times New Roman" w:cs="Times New Roman"/>
                <w:bCs/>
                <w:sz w:val="20"/>
                <w:szCs w:val="20"/>
                <w:lang w:val="sr-Cyrl-RS"/>
              </w:rPr>
            </w:pPr>
            <w:r w:rsidRPr="009C19C5">
              <w:rPr>
                <w:rFonts w:ascii="Times New Roman" w:eastAsia="Times New Roman" w:hAnsi="Times New Roman" w:cs="Times New Roman"/>
                <w:bCs/>
                <w:kern w:val="0"/>
                <w:sz w:val="20"/>
                <w:szCs w:val="20"/>
                <w:lang w:val="sr-Cyrl-RS"/>
                <w14:ligatures w14:val="none"/>
              </w:rPr>
              <w:t>С</w:t>
            </w:r>
            <w:r w:rsidR="00A2316B" w:rsidRPr="009C19C5">
              <w:rPr>
                <w:rFonts w:ascii="Times New Roman" w:eastAsia="Times New Roman" w:hAnsi="Times New Roman" w:cs="Times New Roman"/>
                <w:bCs/>
                <w:kern w:val="0"/>
                <w:sz w:val="20"/>
                <w:szCs w:val="20"/>
                <w:lang w:val="sr-Cyrl-RS"/>
                <w14:ligatures w14:val="none"/>
              </w:rPr>
              <w:t>анација и рекултивација простора</w:t>
            </w:r>
          </w:p>
        </w:tc>
        <w:tc>
          <w:tcPr>
            <w:tcW w:w="2730" w:type="pct"/>
            <w:tcBorders>
              <w:top w:val="single" w:sz="4" w:space="0" w:color="auto"/>
              <w:left w:val="single" w:sz="4" w:space="0" w:color="auto"/>
              <w:bottom w:val="single" w:sz="4" w:space="0" w:color="auto"/>
              <w:right w:val="single" w:sz="4" w:space="0" w:color="auto"/>
            </w:tcBorders>
            <w:shd w:val="clear" w:color="auto" w:fill="auto"/>
            <w:vAlign w:val="center"/>
          </w:tcPr>
          <w:p w14:paraId="14526F46" w14:textId="71AC79B4" w:rsidR="00F276BC" w:rsidRPr="009C19C5" w:rsidRDefault="000A0E4E">
            <w:pPr>
              <w:autoSpaceDE w:val="0"/>
              <w:autoSpaceDN w:val="0"/>
              <w:adjustRightInd w:val="0"/>
              <w:spacing w:after="0" w:line="240" w:lineRule="auto"/>
              <w:rPr>
                <w:rFonts w:ascii="Times New Roman" w:hAnsi="Times New Roman" w:cs="Times New Roman"/>
                <w:sz w:val="20"/>
                <w:szCs w:val="20"/>
                <w:lang w:val="sr-Cyrl-RS"/>
              </w:rPr>
            </w:pPr>
            <w:r w:rsidRPr="009C19C5">
              <w:rPr>
                <w:rFonts w:ascii="Times New Roman" w:hAnsi="Times New Roman" w:cs="Times New Roman"/>
                <w:sz w:val="20"/>
                <w:szCs w:val="20"/>
                <w:lang w:val="sr-Cyrl-RS"/>
              </w:rPr>
              <w:t>Потпуно вратити експлоатисано земљиште у претходно стање (као што је прописано законом)</w:t>
            </w:r>
            <w:r w:rsidR="00506BA6" w:rsidRPr="009C19C5">
              <w:rPr>
                <w:rFonts w:ascii="Times New Roman" w:hAnsi="Times New Roman" w:cs="Times New Roman"/>
                <w:sz w:val="20"/>
                <w:szCs w:val="20"/>
                <w:lang w:val="sr-Cyrl-RS"/>
              </w:rPr>
              <w:t>.</w:t>
            </w:r>
          </w:p>
        </w:tc>
      </w:tr>
      <w:tr w:rsidR="00F276BC" w:rsidRPr="009C19C5" w14:paraId="29FD0CB8" w14:textId="77777777" w:rsidTr="00506BA6">
        <w:trPr>
          <w:trHeight w:val="503"/>
        </w:trPr>
        <w:tc>
          <w:tcPr>
            <w:tcW w:w="2270" w:type="pct"/>
            <w:tcBorders>
              <w:top w:val="single" w:sz="4" w:space="0" w:color="auto"/>
              <w:left w:val="single" w:sz="4" w:space="0" w:color="auto"/>
              <w:bottom w:val="single" w:sz="4" w:space="0" w:color="auto"/>
              <w:right w:val="single" w:sz="4" w:space="0" w:color="auto"/>
            </w:tcBorders>
            <w:shd w:val="clear" w:color="auto" w:fill="auto"/>
            <w:vAlign w:val="center"/>
          </w:tcPr>
          <w:p w14:paraId="0628C44B" w14:textId="3D43305B" w:rsidR="00F276BC" w:rsidRPr="009C19C5" w:rsidRDefault="000A0E4E">
            <w:pPr>
              <w:pStyle w:val="ListParagraph"/>
              <w:autoSpaceDE w:val="0"/>
              <w:autoSpaceDN w:val="0"/>
              <w:adjustRightInd w:val="0"/>
              <w:spacing w:after="0" w:line="240" w:lineRule="auto"/>
              <w:ind w:left="0"/>
              <w:rPr>
                <w:rFonts w:ascii="Times New Roman" w:hAnsi="Times New Roman" w:cs="Times New Roman"/>
                <w:sz w:val="20"/>
                <w:szCs w:val="20"/>
                <w:lang w:val="sr-Cyrl-RS"/>
              </w:rPr>
            </w:pPr>
            <w:r w:rsidRPr="009C19C5">
              <w:rPr>
                <w:rFonts w:ascii="Times New Roman" w:hAnsi="Times New Roman" w:cs="Times New Roman"/>
                <w:sz w:val="20"/>
                <w:szCs w:val="20"/>
                <w:lang w:val="sr-Cyrl-RS"/>
              </w:rPr>
              <w:t xml:space="preserve">Прилагођавање за нову примену у оквиру </w:t>
            </w:r>
            <w:r w:rsidR="00A7582E" w:rsidRPr="009C19C5">
              <w:rPr>
                <w:rFonts w:ascii="Times New Roman" w:hAnsi="Times New Roman" w:cs="Times New Roman"/>
                <w:sz w:val="20"/>
                <w:szCs w:val="20"/>
                <w:lang w:val="sr-Cyrl-RS"/>
              </w:rPr>
              <w:t>ЕПС АД</w:t>
            </w:r>
            <w:r w:rsidR="008B62EC" w:rsidRPr="009C19C5">
              <w:rPr>
                <w:rFonts w:ascii="Times New Roman" w:hAnsi="Times New Roman" w:cs="Times New Roman"/>
                <w:sz w:val="20"/>
                <w:szCs w:val="20"/>
                <w:lang w:val="sr-Cyrl-RS"/>
              </w:rPr>
              <w:t>,</w:t>
            </w:r>
            <w:r w:rsidRPr="009C19C5">
              <w:rPr>
                <w:rFonts w:ascii="Times New Roman" w:hAnsi="Times New Roman" w:cs="Times New Roman"/>
                <w:sz w:val="20"/>
                <w:szCs w:val="20"/>
                <w:lang w:val="sr-Cyrl-RS"/>
              </w:rPr>
              <w:t xml:space="preserve"> али изван енергетског сектора </w:t>
            </w:r>
          </w:p>
        </w:tc>
        <w:tc>
          <w:tcPr>
            <w:tcW w:w="2730" w:type="pct"/>
            <w:tcBorders>
              <w:top w:val="single" w:sz="4" w:space="0" w:color="auto"/>
              <w:left w:val="single" w:sz="4" w:space="0" w:color="auto"/>
              <w:bottom w:val="single" w:sz="4" w:space="0" w:color="auto"/>
              <w:right w:val="single" w:sz="4" w:space="0" w:color="auto"/>
            </w:tcBorders>
            <w:shd w:val="clear" w:color="auto" w:fill="auto"/>
            <w:vAlign w:val="center"/>
          </w:tcPr>
          <w:p w14:paraId="64FF1CB4" w14:textId="00C5E648" w:rsidR="00F276BC" w:rsidRPr="009C19C5" w:rsidRDefault="000A0E4E">
            <w:pPr>
              <w:autoSpaceDE w:val="0"/>
              <w:autoSpaceDN w:val="0"/>
              <w:adjustRightInd w:val="0"/>
              <w:spacing w:after="0" w:line="240" w:lineRule="auto"/>
              <w:rPr>
                <w:rFonts w:ascii="Times New Roman" w:hAnsi="Times New Roman" w:cs="Times New Roman"/>
                <w:sz w:val="20"/>
                <w:szCs w:val="20"/>
                <w:lang w:val="sr-Cyrl-RS"/>
              </w:rPr>
            </w:pPr>
            <w:r w:rsidRPr="009C19C5">
              <w:rPr>
                <w:rFonts w:ascii="Times New Roman" w:hAnsi="Times New Roman" w:cs="Times New Roman"/>
                <w:sz w:val="20"/>
                <w:szCs w:val="20"/>
                <w:lang w:val="sr-Cyrl-RS"/>
              </w:rPr>
              <w:t>Претворити у постројење за управљање отпадом (нпр. депонију)</w:t>
            </w:r>
            <w:r w:rsidR="00506BA6" w:rsidRPr="009C19C5">
              <w:rPr>
                <w:rFonts w:ascii="Times New Roman" w:hAnsi="Times New Roman" w:cs="Times New Roman"/>
                <w:sz w:val="20"/>
                <w:szCs w:val="20"/>
                <w:lang w:val="sr-Cyrl-RS"/>
              </w:rPr>
              <w:t>.</w:t>
            </w:r>
          </w:p>
        </w:tc>
      </w:tr>
    </w:tbl>
    <w:p w14:paraId="6BDDB4D3" w14:textId="77777777" w:rsidR="00F276BC" w:rsidRPr="009C19C5" w:rsidRDefault="00F276BC">
      <w:pPr>
        <w:pStyle w:val="ListParagraph"/>
        <w:autoSpaceDE w:val="0"/>
        <w:autoSpaceDN w:val="0"/>
        <w:adjustRightInd w:val="0"/>
        <w:spacing w:line="276" w:lineRule="auto"/>
        <w:ind w:left="360"/>
        <w:jc w:val="both"/>
        <w:rPr>
          <w:rFonts w:ascii="Times New Roman" w:hAnsi="Times New Roman" w:cs="Times New Roman"/>
          <w:sz w:val="20"/>
          <w:szCs w:val="20"/>
          <w:lang w:val="sr-Cyrl-RS"/>
        </w:rPr>
      </w:pPr>
    </w:p>
    <w:p w14:paraId="336EF585" w14:textId="6879C648" w:rsidR="00F276BC" w:rsidRPr="009C19C5" w:rsidRDefault="000A0E4E" w:rsidP="008D7F6B">
      <w:pPr>
        <w:pStyle w:val="ListParagraph"/>
        <w:numPr>
          <w:ilvl w:val="0"/>
          <w:numId w:val="32"/>
        </w:numPr>
        <w:tabs>
          <w:tab w:val="left" w:pos="900"/>
        </w:tabs>
        <w:autoSpaceDE w:val="0"/>
        <w:autoSpaceDN w:val="0"/>
        <w:adjustRightInd w:val="0"/>
        <w:spacing w:line="240" w:lineRule="auto"/>
        <w:ind w:left="0"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 xml:space="preserve">Оснаживање </w:t>
      </w:r>
      <w:r w:rsidR="008B62EC" w:rsidRPr="009C19C5">
        <w:rPr>
          <w:rFonts w:ascii="Times New Roman" w:hAnsi="Times New Roman" w:cs="Times New Roman"/>
          <w:sz w:val="24"/>
          <w:szCs w:val="24"/>
          <w:lang w:val="sr-Cyrl-RS"/>
        </w:rPr>
        <w:t>купаца-произвођача</w:t>
      </w:r>
      <w:r w:rsidRPr="009C19C5">
        <w:rPr>
          <w:rFonts w:ascii="Times New Roman" w:hAnsi="Times New Roman" w:cs="Times New Roman"/>
          <w:sz w:val="24"/>
          <w:szCs w:val="24"/>
          <w:lang w:val="sr-Cyrl-RS"/>
        </w:rPr>
        <w:t xml:space="preserve">, кроз регулаторне реформе (на пример, поједностављивање питања лиценцирања и власништва/лизинга у вези са нето мерењем), промовисање концепта енергетских заједница, реформи енергетског тржишта (конкуренција и </w:t>
      </w:r>
      <w:r w:rsidR="008B62EC" w:rsidRPr="009C19C5">
        <w:rPr>
          <w:rFonts w:ascii="Times New Roman" w:hAnsi="Times New Roman" w:cs="Times New Roman"/>
          <w:sz w:val="24"/>
          <w:szCs w:val="24"/>
          <w:lang w:val="sr-Cyrl-RS"/>
        </w:rPr>
        <w:t xml:space="preserve">плурализам </w:t>
      </w:r>
      <w:r w:rsidRPr="009C19C5">
        <w:rPr>
          <w:rFonts w:ascii="Times New Roman" w:hAnsi="Times New Roman" w:cs="Times New Roman"/>
          <w:sz w:val="24"/>
          <w:szCs w:val="24"/>
          <w:lang w:val="sr-Cyrl-RS"/>
        </w:rPr>
        <w:t>у свим тржишним фазама) и реформи</w:t>
      </w:r>
      <w:r w:rsidR="008B62EC" w:rsidRPr="009C19C5">
        <w:rPr>
          <w:rFonts w:ascii="Times New Roman" w:hAnsi="Times New Roman" w:cs="Times New Roman"/>
          <w:sz w:val="24"/>
          <w:szCs w:val="24"/>
          <w:lang w:val="sr-Cyrl-RS"/>
        </w:rPr>
        <w:t xml:space="preserve"> цена</w:t>
      </w:r>
      <w:r w:rsidRPr="009C19C5">
        <w:rPr>
          <w:rFonts w:ascii="Times New Roman" w:hAnsi="Times New Roman" w:cs="Times New Roman"/>
          <w:sz w:val="24"/>
          <w:szCs w:val="24"/>
          <w:lang w:val="sr-Cyrl-RS"/>
        </w:rPr>
        <w:t>. Такве реформе ће допринети повећању сигурности снабдевања енергијом и обезбедити финансијску стабилност и ефикасан рад енергетских тржишта.</w:t>
      </w:r>
    </w:p>
    <w:p w14:paraId="42CDB453" w14:textId="671A5603" w:rsidR="00F276BC" w:rsidRPr="009C19C5" w:rsidRDefault="000A0E4E" w:rsidP="008D7F6B">
      <w:pPr>
        <w:pStyle w:val="ListParagraph"/>
        <w:numPr>
          <w:ilvl w:val="0"/>
          <w:numId w:val="32"/>
        </w:numPr>
        <w:tabs>
          <w:tab w:val="left" w:pos="900"/>
        </w:tabs>
        <w:autoSpaceDE w:val="0"/>
        <w:autoSpaceDN w:val="0"/>
        <w:adjustRightInd w:val="0"/>
        <w:spacing w:line="240" w:lineRule="auto"/>
        <w:ind w:left="0"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 xml:space="preserve">Што се тиче даљинског грејања, промоција централног постројења за даљинско грејање </w:t>
      </w:r>
      <w:r w:rsidR="008B62EC" w:rsidRPr="009C19C5">
        <w:rPr>
          <w:rFonts w:ascii="Times New Roman" w:hAnsi="Times New Roman" w:cs="Times New Roman"/>
          <w:sz w:val="24"/>
          <w:szCs w:val="24"/>
          <w:lang w:val="sr-Cyrl-RS"/>
        </w:rPr>
        <w:t xml:space="preserve">по принципу </w:t>
      </w:r>
      <w:r w:rsidRPr="009C19C5">
        <w:rPr>
          <w:rFonts w:ascii="Times New Roman" w:hAnsi="Times New Roman" w:cs="Times New Roman"/>
          <w:sz w:val="24"/>
          <w:szCs w:val="24"/>
          <w:lang w:val="sr-Cyrl-RS"/>
        </w:rPr>
        <w:t>„</w:t>
      </w:r>
      <w:r w:rsidR="008B62EC" w:rsidRPr="009C19C5">
        <w:rPr>
          <w:rFonts w:ascii="Times New Roman" w:hAnsi="Times New Roman" w:cs="Times New Roman"/>
          <w:sz w:val="24"/>
          <w:szCs w:val="24"/>
          <w:lang w:val="sr-Cyrl-RS"/>
        </w:rPr>
        <w:t>из о</w:t>
      </w:r>
      <w:r w:rsidRPr="009C19C5">
        <w:rPr>
          <w:rFonts w:ascii="Times New Roman" w:hAnsi="Times New Roman" w:cs="Times New Roman"/>
          <w:sz w:val="24"/>
          <w:szCs w:val="24"/>
          <w:lang w:val="sr-Cyrl-RS"/>
        </w:rPr>
        <w:t>тпад</w:t>
      </w:r>
      <w:r w:rsidR="008B62EC" w:rsidRPr="009C19C5">
        <w:rPr>
          <w:rFonts w:ascii="Times New Roman" w:hAnsi="Times New Roman" w:cs="Times New Roman"/>
          <w:sz w:val="24"/>
          <w:szCs w:val="24"/>
          <w:lang w:val="sr-Cyrl-RS"/>
        </w:rPr>
        <w:t>а</w:t>
      </w:r>
      <w:r w:rsidRPr="009C19C5">
        <w:rPr>
          <w:rFonts w:ascii="Times New Roman" w:hAnsi="Times New Roman" w:cs="Times New Roman"/>
          <w:sz w:val="24"/>
          <w:szCs w:val="24"/>
          <w:lang w:val="sr-Cyrl-RS"/>
        </w:rPr>
        <w:t xml:space="preserve"> у енергију</w:t>
      </w:r>
      <w:r w:rsidR="00F94E9A" w:rsidRPr="009C19C5">
        <w:rPr>
          <w:rFonts w:ascii="Times New Roman" w:hAnsi="Times New Roman" w:cs="Times New Roman"/>
          <w:sz w:val="24"/>
          <w:szCs w:val="24"/>
          <w:lang w:val="sr-Cyrl-RS"/>
        </w:rPr>
        <w:t>”</w:t>
      </w:r>
      <w:r w:rsidRPr="009C19C5">
        <w:rPr>
          <w:rFonts w:ascii="Times New Roman" w:hAnsi="Times New Roman" w:cs="Times New Roman"/>
          <w:sz w:val="24"/>
          <w:szCs w:val="24"/>
          <w:lang w:val="sr-Cyrl-RS"/>
        </w:rPr>
        <w:t xml:space="preserve"> за </w:t>
      </w:r>
      <w:r w:rsidR="008B62EC" w:rsidRPr="009C19C5">
        <w:rPr>
          <w:rFonts w:ascii="Times New Roman" w:hAnsi="Times New Roman" w:cs="Times New Roman"/>
          <w:sz w:val="24"/>
          <w:szCs w:val="24"/>
          <w:lang w:val="sr-Cyrl-RS"/>
        </w:rPr>
        <w:t xml:space="preserve">даљинско </w:t>
      </w:r>
      <w:r w:rsidRPr="009C19C5">
        <w:rPr>
          <w:rFonts w:ascii="Times New Roman" w:hAnsi="Times New Roman" w:cs="Times New Roman"/>
          <w:sz w:val="24"/>
          <w:szCs w:val="24"/>
          <w:lang w:val="sr-Cyrl-RS"/>
        </w:rPr>
        <w:t>грејање на погођеним територијама, промоција „грејања из обновљивих извора</w:t>
      </w:r>
      <w:r w:rsidR="00F94E9A" w:rsidRPr="009C19C5">
        <w:rPr>
          <w:rFonts w:ascii="Times New Roman" w:hAnsi="Times New Roman" w:cs="Times New Roman"/>
          <w:sz w:val="24"/>
          <w:szCs w:val="24"/>
          <w:lang w:val="sr-Cyrl-RS"/>
        </w:rPr>
        <w:t>”</w:t>
      </w:r>
      <w:r w:rsidRPr="009C19C5">
        <w:rPr>
          <w:rFonts w:ascii="Times New Roman" w:hAnsi="Times New Roman" w:cs="Times New Roman"/>
          <w:sz w:val="24"/>
          <w:szCs w:val="24"/>
          <w:lang w:val="sr-Cyrl-RS"/>
        </w:rPr>
        <w:t xml:space="preserve"> коришћењем соларне термоелектране са централизованим пумпама за напајање и сезонским складиштењем енергије</w:t>
      </w:r>
      <w:r w:rsidR="00594672" w:rsidRPr="009C19C5">
        <w:rPr>
          <w:rFonts w:ascii="Times New Roman" w:hAnsi="Times New Roman" w:cs="Times New Roman"/>
          <w:sz w:val="24"/>
          <w:szCs w:val="24"/>
          <w:lang w:val="sr-Cyrl-RS"/>
        </w:rPr>
        <w:t>.</w:t>
      </w:r>
    </w:p>
    <w:p w14:paraId="7900A9A4" w14:textId="79A0854D" w:rsidR="00884862" w:rsidRPr="009C19C5" w:rsidRDefault="000A0E4E" w:rsidP="00B260A1">
      <w:pPr>
        <w:pStyle w:val="ListParagraph"/>
        <w:autoSpaceDE w:val="0"/>
        <w:autoSpaceDN w:val="0"/>
        <w:adjustRightInd w:val="0"/>
        <w:spacing w:after="0" w:line="240" w:lineRule="auto"/>
        <w:ind w:left="0" w:firstLine="720"/>
        <w:jc w:val="both"/>
        <w:rPr>
          <w:rFonts w:ascii="Times New Roman" w:hAnsi="Times New Roman" w:cs="Times New Roman"/>
          <w:sz w:val="24"/>
          <w:szCs w:val="24"/>
          <w:lang w:val="sr-Cyrl-RS"/>
        </w:rPr>
      </w:pPr>
      <w:r w:rsidRPr="009C19C5">
        <w:rPr>
          <w:rFonts w:ascii="Times New Roman" w:hAnsi="Times New Roman" w:cs="Times New Roman"/>
          <w:bCs/>
          <w:sz w:val="24"/>
          <w:szCs w:val="24"/>
          <w:lang w:val="sr-Cyrl-RS"/>
        </w:rPr>
        <w:t>A2.</w:t>
      </w:r>
      <w:r w:rsidRPr="009C19C5">
        <w:rPr>
          <w:rFonts w:ascii="Times New Roman" w:hAnsi="Times New Roman" w:cs="Times New Roman"/>
          <w:b/>
          <w:bCs/>
          <w:sz w:val="24"/>
          <w:szCs w:val="24"/>
          <w:lang w:val="sr-Cyrl-RS"/>
        </w:rPr>
        <w:t xml:space="preserve"> </w:t>
      </w:r>
      <w:r w:rsidRPr="009C19C5">
        <w:rPr>
          <w:rFonts w:ascii="Times New Roman" w:hAnsi="Times New Roman" w:cs="Times New Roman"/>
          <w:bCs/>
          <w:sz w:val="24"/>
          <w:szCs w:val="24"/>
          <w:lang w:val="sr-Cyrl-RS"/>
        </w:rPr>
        <w:t>Повећање климатске „неутралности</w:t>
      </w:r>
      <w:r w:rsidR="00F94E9A" w:rsidRPr="009C19C5">
        <w:rPr>
          <w:rFonts w:ascii="Times New Roman" w:hAnsi="Times New Roman" w:cs="Times New Roman"/>
          <w:sz w:val="24"/>
          <w:szCs w:val="24"/>
          <w:lang w:val="sr-Cyrl-RS"/>
        </w:rPr>
        <w:t>”</w:t>
      </w:r>
      <w:r w:rsidRPr="009C19C5">
        <w:rPr>
          <w:rFonts w:ascii="Times New Roman" w:hAnsi="Times New Roman" w:cs="Times New Roman"/>
          <w:bCs/>
          <w:sz w:val="24"/>
          <w:szCs w:val="24"/>
          <w:lang w:val="sr-Cyrl-RS"/>
        </w:rPr>
        <w:t xml:space="preserve"> урбаних подручја са циљем:</w:t>
      </w:r>
      <w:r w:rsidRPr="009C19C5">
        <w:rPr>
          <w:rFonts w:ascii="Times New Roman" w:hAnsi="Times New Roman" w:cs="Times New Roman"/>
          <w:sz w:val="24"/>
          <w:szCs w:val="24"/>
          <w:lang w:val="sr-Cyrl-RS"/>
        </w:rPr>
        <w:t xml:space="preserve"> </w:t>
      </w:r>
    </w:p>
    <w:p w14:paraId="534B07AD" w14:textId="38C4D803" w:rsidR="00F276BC" w:rsidRPr="009C19C5" w:rsidRDefault="000A0E4E" w:rsidP="008D7F6B">
      <w:pPr>
        <w:pStyle w:val="ListParagraph"/>
        <w:numPr>
          <w:ilvl w:val="0"/>
          <w:numId w:val="33"/>
        </w:numPr>
        <w:tabs>
          <w:tab w:val="left" w:pos="0"/>
          <w:tab w:val="left" w:pos="990"/>
        </w:tabs>
        <w:autoSpaceDE w:val="0"/>
        <w:autoSpaceDN w:val="0"/>
        <w:adjustRightInd w:val="0"/>
        <w:spacing w:after="0" w:line="240" w:lineRule="auto"/>
        <w:ind w:left="0"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lastRenderedPageBreak/>
        <w:t>Промовисања инвестиција за реновирање постојећег фонда зграда, зарад њихове енергетски ефикасне надоградње</w:t>
      </w:r>
      <w:r w:rsidR="004B08C1" w:rsidRPr="009C19C5">
        <w:rPr>
          <w:rFonts w:ascii="Times New Roman" w:hAnsi="Times New Roman" w:cs="Times New Roman"/>
          <w:sz w:val="24"/>
          <w:szCs w:val="24"/>
          <w:lang w:val="sr-Cyrl-RS"/>
        </w:rPr>
        <w:t>.</w:t>
      </w:r>
    </w:p>
    <w:p w14:paraId="00725104" w14:textId="15111290" w:rsidR="00F276BC" w:rsidRPr="009C19C5" w:rsidRDefault="009908D2" w:rsidP="008D7F6B">
      <w:pPr>
        <w:pStyle w:val="ListParagraph"/>
        <w:numPr>
          <w:ilvl w:val="0"/>
          <w:numId w:val="33"/>
        </w:numPr>
        <w:tabs>
          <w:tab w:val="left" w:pos="0"/>
          <w:tab w:val="left" w:pos="990"/>
        </w:tabs>
        <w:autoSpaceDE w:val="0"/>
        <w:autoSpaceDN w:val="0"/>
        <w:adjustRightInd w:val="0"/>
        <w:spacing w:after="0" w:line="240" w:lineRule="auto"/>
        <w:ind w:left="0"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Израда и с</w:t>
      </w:r>
      <w:r w:rsidR="000A0E4E" w:rsidRPr="009C19C5">
        <w:rPr>
          <w:rFonts w:ascii="Times New Roman" w:hAnsi="Times New Roman" w:cs="Times New Roman"/>
          <w:sz w:val="24"/>
          <w:szCs w:val="24"/>
          <w:lang w:val="sr-Cyrl-RS"/>
        </w:rPr>
        <w:t>провођењ</w:t>
      </w:r>
      <w:r w:rsidRPr="009C19C5">
        <w:rPr>
          <w:rFonts w:ascii="Times New Roman" w:hAnsi="Times New Roman" w:cs="Times New Roman"/>
          <w:sz w:val="24"/>
          <w:szCs w:val="24"/>
          <w:lang w:val="sr-Cyrl-RS"/>
        </w:rPr>
        <w:t>е</w:t>
      </w:r>
      <w:r w:rsidR="000A0E4E" w:rsidRPr="009C19C5">
        <w:rPr>
          <w:rFonts w:ascii="Times New Roman" w:hAnsi="Times New Roman" w:cs="Times New Roman"/>
          <w:sz w:val="24"/>
          <w:szCs w:val="24"/>
          <w:lang w:val="sr-Cyrl-RS"/>
        </w:rPr>
        <w:t xml:space="preserve"> новог Акционог плана за борбу против енергетског сиромаштва</w:t>
      </w:r>
      <w:r w:rsidR="00884862" w:rsidRPr="009C19C5">
        <w:rPr>
          <w:rFonts w:ascii="Times New Roman" w:hAnsi="Times New Roman" w:cs="Times New Roman"/>
          <w:sz w:val="24"/>
          <w:szCs w:val="24"/>
          <w:lang w:val="sr-Cyrl-RS"/>
        </w:rPr>
        <w:t xml:space="preserve">, </w:t>
      </w:r>
      <w:r w:rsidR="000A0E4E" w:rsidRPr="009C19C5">
        <w:rPr>
          <w:rFonts w:ascii="Times New Roman" w:hAnsi="Times New Roman" w:cs="Times New Roman"/>
          <w:sz w:val="24"/>
          <w:szCs w:val="24"/>
          <w:lang w:val="sr-Cyrl-RS"/>
        </w:rPr>
        <w:t>самим тим и избегавање неконтролисане употребе биомасе</w:t>
      </w:r>
      <w:r w:rsidR="00B260A1" w:rsidRPr="009C19C5">
        <w:rPr>
          <w:rFonts w:ascii="Times New Roman" w:hAnsi="Times New Roman" w:cs="Times New Roman"/>
          <w:sz w:val="24"/>
          <w:szCs w:val="24"/>
          <w:lang w:val="sr-Cyrl-RS"/>
        </w:rPr>
        <w:t>.</w:t>
      </w:r>
    </w:p>
    <w:p w14:paraId="3C9ABFC6" w14:textId="729FCF7E" w:rsidR="00F276BC" w:rsidRPr="009C19C5" w:rsidRDefault="000A0E4E" w:rsidP="008D7F6B">
      <w:pPr>
        <w:pStyle w:val="ListParagraph"/>
        <w:numPr>
          <w:ilvl w:val="0"/>
          <w:numId w:val="33"/>
        </w:numPr>
        <w:tabs>
          <w:tab w:val="left" w:pos="0"/>
          <w:tab w:val="left" w:pos="990"/>
        </w:tabs>
        <w:autoSpaceDE w:val="0"/>
        <w:autoSpaceDN w:val="0"/>
        <w:adjustRightInd w:val="0"/>
        <w:spacing w:after="0" w:line="240" w:lineRule="auto"/>
        <w:ind w:left="0"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Увођења обновљивих извора грејања и хлађења, коришћења отпадне топлоте у урбаним срединама и промоције кровних топлотних колектора за топлу воду</w:t>
      </w:r>
      <w:r w:rsidR="004B08C1" w:rsidRPr="009C19C5">
        <w:rPr>
          <w:rFonts w:ascii="Times New Roman" w:hAnsi="Times New Roman" w:cs="Times New Roman"/>
          <w:sz w:val="24"/>
          <w:szCs w:val="24"/>
          <w:lang w:val="sr-Cyrl-RS"/>
        </w:rPr>
        <w:t>.</w:t>
      </w:r>
    </w:p>
    <w:p w14:paraId="17BBE70D" w14:textId="1A043467" w:rsidR="00F276BC" w:rsidRPr="009C19C5" w:rsidRDefault="000A0E4E" w:rsidP="008D7F6B">
      <w:pPr>
        <w:pStyle w:val="ListParagraph"/>
        <w:numPr>
          <w:ilvl w:val="0"/>
          <w:numId w:val="33"/>
        </w:numPr>
        <w:tabs>
          <w:tab w:val="left" w:pos="0"/>
          <w:tab w:val="left" w:pos="990"/>
        </w:tabs>
        <w:autoSpaceDE w:val="0"/>
        <w:autoSpaceDN w:val="0"/>
        <w:adjustRightInd w:val="0"/>
        <w:spacing w:after="0" w:line="240" w:lineRule="auto"/>
        <w:ind w:left="0"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У области урбаног планирања, унапређења урбаног екосистема кроз реформу оквира урбане политике и промоцију одрживе инфраструктуре градског саобраћаја</w:t>
      </w:r>
      <w:r w:rsidR="004B08C1" w:rsidRPr="009C19C5">
        <w:rPr>
          <w:rFonts w:ascii="Times New Roman" w:hAnsi="Times New Roman" w:cs="Times New Roman"/>
          <w:sz w:val="24"/>
          <w:szCs w:val="24"/>
          <w:lang w:val="sr-Cyrl-RS"/>
        </w:rPr>
        <w:t>.</w:t>
      </w:r>
    </w:p>
    <w:p w14:paraId="50970947" w14:textId="71976B4B" w:rsidR="00F276BC" w:rsidRPr="009C19C5" w:rsidRDefault="000A0E4E" w:rsidP="00B260A1">
      <w:pPr>
        <w:pStyle w:val="ListParagraph"/>
        <w:autoSpaceDE w:val="0"/>
        <w:autoSpaceDN w:val="0"/>
        <w:adjustRightInd w:val="0"/>
        <w:spacing w:after="0" w:line="240" w:lineRule="auto"/>
        <w:ind w:left="0" w:firstLine="720"/>
        <w:jc w:val="both"/>
        <w:rPr>
          <w:rFonts w:ascii="Times New Roman" w:hAnsi="Times New Roman" w:cs="Times New Roman"/>
          <w:bCs/>
          <w:sz w:val="24"/>
          <w:szCs w:val="24"/>
          <w:lang w:val="sr-Cyrl-RS"/>
        </w:rPr>
      </w:pPr>
      <w:r w:rsidRPr="009C19C5">
        <w:rPr>
          <w:rFonts w:ascii="Times New Roman" w:hAnsi="Times New Roman" w:cs="Times New Roman"/>
          <w:bCs/>
          <w:sz w:val="24"/>
          <w:szCs w:val="24"/>
          <w:lang w:val="sr-Cyrl-RS"/>
        </w:rPr>
        <w:t>A3.  Одрживо коришћење ресурса, отпорност на клим</w:t>
      </w:r>
      <w:r w:rsidR="00884862" w:rsidRPr="009C19C5">
        <w:rPr>
          <w:rFonts w:ascii="Times New Roman" w:hAnsi="Times New Roman" w:cs="Times New Roman"/>
          <w:bCs/>
          <w:sz w:val="24"/>
          <w:szCs w:val="24"/>
          <w:lang w:val="sr-Cyrl-RS"/>
        </w:rPr>
        <w:t xml:space="preserve">атске промене </w:t>
      </w:r>
      <w:r w:rsidRPr="009C19C5">
        <w:rPr>
          <w:rFonts w:ascii="Times New Roman" w:hAnsi="Times New Roman" w:cs="Times New Roman"/>
          <w:bCs/>
          <w:sz w:val="24"/>
          <w:szCs w:val="24"/>
          <w:lang w:val="sr-Cyrl-RS"/>
        </w:rPr>
        <w:t xml:space="preserve">и заштита животне средине кроз </w:t>
      </w:r>
      <w:r w:rsidR="00884862" w:rsidRPr="009C19C5">
        <w:rPr>
          <w:rFonts w:ascii="Times New Roman" w:hAnsi="Times New Roman" w:cs="Times New Roman"/>
          <w:bCs/>
          <w:sz w:val="24"/>
          <w:szCs w:val="24"/>
          <w:lang w:val="sr-Cyrl-RS"/>
        </w:rPr>
        <w:t xml:space="preserve">циркуларну </w:t>
      </w:r>
      <w:r w:rsidRPr="009C19C5">
        <w:rPr>
          <w:rFonts w:ascii="Times New Roman" w:hAnsi="Times New Roman" w:cs="Times New Roman"/>
          <w:bCs/>
          <w:sz w:val="24"/>
          <w:szCs w:val="24"/>
          <w:lang w:val="sr-Cyrl-RS"/>
        </w:rPr>
        <w:t>економију.</w:t>
      </w:r>
    </w:p>
    <w:p w14:paraId="4D4BC40E" w14:textId="7B3B8C48" w:rsidR="00F276BC" w:rsidRPr="009C19C5" w:rsidRDefault="000A0E4E" w:rsidP="008D7F6B">
      <w:pPr>
        <w:pStyle w:val="ListParagraph"/>
        <w:numPr>
          <w:ilvl w:val="0"/>
          <w:numId w:val="34"/>
        </w:numPr>
        <w:tabs>
          <w:tab w:val="left" w:pos="990"/>
        </w:tabs>
        <w:autoSpaceDE w:val="0"/>
        <w:autoSpaceDN w:val="0"/>
        <w:adjustRightInd w:val="0"/>
        <w:spacing w:after="0" w:line="240" w:lineRule="auto"/>
        <w:ind w:left="0"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 xml:space="preserve">Акције које доприносе смањењу </w:t>
      </w:r>
      <w:r w:rsidR="00A62656" w:rsidRPr="009C19C5">
        <w:rPr>
          <w:rFonts w:ascii="Times New Roman" w:hAnsi="Times New Roman" w:cs="Times New Roman"/>
          <w:sz w:val="24"/>
          <w:szCs w:val="24"/>
          <w:lang w:val="sr-Cyrl-RS"/>
        </w:rPr>
        <w:t xml:space="preserve">стварања </w:t>
      </w:r>
      <w:r w:rsidRPr="009C19C5">
        <w:rPr>
          <w:rFonts w:ascii="Times New Roman" w:hAnsi="Times New Roman" w:cs="Times New Roman"/>
          <w:sz w:val="24"/>
          <w:szCs w:val="24"/>
          <w:lang w:val="sr-Cyrl-RS"/>
        </w:rPr>
        <w:t>отпада и ефикасном управљању</w:t>
      </w:r>
      <w:r w:rsidR="00A62656" w:rsidRPr="009C19C5">
        <w:rPr>
          <w:rFonts w:ascii="Times New Roman" w:hAnsi="Times New Roman" w:cs="Times New Roman"/>
          <w:sz w:val="24"/>
          <w:szCs w:val="24"/>
          <w:lang w:val="sr-Cyrl-RS"/>
        </w:rPr>
        <w:t xml:space="preserve"> отпадом</w:t>
      </w:r>
      <w:r w:rsidRPr="009C19C5">
        <w:rPr>
          <w:rFonts w:ascii="Times New Roman" w:hAnsi="Times New Roman" w:cs="Times New Roman"/>
          <w:sz w:val="24"/>
          <w:szCs w:val="24"/>
          <w:lang w:val="sr-Cyrl-RS"/>
        </w:rPr>
        <w:t>, уз принцип</w:t>
      </w:r>
      <w:r w:rsidR="008B5C5A">
        <w:rPr>
          <w:rFonts w:ascii="Times New Roman" w:hAnsi="Times New Roman" w:cs="Times New Roman"/>
          <w:sz w:val="24"/>
          <w:szCs w:val="24"/>
          <w:lang w:val="sr-Cyrl-RS"/>
        </w:rPr>
        <w:t>е</w:t>
      </w:r>
      <w:r w:rsidRPr="009C19C5">
        <w:rPr>
          <w:rFonts w:ascii="Times New Roman" w:hAnsi="Times New Roman" w:cs="Times New Roman"/>
          <w:sz w:val="24"/>
          <w:szCs w:val="24"/>
          <w:lang w:val="sr-Cyrl-RS"/>
        </w:rPr>
        <w:t xml:space="preserve"> хијерархије отпада и </w:t>
      </w:r>
      <w:r w:rsidR="00A62656" w:rsidRPr="009C19C5">
        <w:rPr>
          <w:rFonts w:ascii="Times New Roman" w:hAnsi="Times New Roman" w:cs="Times New Roman"/>
          <w:sz w:val="24"/>
          <w:szCs w:val="24"/>
          <w:lang w:val="sr-Cyrl-RS"/>
        </w:rPr>
        <w:t xml:space="preserve">циркуларне </w:t>
      </w:r>
      <w:r w:rsidRPr="009C19C5">
        <w:rPr>
          <w:rFonts w:ascii="Times New Roman" w:hAnsi="Times New Roman" w:cs="Times New Roman"/>
          <w:sz w:val="24"/>
          <w:szCs w:val="24"/>
          <w:lang w:val="sr-Cyrl-RS"/>
        </w:rPr>
        <w:t>економије (развијање рециклажних и еко-индустријских паркова); примена одрживе технологије претварања отпада у енергију</w:t>
      </w:r>
      <w:r w:rsidR="006255BB" w:rsidRPr="009C19C5">
        <w:rPr>
          <w:rFonts w:ascii="Times New Roman" w:hAnsi="Times New Roman" w:cs="Times New Roman"/>
          <w:sz w:val="24"/>
          <w:szCs w:val="24"/>
          <w:lang w:val="sr-Cyrl-RS"/>
        </w:rPr>
        <w:t>.</w:t>
      </w:r>
    </w:p>
    <w:p w14:paraId="6EAD3010" w14:textId="3EACC085" w:rsidR="00F276BC" w:rsidRPr="009C19C5" w:rsidRDefault="000A0E4E" w:rsidP="008D7F6B">
      <w:pPr>
        <w:pStyle w:val="ListParagraph"/>
        <w:numPr>
          <w:ilvl w:val="0"/>
          <w:numId w:val="34"/>
        </w:numPr>
        <w:tabs>
          <w:tab w:val="left" w:pos="990"/>
        </w:tabs>
        <w:autoSpaceDE w:val="0"/>
        <w:autoSpaceDN w:val="0"/>
        <w:adjustRightInd w:val="0"/>
        <w:spacing w:after="0" w:line="240" w:lineRule="auto"/>
        <w:ind w:left="0"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Заштита водних ресурса, изградња инфраструктуре за управљање водама и пречишћавање отпадних вода и увођење реформи које промовишу ефикасно и одрживо коришћење водних ресурса</w:t>
      </w:r>
      <w:r w:rsidR="006255BB" w:rsidRPr="009C19C5">
        <w:rPr>
          <w:rFonts w:ascii="Times New Roman" w:hAnsi="Times New Roman" w:cs="Times New Roman"/>
          <w:sz w:val="24"/>
          <w:szCs w:val="24"/>
          <w:lang w:val="sr-Cyrl-RS"/>
        </w:rPr>
        <w:t>.</w:t>
      </w:r>
    </w:p>
    <w:p w14:paraId="0519D3FF" w14:textId="77777777" w:rsidR="00F276BC" w:rsidRPr="009C19C5" w:rsidRDefault="00F276BC" w:rsidP="006255BB">
      <w:pPr>
        <w:pStyle w:val="ListParagraph"/>
        <w:autoSpaceDE w:val="0"/>
        <w:autoSpaceDN w:val="0"/>
        <w:adjustRightInd w:val="0"/>
        <w:spacing w:after="0" w:line="240" w:lineRule="auto"/>
        <w:jc w:val="both"/>
        <w:rPr>
          <w:rFonts w:ascii="Times New Roman" w:hAnsi="Times New Roman" w:cs="Times New Roman"/>
          <w:sz w:val="24"/>
          <w:szCs w:val="24"/>
          <w:lang w:val="sr-Cyrl-RS"/>
        </w:rPr>
      </w:pPr>
    </w:p>
    <w:p w14:paraId="09AD5EF8" w14:textId="0338DEDC" w:rsidR="00F276BC" w:rsidRPr="009C19C5" w:rsidRDefault="006255BB" w:rsidP="00B260A1">
      <w:pPr>
        <w:pStyle w:val="ListParagraph"/>
        <w:autoSpaceDE w:val="0"/>
        <w:autoSpaceDN w:val="0"/>
        <w:adjustRightInd w:val="0"/>
        <w:spacing w:after="0" w:line="240" w:lineRule="auto"/>
        <w:ind w:left="0" w:firstLine="720"/>
        <w:jc w:val="both"/>
        <w:rPr>
          <w:rFonts w:ascii="Times New Roman" w:hAnsi="Times New Roman" w:cs="Times New Roman"/>
          <w:sz w:val="24"/>
          <w:szCs w:val="24"/>
          <w:lang w:val="sr-Cyrl-RS"/>
        </w:rPr>
      </w:pPr>
      <w:r w:rsidRPr="009C19C5">
        <w:rPr>
          <w:rFonts w:ascii="Times New Roman" w:hAnsi="Times New Roman" w:cs="Times New Roman"/>
          <w:bCs/>
          <w:sz w:val="24"/>
          <w:szCs w:val="24"/>
          <w:lang w:val="sr-Cyrl-RS"/>
        </w:rPr>
        <w:t>Б.</w:t>
      </w:r>
      <w:r w:rsidR="004262D0" w:rsidRPr="009C19C5">
        <w:rPr>
          <w:rFonts w:ascii="Times New Roman" w:hAnsi="Times New Roman" w:cs="Times New Roman"/>
          <w:bCs/>
          <w:sz w:val="24"/>
          <w:szCs w:val="24"/>
          <w:lang w:val="sr-Cyrl-RS"/>
        </w:rPr>
        <w:t xml:space="preserve"> </w:t>
      </w:r>
      <w:r w:rsidR="00506BA6" w:rsidRPr="009C19C5">
        <w:rPr>
          <w:rFonts w:ascii="Times New Roman" w:hAnsi="Times New Roman" w:cs="Times New Roman"/>
          <w:bCs/>
          <w:sz w:val="24"/>
          <w:szCs w:val="24"/>
          <w:lang w:val="sr-Cyrl-RS"/>
        </w:rPr>
        <w:t>Р</w:t>
      </w:r>
      <w:r w:rsidR="000A0E4E" w:rsidRPr="009C19C5">
        <w:rPr>
          <w:rFonts w:ascii="Times New Roman" w:hAnsi="Times New Roman" w:cs="Times New Roman"/>
          <w:bCs/>
          <w:sz w:val="24"/>
          <w:szCs w:val="24"/>
          <w:lang w:val="sr-Cyrl-RS"/>
        </w:rPr>
        <w:t>азвој људског капитала</w:t>
      </w:r>
      <w:r w:rsidR="000A0E4E" w:rsidRPr="009C19C5">
        <w:rPr>
          <w:rFonts w:ascii="Times New Roman" w:hAnsi="Times New Roman" w:cs="Times New Roman"/>
          <w:sz w:val="24"/>
          <w:szCs w:val="24"/>
          <w:lang w:val="sr-Cyrl-RS"/>
        </w:rPr>
        <w:t xml:space="preserve">, </w:t>
      </w:r>
      <w:r w:rsidR="00506BA6" w:rsidRPr="009C19C5">
        <w:rPr>
          <w:rFonts w:ascii="Times New Roman" w:hAnsi="Times New Roman" w:cs="Times New Roman"/>
          <w:sz w:val="24"/>
          <w:szCs w:val="24"/>
          <w:lang w:val="sr-Cyrl-RS"/>
        </w:rPr>
        <w:t xml:space="preserve">где се </w:t>
      </w:r>
      <w:r w:rsidR="000A0E4E" w:rsidRPr="009C19C5">
        <w:rPr>
          <w:rFonts w:ascii="Times New Roman" w:hAnsi="Times New Roman" w:cs="Times New Roman"/>
          <w:sz w:val="24"/>
          <w:szCs w:val="24"/>
          <w:lang w:val="sr-Cyrl-RS"/>
        </w:rPr>
        <w:t xml:space="preserve">активности усмеравају на: </w:t>
      </w:r>
    </w:p>
    <w:p w14:paraId="1CE92C95" w14:textId="77777777" w:rsidR="00B260A1" w:rsidRPr="009C19C5" w:rsidRDefault="00B260A1" w:rsidP="00B260A1">
      <w:pPr>
        <w:autoSpaceDE w:val="0"/>
        <w:autoSpaceDN w:val="0"/>
        <w:adjustRightInd w:val="0"/>
        <w:spacing w:after="0" w:line="240" w:lineRule="auto"/>
        <w:ind w:firstLine="720"/>
        <w:jc w:val="both"/>
        <w:rPr>
          <w:rFonts w:ascii="Times New Roman" w:hAnsi="Times New Roman" w:cs="Times New Roman"/>
          <w:bCs/>
          <w:sz w:val="24"/>
          <w:szCs w:val="24"/>
          <w:lang w:val="sr-Cyrl-RS"/>
        </w:rPr>
      </w:pPr>
    </w:p>
    <w:p w14:paraId="5B211434" w14:textId="32706541" w:rsidR="00F276BC" w:rsidRPr="009C19C5" w:rsidRDefault="000A0E4E" w:rsidP="00B260A1">
      <w:pPr>
        <w:autoSpaceDE w:val="0"/>
        <w:autoSpaceDN w:val="0"/>
        <w:adjustRightInd w:val="0"/>
        <w:spacing w:after="0" w:line="240" w:lineRule="auto"/>
        <w:ind w:firstLine="720"/>
        <w:jc w:val="both"/>
        <w:rPr>
          <w:rFonts w:ascii="Times New Roman" w:hAnsi="Times New Roman" w:cs="Times New Roman"/>
          <w:bCs/>
          <w:sz w:val="24"/>
          <w:szCs w:val="24"/>
          <w:lang w:val="sr-Cyrl-RS"/>
        </w:rPr>
      </w:pPr>
      <w:r w:rsidRPr="009C19C5">
        <w:rPr>
          <w:rFonts w:ascii="Times New Roman" w:hAnsi="Times New Roman" w:cs="Times New Roman"/>
          <w:bCs/>
          <w:sz w:val="24"/>
          <w:szCs w:val="24"/>
          <w:lang w:val="sr-Cyrl-RS"/>
        </w:rPr>
        <w:t>Б1. Побољшање економских резултата</w:t>
      </w:r>
      <w:r w:rsidRPr="009C19C5">
        <w:rPr>
          <w:rFonts w:ascii="Times New Roman" w:hAnsi="Times New Roman" w:cs="Times New Roman"/>
          <w:sz w:val="24"/>
          <w:szCs w:val="24"/>
          <w:lang w:val="sr-Cyrl-RS"/>
        </w:rPr>
        <w:t xml:space="preserve"> кроз:</w:t>
      </w:r>
      <w:r w:rsidRPr="009C19C5">
        <w:rPr>
          <w:rFonts w:ascii="Times New Roman" w:hAnsi="Times New Roman" w:cs="Times New Roman"/>
          <w:bCs/>
          <w:sz w:val="24"/>
          <w:szCs w:val="24"/>
          <w:lang w:val="sr-Cyrl-RS"/>
        </w:rPr>
        <w:t xml:space="preserve"> </w:t>
      </w:r>
    </w:p>
    <w:p w14:paraId="322EEE6E" w14:textId="77777777" w:rsidR="00594672" w:rsidRPr="009C19C5" w:rsidRDefault="00594672" w:rsidP="006255BB">
      <w:pPr>
        <w:autoSpaceDE w:val="0"/>
        <w:autoSpaceDN w:val="0"/>
        <w:adjustRightInd w:val="0"/>
        <w:spacing w:after="0" w:line="240" w:lineRule="auto"/>
        <w:jc w:val="both"/>
        <w:rPr>
          <w:rFonts w:ascii="Times New Roman" w:hAnsi="Times New Roman" w:cs="Times New Roman"/>
          <w:bCs/>
          <w:sz w:val="24"/>
          <w:szCs w:val="24"/>
          <w:lang w:val="sr-Cyrl-RS"/>
        </w:rPr>
      </w:pPr>
    </w:p>
    <w:p w14:paraId="1F10ED01" w14:textId="19BE2816" w:rsidR="00F276BC" w:rsidRPr="009C19C5" w:rsidRDefault="000A0E4E" w:rsidP="008D7F6B">
      <w:pPr>
        <w:pStyle w:val="ListParagraph"/>
        <w:numPr>
          <w:ilvl w:val="0"/>
          <w:numId w:val="35"/>
        </w:numPr>
        <w:tabs>
          <w:tab w:val="left" w:pos="900"/>
        </w:tabs>
        <w:autoSpaceDE w:val="0"/>
        <w:autoSpaceDN w:val="0"/>
        <w:adjustRightInd w:val="0"/>
        <w:spacing w:after="0" w:line="240" w:lineRule="auto"/>
        <w:ind w:left="0" w:firstLine="720"/>
        <w:jc w:val="both"/>
        <w:rPr>
          <w:rFonts w:ascii="Times New Roman" w:hAnsi="Times New Roman" w:cs="Times New Roman"/>
          <w:sz w:val="24"/>
          <w:szCs w:val="24"/>
          <w:lang w:val="sr-Cyrl-RS"/>
        </w:rPr>
      </w:pPr>
      <w:r w:rsidRPr="009C19C5">
        <w:rPr>
          <w:rFonts w:ascii="Times New Roman" w:hAnsi="Times New Roman" w:cs="Times New Roman"/>
          <w:bCs/>
          <w:sz w:val="24"/>
          <w:szCs w:val="24"/>
          <w:lang w:val="sr-Cyrl-RS"/>
        </w:rPr>
        <w:t>Повећање приступа тржиштима рада и предузећима</w:t>
      </w:r>
      <w:r w:rsidRPr="009C19C5">
        <w:rPr>
          <w:rFonts w:ascii="Times New Roman" w:hAnsi="Times New Roman" w:cs="Times New Roman"/>
          <w:sz w:val="24"/>
          <w:szCs w:val="24"/>
          <w:lang w:val="sr-Cyrl-RS"/>
        </w:rPr>
        <w:t>, имајући у виду активности (инфраструктур</w:t>
      </w:r>
      <w:r w:rsidR="00A62656" w:rsidRPr="009C19C5">
        <w:rPr>
          <w:rFonts w:ascii="Times New Roman" w:hAnsi="Times New Roman" w:cs="Times New Roman"/>
          <w:sz w:val="24"/>
          <w:szCs w:val="24"/>
          <w:lang w:val="sr-Cyrl-RS"/>
        </w:rPr>
        <w:t>н</w:t>
      </w:r>
      <w:r w:rsidRPr="009C19C5">
        <w:rPr>
          <w:rFonts w:ascii="Times New Roman" w:hAnsi="Times New Roman" w:cs="Times New Roman"/>
          <w:sz w:val="24"/>
          <w:szCs w:val="24"/>
          <w:lang w:val="sr-Cyrl-RS"/>
        </w:rPr>
        <w:t xml:space="preserve">е и нематеријалне интервенције) које имају за циљ:   </w:t>
      </w:r>
    </w:p>
    <w:p w14:paraId="6760F83B" w14:textId="2608AB08" w:rsidR="00F276BC" w:rsidRPr="009C19C5" w:rsidRDefault="000A0E4E" w:rsidP="008D7F6B">
      <w:pPr>
        <w:pStyle w:val="ListParagraph"/>
        <w:numPr>
          <w:ilvl w:val="1"/>
          <w:numId w:val="36"/>
        </w:numPr>
        <w:tabs>
          <w:tab w:val="left" w:pos="810"/>
          <w:tab w:val="left" w:pos="990"/>
        </w:tabs>
        <w:autoSpaceDE w:val="0"/>
        <w:autoSpaceDN w:val="0"/>
        <w:adjustRightInd w:val="0"/>
        <w:spacing w:after="0" w:line="240" w:lineRule="auto"/>
        <w:ind w:firstLine="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Побољшање капацитета и вештина за иновације</w:t>
      </w:r>
      <w:r w:rsidR="00594672" w:rsidRPr="009C19C5">
        <w:rPr>
          <w:rFonts w:ascii="Times New Roman" w:hAnsi="Times New Roman" w:cs="Times New Roman"/>
          <w:sz w:val="24"/>
          <w:szCs w:val="24"/>
          <w:lang w:val="sr-Cyrl-RS"/>
        </w:rPr>
        <w:t>.</w:t>
      </w:r>
    </w:p>
    <w:p w14:paraId="0E1FEA78" w14:textId="790092B2" w:rsidR="00F276BC" w:rsidRPr="009C19C5" w:rsidRDefault="000A0E4E" w:rsidP="008D7F6B">
      <w:pPr>
        <w:pStyle w:val="ListParagraph"/>
        <w:numPr>
          <w:ilvl w:val="1"/>
          <w:numId w:val="36"/>
        </w:numPr>
        <w:tabs>
          <w:tab w:val="left" w:pos="810"/>
          <w:tab w:val="left" w:pos="990"/>
        </w:tabs>
        <w:autoSpaceDE w:val="0"/>
        <w:autoSpaceDN w:val="0"/>
        <w:adjustRightInd w:val="0"/>
        <w:spacing w:after="0" w:line="240" w:lineRule="auto"/>
        <w:ind w:firstLine="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Усавршавање професионалних вештина запослен</w:t>
      </w:r>
      <w:r w:rsidR="00A62656" w:rsidRPr="009C19C5">
        <w:rPr>
          <w:rFonts w:ascii="Times New Roman" w:hAnsi="Times New Roman" w:cs="Times New Roman"/>
          <w:sz w:val="24"/>
          <w:szCs w:val="24"/>
          <w:lang w:val="sr-Cyrl-RS"/>
        </w:rPr>
        <w:t>их</w:t>
      </w:r>
      <w:r w:rsidR="00594672" w:rsidRPr="009C19C5">
        <w:rPr>
          <w:rFonts w:ascii="Times New Roman" w:hAnsi="Times New Roman" w:cs="Times New Roman"/>
          <w:sz w:val="24"/>
          <w:szCs w:val="24"/>
          <w:lang w:val="sr-Cyrl-RS"/>
        </w:rPr>
        <w:t>.</w:t>
      </w:r>
    </w:p>
    <w:p w14:paraId="7972BACF" w14:textId="632AB8CE" w:rsidR="00F276BC" w:rsidRPr="009C19C5" w:rsidRDefault="000A0E4E" w:rsidP="008D7F6B">
      <w:pPr>
        <w:pStyle w:val="ListParagraph"/>
        <w:numPr>
          <w:ilvl w:val="1"/>
          <w:numId w:val="36"/>
        </w:numPr>
        <w:tabs>
          <w:tab w:val="left" w:pos="810"/>
          <w:tab w:val="left" w:pos="990"/>
        </w:tabs>
        <w:autoSpaceDE w:val="0"/>
        <w:autoSpaceDN w:val="0"/>
        <w:adjustRightInd w:val="0"/>
        <w:spacing w:after="0" w:line="240" w:lineRule="auto"/>
        <w:ind w:firstLine="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 xml:space="preserve">Побољшан приступ </w:t>
      </w:r>
      <w:r w:rsidR="00A62656" w:rsidRPr="009C19C5">
        <w:rPr>
          <w:rFonts w:ascii="Times New Roman" w:hAnsi="Times New Roman" w:cs="Times New Roman"/>
          <w:sz w:val="24"/>
          <w:szCs w:val="24"/>
          <w:lang w:val="sr-Cyrl-RS"/>
        </w:rPr>
        <w:t xml:space="preserve">превозу </w:t>
      </w:r>
      <w:r w:rsidRPr="009C19C5">
        <w:rPr>
          <w:rFonts w:ascii="Times New Roman" w:hAnsi="Times New Roman" w:cs="Times New Roman"/>
          <w:sz w:val="24"/>
          <w:szCs w:val="24"/>
          <w:lang w:val="sr-Cyrl-RS"/>
        </w:rPr>
        <w:t>до</w:t>
      </w:r>
      <w:r w:rsidR="00A62656" w:rsidRPr="009C19C5">
        <w:rPr>
          <w:rFonts w:ascii="Times New Roman" w:hAnsi="Times New Roman" w:cs="Times New Roman"/>
          <w:sz w:val="24"/>
          <w:szCs w:val="24"/>
          <w:lang w:val="sr-Cyrl-RS"/>
        </w:rPr>
        <w:t xml:space="preserve"> институција</w:t>
      </w:r>
      <w:r w:rsidRPr="009C19C5">
        <w:rPr>
          <w:rFonts w:ascii="Times New Roman" w:hAnsi="Times New Roman" w:cs="Times New Roman"/>
          <w:sz w:val="24"/>
          <w:szCs w:val="24"/>
          <w:lang w:val="sr-Cyrl-RS"/>
        </w:rPr>
        <w:t xml:space="preserve"> тржишта рада и предузећа</w:t>
      </w:r>
      <w:r w:rsidR="00594672" w:rsidRPr="009C19C5">
        <w:rPr>
          <w:rFonts w:ascii="Times New Roman" w:hAnsi="Times New Roman" w:cs="Times New Roman"/>
          <w:sz w:val="24"/>
          <w:szCs w:val="24"/>
          <w:lang w:val="sr-Cyrl-RS"/>
        </w:rPr>
        <w:t>.</w:t>
      </w:r>
    </w:p>
    <w:p w14:paraId="41758066" w14:textId="265813F6" w:rsidR="00F276BC" w:rsidRPr="009C19C5" w:rsidRDefault="000A0E4E" w:rsidP="008D7F6B">
      <w:pPr>
        <w:pStyle w:val="ListParagraph"/>
        <w:numPr>
          <w:ilvl w:val="1"/>
          <w:numId w:val="36"/>
        </w:numPr>
        <w:tabs>
          <w:tab w:val="left" w:pos="810"/>
          <w:tab w:val="left" w:pos="990"/>
        </w:tabs>
        <w:autoSpaceDE w:val="0"/>
        <w:autoSpaceDN w:val="0"/>
        <w:adjustRightInd w:val="0"/>
        <w:spacing w:after="0" w:line="240" w:lineRule="auto"/>
        <w:ind w:firstLine="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Побољшана дигитална повезаност за предузећа, центре за обуку и образовање</w:t>
      </w:r>
      <w:r w:rsidR="00594672" w:rsidRPr="009C19C5">
        <w:rPr>
          <w:rFonts w:ascii="Times New Roman" w:hAnsi="Times New Roman" w:cs="Times New Roman"/>
          <w:sz w:val="24"/>
          <w:szCs w:val="24"/>
          <w:lang w:val="sr-Cyrl-RS"/>
        </w:rPr>
        <w:t>.</w:t>
      </w:r>
      <w:r w:rsidRPr="009C19C5">
        <w:rPr>
          <w:rFonts w:ascii="Times New Roman" w:hAnsi="Times New Roman" w:cs="Times New Roman"/>
          <w:sz w:val="24"/>
          <w:szCs w:val="24"/>
          <w:lang w:val="sr-Cyrl-RS"/>
        </w:rPr>
        <w:t xml:space="preserve"> </w:t>
      </w:r>
    </w:p>
    <w:p w14:paraId="53CBA3CB" w14:textId="08709C59" w:rsidR="00F276BC" w:rsidRPr="009C19C5" w:rsidRDefault="000A0E4E" w:rsidP="008D7F6B">
      <w:pPr>
        <w:pStyle w:val="ListParagraph"/>
        <w:numPr>
          <w:ilvl w:val="1"/>
          <w:numId w:val="36"/>
        </w:numPr>
        <w:tabs>
          <w:tab w:val="left" w:pos="810"/>
          <w:tab w:val="left" w:pos="990"/>
        </w:tabs>
        <w:autoSpaceDE w:val="0"/>
        <w:autoSpaceDN w:val="0"/>
        <w:adjustRightInd w:val="0"/>
        <w:spacing w:after="0" w:line="240" w:lineRule="auto"/>
        <w:ind w:firstLine="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Унапређене установе за бригу о деци зарад подршке запосленим родитељима</w:t>
      </w:r>
      <w:r w:rsidR="00594672" w:rsidRPr="009C19C5">
        <w:rPr>
          <w:rFonts w:ascii="Times New Roman" w:hAnsi="Times New Roman" w:cs="Times New Roman"/>
          <w:sz w:val="24"/>
          <w:szCs w:val="24"/>
          <w:lang w:val="sr-Cyrl-RS"/>
        </w:rPr>
        <w:t>.</w:t>
      </w:r>
    </w:p>
    <w:p w14:paraId="35CC4FD8" w14:textId="77777777" w:rsidR="00594672" w:rsidRPr="009C19C5" w:rsidRDefault="00594672" w:rsidP="00594672">
      <w:pPr>
        <w:pStyle w:val="ListParagraph"/>
        <w:autoSpaceDE w:val="0"/>
        <w:autoSpaceDN w:val="0"/>
        <w:adjustRightInd w:val="0"/>
        <w:spacing w:after="0" w:line="240" w:lineRule="auto"/>
        <w:ind w:left="1080"/>
        <w:jc w:val="both"/>
        <w:rPr>
          <w:rFonts w:ascii="Times New Roman" w:hAnsi="Times New Roman" w:cs="Times New Roman"/>
          <w:sz w:val="24"/>
          <w:szCs w:val="24"/>
          <w:lang w:val="sr-Cyrl-RS"/>
        </w:rPr>
      </w:pPr>
    </w:p>
    <w:p w14:paraId="46577B50" w14:textId="20AAEB58" w:rsidR="00F276BC" w:rsidRPr="009C19C5" w:rsidRDefault="000A0E4E" w:rsidP="008D7F6B">
      <w:pPr>
        <w:pStyle w:val="ListParagraph"/>
        <w:numPr>
          <w:ilvl w:val="0"/>
          <w:numId w:val="37"/>
        </w:numPr>
        <w:tabs>
          <w:tab w:val="left" w:pos="900"/>
        </w:tabs>
        <w:autoSpaceDE w:val="0"/>
        <w:autoSpaceDN w:val="0"/>
        <w:adjustRightInd w:val="0"/>
        <w:spacing w:after="0" w:line="240" w:lineRule="auto"/>
        <w:ind w:left="90" w:firstLine="630"/>
        <w:jc w:val="both"/>
        <w:rPr>
          <w:rFonts w:ascii="Times New Roman" w:hAnsi="Times New Roman" w:cs="Times New Roman"/>
          <w:sz w:val="24"/>
          <w:szCs w:val="24"/>
          <w:lang w:val="sr-Cyrl-RS"/>
        </w:rPr>
      </w:pPr>
      <w:r w:rsidRPr="009C19C5">
        <w:rPr>
          <w:rFonts w:ascii="Times New Roman" w:hAnsi="Times New Roman" w:cs="Times New Roman"/>
          <w:bCs/>
          <w:sz w:val="24"/>
          <w:szCs w:val="24"/>
          <w:lang w:val="sr-Cyrl-RS"/>
        </w:rPr>
        <w:t xml:space="preserve">Побољшање усклађености између понуде вештина и </w:t>
      </w:r>
      <w:r w:rsidR="00A62656" w:rsidRPr="009C19C5">
        <w:rPr>
          <w:rFonts w:ascii="Times New Roman" w:hAnsi="Times New Roman" w:cs="Times New Roman"/>
          <w:bCs/>
          <w:sz w:val="24"/>
          <w:szCs w:val="24"/>
          <w:lang w:val="sr-Cyrl-RS"/>
        </w:rPr>
        <w:t xml:space="preserve">тражње </w:t>
      </w:r>
      <w:r w:rsidRPr="009C19C5">
        <w:rPr>
          <w:rFonts w:ascii="Times New Roman" w:hAnsi="Times New Roman" w:cs="Times New Roman"/>
          <w:bCs/>
          <w:sz w:val="24"/>
          <w:szCs w:val="24"/>
          <w:lang w:val="sr-Cyrl-RS"/>
        </w:rPr>
        <w:t xml:space="preserve">за индустријским вештинама </w:t>
      </w:r>
      <w:r w:rsidRPr="009C19C5">
        <w:rPr>
          <w:rFonts w:ascii="Times New Roman" w:hAnsi="Times New Roman" w:cs="Times New Roman"/>
          <w:sz w:val="24"/>
          <w:szCs w:val="24"/>
          <w:lang w:val="sr-Cyrl-RS"/>
        </w:rPr>
        <w:t>кроз одлуке о инфраструктури које подржавају погођене територије, путем</w:t>
      </w:r>
      <w:r w:rsidR="00A62656" w:rsidRPr="009C19C5">
        <w:rPr>
          <w:rFonts w:ascii="Times New Roman" w:hAnsi="Times New Roman" w:cs="Times New Roman"/>
          <w:sz w:val="24"/>
          <w:szCs w:val="24"/>
          <w:lang w:val="sr-Cyrl-RS"/>
        </w:rPr>
        <w:t>:</w:t>
      </w:r>
      <w:r w:rsidRPr="009C19C5">
        <w:rPr>
          <w:rFonts w:ascii="Times New Roman" w:hAnsi="Times New Roman" w:cs="Times New Roman"/>
          <w:sz w:val="24"/>
          <w:szCs w:val="24"/>
          <w:lang w:val="sr-Cyrl-RS"/>
        </w:rPr>
        <w:t xml:space="preserve">  </w:t>
      </w:r>
    </w:p>
    <w:p w14:paraId="25227A5D" w14:textId="57DD8C53" w:rsidR="00F276BC" w:rsidRPr="009C19C5" w:rsidRDefault="000A0E4E" w:rsidP="008D7F6B">
      <w:pPr>
        <w:pStyle w:val="ListParagraph"/>
        <w:numPr>
          <w:ilvl w:val="0"/>
          <w:numId w:val="38"/>
        </w:numPr>
        <w:tabs>
          <w:tab w:val="left" w:pos="360"/>
          <w:tab w:val="left" w:pos="990"/>
        </w:tabs>
        <w:autoSpaceDE w:val="0"/>
        <w:autoSpaceDN w:val="0"/>
        <w:adjustRightInd w:val="0"/>
        <w:spacing w:after="0" w:line="240" w:lineRule="auto"/>
        <w:ind w:left="90" w:firstLine="63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Побољшања приступа индустрије потребним сетовима вештина, као што је, на пример, побољшање понуде потребних локалних вештина путем адекватног локалног образовања или доступности понуђених вештина изван региона</w:t>
      </w:r>
      <w:r w:rsidR="00594672" w:rsidRPr="009C19C5">
        <w:rPr>
          <w:rFonts w:ascii="Times New Roman" w:hAnsi="Times New Roman" w:cs="Times New Roman"/>
          <w:sz w:val="24"/>
          <w:szCs w:val="24"/>
          <w:lang w:val="sr-Cyrl-RS"/>
        </w:rPr>
        <w:t>.</w:t>
      </w:r>
    </w:p>
    <w:p w14:paraId="36BD1482" w14:textId="31ABADBD" w:rsidR="00F276BC" w:rsidRPr="009C19C5" w:rsidRDefault="000A0E4E" w:rsidP="008D7F6B">
      <w:pPr>
        <w:pStyle w:val="ListParagraph"/>
        <w:numPr>
          <w:ilvl w:val="0"/>
          <w:numId w:val="38"/>
        </w:numPr>
        <w:tabs>
          <w:tab w:val="left" w:pos="360"/>
          <w:tab w:val="left" w:pos="990"/>
        </w:tabs>
        <w:autoSpaceDE w:val="0"/>
        <w:autoSpaceDN w:val="0"/>
        <w:adjustRightInd w:val="0"/>
        <w:spacing w:after="0" w:line="240" w:lineRule="auto"/>
        <w:ind w:left="0"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Стварања радних места и путева за локално становништво</w:t>
      </w:r>
      <w:r w:rsidR="00A62656" w:rsidRPr="009C19C5">
        <w:rPr>
          <w:rFonts w:ascii="Times New Roman" w:hAnsi="Times New Roman" w:cs="Times New Roman"/>
          <w:sz w:val="24"/>
          <w:szCs w:val="24"/>
          <w:lang w:val="sr-Cyrl-RS"/>
        </w:rPr>
        <w:t xml:space="preserve"> са нижим квалификацијама</w:t>
      </w:r>
      <w:r w:rsidRPr="009C19C5">
        <w:rPr>
          <w:rFonts w:ascii="Times New Roman" w:hAnsi="Times New Roman" w:cs="Times New Roman"/>
          <w:sz w:val="24"/>
          <w:szCs w:val="24"/>
          <w:lang w:val="sr-Cyrl-RS"/>
        </w:rPr>
        <w:t>, посебно у секторима који укључују технологије које стварају радна места и пружају младим људима вештине које се могу пренети на широк спектар послова (нпр. обновљиви извори енергије)</w:t>
      </w:r>
      <w:r w:rsidR="00594672" w:rsidRPr="009C19C5">
        <w:rPr>
          <w:rFonts w:ascii="Times New Roman" w:hAnsi="Times New Roman" w:cs="Times New Roman"/>
          <w:sz w:val="24"/>
          <w:szCs w:val="24"/>
          <w:lang w:val="sr-Cyrl-RS"/>
        </w:rPr>
        <w:t>.</w:t>
      </w:r>
    </w:p>
    <w:p w14:paraId="67D8C8E5" w14:textId="77777777" w:rsidR="00594672" w:rsidRPr="009C19C5" w:rsidRDefault="00594672" w:rsidP="00594672">
      <w:pPr>
        <w:pStyle w:val="ListParagraph"/>
        <w:autoSpaceDE w:val="0"/>
        <w:autoSpaceDN w:val="0"/>
        <w:adjustRightInd w:val="0"/>
        <w:spacing w:after="0" w:line="240" w:lineRule="auto"/>
        <w:jc w:val="both"/>
        <w:rPr>
          <w:rFonts w:ascii="Times New Roman" w:hAnsi="Times New Roman" w:cs="Times New Roman"/>
          <w:sz w:val="24"/>
          <w:szCs w:val="24"/>
          <w:lang w:val="sr-Cyrl-RS"/>
        </w:rPr>
      </w:pPr>
    </w:p>
    <w:p w14:paraId="0EC88716" w14:textId="0980549C" w:rsidR="00F276BC" w:rsidRPr="009C19C5" w:rsidRDefault="000A0E4E" w:rsidP="00B260A1">
      <w:pPr>
        <w:autoSpaceDE w:val="0"/>
        <w:autoSpaceDN w:val="0"/>
        <w:adjustRightInd w:val="0"/>
        <w:spacing w:after="0" w:line="240" w:lineRule="auto"/>
        <w:ind w:firstLine="720"/>
        <w:jc w:val="both"/>
        <w:rPr>
          <w:rFonts w:ascii="Times New Roman" w:hAnsi="Times New Roman" w:cs="Times New Roman"/>
          <w:bCs/>
          <w:sz w:val="24"/>
          <w:szCs w:val="24"/>
          <w:lang w:val="sr-Cyrl-RS"/>
        </w:rPr>
      </w:pPr>
      <w:r w:rsidRPr="009C19C5">
        <w:rPr>
          <w:rFonts w:ascii="Times New Roman" w:hAnsi="Times New Roman" w:cs="Times New Roman"/>
          <w:bCs/>
          <w:sz w:val="24"/>
          <w:szCs w:val="24"/>
          <w:lang w:val="sr-Cyrl-RS"/>
        </w:rPr>
        <w:t xml:space="preserve">Б2. </w:t>
      </w:r>
      <w:r w:rsidR="00A62656" w:rsidRPr="009C19C5">
        <w:rPr>
          <w:rFonts w:ascii="Times New Roman" w:hAnsi="Times New Roman" w:cs="Times New Roman"/>
          <w:bCs/>
          <w:sz w:val="24"/>
          <w:szCs w:val="24"/>
          <w:lang w:val="sr-Cyrl-RS"/>
        </w:rPr>
        <w:t xml:space="preserve">Побољшање </w:t>
      </w:r>
      <w:r w:rsidRPr="009C19C5">
        <w:rPr>
          <w:rFonts w:ascii="Times New Roman" w:hAnsi="Times New Roman" w:cs="Times New Roman"/>
          <w:bCs/>
          <w:sz w:val="24"/>
          <w:szCs w:val="24"/>
          <w:lang w:val="sr-Cyrl-RS"/>
        </w:rPr>
        <w:t xml:space="preserve">исхода образовања/обуке </w:t>
      </w:r>
      <w:r w:rsidRPr="009C19C5">
        <w:rPr>
          <w:rFonts w:ascii="Times New Roman" w:hAnsi="Times New Roman" w:cs="Times New Roman"/>
          <w:sz w:val="24"/>
          <w:szCs w:val="24"/>
          <w:lang w:val="sr-Cyrl-RS"/>
        </w:rPr>
        <w:t>путем</w:t>
      </w:r>
      <w:r w:rsidRPr="009C19C5">
        <w:rPr>
          <w:rFonts w:ascii="Times New Roman" w:hAnsi="Times New Roman" w:cs="Times New Roman"/>
          <w:bCs/>
          <w:sz w:val="24"/>
          <w:szCs w:val="24"/>
          <w:lang w:val="sr-Cyrl-RS"/>
        </w:rPr>
        <w:t xml:space="preserve">: </w:t>
      </w:r>
    </w:p>
    <w:p w14:paraId="6AB8EEE8" w14:textId="77777777" w:rsidR="00594672" w:rsidRPr="009C19C5" w:rsidRDefault="00594672" w:rsidP="006255BB">
      <w:pPr>
        <w:autoSpaceDE w:val="0"/>
        <w:autoSpaceDN w:val="0"/>
        <w:adjustRightInd w:val="0"/>
        <w:spacing w:after="0" w:line="240" w:lineRule="auto"/>
        <w:jc w:val="both"/>
        <w:rPr>
          <w:rFonts w:ascii="Times New Roman" w:hAnsi="Times New Roman" w:cs="Times New Roman"/>
          <w:bCs/>
          <w:sz w:val="24"/>
          <w:szCs w:val="24"/>
          <w:lang w:val="sr-Cyrl-RS"/>
        </w:rPr>
      </w:pPr>
    </w:p>
    <w:p w14:paraId="3DF311E3" w14:textId="3753012D" w:rsidR="00F276BC" w:rsidRPr="009C19C5" w:rsidRDefault="000A0E4E" w:rsidP="008D7F6B">
      <w:pPr>
        <w:pStyle w:val="ListParagraph"/>
        <w:numPr>
          <w:ilvl w:val="0"/>
          <w:numId w:val="39"/>
        </w:numPr>
        <w:tabs>
          <w:tab w:val="left" w:pos="540"/>
          <w:tab w:val="left" w:pos="900"/>
        </w:tabs>
        <w:autoSpaceDE w:val="0"/>
        <w:autoSpaceDN w:val="0"/>
        <w:adjustRightInd w:val="0"/>
        <w:spacing w:after="0" w:line="240" w:lineRule="auto"/>
        <w:ind w:left="0" w:firstLine="81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 xml:space="preserve">Побољшаног приступа целоживотном учењу, </w:t>
      </w:r>
      <w:r w:rsidRPr="009C19C5">
        <w:rPr>
          <w:rFonts w:ascii="Times New Roman" w:hAnsi="Times New Roman" w:cs="Times New Roman"/>
          <w:bCs/>
          <w:sz w:val="24"/>
          <w:szCs w:val="24"/>
          <w:lang w:val="sr-Cyrl-RS"/>
        </w:rPr>
        <w:t>професионалном и терцијалном усавршавању, имајући у виду активности (инфраструктур</w:t>
      </w:r>
      <w:r w:rsidR="00A62656" w:rsidRPr="009C19C5">
        <w:rPr>
          <w:rFonts w:ascii="Times New Roman" w:hAnsi="Times New Roman" w:cs="Times New Roman"/>
          <w:bCs/>
          <w:sz w:val="24"/>
          <w:szCs w:val="24"/>
          <w:lang w:val="sr-Cyrl-RS"/>
        </w:rPr>
        <w:t>н</w:t>
      </w:r>
      <w:r w:rsidRPr="009C19C5">
        <w:rPr>
          <w:rFonts w:ascii="Times New Roman" w:hAnsi="Times New Roman" w:cs="Times New Roman"/>
          <w:bCs/>
          <w:sz w:val="24"/>
          <w:szCs w:val="24"/>
          <w:lang w:val="sr-Cyrl-RS"/>
        </w:rPr>
        <w:t>е и нематеријалне интервенције) које имају за циљ:</w:t>
      </w:r>
    </w:p>
    <w:p w14:paraId="31020277" w14:textId="08CEED81" w:rsidR="00F276BC" w:rsidRPr="009C19C5" w:rsidRDefault="000A0E4E" w:rsidP="008D7F6B">
      <w:pPr>
        <w:pStyle w:val="ListParagraph"/>
        <w:numPr>
          <w:ilvl w:val="0"/>
          <w:numId w:val="40"/>
        </w:numPr>
        <w:tabs>
          <w:tab w:val="left" w:pos="540"/>
          <w:tab w:val="left" w:pos="990"/>
          <w:tab w:val="left" w:pos="1080"/>
        </w:tabs>
        <w:autoSpaceDE w:val="0"/>
        <w:autoSpaceDN w:val="0"/>
        <w:adjustRightInd w:val="0"/>
        <w:spacing w:after="0" w:line="240" w:lineRule="auto"/>
        <w:ind w:left="0" w:firstLine="81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 xml:space="preserve">Побољшан приступ </w:t>
      </w:r>
      <w:r w:rsidR="00A62656" w:rsidRPr="009C19C5">
        <w:rPr>
          <w:rFonts w:ascii="Times New Roman" w:hAnsi="Times New Roman" w:cs="Times New Roman"/>
          <w:sz w:val="24"/>
          <w:szCs w:val="24"/>
          <w:lang w:val="sr-Cyrl-RS"/>
        </w:rPr>
        <w:t xml:space="preserve">превозу </w:t>
      </w:r>
      <w:r w:rsidRPr="009C19C5">
        <w:rPr>
          <w:rFonts w:ascii="Times New Roman" w:hAnsi="Times New Roman" w:cs="Times New Roman"/>
          <w:sz w:val="24"/>
          <w:szCs w:val="24"/>
          <w:lang w:val="sr-Cyrl-RS"/>
        </w:rPr>
        <w:t>радн</w:t>
      </w:r>
      <w:r w:rsidR="00A62656" w:rsidRPr="009C19C5">
        <w:rPr>
          <w:rFonts w:ascii="Times New Roman" w:hAnsi="Times New Roman" w:cs="Times New Roman"/>
          <w:sz w:val="24"/>
          <w:szCs w:val="24"/>
          <w:lang w:val="sr-Cyrl-RS"/>
        </w:rPr>
        <w:t xml:space="preserve">ика </w:t>
      </w:r>
      <w:r w:rsidRPr="009C19C5">
        <w:rPr>
          <w:rFonts w:ascii="Times New Roman" w:hAnsi="Times New Roman" w:cs="Times New Roman"/>
          <w:sz w:val="24"/>
          <w:szCs w:val="24"/>
          <w:lang w:val="sr-Cyrl-RS"/>
        </w:rPr>
        <w:t>и студената до места које пружају могућности за целоживотно учење, професионално и терцијарно усавршавање</w:t>
      </w:r>
      <w:r w:rsidR="004B08C1" w:rsidRPr="009C19C5">
        <w:rPr>
          <w:rFonts w:ascii="Times New Roman" w:hAnsi="Times New Roman" w:cs="Times New Roman"/>
          <w:sz w:val="24"/>
          <w:szCs w:val="24"/>
          <w:lang w:val="sr-Cyrl-RS"/>
        </w:rPr>
        <w:t>.</w:t>
      </w:r>
    </w:p>
    <w:p w14:paraId="35255045" w14:textId="057A3307" w:rsidR="00F276BC" w:rsidRPr="009C19C5" w:rsidRDefault="000A0E4E" w:rsidP="008D7F6B">
      <w:pPr>
        <w:pStyle w:val="ListParagraph"/>
        <w:numPr>
          <w:ilvl w:val="0"/>
          <w:numId w:val="40"/>
        </w:numPr>
        <w:tabs>
          <w:tab w:val="left" w:pos="540"/>
          <w:tab w:val="left" w:pos="990"/>
          <w:tab w:val="left" w:pos="1080"/>
        </w:tabs>
        <w:autoSpaceDE w:val="0"/>
        <w:autoSpaceDN w:val="0"/>
        <w:adjustRightInd w:val="0"/>
        <w:spacing w:after="0" w:line="240" w:lineRule="auto"/>
        <w:ind w:left="0" w:firstLine="81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Побољшан приступ целоживотном учењу, професионалном и терцијарном усавршавању кроз побољшану дигиталну повезаност</w:t>
      </w:r>
      <w:r w:rsidR="004B08C1" w:rsidRPr="009C19C5">
        <w:rPr>
          <w:rFonts w:ascii="Times New Roman" w:hAnsi="Times New Roman" w:cs="Times New Roman"/>
          <w:sz w:val="24"/>
          <w:szCs w:val="24"/>
          <w:lang w:val="sr-Cyrl-RS"/>
        </w:rPr>
        <w:t>.</w:t>
      </w:r>
      <w:r w:rsidRPr="009C19C5">
        <w:rPr>
          <w:rFonts w:ascii="Times New Roman" w:hAnsi="Times New Roman" w:cs="Times New Roman"/>
          <w:sz w:val="24"/>
          <w:szCs w:val="24"/>
          <w:lang w:val="sr-Cyrl-RS"/>
        </w:rPr>
        <w:t xml:space="preserve"> </w:t>
      </w:r>
    </w:p>
    <w:p w14:paraId="73853404" w14:textId="3C0439C2" w:rsidR="00F276BC" w:rsidRPr="009C19C5" w:rsidRDefault="000A0E4E" w:rsidP="008D7F6B">
      <w:pPr>
        <w:pStyle w:val="ListParagraph"/>
        <w:numPr>
          <w:ilvl w:val="0"/>
          <w:numId w:val="40"/>
        </w:numPr>
        <w:tabs>
          <w:tab w:val="left" w:pos="540"/>
          <w:tab w:val="left" w:pos="990"/>
          <w:tab w:val="left" w:pos="1080"/>
        </w:tabs>
        <w:autoSpaceDE w:val="0"/>
        <w:autoSpaceDN w:val="0"/>
        <w:adjustRightInd w:val="0"/>
        <w:spacing w:after="0" w:line="240" w:lineRule="auto"/>
        <w:ind w:left="0" w:firstLine="81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Унапређено целоживотно учење, професионално и терцијарно усавршавање кроз обезбеђивање интегрисаних и паметних објеката, као и нових и унапређених објеката како би се прилагодили одређеној сврси</w:t>
      </w:r>
      <w:r w:rsidR="004B08C1" w:rsidRPr="009C19C5">
        <w:rPr>
          <w:rFonts w:ascii="Times New Roman" w:hAnsi="Times New Roman" w:cs="Times New Roman"/>
          <w:sz w:val="24"/>
          <w:szCs w:val="24"/>
          <w:lang w:val="sr-Cyrl-RS"/>
        </w:rPr>
        <w:t>.</w:t>
      </w:r>
    </w:p>
    <w:p w14:paraId="58296C32" w14:textId="1584E990" w:rsidR="00F276BC" w:rsidRPr="009C19C5" w:rsidRDefault="000A0E4E" w:rsidP="008D7F6B">
      <w:pPr>
        <w:pStyle w:val="ListParagraph"/>
        <w:numPr>
          <w:ilvl w:val="0"/>
          <w:numId w:val="39"/>
        </w:numPr>
        <w:tabs>
          <w:tab w:val="left" w:pos="990"/>
        </w:tabs>
        <w:autoSpaceDE w:val="0"/>
        <w:autoSpaceDN w:val="0"/>
        <w:adjustRightInd w:val="0"/>
        <w:spacing w:after="0" w:line="240" w:lineRule="auto"/>
        <w:ind w:left="0" w:firstLine="810"/>
        <w:jc w:val="both"/>
        <w:rPr>
          <w:rFonts w:ascii="Times New Roman" w:hAnsi="Times New Roman" w:cs="Times New Roman"/>
          <w:bCs/>
          <w:sz w:val="24"/>
          <w:szCs w:val="24"/>
          <w:lang w:val="sr-Cyrl-RS"/>
        </w:rPr>
      </w:pPr>
      <w:r w:rsidRPr="009C19C5">
        <w:rPr>
          <w:rFonts w:ascii="Times New Roman" w:hAnsi="Times New Roman" w:cs="Times New Roman"/>
          <w:bCs/>
          <w:sz w:val="24"/>
          <w:szCs w:val="24"/>
          <w:lang w:val="sr-Cyrl-RS"/>
        </w:rPr>
        <w:t>Побољшан приступ здравственим и социјалним услугама, имајући у виду активности (инфраструктур</w:t>
      </w:r>
      <w:r w:rsidR="00A62656" w:rsidRPr="009C19C5">
        <w:rPr>
          <w:rFonts w:ascii="Times New Roman" w:hAnsi="Times New Roman" w:cs="Times New Roman"/>
          <w:bCs/>
          <w:sz w:val="24"/>
          <w:szCs w:val="24"/>
          <w:lang w:val="sr-Cyrl-RS"/>
        </w:rPr>
        <w:t>н</w:t>
      </w:r>
      <w:r w:rsidRPr="009C19C5">
        <w:rPr>
          <w:rFonts w:ascii="Times New Roman" w:hAnsi="Times New Roman" w:cs="Times New Roman"/>
          <w:bCs/>
          <w:sz w:val="24"/>
          <w:szCs w:val="24"/>
          <w:lang w:val="sr-Cyrl-RS"/>
        </w:rPr>
        <w:t xml:space="preserve">е и нематеријалне интервенције) које имају за циљ: </w:t>
      </w:r>
    </w:p>
    <w:p w14:paraId="4828A5FC" w14:textId="32ECC3AF" w:rsidR="00F276BC" w:rsidRPr="009C19C5" w:rsidRDefault="000A0E4E" w:rsidP="008D7F6B">
      <w:pPr>
        <w:pStyle w:val="ListParagraph"/>
        <w:numPr>
          <w:ilvl w:val="1"/>
          <w:numId w:val="41"/>
        </w:numPr>
        <w:tabs>
          <w:tab w:val="left" w:pos="990"/>
          <w:tab w:val="left" w:pos="1170"/>
          <w:tab w:val="left" w:pos="1350"/>
        </w:tabs>
        <w:autoSpaceDE w:val="0"/>
        <w:autoSpaceDN w:val="0"/>
        <w:adjustRightInd w:val="0"/>
        <w:spacing w:after="0" w:line="240" w:lineRule="auto"/>
        <w:ind w:left="0" w:firstLine="90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Побољшање приступа превозу за групе у неповољном положају (старе особе, особе са инвалидитетом, мајке, деца итд.), приступ здравственим и социјалним услугама</w:t>
      </w:r>
      <w:r w:rsidR="004B08C1" w:rsidRPr="009C19C5">
        <w:rPr>
          <w:rFonts w:ascii="Times New Roman" w:hAnsi="Times New Roman" w:cs="Times New Roman"/>
          <w:sz w:val="24"/>
          <w:szCs w:val="24"/>
          <w:lang w:val="sr-Cyrl-RS"/>
        </w:rPr>
        <w:t>.</w:t>
      </w:r>
    </w:p>
    <w:p w14:paraId="5A749CFF" w14:textId="401BEED6" w:rsidR="00F276BC" w:rsidRPr="009C19C5" w:rsidRDefault="000A0E4E" w:rsidP="008D7F6B">
      <w:pPr>
        <w:pStyle w:val="ListParagraph"/>
        <w:numPr>
          <w:ilvl w:val="1"/>
          <w:numId w:val="41"/>
        </w:numPr>
        <w:tabs>
          <w:tab w:val="left" w:pos="990"/>
          <w:tab w:val="left" w:pos="1170"/>
          <w:tab w:val="left" w:pos="1350"/>
        </w:tabs>
        <w:autoSpaceDE w:val="0"/>
        <w:autoSpaceDN w:val="0"/>
        <w:adjustRightInd w:val="0"/>
        <w:spacing w:after="0" w:line="240" w:lineRule="auto"/>
        <w:ind w:left="0" w:firstLine="90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lastRenderedPageBreak/>
        <w:t>Побољшање дигиталног приступа здравственим и социјалним услугама за људе који живе на погођеним територијама</w:t>
      </w:r>
      <w:r w:rsidR="004B08C1" w:rsidRPr="009C19C5">
        <w:rPr>
          <w:rFonts w:ascii="Times New Roman" w:hAnsi="Times New Roman" w:cs="Times New Roman"/>
          <w:sz w:val="24"/>
          <w:szCs w:val="24"/>
          <w:lang w:val="sr-Cyrl-RS"/>
        </w:rPr>
        <w:t>.</w:t>
      </w:r>
    </w:p>
    <w:p w14:paraId="46B7C46B" w14:textId="556C2A9D" w:rsidR="00F276BC" w:rsidRPr="009C19C5" w:rsidRDefault="000A0E4E" w:rsidP="008D7F6B">
      <w:pPr>
        <w:pStyle w:val="ListParagraph"/>
        <w:numPr>
          <w:ilvl w:val="1"/>
          <w:numId w:val="41"/>
        </w:numPr>
        <w:tabs>
          <w:tab w:val="left" w:pos="990"/>
          <w:tab w:val="left" w:pos="1170"/>
          <w:tab w:val="left" w:pos="1350"/>
        </w:tabs>
        <w:autoSpaceDE w:val="0"/>
        <w:autoSpaceDN w:val="0"/>
        <w:adjustRightInd w:val="0"/>
        <w:spacing w:after="0" w:line="240" w:lineRule="auto"/>
        <w:ind w:left="0" w:firstLine="90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Побољшање приступа здравственим и социјалним услугама кроз обезбеђивање интегрисаних и паметних објеката, као и кроз прилагођавање постојећих објеката сврси</w:t>
      </w:r>
      <w:r w:rsidR="00594672" w:rsidRPr="009C19C5">
        <w:rPr>
          <w:rFonts w:ascii="Times New Roman" w:hAnsi="Times New Roman" w:cs="Times New Roman"/>
          <w:sz w:val="24"/>
          <w:szCs w:val="24"/>
          <w:lang w:val="sr-Cyrl-RS"/>
        </w:rPr>
        <w:t>.</w:t>
      </w:r>
    </w:p>
    <w:p w14:paraId="60492380" w14:textId="77777777" w:rsidR="00023E2C" w:rsidRPr="009C19C5" w:rsidRDefault="00023E2C" w:rsidP="004B08C1">
      <w:pPr>
        <w:pStyle w:val="ListParagraph"/>
        <w:autoSpaceDE w:val="0"/>
        <w:autoSpaceDN w:val="0"/>
        <w:adjustRightInd w:val="0"/>
        <w:spacing w:after="0" w:line="240" w:lineRule="auto"/>
        <w:jc w:val="both"/>
        <w:rPr>
          <w:rFonts w:ascii="Times New Roman" w:hAnsi="Times New Roman" w:cs="Times New Roman"/>
          <w:sz w:val="24"/>
          <w:szCs w:val="24"/>
          <w:lang w:val="sr-Cyrl-RS"/>
        </w:rPr>
      </w:pPr>
    </w:p>
    <w:p w14:paraId="2C6B7313" w14:textId="2C53484D" w:rsidR="00F276BC" w:rsidRPr="009C19C5" w:rsidRDefault="00506BA6" w:rsidP="00CE4D4A">
      <w:pPr>
        <w:pStyle w:val="ListParagraph"/>
        <w:numPr>
          <w:ilvl w:val="0"/>
          <w:numId w:val="3"/>
        </w:numPr>
        <w:tabs>
          <w:tab w:val="left" w:pos="360"/>
          <w:tab w:val="left" w:pos="1170"/>
        </w:tabs>
        <w:autoSpaceDE w:val="0"/>
        <w:autoSpaceDN w:val="0"/>
        <w:adjustRightInd w:val="0"/>
        <w:spacing w:after="0" w:line="240" w:lineRule="auto"/>
        <w:ind w:left="90" w:firstLine="810"/>
        <w:jc w:val="both"/>
        <w:rPr>
          <w:rFonts w:ascii="Times New Roman" w:hAnsi="Times New Roman" w:cs="Times New Roman"/>
          <w:bCs/>
          <w:sz w:val="24"/>
          <w:szCs w:val="24"/>
          <w:lang w:val="sr-Cyrl-RS"/>
        </w:rPr>
      </w:pPr>
      <w:r w:rsidRPr="009C19C5">
        <w:rPr>
          <w:rFonts w:ascii="Times New Roman" w:hAnsi="Times New Roman" w:cs="Times New Roman"/>
          <w:bCs/>
          <w:sz w:val="24"/>
          <w:szCs w:val="24"/>
          <w:lang w:val="sr-Cyrl-RS"/>
        </w:rPr>
        <w:t>Р</w:t>
      </w:r>
      <w:r w:rsidR="000A0E4E" w:rsidRPr="009C19C5">
        <w:rPr>
          <w:rFonts w:ascii="Times New Roman" w:hAnsi="Times New Roman" w:cs="Times New Roman"/>
          <w:bCs/>
          <w:sz w:val="24"/>
          <w:szCs w:val="24"/>
          <w:lang w:val="sr-Cyrl-RS"/>
        </w:rPr>
        <w:t>егионалне економске диверзификације</w:t>
      </w:r>
      <w:r w:rsidR="000A0E4E" w:rsidRPr="009C19C5">
        <w:rPr>
          <w:rFonts w:ascii="Times New Roman" w:hAnsi="Times New Roman" w:cs="Times New Roman"/>
          <w:sz w:val="24"/>
          <w:szCs w:val="24"/>
          <w:lang w:val="sr-Cyrl-RS"/>
        </w:rPr>
        <w:t xml:space="preserve">, </w:t>
      </w:r>
      <w:r w:rsidRPr="009C19C5">
        <w:rPr>
          <w:rFonts w:ascii="Times New Roman" w:hAnsi="Times New Roman" w:cs="Times New Roman"/>
          <w:sz w:val="24"/>
          <w:szCs w:val="24"/>
          <w:lang w:val="sr-Cyrl-RS"/>
        </w:rPr>
        <w:t xml:space="preserve">где се </w:t>
      </w:r>
      <w:r w:rsidR="000A0E4E" w:rsidRPr="009C19C5">
        <w:rPr>
          <w:rFonts w:ascii="Times New Roman" w:hAnsi="Times New Roman" w:cs="Times New Roman"/>
          <w:sz w:val="24"/>
          <w:szCs w:val="24"/>
          <w:lang w:val="sr-Cyrl-RS"/>
        </w:rPr>
        <w:t>циљеви за процену потреба за инфраструктур</w:t>
      </w:r>
      <w:r w:rsidR="00A62656" w:rsidRPr="009C19C5">
        <w:rPr>
          <w:rFonts w:ascii="Times New Roman" w:hAnsi="Times New Roman" w:cs="Times New Roman"/>
          <w:sz w:val="24"/>
          <w:szCs w:val="24"/>
          <w:lang w:val="sr-Cyrl-RS"/>
        </w:rPr>
        <w:t>о</w:t>
      </w:r>
      <w:r w:rsidR="000A0E4E" w:rsidRPr="009C19C5">
        <w:rPr>
          <w:rFonts w:ascii="Times New Roman" w:hAnsi="Times New Roman" w:cs="Times New Roman"/>
          <w:sz w:val="24"/>
          <w:szCs w:val="24"/>
          <w:lang w:val="sr-Cyrl-RS"/>
        </w:rPr>
        <w:t>м и нематеријалним интервенцијама и активностима потребним за њихово извођење фокусира</w:t>
      </w:r>
      <w:r w:rsidRPr="009C19C5">
        <w:rPr>
          <w:rFonts w:ascii="Times New Roman" w:hAnsi="Times New Roman" w:cs="Times New Roman"/>
          <w:sz w:val="24"/>
          <w:szCs w:val="24"/>
          <w:lang w:val="sr-Cyrl-RS"/>
        </w:rPr>
        <w:t>ју</w:t>
      </w:r>
      <w:r w:rsidR="000A0E4E" w:rsidRPr="009C19C5">
        <w:rPr>
          <w:rFonts w:ascii="Times New Roman" w:hAnsi="Times New Roman" w:cs="Times New Roman"/>
          <w:sz w:val="24"/>
          <w:szCs w:val="24"/>
          <w:lang w:val="sr-Cyrl-RS"/>
        </w:rPr>
        <w:t xml:space="preserve"> на: </w:t>
      </w:r>
    </w:p>
    <w:p w14:paraId="312A6F7A" w14:textId="77777777" w:rsidR="00F276BC" w:rsidRPr="009C19C5" w:rsidRDefault="000A0E4E" w:rsidP="008D7F6B">
      <w:pPr>
        <w:pStyle w:val="ListParagraph"/>
        <w:numPr>
          <w:ilvl w:val="0"/>
          <w:numId w:val="42"/>
        </w:numPr>
        <w:tabs>
          <w:tab w:val="left" w:pos="1170"/>
        </w:tabs>
        <w:autoSpaceDE w:val="0"/>
        <w:autoSpaceDN w:val="0"/>
        <w:adjustRightInd w:val="0"/>
        <w:spacing w:after="0" w:line="240" w:lineRule="auto"/>
        <w:ind w:left="90" w:firstLine="810"/>
        <w:jc w:val="both"/>
        <w:rPr>
          <w:rFonts w:ascii="Times New Roman" w:hAnsi="Times New Roman" w:cs="Times New Roman"/>
          <w:bCs/>
          <w:sz w:val="24"/>
          <w:szCs w:val="24"/>
          <w:lang w:val="sr-Cyrl-RS"/>
        </w:rPr>
      </w:pPr>
      <w:r w:rsidRPr="009C19C5">
        <w:rPr>
          <w:rFonts w:ascii="Times New Roman" w:hAnsi="Times New Roman" w:cs="Times New Roman"/>
          <w:bCs/>
          <w:sz w:val="24"/>
          <w:szCs w:val="24"/>
          <w:lang w:val="sr-Cyrl-RS"/>
        </w:rPr>
        <w:t xml:space="preserve">Обезбеђивање веће продуктивности и ефикасности погођеним територијама, </w:t>
      </w:r>
      <w:r w:rsidRPr="009C19C5">
        <w:rPr>
          <w:rFonts w:ascii="Times New Roman" w:hAnsi="Times New Roman" w:cs="Times New Roman"/>
          <w:sz w:val="24"/>
          <w:szCs w:val="24"/>
          <w:lang w:val="sr-Cyrl-RS"/>
        </w:rPr>
        <w:t>укључујући и испитивање активности које:</w:t>
      </w:r>
      <w:r w:rsidRPr="009C19C5">
        <w:rPr>
          <w:rFonts w:ascii="Times New Roman" w:hAnsi="Times New Roman" w:cs="Times New Roman"/>
          <w:bCs/>
          <w:sz w:val="24"/>
          <w:szCs w:val="24"/>
          <w:lang w:val="sr-Cyrl-RS"/>
        </w:rPr>
        <w:t xml:space="preserve">  </w:t>
      </w:r>
    </w:p>
    <w:p w14:paraId="4403716A" w14:textId="24B751E1" w:rsidR="00F276BC" w:rsidRPr="009C19C5" w:rsidRDefault="000A0E4E" w:rsidP="008D7F6B">
      <w:pPr>
        <w:pStyle w:val="ListParagraph"/>
        <w:numPr>
          <w:ilvl w:val="0"/>
          <w:numId w:val="43"/>
        </w:numPr>
        <w:tabs>
          <w:tab w:val="left" w:pos="1170"/>
        </w:tabs>
        <w:autoSpaceDE w:val="0"/>
        <w:autoSpaceDN w:val="0"/>
        <w:adjustRightInd w:val="0"/>
        <w:spacing w:after="0" w:line="240" w:lineRule="auto"/>
        <w:ind w:left="90" w:firstLine="81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 xml:space="preserve">Побољшавају рад предузећа и ефикасност производње (на пример, коришћењем </w:t>
      </w:r>
      <w:r w:rsidR="00A62656" w:rsidRPr="009C19C5">
        <w:rPr>
          <w:rFonts w:ascii="Times New Roman" w:hAnsi="Times New Roman" w:cs="Times New Roman"/>
          <w:sz w:val="24"/>
          <w:szCs w:val="24"/>
          <w:lang w:val="sr-Cyrl-RS"/>
        </w:rPr>
        <w:t xml:space="preserve">усвајања </w:t>
      </w:r>
      <w:r w:rsidRPr="009C19C5">
        <w:rPr>
          <w:rFonts w:ascii="Times New Roman" w:hAnsi="Times New Roman" w:cs="Times New Roman"/>
          <w:sz w:val="24"/>
          <w:szCs w:val="24"/>
          <w:lang w:val="sr-Cyrl-RS"/>
        </w:rPr>
        <w:t>техноло</w:t>
      </w:r>
      <w:r w:rsidR="00A62656" w:rsidRPr="009C19C5">
        <w:rPr>
          <w:rFonts w:ascii="Times New Roman" w:hAnsi="Times New Roman" w:cs="Times New Roman"/>
          <w:sz w:val="24"/>
          <w:szCs w:val="24"/>
          <w:lang w:val="sr-Cyrl-RS"/>
        </w:rPr>
        <w:t>гија</w:t>
      </w:r>
      <w:r w:rsidRPr="009C19C5">
        <w:rPr>
          <w:rFonts w:ascii="Times New Roman" w:hAnsi="Times New Roman" w:cs="Times New Roman"/>
          <w:sz w:val="24"/>
          <w:szCs w:val="24"/>
          <w:lang w:val="sr-Cyrl-RS"/>
        </w:rPr>
        <w:t xml:space="preserve"> и комплементарних фактора производње (нпр. вештина), побољшањем производних/оперативних процеса и испитивањем могућности за подизање ефикасности ланаца вредности за индустрије ланца снабдевања, као што је смањење трошкова транспорта и повезаност између индустрија и њиховог ланца снабдевања)</w:t>
      </w:r>
      <w:r w:rsidR="004B08C1" w:rsidRPr="009C19C5">
        <w:rPr>
          <w:rFonts w:ascii="Times New Roman" w:hAnsi="Times New Roman" w:cs="Times New Roman"/>
          <w:sz w:val="24"/>
          <w:szCs w:val="24"/>
          <w:lang w:val="sr-Cyrl-RS"/>
        </w:rPr>
        <w:t>.</w:t>
      </w:r>
    </w:p>
    <w:p w14:paraId="5322BE08" w14:textId="77777777" w:rsidR="00F276BC" w:rsidRPr="009C19C5" w:rsidRDefault="000A0E4E" w:rsidP="008D7F6B">
      <w:pPr>
        <w:pStyle w:val="ListParagraph"/>
        <w:numPr>
          <w:ilvl w:val="0"/>
          <w:numId w:val="43"/>
        </w:numPr>
        <w:tabs>
          <w:tab w:val="left" w:pos="1170"/>
        </w:tabs>
        <w:autoSpaceDE w:val="0"/>
        <w:autoSpaceDN w:val="0"/>
        <w:adjustRightInd w:val="0"/>
        <w:spacing w:after="0" w:line="240" w:lineRule="auto"/>
        <w:ind w:left="90" w:firstLine="81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Промовишу већу продуктивност и ефикасност оптимизацијом коришћења земљишта и олакшавањем оснивања предузећа и њихове међусобне сарадње.</w:t>
      </w:r>
    </w:p>
    <w:p w14:paraId="76E12087" w14:textId="295BEFF1" w:rsidR="00F276BC" w:rsidRPr="009C19C5" w:rsidRDefault="000A0E4E" w:rsidP="008D7F6B">
      <w:pPr>
        <w:pStyle w:val="ListParagraph"/>
        <w:numPr>
          <w:ilvl w:val="0"/>
          <w:numId w:val="43"/>
        </w:numPr>
        <w:tabs>
          <w:tab w:val="left" w:pos="1170"/>
        </w:tabs>
        <w:autoSpaceDE w:val="0"/>
        <w:autoSpaceDN w:val="0"/>
        <w:adjustRightInd w:val="0"/>
        <w:spacing w:after="0" w:line="240" w:lineRule="auto"/>
        <w:ind w:left="90" w:firstLine="810"/>
        <w:jc w:val="both"/>
        <w:rPr>
          <w:rFonts w:ascii="Times New Roman" w:hAnsi="Times New Roman" w:cs="Times New Roman"/>
          <w:sz w:val="24"/>
          <w:szCs w:val="24"/>
          <w:lang w:val="sr-Cyrl-RS"/>
        </w:rPr>
      </w:pPr>
      <w:r w:rsidRPr="009C19C5">
        <w:rPr>
          <w:rFonts w:ascii="Times New Roman" w:hAnsi="Times New Roman" w:cs="Times New Roman"/>
          <w:bCs/>
          <w:sz w:val="24"/>
          <w:szCs w:val="24"/>
          <w:lang w:val="sr-Cyrl-RS"/>
        </w:rPr>
        <w:t xml:space="preserve">Отварање нових области економског раста </w:t>
      </w:r>
      <w:r w:rsidRPr="009C19C5">
        <w:rPr>
          <w:rFonts w:ascii="Times New Roman" w:hAnsi="Times New Roman" w:cs="Times New Roman"/>
          <w:sz w:val="24"/>
          <w:szCs w:val="24"/>
          <w:lang w:val="sr-Cyrl-RS"/>
        </w:rPr>
        <w:t>на читавој погођеној територији, ис</w:t>
      </w:r>
      <w:r w:rsidR="009B488B" w:rsidRPr="009C19C5">
        <w:rPr>
          <w:rFonts w:ascii="Times New Roman" w:hAnsi="Times New Roman" w:cs="Times New Roman"/>
          <w:sz w:val="24"/>
          <w:szCs w:val="24"/>
          <w:lang w:val="sr-Cyrl-RS"/>
        </w:rPr>
        <w:t xml:space="preserve">тражујући </w:t>
      </w:r>
      <w:r w:rsidRPr="009C19C5">
        <w:rPr>
          <w:rFonts w:ascii="Times New Roman" w:hAnsi="Times New Roman" w:cs="Times New Roman"/>
          <w:sz w:val="24"/>
          <w:szCs w:val="24"/>
          <w:lang w:val="sr-Cyrl-RS"/>
        </w:rPr>
        <w:t xml:space="preserve">активности које: </w:t>
      </w:r>
    </w:p>
    <w:p w14:paraId="35A9E343" w14:textId="00685B2B" w:rsidR="00F276BC" w:rsidRPr="009A25DF" w:rsidRDefault="009A25DF" w:rsidP="009A25DF">
      <w:pPr>
        <w:tabs>
          <w:tab w:val="left" w:pos="1170"/>
        </w:tabs>
        <w:autoSpaceDE w:val="0"/>
        <w:autoSpaceDN w:val="0"/>
        <w:adjustRightInd w:val="0"/>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(1)</w:t>
      </w:r>
      <w:r w:rsidR="001920EF">
        <w:rPr>
          <w:rFonts w:ascii="Times New Roman" w:hAnsi="Times New Roman" w:cs="Times New Roman"/>
          <w:sz w:val="24"/>
          <w:szCs w:val="24"/>
          <w:lang w:val="sr-Cyrl-RS"/>
        </w:rPr>
        <w:t xml:space="preserve"> </w:t>
      </w:r>
      <w:r w:rsidR="000A0E4E" w:rsidRPr="009A25DF">
        <w:rPr>
          <w:rFonts w:ascii="Times New Roman" w:hAnsi="Times New Roman" w:cs="Times New Roman"/>
          <w:sz w:val="24"/>
          <w:szCs w:val="24"/>
          <w:lang w:val="sr-Cyrl-RS"/>
        </w:rPr>
        <w:t>Користе нове изворе економског раста</w:t>
      </w:r>
      <w:r w:rsidR="004B08C1" w:rsidRPr="009A25DF">
        <w:rPr>
          <w:rFonts w:ascii="Times New Roman" w:hAnsi="Times New Roman" w:cs="Times New Roman"/>
          <w:sz w:val="24"/>
          <w:szCs w:val="24"/>
          <w:lang w:val="sr-Cyrl-RS"/>
        </w:rPr>
        <w:t>.</w:t>
      </w:r>
    </w:p>
    <w:p w14:paraId="518063DF" w14:textId="6169A9C6" w:rsidR="00F276BC" w:rsidRPr="009C19C5" w:rsidRDefault="009A25DF" w:rsidP="009A25DF">
      <w:pPr>
        <w:pStyle w:val="ListParagraph"/>
        <w:tabs>
          <w:tab w:val="left" w:pos="1170"/>
        </w:tabs>
        <w:autoSpaceDE w:val="0"/>
        <w:autoSpaceDN w:val="0"/>
        <w:adjustRightInd w:val="0"/>
        <w:spacing w:after="0" w:line="240" w:lineRule="auto"/>
        <w:ind w:left="90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(2) </w:t>
      </w:r>
      <w:r w:rsidR="000A0E4E" w:rsidRPr="009C19C5">
        <w:rPr>
          <w:rFonts w:ascii="Times New Roman" w:hAnsi="Times New Roman" w:cs="Times New Roman"/>
          <w:sz w:val="24"/>
          <w:szCs w:val="24"/>
          <w:lang w:val="sr-Cyrl-RS"/>
        </w:rPr>
        <w:t xml:space="preserve">Повећавају </w:t>
      </w:r>
      <w:r w:rsidR="009B488B" w:rsidRPr="009C19C5">
        <w:rPr>
          <w:rFonts w:ascii="Times New Roman" w:hAnsi="Times New Roman" w:cs="Times New Roman"/>
          <w:sz w:val="24"/>
          <w:szCs w:val="24"/>
          <w:lang w:val="sr-Cyrl-RS"/>
        </w:rPr>
        <w:t xml:space="preserve">понуду </w:t>
      </w:r>
      <w:r w:rsidR="000A0E4E" w:rsidRPr="009C19C5">
        <w:rPr>
          <w:rFonts w:ascii="Times New Roman" w:hAnsi="Times New Roman" w:cs="Times New Roman"/>
          <w:sz w:val="24"/>
          <w:szCs w:val="24"/>
          <w:lang w:val="sr-Cyrl-RS"/>
        </w:rPr>
        <w:t>иновативних производа и услуга (пружају</w:t>
      </w:r>
      <w:r w:rsidR="009B488B" w:rsidRPr="009C19C5">
        <w:rPr>
          <w:rFonts w:ascii="Times New Roman" w:hAnsi="Times New Roman" w:cs="Times New Roman"/>
          <w:sz w:val="24"/>
          <w:szCs w:val="24"/>
          <w:lang w:val="sr-Cyrl-RS"/>
        </w:rPr>
        <w:t>ћи</w:t>
      </w:r>
      <w:r w:rsidR="000A0E4E" w:rsidRPr="009C19C5">
        <w:rPr>
          <w:rFonts w:ascii="Times New Roman" w:hAnsi="Times New Roman" w:cs="Times New Roman"/>
          <w:sz w:val="24"/>
          <w:szCs w:val="24"/>
          <w:lang w:val="sr-Cyrl-RS"/>
        </w:rPr>
        <w:t xml:space="preserve"> подршку стартапима, експлоатацији и сарадњи</w:t>
      </w:r>
      <w:r w:rsidR="009B488B" w:rsidRPr="009C19C5">
        <w:rPr>
          <w:rFonts w:ascii="Times New Roman" w:hAnsi="Times New Roman" w:cs="Times New Roman"/>
          <w:sz w:val="24"/>
          <w:szCs w:val="24"/>
          <w:lang w:val="sr-Cyrl-RS"/>
        </w:rPr>
        <w:t xml:space="preserve"> кроз истраживања</w:t>
      </w:r>
      <w:r w:rsidR="000A0E4E" w:rsidRPr="009C19C5">
        <w:rPr>
          <w:rFonts w:ascii="Times New Roman" w:hAnsi="Times New Roman" w:cs="Times New Roman"/>
          <w:sz w:val="24"/>
          <w:szCs w:val="24"/>
          <w:lang w:val="sr-Cyrl-RS"/>
        </w:rPr>
        <w:t>)</w:t>
      </w:r>
      <w:r w:rsidR="004B08C1" w:rsidRPr="009C19C5">
        <w:rPr>
          <w:rFonts w:ascii="Times New Roman" w:hAnsi="Times New Roman" w:cs="Times New Roman"/>
          <w:sz w:val="24"/>
          <w:szCs w:val="24"/>
          <w:lang w:val="sr-Cyrl-RS"/>
        </w:rPr>
        <w:t>.</w:t>
      </w:r>
    </w:p>
    <w:p w14:paraId="45843662" w14:textId="2DA2F2CA" w:rsidR="00F276BC" w:rsidRPr="009C19C5" w:rsidRDefault="009A25DF" w:rsidP="009A25DF">
      <w:pPr>
        <w:pStyle w:val="ListParagraph"/>
        <w:tabs>
          <w:tab w:val="left" w:pos="1170"/>
        </w:tabs>
        <w:autoSpaceDE w:val="0"/>
        <w:autoSpaceDN w:val="0"/>
        <w:adjustRightInd w:val="0"/>
        <w:spacing w:after="0" w:line="240" w:lineRule="auto"/>
        <w:ind w:left="90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(3) </w:t>
      </w:r>
      <w:r w:rsidR="009B488B" w:rsidRPr="009C19C5">
        <w:rPr>
          <w:rFonts w:ascii="Times New Roman" w:hAnsi="Times New Roman" w:cs="Times New Roman"/>
          <w:sz w:val="24"/>
          <w:szCs w:val="24"/>
          <w:lang w:val="sr-Cyrl-RS"/>
        </w:rPr>
        <w:t xml:space="preserve">Спроводе </w:t>
      </w:r>
      <w:r w:rsidR="000A0E4E" w:rsidRPr="009C19C5">
        <w:rPr>
          <w:rFonts w:ascii="Times New Roman" w:hAnsi="Times New Roman" w:cs="Times New Roman"/>
          <w:sz w:val="24"/>
          <w:szCs w:val="24"/>
          <w:lang w:val="sr-Cyrl-RS"/>
        </w:rPr>
        <w:t>ефикасну специјализацију предузећа (као што су производњ</w:t>
      </w:r>
      <w:r w:rsidR="009B488B" w:rsidRPr="009C19C5">
        <w:rPr>
          <w:rFonts w:ascii="Times New Roman" w:hAnsi="Times New Roman" w:cs="Times New Roman"/>
          <w:sz w:val="24"/>
          <w:szCs w:val="24"/>
          <w:lang w:val="sr-Cyrl-RS"/>
        </w:rPr>
        <w:t>а</w:t>
      </w:r>
      <w:r w:rsidR="000A0E4E" w:rsidRPr="009C19C5">
        <w:rPr>
          <w:rFonts w:ascii="Times New Roman" w:hAnsi="Times New Roman" w:cs="Times New Roman"/>
          <w:sz w:val="24"/>
          <w:szCs w:val="24"/>
          <w:lang w:val="sr-Cyrl-RS"/>
        </w:rPr>
        <w:t xml:space="preserve"> обновљиве енергије или напредних производних индустрија, развој нових производних линија у оквиру исте индустрије или резултати истраживачких института)</w:t>
      </w:r>
      <w:r w:rsidR="004B08C1" w:rsidRPr="009C19C5">
        <w:rPr>
          <w:rFonts w:ascii="Times New Roman" w:hAnsi="Times New Roman" w:cs="Times New Roman"/>
          <w:sz w:val="24"/>
          <w:szCs w:val="24"/>
          <w:lang w:val="sr-Cyrl-RS"/>
        </w:rPr>
        <w:t>.</w:t>
      </w:r>
    </w:p>
    <w:p w14:paraId="09C077BE" w14:textId="5DD169A6" w:rsidR="00F276BC" w:rsidRPr="009C19C5" w:rsidRDefault="000A0E4E" w:rsidP="008D7F6B">
      <w:pPr>
        <w:pStyle w:val="ListParagraph"/>
        <w:numPr>
          <w:ilvl w:val="0"/>
          <w:numId w:val="42"/>
        </w:numPr>
        <w:tabs>
          <w:tab w:val="left" w:pos="1170"/>
        </w:tabs>
        <w:autoSpaceDE w:val="0"/>
        <w:autoSpaceDN w:val="0"/>
        <w:adjustRightInd w:val="0"/>
        <w:spacing w:after="0" w:line="240" w:lineRule="auto"/>
        <w:ind w:left="90" w:firstLine="81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 xml:space="preserve">Омогућавање лакшег приступа тржишту </w:t>
      </w:r>
      <w:r w:rsidRPr="009C19C5">
        <w:rPr>
          <w:rFonts w:ascii="Times New Roman" w:hAnsi="Times New Roman" w:cs="Times New Roman"/>
          <w:bCs/>
          <w:sz w:val="24"/>
          <w:szCs w:val="24"/>
          <w:lang w:val="sr-Cyrl-RS"/>
        </w:rPr>
        <w:t>путем</w:t>
      </w:r>
      <w:r w:rsidR="0062310B" w:rsidRPr="009C19C5">
        <w:rPr>
          <w:rFonts w:ascii="Times New Roman" w:hAnsi="Times New Roman" w:cs="Times New Roman"/>
          <w:bCs/>
          <w:sz w:val="24"/>
          <w:szCs w:val="24"/>
          <w:lang w:val="sr-Cyrl-RS"/>
        </w:rPr>
        <w:t xml:space="preserve"> п</w:t>
      </w:r>
      <w:r w:rsidRPr="009C19C5">
        <w:rPr>
          <w:rFonts w:ascii="Times New Roman" w:hAnsi="Times New Roman" w:cs="Times New Roman"/>
          <w:sz w:val="24"/>
          <w:szCs w:val="24"/>
          <w:lang w:val="sr-Cyrl-RS"/>
        </w:rPr>
        <w:t>обољшања отворености предузећа тако што ће се локалним предузећима омогућити да се такмиче на локалном нивоу и повезујући их (и физички и дигитално) са већим тржиштима са циљем</w:t>
      </w:r>
      <w:r w:rsidR="0062310B" w:rsidRPr="009C19C5">
        <w:rPr>
          <w:rFonts w:ascii="Times New Roman" w:hAnsi="Times New Roman" w:cs="Times New Roman"/>
          <w:sz w:val="24"/>
          <w:szCs w:val="24"/>
          <w:lang w:val="sr-Cyrl-RS"/>
        </w:rPr>
        <w:t xml:space="preserve"> у</w:t>
      </w:r>
      <w:r w:rsidRPr="009C19C5">
        <w:rPr>
          <w:rFonts w:ascii="Times New Roman" w:hAnsi="Times New Roman" w:cs="Times New Roman"/>
          <w:sz w:val="24"/>
          <w:szCs w:val="24"/>
          <w:lang w:val="sr-Cyrl-RS"/>
        </w:rPr>
        <w:t>воза роба и услуга (укључујући сировине, комунал</w:t>
      </w:r>
      <w:r w:rsidR="009B488B" w:rsidRPr="009C19C5">
        <w:rPr>
          <w:rFonts w:ascii="Times New Roman" w:hAnsi="Times New Roman" w:cs="Times New Roman"/>
          <w:sz w:val="24"/>
          <w:szCs w:val="24"/>
          <w:lang w:val="sr-Cyrl-RS"/>
        </w:rPr>
        <w:t>не услуг</w:t>
      </w:r>
      <w:r w:rsidRPr="009C19C5">
        <w:rPr>
          <w:rFonts w:ascii="Times New Roman" w:hAnsi="Times New Roman" w:cs="Times New Roman"/>
          <w:sz w:val="24"/>
          <w:szCs w:val="24"/>
          <w:lang w:val="sr-Cyrl-RS"/>
        </w:rPr>
        <w:t>е, финансирање и капитал итд)</w:t>
      </w:r>
      <w:r w:rsidR="0062310B" w:rsidRPr="009C19C5">
        <w:rPr>
          <w:rFonts w:ascii="Times New Roman" w:hAnsi="Times New Roman" w:cs="Times New Roman"/>
          <w:sz w:val="24"/>
          <w:szCs w:val="24"/>
          <w:lang w:val="sr-Cyrl-RS"/>
        </w:rPr>
        <w:t xml:space="preserve"> и п</w:t>
      </w:r>
      <w:r w:rsidRPr="009C19C5">
        <w:rPr>
          <w:rFonts w:ascii="Times New Roman" w:hAnsi="Times New Roman" w:cs="Times New Roman"/>
          <w:sz w:val="24"/>
          <w:szCs w:val="24"/>
          <w:lang w:val="sr-Cyrl-RS"/>
        </w:rPr>
        <w:t>родај</w:t>
      </w:r>
      <w:r w:rsidR="0062310B" w:rsidRPr="009C19C5">
        <w:rPr>
          <w:rFonts w:ascii="Times New Roman" w:hAnsi="Times New Roman" w:cs="Times New Roman"/>
          <w:sz w:val="24"/>
          <w:szCs w:val="24"/>
          <w:lang w:val="sr-Cyrl-RS"/>
        </w:rPr>
        <w:t>е</w:t>
      </w:r>
      <w:r w:rsidRPr="009C19C5">
        <w:rPr>
          <w:rFonts w:ascii="Times New Roman" w:hAnsi="Times New Roman" w:cs="Times New Roman"/>
          <w:sz w:val="24"/>
          <w:szCs w:val="24"/>
          <w:lang w:val="sr-Cyrl-RS"/>
        </w:rPr>
        <w:t xml:space="preserve"> њихових производа. </w:t>
      </w:r>
    </w:p>
    <w:p w14:paraId="37BE78A9" w14:textId="66FF1251" w:rsidR="00F276BC" w:rsidRPr="009C19C5" w:rsidRDefault="000A0E4E" w:rsidP="008D7F6B">
      <w:pPr>
        <w:pStyle w:val="ListParagraph"/>
        <w:numPr>
          <w:ilvl w:val="0"/>
          <w:numId w:val="42"/>
        </w:numPr>
        <w:tabs>
          <w:tab w:val="left" w:pos="1170"/>
        </w:tabs>
        <w:autoSpaceDE w:val="0"/>
        <w:autoSpaceDN w:val="0"/>
        <w:adjustRightInd w:val="0"/>
        <w:spacing w:after="0" w:line="240" w:lineRule="auto"/>
        <w:ind w:left="90" w:firstLine="81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 xml:space="preserve">Пружање подршке предузећима да се прилагоде </w:t>
      </w:r>
      <w:r w:rsidRPr="009C19C5">
        <w:rPr>
          <w:rFonts w:ascii="Times New Roman" w:hAnsi="Times New Roman" w:cs="Times New Roman"/>
          <w:bCs/>
          <w:sz w:val="24"/>
          <w:szCs w:val="24"/>
          <w:lang w:val="sr-Cyrl-RS"/>
        </w:rPr>
        <w:t>и буду отпорниј</w:t>
      </w:r>
      <w:r w:rsidR="009B488B" w:rsidRPr="009C19C5">
        <w:rPr>
          <w:rFonts w:ascii="Times New Roman" w:hAnsi="Times New Roman" w:cs="Times New Roman"/>
          <w:bCs/>
          <w:sz w:val="24"/>
          <w:szCs w:val="24"/>
          <w:lang w:val="sr-Cyrl-RS"/>
        </w:rPr>
        <w:t>а</w:t>
      </w:r>
      <w:r w:rsidRPr="009C19C5">
        <w:rPr>
          <w:rFonts w:ascii="Times New Roman" w:hAnsi="Times New Roman" w:cs="Times New Roman"/>
          <w:bCs/>
          <w:sz w:val="24"/>
          <w:szCs w:val="24"/>
          <w:lang w:val="sr-Cyrl-RS"/>
        </w:rPr>
        <w:t xml:space="preserve"> на енергетску транзицију, путем</w:t>
      </w:r>
      <w:r w:rsidR="00470967" w:rsidRPr="009C19C5">
        <w:rPr>
          <w:rFonts w:ascii="Times New Roman" w:hAnsi="Times New Roman" w:cs="Times New Roman"/>
          <w:bCs/>
          <w:sz w:val="24"/>
          <w:szCs w:val="24"/>
          <w:lang w:val="sr-Cyrl-RS"/>
        </w:rPr>
        <w:t>:</w:t>
      </w:r>
    </w:p>
    <w:p w14:paraId="2127AD8F" w14:textId="6FC2BA32" w:rsidR="00F276BC" w:rsidRPr="009C19C5" w:rsidRDefault="000A0E4E" w:rsidP="008D7F6B">
      <w:pPr>
        <w:pStyle w:val="ListParagraph"/>
        <w:numPr>
          <w:ilvl w:val="0"/>
          <w:numId w:val="44"/>
        </w:numPr>
        <w:tabs>
          <w:tab w:val="left" w:pos="990"/>
        </w:tabs>
        <w:autoSpaceDE w:val="0"/>
        <w:autoSpaceDN w:val="0"/>
        <w:adjustRightInd w:val="0"/>
        <w:spacing w:after="0" w:line="240" w:lineRule="auto"/>
        <w:ind w:left="90" w:firstLine="90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Побољшања њихових фина</w:t>
      </w:r>
      <w:r w:rsidR="002D1589" w:rsidRPr="009C19C5">
        <w:rPr>
          <w:rFonts w:ascii="Times New Roman" w:hAnsi="Times New Roman" w:cs="Times New Roman"/>
          <w:sz w:val="24"/>
          <w:szCs w:val="24"/>
          <w:lang w:val="sr-Cyrl-RS"/>
        </w:rPr>
        <w:t>н</w:t>
      </w:r>
      <w:r w:rsidRPr="009C19C5">
        <w:rPr>
          <w:rFonts w:ascii="Times New Roman" w:hAnsi="Times New Roman" w:cs="Times New Roman"/>
          <w:sz w:val="24"/>
          <w:szCs w:val="24"/>
          <w:lang w:val="sr-Cyrl-RS"/>
        </w:rPr>
        <w:t>сијских капацитета и способности да се прилагоде и/или преобразе своје делатности у складу са енергетском транзицијом</w:t>
      </w:r>
      <w:r w:rsidR="00E27280" w:rsidRPr="009C19C5">
        <w:rPr>
          <w:rFonts w:ascii="Times New Roman" w:hAnsi="Times New Roman" w:cs="Times New Roman"/>
          <w:sz w:val="24"/>
          <w:szCs w:val="24"/>
          <w:lang w:val="sr-Cyrl-RS"/>
        </w:rPr>
        <w:t>.</w:t>
      </w:r>
      <w:r w:rsidRPr="009C19C5">
        <w:rPr>
          <w:rFonts w:ascii="Times New Roman" w:hAnsi="Times New Roman" w:cs="Times New Roman"/>
          <w:sz w:val="24"/>
          <w:szCs w:val="24"/>
          <w:lang w:val="sr-Cyrl-RS"/>
        </w:rPr>
        <w:t xml:space="preserve"> </w:t>
      </w:r>
    </w:p>
    <w:p w14:paraId="0A3A0957" w14:textId="4DE3D074" w:rsidR="00F276BC" w:rsidRPr="009C19C5" w:rsidRDefault="000A0E4E" w:rsidP="008D7F6B">
      <w:pPr>
        <w:pStyle w:val="ListParagraph"/>
        <w:numPr>
          <w:ilvl w:val="0"/>
          <w:numId w:val="44"/>
        </w:numPr>
        <w:autoSpaceDE w:val="0"/>
        <w:autoSpaceDN w:val="0"/>
        <w:adjustRightInd w:val="0"/>
        <w:spacing w:after="0" w:line="240" w:lineRule="auto"/>
        <w:ind w:left="90" w:firstLine="90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Побољшања знања и вештина предузетника и радника како би могли да одговоре на енергетску транзицију и како би могли да остану конкурентни на променљивом глобалном тржишту</w:t>
      </w:r>
      <w:r w:rsidR="006C4167" w:rsidRPr="009C19C5">
        <w:rPr>
          <w:rFonts w:ascii="Times New Roman" w:hAnsi="Times New Roman" w:cs="Times New Roman"/>
          <w:sz w:val="24"/>
          <w:szCs w:val="24"/>
          <w:lang w:val="sr-Cyrl-RS"/>
        </w:rPr>
        <w:t>.</w:t>
      </w:r>
    </w:p>
    <w:p w14:paraId="5C4BF5B2" w14:textId="60058AF8" w:rsidR="00F276BC" w:rsidRPr="009C19C5" w:rsidRDefault="00345850" w:rsidP="00345850">
      <w:pPr>
        <w:tabs>
          <w:tab w:val="left" w:pos="1080"/>
          <w:tab w:val="left" w:pos="1260"/>
        </w:tabs>
        <w:spacing w:after="0" w:line="240" w:lineRule="auto"/>
        <w:ind w:firstLine="900"/>
        <w:jc w:val="both"/>
        <w:rPr>
          <w:rFonts w:ascii="Times New Roman" w:hAnsi="Times New Roman" w:cs="Times New Roman"/>
          <w:bCs/>
          <w:sz w:val="24"/>
          <w:szCs w:val="24"/>
          <w:lang w:val="sr-Cyrl-RS"/>
        </w:rPr>
      </w:pPr>
      <w:r w:rsidRPr="009C19C5">
        <w:rPr>
          <w:rFonts w:ascii="Times New Roman" w:hAnsi="Times New Roman" w:cs="Times New Roman"/>
          <w:bCs/>
          <w:sz w:val="24"/>
          <w:szCs w:val="24"/>
          <w:lang w:val="sr-Cyrl-RS"/>
        </w:rPr>
        <w:t>Г.</w:t>
      </w:r>
      <w:r w:rsidRPr="009C19C5">
        <w:rPr>
          <w:rFonts w:ascii="Times New Roman" w:hAnsi="Times New Roman" w:cs="Times New Roman"/>
          <w:sz w:val="24"/>
          <w:szCs w:val="24"/>
          <w:lang w:val="sr-Cyrl-RS"/>
        </w:rPr>
        <w:t xml:space="preserve"> </w:t>
      </w:r>
      <w:r w:rsidR="000A0E4E" w:rsidRPr="009C19C5">
        <w:rPr>
          <w:rFonts w:ascii="Times New Roman" w:hAnsi="Times New Roman" w:cs="Times New Roman"/>
          <w:sz w:val="24"/>
          <w:szCs w:val="24"/>
          <w:lang w:val="sr-Cyrl-RS"/>
        </w:rPr>
        <w:t xml:space="preserve">Ојачавање </w:t>
      </w:r>
      <w:r w:rsidR="000A0E4E" w:rsidRPr="009C19C5">
        <w:rPr>
          <w:rFonts w:ascii="Times New Roman" w:hAnsi="Times New Roman" w:cs="Times New Roman"/>
          <w:bCs/>
          <w:sz w:val="24"/>
          <w:szCs w:val="24"/>
          <w:lang w:val="sr-Cyrl-RS"/>
        </w:rPr>
        <w:t xml:space="preserve">Управних структура за праведну транзицију. </w:t>
      </w:r>
      <w:r w:rsidR="000A0E4E" w:rsidRPr="009C19C5">
        <w:rPr>
          <w:rFonts w:ascii="Times New Roman" w:hAnsi="Times New Roman" w:cs="Times New Roman"/>
          <w:sz w:val="24"/>
          <w:szCs w:val="24"/>
          <w:lang w:val="sr-Cyrl-RS"/>
        </w:rPr>
        <w:t xml:space="preserve">Овај процес треба од почетка да буде под контролом Владе и да </w:t>
      </w:r>
      <w:r w:rsidR="009B488B" w:rsidRPr="009C19C5">
        <w:rPr>
          <w:rFonts w:ascii="Times New Roman" w:hAnsi="Times New Roman" w:cs="Times New Roman"/>
          <w:sz w:val="24"/>
          <w:szCs w:val="24"/>
          <w:lang w:val="sr-Cyrl-RS"/>
        </w:rPr>
        <w:t xml:space="preserve">укључи </w:t>
      </w:r>
      <w:r w:rsidR="000A0E4E" w:rsidRPr="009C19C5">
        <w:rPr>
          <w:rFonts w:ascii="Times New Roman" w:hAnsi="Times New Roman" w:cs="Times New Roman"/>
          <w:sz w:val="24"/>
          <w:szCs w:val="24"/>
          <w:lang w:val="sr-Cyrl-RS"/>
        </w:rPr>
        <w:t xml:space="preserve">све </w:t>
      </w:r>
      <w:r w:rsidR="009B488B" w:rsidRPr="009C19C5">
        <w:rPr>
          <w:rFonts w:ascii="Times New Roman" w:hAnsi="Times New Roman" w:cs="Times New Roman"/>
          <w:sz w:val="24"/>
          <w:szCs w:val="24"/>
          <w:lang w:val="sr-Cyrl-RS"/>
        </w:rPr>
        <w:t xml:space="preserve">потенцијалне </w:t>
      </w:r>
      <w:r w:rsidR="000A0E4E" w:rsidRPr="009C19C5">
        <w:rPr>
          <w:rFonts w:ascii="Times New Roman" w:hAnsi="Times New Roman" w:cs="Times New Roman"/>
          <w:sz w:val="24"/>
          <w:szCs w:val="24"/>
          <w:lang w:val="sr-Cyrl-RS"/>
        </w:rPr>
        <w:t xml:space="preserve">заинтересоване стране. У овој области предлажемо одговарајући </w:t>
      </w:r>
      <w:r w:rsidR="000A0E4E" w:rsidRPr="009C19C5">
        <w:rPr>
          <w:rFonts w:ascii="Times New Roman" w:hAnsi="Times New Roman" w:cs="Times New Roman"/>
          <w:bCs/>
          <w:sz w:val="24"/>
          <w:szCs w:val="24"/>
          <w:lang w:val="sr-Cyrl-RS"/>
        </w:rPr>
        <w:t>оквир управљања</w:t>
      </w:r>
      <w:r w:rsidR="000A0E4E" w:rsidRPr="009C19C5">
        <w:rPr>
          <w:rFonts w:ascii="Times New Roman" w:hAnsi="Times New Roman" w:cs="Times New Roman"/>
          <w:sz w:val="24"/>
          <w:szCs w:val="24"/>
          <w:lang w:val="sr-Cyrl-RS"/>
        </w:rPr>
        <w:t>, из којег ће се на крају развити свеобухватан план праведне транзиције у сарадњи са свим укљученим странама, и уз стратегију ангажовања заинтересованих страна</w:t>
      </w:r>
      <w:r w:rsidR="006C4167" w:rsidRPr="009C19C5">
        <w:rPr>
          <w:rFonts w:ascii="Times New Roman" w:hAnsi="Times New Roman" w:cs="Times New Roman"/>
          <w:sz w:val="24"/>
          <w:szCs w:val="24"/>
          <w:lang w:val="sr-Cyrl-RS"/>
        </w:rPr>
        <w:t>:</w:t>
      </w:r>
    </w:p>
    <w:p w14:paraId="691DA014" w14:textId="4E6E7157" w:rsidR="00F276BC" w:rsidRPr="009C19C5" w:rsidRDefault="000A0E4E" w:rsidP="00345850">
      <w:pPr>
        <w:pStyle w:val="ListParagraph"/>
        <w:numPr>
          <w:ilvl w:val="0"/>
          <w:numId w:val="45"/>
        </w:numPr>
        <w:tabs>
          <w:tab w:val="left" w:pos="1170"/>
        </w:tabs>
        <w:autoSpaceDE w:val="0"/>
        <w:autoSpaceDN w:val="0"/>
        <w:adjustRightInd w:val="0"/>
        <w:spacing w:after="0" w:line="240" w:lineRule="auto"/>
        <w:ind w:left="0" w:firstLine="900"/>
        <w:jc w:val="both"/>
        <w:rPr>
          <w:rFonts w:ascii="Times New Roman" w:hAnsi="Times New Roman" w:cs="Times New Roman"/>
          <w:bCs/>
          <w:sz w:val="24"/>
          <w:szCs w:val="24"/>
          <w:lang w:val="sr-Cyrl-RS"/>
        </w:rPr>
      </w:pPr>
      <w:r w:rsidRPr="009C19C5">
        <w:rPr>
          <w:rFonts w:ascii="Times New Roman" w:hAnsi="Times New Roman" w:cs="Times New Roman"/>
          <w:bCs/>
          <w:sz w:val="24"/>
          <w:szCs w:val="24"/>
          <w:lang w:val="sr-Cyrl-RS"/>
        </w:rPr>
        <w:t xml:space="preserve">Прогресивни развој </w:t>
      </w:r>
      <w:r w:rsidRPr="009C19C5">
        <w:rPr>
          <w:rFonts w:ascii="Times New Roman" w:hAnsi="Times New Roman" w:cs="Times New Roman"/>
          <w:sz w:val="24"/>
          <w:szCs w:val="24"/>
          <w:lang w:val="sr-Cyrl-RS"/>
        </w:rPr>
        <w:t xml:space="preserve">правног, институционалног и регулаторног оквира и управног процеса </w:t>
      </w:r>
      <w:r w:rsidRPr="009C19C5">
        <w:rPr>
          <w:rFonts w:ascii="Times New Roman" w:hAnsi="Times New Roman" w:cs="Times New Roman"/>
          <w:bCs/>
          <w:sz w:val="24"/>
          <w:szCs w:val="24"/>
          <w:lang w:val="sr-Cyrl-RS"/>
        </w:rPr>
        <w:t xml:space="preserve">кроз који ће се управљати </w:t>
      </w:r>
      <w:r w:rsidR="00534C8C" w:rsidRPr="009C19C5">
        <w:rPr>
          <w:rFonts w:ascii="Times New Roman" w:hAnsi="Times New Roman" w:cs="Times New Roman"/>
          <w:bCs/>
          <w:sz w:val="24"/>
          <w:szCs w:val="24"/>
          <w:lang w:val="sr-Cyrl-RS"/>
        </w:rPr>
        <w:t>ППЕТ</w:t>
      </w:r>
      <w:r w:rsidRPr="009C19C5">
        <w:rPr>
          <w:rFonts w:ascii="Times New Roman" w:hAnsi="Times New Roman" w:cs="Times New Roman"/>
          <w:bCs/>
          <w:sz w:val="24"/>
          <w:szCs w:val="24"/>
          <w:lang w:val="sr-Cyrl-RS"/>
        </w:rPr>
        <w:t xml:space="preserve"> и </w:t>
      </w:r>
      <w:r w:rsidR="00927BF2" w:rsidRPr="009C19C5">
        <w:rPr>
          <w:rFonts w:ascii="Times New Roman" w:hAnsi="Times New Roman" w:cs="Times New Roman"/>
          <w:bCs/>
          <w:sz w:val="24"/>
          <w:szCs w:val="24"/>
          <w:lang w:val="sr-Cyrl-RS"/>
        </w:rPr>
        <w:t>механизмима финансирања</w:t>
      </w:r>
      <w:r w:rsidRPr="009C19C5">
        <w:rPr>
          <w:rFonts w:ascii="Times New Roman" w:hAnsi="Times New Roman" w:cs="Times New Roman"/>
          <w:bCs/>
          <w:sz w:val="24"/>
          <w:szCs w:val="24"/>
          <w:lang w:val="sr-Cyrl-RS"/>
        </w:rPr>
        <w:t xml:space="preserve"> праведн</w:t>
      </w:r>
      <w:r w:rsidR="00927BF2" w:rsidRPr="009C19C5">
        <w:rPr>
          <w:rFonts w:ascii="Times New Roman" w:hAnsi="Times New Roman" w:cs="Times New Roman"/>
          <w:bCs/>
          <w:sz w:val="24"/>
          <w:szCs w:val="24"/>
          <w:lang w:val="sr-Cyrl-RS"/>
        </w:rPr>
        <w:t>е</w:t>
      </w:r>
      <w:r w:rsidRPr="009C19C5">
        <w:rPr>
          <w:rFonts w:ascii="Times New Roman" w:hAnsi="Times New Roman" w:cs="Times New Roman"/>
          <w:bCs/>
          <w:sz w:val="24"/>
          <w:szCs w:val="24"/>
          <w:lang w:val="sr-Cyrl-RS"/>
        </w:rPr>
        <w:t xml:space="preserve"> транзициј</w:t>
      </w:r>
      <w:r w:rsidR="00927BF2" w:rsidRPr="009C19C5">
        <w:rPr>
          <w:rFonts w:ascii="Times New Roman" w:hAnsi="Times New Roman" w:cs="Times New Roman"/>
          <w:bCs/>
          <w:sz w:val="24"/>
          <w:szCs w:val="24"/>
          <w:lang w:val="sr-Cyrl-RS"/>
        </w:rPr>
        <w:t>е</w:t>
      </w:r>
      <w:r w:rsidRPr="009C19C5">
        <w:rPr>
          <w:rFonts w:ascii="Times New Roman" w:hAnsi="Times New Roman" w:cs="Times New Roman"/>
          <w:bCs/>
          <w:sz w:val="24"/>
          <w:szCs w:val="24"/>
          <w:lang w:val="sr-Cyrl-RS"/>
        </w:rPr>
        <w:t>.</w:t>
      </w:r>
    </w:p>
    <w:p w14:paraId="3093071E" w14:textId="218B0E5A" w:rsidR="00F276BC" w:rsidRPr="009C19C5" w:rsidRDefault="000A0E4E" w:rsidP="00345850">
      <w:pPr>
        <w:pStyle w:val="ListParagraph"/>
        <w:numPr>
          <w:ilvl w:val="0"/>
          <w:numId w:val="45"/>
        </w:numPr>
        <w:tabs>
          <w:tab w:val="left" w:pos="1170"/>
        </w:tabs>
        <w:autoSpaceDE w:val="0"/>
        <w:autoSpaceDN w:val="0"/>
        <w:adjustRightInd w:val="0"/>
        <w:spacing w:after="0" w:line="240" w:lineRule="auto"/>
        <w:ind w:left="0" w:firstLine="90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По</w:t>
      </w:r>
      <w:r w:rsidR="00B7557B" w:rsidRPr="009C19C5">
        <w:rPr>
          <w:rFonts w:ascii="Times New Roman" w:hAnsi="Times New Roman" w:cs="Times New Roman"/>
          <w:sz w:val="24"/>
          <w:szCs w:val="24"/>
          <w:lang w:val="sr-Cyrl-RS"/>
        </w:rPr>
        <w:t xml:space="preserve">бољшани </w:t>
      </w:r>
      <w:r w:rsidRPr="009C19C5">
        <w:rPr>
          <w:rFonts w:ascii="Times New Roman" w:hAnsi="Times New Roman" w:cs="Times New Roman"/>
          <w:sz w:val="24"/>
          <w:szCs w:val="24"/>
          <w:lang w:val="sr-Cyrl-RS"/>
        </w:rPr>
        <w:t>национални и регионални институционални капацитети за</w:t>
      </w:r>
      <w:r w:rsidR="00E3001B">
        <w:rPr>
          <w:rFonts w:ascii="Times New Roman" w:hAnsi="Times New Roman" w:cs="Times New Roman"/>
          <w:sz w:val="24"/>
          <w:szCs w:val="24"/>
          <w:lang w:val="sr-Cyrl-RS"/>
        </w:rPr>
        <w:t xml:space="preserve"> </w:t>
      </w:r>
      <w:r w:rsidR="00B7557B" w:rsidRPr="009C19C5">
        <w:rPr>
          <w:rFonts w:ascii="Times New Roman" w:hAnsi="Times New Roman" w:cs="Times New Roman"/>
          <w:sz w:val="24"/>
          <w:szCs w:val="24"/>
          <w:lang w:val="sr-Cyrl-RS"/>
        </w:rPr>
        <w:t xml:space="preserve">спровођење </w:t>
      </w:r>
      <w:r w:rsidRPr="009C19C5">
        <w:rPr>
          <w:rFonts w:ascii="Times New Roman" w:hAnsi="Times New Roman" w:cs="Times New Roman"/>
          <w:sz w:val="24"/>
          <w:szCs w:val="24"/>
          <w:lang w:val="sr-Cyrl-RS"/>
        </w:rPr>
        <w:t xml:space="preserve">процеса праведне традиције, </w:t>
      </w:r>
      <w:r w:rsidR="00B7557B" w:rsidRPr="009C19C5">
        <w:rPr>
          <w:rFonts w:ascii="Times New Roman" w:hAnsi="Times New Roman" w:cs="Times New Roman"/>
          <w:sz w:val="24"/>
          <w:szCs w:val="24"/>
          <w:lang w:val="sr-Cyrl-RS"/>
        </w:rPr>
        <w:t xml:space="preserve">као и </w:t>
      </w:r>
      <w:r w:rsidRPr="009C19C5">
        <w:rPr>
          <w:rFonts w:ascii="Times New Roman" w:hAnsi="Times New Roman" w:cs="Times New Roman"/>
          <w:sz w:val="24"/>
          <w:szCs w:val="24"/>
          <w:lang w:val="sr-Cyrl-RS"/>
        </w:rPr>
        <w:t>укључи</w:t>
      </w:r>
      <w:r w:rsidR="00B7557B" w:rsidRPr="009C19C5">
        <w:rPr>
          <w:rFonts w:ascii="Times New Roman" w:hAnsi="Times New Roman" w:cs="Times New Roman"/>
          <w:sz w:val="24"/>
          <w:szCs w:val="24"/>
          <w:lang w:val="sr-Cyrl-RS"/>
        </w:rPr>
        <w:t>вање у</w:t>
      </w:r>
      <w:r w:rsidRPr="009C19C5">
        <w:rPr>
          <w:rFonts w:ascii="Times New Roman" w:hAnsi="Times New Roman" w:cs="Times New Roman"/>
          <w:sz w:val="24"/>
          <w:szCs w:val="24"/>
          <w:lang w:val="sr-Cyrl-RS"/>
        </w:rPr>
        <w:t>:</w:t>
      </w:r>
    </w:p>
    <w:p w14:paraId="1384DA4D" w14:textId="6ECE4418" w:rsidR="00F276BC" w:rsidRPr="009C19C5" w:rsidRDefault="000A0E4E" w:rsidP="00345850">
      <w:pPr>
        <w:pStyle w:val="ListParagraph"/>
        <w:numPr>
          <w:ilvl w:val="0"/>
          <w:numId w:val="46"/>
        </w:numPr>
        <w:tabs>
          <w:tab w:val="left" w:pos="1170"/>
        </w:tabs>
        <w:autoSpaceDE w:val="0"/>
        <w:autoSpaceDN w:val="0"/>
        <w:adjustRightInd w:val="0"/>
        <w:spacing w:after="0" w:line="240" w:lineRule="auto"/>
        <w:ind w:left="0" w:firstLine="90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 xml:space="preserve">Побољшање националних и регионалних капацитета за </w:t>
      </w:r>
      <w:r w:rsidR="00B7557B" w:rsidRPr="009C19C5">
        <w:rPr>
          <w:rFonts w:ascii="Times New Roman" w:hAnsi="Times New Roman" w:cs="Times New Roman"/>
          <w:sz w:val="24"/>
          <w:szCs w:val="24"/>
          <w:lang w:val="sr-Cyrl-RS"/>
        </w:rPr>
        <w:t xml:space="preserve">обликовање </w:t>
      </w:r>
      <w:r w:rsidRPr="009C19C5">
        <w:rPr>
          <w:rFonts w:ascii="Times New Roman" w:hAnsi="Times New Roman" w:cs="Times New Roman"/>
          <w:sz w:val="24"/>
          <w:szCs w:val="24"/>
          <w:lang w:val="sr-Cyrl-RS"/>
        </w:rPr>
        <w:t xml:space="preserve">и </w:t>
      </w:r>
      <w:r w:rsidR="00B7557B" w:rsidRPr="009C19C5">
        <w:rPr>
          <w:rFonts w:ascii="Times New Roman" w:hAnsi="Times New Roman" w:cs="Times New Roman"/>
          <w:sz w:val="24"/>
          <w:szCs w:val="24"/>
          <w:lang w:val="sr-Cyrl-RS"/>
        </w:rPr>
        <w:t xml:space="preserve">спровођење </w:t>
      </w:r>
      <w:r w:rsidRPr="009C19C5">
        <w:rPr>
          <w:rFonts w:ascii="Times New Roman" w:hAnsi="Times New Roman" w:cs="Times New Roman"/>
          <w:sz w:val="24"/>
          <w:szCs w:val="24"/>
          <w:lang w:val="sr-Cyrl-RS"/>
        </w:rPr>
        <w:t>процеса праведне транзиције</w:t>
      </w:r>
      <w:r w:rsidR="00E27280" w:rsidRPr="009C19C5">
        <w:rPr>
          <w:rFonts w:ascii="Times New Roman" w:hAnsi="Times New Roman" w:cs="Times New Roman"/>
          <w:sz w:val="24"/>
          <w:szCs w:val="24"/>
          <w:lang w:val="sr-Cyrl-RS"/>
        </w:rPr>
        <w:t>.</w:t>
      </w:r>
    </w:p>
    <w:p w14:paraId="6AB76BA0" w14:textId="7A173757" w:rsidR="00F276BC" w:rsidRPr="009C19C5" w:rsidRDefault="000A0E4E" w:rsidP="00345850">
      <w:pPr>
        <w:pStyle w:val="ListParagraph"/>
        <w:numPr>
          <w:ilvl w:val="0"/>
          <w:numId w:val="46"/>
        </w:numPr>
        <w:tabs>
          <w:tab w:val="left" w:pos="1170"/>
        </w:tabs>
        <w:autoSpaceDE w:val="0"/>
        <w:autoSpaceDN w:val="0"/>
        <w:adjustRightInd w:val="0"/>
        <w:spacing w:after="0" w:line="240" w:lineRule="auto"/>
        <w:ind w:left="360" w:firstLine="54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Побољшање оквира за саобраћајну политику</w:t>
      </w:r>
      <w:r w:rsidR="00E27280" w:rsidRPr="009C19C5">
        <w:rPr>
          <w:rFonts w:ascii="Times New Roman" w:hAnsi="Times New Roman" w:cs="Times New Roman"/>
          <w:sz w:val="24"/>
          <w:szCs w:val="24"/>
          <w:lang w:val="sr-Cyrl-RS"/>
        </w:rPr>
        <w:t>.</w:t>
      </w:r>
    </w:p>
    <w:p w14:paraId="19A8C70C" w14:textId="4EDF1620" w:rsidR="00F276BC" w:rsidRPr="009C19C5" w:rsidRDefault="000A0E4E" w:rsidP="00345850">
      <w:pPr>
        <w:pStyle w:val="ListParagraph"/>
        <w:numPr>
          <w:ilvl w:val="0"/>
          <w:numId w:val="46"/>
        </w:numPr>
        <w:tabs>
          <w:tab w:val="left" w:pos="1170"/>
        </w:tabs>
        <w:autoSpaceDE w:val="0"/>
        <w:autoSpaceDN w:val="0"/>
        <w:adjustRightInd w:val="0"/>
        <w:spacing w:after="0" w:line="240" w:lineRule="auto"/>
        <w:ind w:left="360" w:firstLine="54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Побољшање оквира за нискоугљеничн</w:t>
      </w:r>
      <w:r w:rsidR="00505A69" w:rsidRPr="009C19C5">
        <w:rPr>
          <w:rFonts w:ascii="Times New Roman" w:hAnsi="Times New Roman" w:cs="Times New Roman"/>
          <w:sz w:val="24"/>
          <w:szCs w:val="24"/>
          <w:lang w:val="sr-Cyrl-RS"/>
        </w:rPr>
        <w:t>у и климатску</w:t>
      </w:r>
      <w:r w:rsidRPr="009C19C5">
        <w:rPr>
          <w:rFonts w:ascii="Times New Roman" w:hAnsi="Times New Roman" w:cs="Times New Roman"/>
          <w:sz w:val="24"/>
          <w:szCs w:val="24"/>
          <w:lang w:val="sr-Cyrl-RS"/>
        </w:rPr>
        <w:t xml:space="preserve"> отпорн</w:t>
      </w:r>
      <w:r w:rsidR="006E7F12" w:rsidRPr="009C19C5">
        <w:rPr>
          <w:rFonts w:ascii="Times New Roman" w:hAnsi="Times New Roman" w:cs="Times New Roman"/>
          <w:sz w:val="24"/>
          <w:szCs w:val="24"/>
          <w:lang w:val="sr-Cyrl-RS"/>
        </w:rPr>
        <w:t>у транзицију</w:t>
      </w:r>
      <w:r w:rsidR="00E27280" w:rsidRPr="009C19C5">
        <w:rPr>
          <w:rFonts w:ascii="Times New Roman" w:hAnsi="Times New Roman" w:cs="Times New Roman"/>
          <w:sz w:val="24"/>
          <w:szCs w:val="24"/>
          <w:lang w:val="sr-Cyrl-RS"/>
        </w:rPr>
        <w:t>.</w:t>
      </w:r>
      <w:r w:rsidRPr="009C19C5">
        <w:rPr>
          <w:rFonts w:ascii="Times New Roman" w:hAnsi="Times New Roman" w:cs="Times New Roman"/>
          <w:sz w:val="24"/>
          <w:szCs w:val="24"/>
          <w:lang w:val="sr-Cyrl-RS"/>
        </w:rPr>
        <w:t xml:space="preserve"> </w:t>
      </w:r>
    </w:p>
    <w:p w14:paraId="7AE8DCBD" w14:textId="56C9ED9B" w:rsidR="00F276BC" w:rsidRPr="009C19C5" w:rsidRDefault="000A0E4E" w:rsidP="00345850">
      <w:pPr>
        <w:pStyle w:val="ListParagraph"/>
        <w:numPr>
          <w:ilvl w:val="0"/>
          <w:numId w:val="46"/>
        </w:numPr>
        <w:tabs>
          <w:tab w:val="left" w:pos="1170"/>
        </w:tabs>
        <w:autoSpaceDE w:val="0"/>
        <w:autoSpaceDN w:val="0"/>
        <w:adjustRightInd w:val="0"/>
        <w:spacing w:after="0" w:line="240" w:lineRule="auto"/>
        <w:ind w:left="360" w:firstLine="54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Побољш</w:t>
      </w:r>
      <w:r w:rsidR="006E7F12" w:rsidRPr="009C19C5">
        <w:rPr>
          <w:rFonts w:ascii="Times New Roman" w:hAnsi="Times New Roman" w:cs="Times New Roman"/>
          <w:sz w:val="24"/>
          <w:szCs w:val="24"/>
          <w:lang w:val="sr-Cyrl-RS"/>
        </w:rPr>
        <w:t>а</w:t>
      </w:r>
      <w:r w:rsidRPr="009C19C5">
        <w:rPr>
          <w:rFonts w:ascii="Times New Roman" w:hAnsi="Times New Roman" w:cs="Times New Roman"/>
          <w:sz w:val="24"/>
          <w:szCs w:val="24"/>
          <w:lang w:val="sr-Cyrl-RS"/>
        </w:rPr>
        <w:t>ње оквира за предузетништво</w:t>
      </w:r>
      <w:r w:rsidR="00E27280" w:rsidRPr="009C19C5">
        <w:rPr>
          <w:rFonts w:ascii="Times New Roman" w:hAnsi="Times New Roman" w:cs="Times New Roman"/>
          <w:sz w:val="24"/>
          <w:szCs w:val="24"/>
          <w:lang w:val="sr-Cyrl-RS"/>
        </w:rPr>
        <w:t>.</w:t>
      </w:r>
    </w:p>
    <w:p w14:paraId="52694681" w14:textId="1BAD2B94" w:rsidR="00F276BC" w:rsidRPr="009C19C5" w:rsidRDefault="000A0E4E" w:rsidP="00345850">
      <w:pPr>
        <w:pStyle w:val="ListParagraph"/>
        <w:numPr>
          <w:ilvl w:val="0"/>
          <w:numId w:val="46"/>
        </w:numPr>
        <w:tabs>
          <w:tab w:val="left" w:pos="1170"/>
        </w:tabs>
        <w:autoSpaceDE w:val="0"/>
        <w:autoSpaceDN w:val="0"/>
        <w:adjustRightInd w:val="0"/>
        <w:spacing w:after="0" w:line="240" w:lineRule="auto"/>
        <w:ind w:left="360" w:firstLine="54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Побољшање оквира за дигиталну транзицију</w:t>
      </w:r>
      <w:r w:rsidR="00E27280" w:rsidRPr="009C19C5">
        <w:rPr>
          <w:rFonts w:ascii="Times New Roman" w:hAnsi="Times New Roman" w:cs="Times New Roman"/>
          <w:sz w:val="24"/>
          <w:szCs w:val="24"/>
          <w:lang w:val="sr-Cyrl-RS"/>
        </w:rPr>
        <w:t>.</w:t>
      </w:r>
    </w:p>
    <w:p w14:paraId="2BC2A8D8" w14:textId="32DCDCC7" w:rsidR="00F276BC" w:rsidRPr="009C19C5" w:rsidRDefault="000A0E4E" w:rsidP="00345850">
      <w:pPr>
        <w:pStyle w:val="ListParagraph"/>
        <w:numPr>
          <w:ilvl w:val="0"/>
          <w:numId w:val="45"/>
        </w:numPr>
        <w:tabs>
          <w:tab w:val="left" w:pos="1170"/>
        </w:tabs>
        <w:autoSpaceDE w:val="0"/>
        <w:autoSpaceDN w:val="0"/>
        <w:adjustRightInd w:val="0"/>
        <w:spacing w:after="0" w:line="240" w:lineRule="auto"/>
        <w:ind w:firstLine="18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Добијање кон</w:t>
      </w:r>
      <w:r w:rsidR="009908D2" w:rsidRPr="009C19C5">
        <w:rPr>
          <w:rFonts w:ascii="Times New Roman" w:hAnsi="Times New Roman" w:cs="Times New Roman"/>
          <w:sz w:val="24"/>
          <w:szCs w:val="24"/>
          <w:lang w:val="sr-Cyrl-RS"/>
        </w:rPr>
        <w:t>с</w:t>
      </w:r>
      <w:r w:rsidRPr="009C19C5">
        <w:rPr>
          <w:rFonts w:ascii="Times New Roman" w:hAnsi="Times New Roman" w:cs="Times New Roman"/>
          <w:sz w:val="24"/>
          <w:szCs w:val="24"/>
          <w:lang w:val="sr-Cyrl-RS"/>
        </w:rPr>
        <w:t xml:space="preserve">ензуса о праведној транзицији, што у суштини значи: </w:t>
      </w:r>
    </w:p>
    <w:p w14:paraId="65D4221C" w14:textId="77777777" w:rsidR="00F276BC" w:rsidRPr="009C19C5" w:rsidRDefault="000A0E4E" w:rsidP="00345850">
      <w:pPr>
        <w:pStyle w:val="ListParagraph"/>
        <w:numPr>
          <w:ilvl w:val="1"/>
          <w:numId w:val="47"/>
        </w:numPr>
        <w:tabs>
          <w:tab w:val="left" w:pos="990"/>
        </w:tabs>
        <w:autoSpaceDE w:val="0"/>
        <w:autoSpaceDN w:val="0"/>
        <w:adjustRightInd w:val="0"/>
        <w:spacing w:after="0" w:line="240" w:lineRule="auto"/>
        <w:ind w:left="1170" w:hanging="27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Подизање свести о праведној транзицији.</w:t>
      </w:r>
    </w:p>
    <w:p w14:paraId="162D7C7E" w14:textId="4839964D" w:rsidR="00F276BC" w:rsidRPr="009C19C5" w:rsidRDefault="000A0E4E" w:rsidP="00345850">
      <w:pPr>
        <w:pStyle w:val="ListParagraph"/>
        <w:numPr>
          <w:ilvl w:val="1"/>
          <w:numId w:val="47"/>
        </w:numPr>
        <w:tabs>
          <w:tab w:val="left" w:pos="1170"/>
        </w:tabs>
        <w:autoSpaceDE w:val="0"/>
        <w:autoSpaceDN w:val="0"/>
        <w:adjustRightInd w:val="0"/>
        <w:spacing w:after="0" w:line="240" w:lineRule="auto"/>
        <w:ind w:left="0" w:firstLine="90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lastRenderedPageBreak/>
        <w:t xml:space="preserve">Укључивање заинтересованих страна у процесе планирања и </w:t>
      </w:r>
      <w:r w:rsidR="006E7F12" w:rsidRPr="009C19C5">
        <w:rPr>
          <w:rFonts w:ascii="Times New Roman" w:hAnsi="Times New Roman" w:cs="Times New Roman"/>
          <w:sz w:val="24"/>
          <w:szCs w:val="24"/>
          <w:lang w:val="sr-Cyrl-RS"/>
        </w:rPr>
        <w:t>спровођења</w:t>
      </w:r>
      <w:r w:rsidRPr="009C19C5">
        <w:rPr>
          <w:rFonts w:ascii="Times New Roman" w:hAnsi="Times New Roman" w:cs="Times New Roman"/>
          <w:sz w:val="24"/>
          <w:szCs w:val="24"/>
          <w:lang w:val="sr-Cyrl-RS"/>
        </w:rPr>
        <w:t>, кроз о</w:t>
      </w:r>
      <w:r w:rsidR="006E7F12" w:rsidRPr="009C19C5">
        <w:rPr>
          <w:rFonts w:ascii="Times New Roman" w:hAnsi="Times New Roman" w:cs="Times New Roman"/>
          <w:sz w:val="24"/>
          <w:szCs w:val="24"/>
          <w:lang w:val="sr-Cyrl-RS"/>
        </w:rPr>
        <w:t>псежне</w:t>
      </w:r>
      <w:r w:rsidR="003723E4" w:rsidRPr="009C19C5">
        <w:rPr>
          <w:rFonts w:ascii="Times New Roman" w:hAnsi="Times New Roman" w:cs="Times New Roman"/>
          <w:sz w:val="24"/>
          <w:szCs w:val="24"/>
          <w:lang w:val="sr-Cyrl-RS"/>
        </w:rPr>
        <w:t xml:space="preserve"> </w:t>
      </w:r>
      <w:r w:rsidRPr="009C19C5">
        <w:rPr>
          <w:rFonts w:ascii="Times New Roman" w:hAnsi="Times New Roman" w:cs="Times New Roman"/>
          <w:sz w:val="24"/>
          <w:szCs w:val="24"/>
          <w:lang w:val="sr-Cyrl-RS"/>
        </w:rPr>
        <w:t>јавне консултације на локалном и националном нивоу</w:t>
      </w:r>
      <w:r w:rsidR="00E27280" w:rsidRPr="009C19C5">
        <w:rPr>
          <w:rFonts w:ascii="Times New Roman" w:hAnsi="Times New Roman" w:cs="Times New Roman"/>
          <w:sz w:val="24"/>
          <w:szCs w:val="24"/>
          <w:lang w:val="sr-Cyrl-RS"/>
        </w:rPr>
        <w:t>.</w:t>
      </w:r>
    </w:p>
    <w:p w14:paraId="6447E5EE" w14:textId="77777777" w:rsidR="00C90461" w:rsidRPr="009C19C5" w:rsidRDefault="00C90461" w:rsidP="00C90461">
      <w:pPr>
        <w:pStyle w:val="ListParagraph"/>
        <w:tabs>
          <w:tab w:val="left" w:pos="1170"/>
        </w:tabs>
        <w:autoSpaceDE w:val="0"/>
        <w:autoSpaceDN w:val="0"/>
        <w:adjustRightInd w:val="0"/>
        <w:spacing w:after="0" w:line="240" w:lineRule="auto"/>
        <w:ind w:left="900"/>
        <w:jc w:val="both"/>
        <w:rPr>
          <w:rFonts w:ascii="Times New Roman" w:hAnsi="Times New Roman" w:cs="Times New Roman"/>
          <w:sz w:val="24"/>
          <w:szCs w:val="24"/>
          <w:lang w:val="sr-Cyrl-RS"/>
        </w:rPr>
      </w:pPr>
    </w:p>
    <w:p w14:paraId="4DCC2ED8" w14:textId="61D62691" w:rsidR="00F276BC" w:rsidRPr="009C19C5" w:rsidRDefault="00506F46" w:rsidP="00E27280">
      <w:pPr>
        <w:pStyle w:val="Heading1"/>
        <w:numPr>
          <w:ilvl w:val="0"/>
          <w:numId w:val="2"/>
        </w:numPr>
        <w:rPr>
          <w:lang w:val="sr-Cyrl-RS"/>
        </w:rPr>
      </w:pPr>
      <w:bookmarkStart w:id="33" w:name="_Toc183082939"/>
      <w:r w:rsidRPr="009C19C5">
        <w:rPr>
          <w:lang w:val="sr-Cyrl-RS"/>
        </w:rPr>
        <w:t xml:space="preserve">АКТИВНОСТИ </w:t>
      </w:r>
      <w:bookmarkEnd w:id="33"/>
    </w:p>
    <w:p w14:paraId="340B48E9" w14:textId="1068E9C9" w:rsidR="00F276BC" w:rsidRPr="009C19C5" w:rsidRDefault="00534C8C" w:rsidP="00345850">
      <w:pPr>
        <w:autoSpaceDE w:val="0"/>
        <w:autoSpaceDN w:val="0"/>
        <w:adjustRightInd w:val="0"/>
        <w:spacing w:after="0" w:line="240" w:lineRule="auto"/>
        <w:ind w:left="90" w:firstLine="63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ППЕТ</w:t>
      </w:r>
      <w:r w:rsidR="000A0E4E" w:rsidRPr="009C19C5">
        <w:rPr>
          <w:rFonts w:ascii="Times New Roman" w:hAnsi="Times New Roman" w:cs="Times New Roman"/>
          <w:sz w:val="24"/>
          <w:szCs w:val="24"/>
          <w:lang w:val="sr-Cyrl-RS"/>
        </w:rPr>
        <w:t xml:space="preserve"> је синтеза социо-економске анализе погођених територија и њихових релативних конкурентских предности и услова, и нуди први преглед развојних потреба за решавање транзиционих изазова, циљева и очекиваних резултата кроз спровођење предложене логике интервенције. Даље је заснован на концепту праведне транзиције ЕБРД, укључујући приступ квалитетној транзицији и Стратегију економског укључивања. </w:t>
      </w:r>
      <w:r w:rsidR="00345850" w:rsidRPr="009C19C5">
        <w:rPr>
          <w:rFonts w:ascii="Times New Roman" w:hAnsi="Times New Roman" w:cs="Times New Roman"/>
          <w:sz w:val="24"/>
          <w:szCs w:val="24"/>
          <w:lang w:val="sr-Cyrl-RS"/>
        </w:rPr>
        <w:t>И</w:t>
      </w:r>
      <w:r w:rsidR="003E5900" w:rsidRPr="009C19C5">
        <w:rPr>
          <w:rFonts w:ascii="Times New Roman" w:hAnsi="Times New Roman" w:cs="Times New Roman"/>
          <w:sz w:val="24"/>
          <w:szCs w:val="24"/>
          <w:lang w:val="sr-Cyrl-RS"/>
        </w:rPr>
        <w:t xml:space="preserve">сходи </w:t>
      </w:r>
      <w:r w:rsidR="000A0E4E" w:rsidRPr="009C19C5">
        <w:rPr>
          <w:rFonts w:ascii="Times New Roman" w:hAnsi="Times New Roman" w:cs="Times New Roman"/>
          <w:sz w:val="24"/>
          <w:szCs w:val="24"/>
          <w:lang w:val="sr-Cyrl-RS"/>
        </w:rPr>
        <w:t>(циљеви) праведне транзиције</w:t>
      </w:r>
      <w:r w:rsidR="00345850" w:rsidRPr="009C19C5">
        <w:rPr>
          <w:rFonts w:ascii="Times New Roman" w:hAnsi="Times New Roman" w:cs="Times New Roman"/>
          <w:sz w:val="24"/>
          <w:szCs w:val="24"/>
          <w:lang w:val="sr-Cyrl-RS"/>
        </w:rPr>
        <w:t xml:space="preserve"> су</w:t>
      </w:r>
      <w:r w:rsidR="000A0E4E" w:rsidRPr="009C19C5">
        <w:rPr>
          <w:rFonts w:ascii="Times New Roman" w:hAnsi="Times New Roman" w:cs="Times New Roman"/>
          <w:sz w:val="24"/>
          <w:szCs w:val="24"/>
          <w:lang w:val="sr-Cyrl-RS"/>
        </w:rPr>
        <w:t xml:space="preserve"> груписани у четири главна стуба</w:t>
      </w:r>
      <w:r w:rsidR="006C4167" w:rsidRPr="009C19C5">
        <w:rPr>
          <w:rFonts w:ascii="Times New Roman" w:hAnsi="Times New Roman" w:cs="Times New Roman"/>
          <w:sz w:val="24"/>
          <w:szCs w:val="24"/>
          <w:lang w:val="sr-Cyrl-RS"/>
        </w:rPr>
        <w:t>:</w:t>
      </w:r>
    </w:p>
    <w:p w14:paraId="2FF8E5F7" w14:textId="1CDEB59D" w:rsidR="00F276BC" w:rsidRPr="009C19C5" w:rsidRDefault="000A0E4E" w:rsidP="00345850">
      <w:pPr>
        <w:numPr>
          <w:ilvl w:val="0"/>
          <w:numId w:val="48"/>
        </w:numPr>
        <w:tabs>
          <w:tab w:val="left" w:pos="990"/>
        </w:tabs>
        <w:spacing w:after="0" w:line="240" w:lineRule="auto"/>
        <w:ind w:left="90" w:firstLine="59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Транзиција зелене енергије и преквалификација постојеће радне снаге рудника и термоелектрана/</w:t>
      </w:r>
      <w:r w:rsidR="003E5900" w:rsidRPr="009C19C5">
        <w:rPr>
          <w:rFonts w:ascii="Times New Roman" w:hAnsi="Times New Roman" w:cs="Times New Roman"/>
          <w:sz w:val="24"/>
          <w:szCs w:val="24"/>
          <w:lang w:val="sr-Cyrl-RS"/>
        </w:rPr>
        <w:t xml:space="preserve"> топлана</w:t>
      </w:r>
      <w:r w:rsidR="00E27280" w:rsidRPr="009C19C5">
        <w:rPr>
          <w:rFonts w:ascii="Times New Roman" w:hAnsi="Times New Roman" w:cs="Times New Roman"/>
          <w:sz w:val="24"/>
          <w:szCs w:val="24"/>
          <w:lang w:val="sr-Cyrl-RS"/>
        </w:rPr>
        <w:t>.</w:t>
      </w:r>
    </w:p>
    <w:p w14:paraId="7A9B0DF8" w14:textId="26EA1211" w:rsidR="00F276BC" w:rsidRPr="009C19C5" w:rsidRDefault="000A0E4E" w:rsidP="008D7F6B">
      <w:pPr>
        <w:numPr>
          <w:ilvl w:val="0"/>
          <w:numId w:val="48"/>
        </w:numPr>
        <w:spacing w:after="0" w:line="240" w:lineRule="auto"/>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 xml:space="preserve">Развој људског капитала – </w:t>
      </w:r>
      <w:r w:rsidR="003E5900" w:rsidRPr="009C19C5">
        <w:rPr>
          <w:rFonts w:ascii="Times New Roman" w:hAnsi="Times New Roman" w:cs="Times New Roman"/>
          <w:sz w:val="24"/>
          <w:szCs w:val="24"/>
          <w:lang w:val="sr-Cyrl-RS"/>
        </w:rPr>
        <w:t>о</w:t>
      </w:r>
      <w:r w:rsidRPr="009C19C5">
        <w:rPr>
          <w:rFonts w:ascii="Times New Roman" w:hAnsi="Times New Roman" w:cs="Times New Roman"/>
          <w:sz w:val="24"/>
          <w:szCs w:val="24"/>
          <w:lang w:val="sr-Cyrl-RS"/>
        </w:rPr>
        <w:t xml:space="preserve">бразовање у циљу подршке транзицији </w:t>
      </w:r>
      <w:r w:rsidR="003E5900" w:rsidRPr="009C19C5">
        <w:rPr>
          <w:rFonts w:ascii="Times New Roman" w:hAnsi="Times New Roman" w:cs="Times New Roman"/>
          <w:sz w:val="24"/>
          <w:szCs w:val="24"/>
          <w:lang w:val="sr-Cyrl-RS"/>
        </w:rPr>
        <w:t xml:space="preserve">ка </w:t>
      </w:r>
      <w:r w:rsidRPr="009C19C5">
        <w:rPr>
          <w:rFonts w:ascii="Times New Roman" w:hAnsi="Times New Roman" w:cs="Times New Roman"/>
          <w:sz w:val="24"/>
          <w:szCs w:val="24"/>
          <w:lang w:val="sr-Cyrl-RS"/>
        </w:rPr>
        <w:t>зелен</w:t>
      </w:r>
      <w:r w:rsidR="003E5900" w:rsidRPr="009C19C5">
        <w:rPr>
          <w:rFonts w:ascii="Times New Roman" w:hAnsi="Times New Roman" w:cs="Times New Roman"/>
          <w:sz w:val="24"/>
          <w:szCs w:val="24"/>
          <w:lang w:val="sr-Cyrl-RS"/>
        </w:rPr>
        <w:t xml:space="preserve">ој </w:t>
      </w:r>
      <w:r w:rsidRPr="009C19C5">
        <w:rPr>
          <w:rFonts w:ascii="Times New Roman" w:hAnsi="Times New Roman" w:cs="Times New Roman"/>
          <w:sz w:val="24"/>
          <w:szCs w:val="24"/>
          <w:lang w:val="sr-Cyrl-RS"/>
        </w:rPr>
        <w:t>економиј</w:t>
      </w:r>
      <w:r w:rsidR="003E5900" w:rsidRPr="009C19C5">
        <w:rPr>
          <w:rFonts w:ascii="Times New Roman" w:hAnsi="Times New Roman" w:cs="Times New Roman"/>
          <w:sz w:val="24"/>
          <w:szCs w:val="24"/>
          <w:lang w:val="sr-Cyrl-RS"/>
        </w:rPr>
        <w:t>и</w:t>
      </w:r>
      <w:r w:rsidR="00E27280" w:rsidRPr="009C19C5">
        <w:rPr>
          <w:rFonts w:ascii="Times New Roman" w:hAnsi="Times New Roman" w:cs="Times New Roman"/>
          <w:sz w:val="24"/>
          <w:szCs w:val="24"/>
          <w:lang w:val="sr-Cyrl-RS"/>
        </w:rPr>
        <w:t>.</w:t>
      </w:r>
    </w:p>
    <w:p w14:paraId="2973C9BF" w14:textId="7CC3DB55" w:rsidR="00F276BC" w:rsidRPr="009C19C5" w:rsidRDefault="000A0E4E" w:rsidP="008D7F6B">
      <w:pPr>
        <w:numPr>
          <w:ilvl w:val="0"/>
          <w:numId w:val="48"/>
        </w:numPr>
        <w:spacing w:after="0" w:line="240" w:lineRule="auto"/>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Диверзификација локалне привреде у погођеним подручјима</w:t>
      </w:r>
      <w:r w:rsidR="00E27280" w:rsidRPr="009C19C5">
        <w:rPr>
          <w:rFonts w:ascii="Times New Roman" w:hAnsi="Times New Roman" w:cs="Times New Roman"/>
          <w:sz w:val="24"/>
          <w:szCs w:val="24"/>
          <w:lang w:val="sr-Cyrl-RS"/>
        </w:rPr>
        <w:t>.</w:t>
      </w:r>
    </w:p>
    <w:p w14:paraId="5A0F7888" w14:textId="64F484C3" w:rsidR="00F276BC" w:rsidRPr="009C19C5" w:rsidRDefault="000A0E4E" w:rsidP="008D7F6B">
      <w:pPr>
        <w:numPr>
          <w:ilvl w:val="0"/>
          <w:numId w:val="48"/>
        </w:numPr>
        <w:spacing w:after="0" w:line="240" w:lineRule="auto"/>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Укључује и управљање читавим процесом</w:t>
      </w:r>
      <w:r w:rsidR="00337A99" w:rsidRPr="009C19C5">
        <w:rPr>
          <w:rFonts w:ascii="Times New Roman" w:hAnsi="Times New Roman" w:cs="Times New Roman"/>
          <w:sz w:val="24"/>
          <w:szCs w:val="24"/>
          <w:lang w:val="sr-Cyrl-RS"/>
        </w:rPr>
        <w:t>.</w:t>
      </w:r>
    </w:p>
    <w:p w14:paraId="1E8FD293" w14:textId="5924C933" w:rsidR="00F276BC" w:rsidRPr="009C19C5" w:rsidRDefault="00BA7CED" w:rsidP="00345850">
      <w:pPr>
        <w:autoSpaceDE w:val="0"/>
        <w:autoSpaceDN w:val="0"/>
        <w:adjustRightInd w:val="0"/>
        <w:spacing w:after="0" w:line="240" w:lineRule="auto"/>
        <w:ind w:firstLine="68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А</w:t>
      </w:r>
      <w:r w:rsidR="000A0E4E" w:rsidRPr="009C19C5">
        <w:rPr>
          <w:rFonts w:ascii="Times New Roman" w:hAnsi="Times New Roman" w:cs="Times New Roman"/>
          <w:sz w:val="24"/>
          <w:szCs w:val="24"/>
          <w:lang w:val="sr-Cyrl-RS"/>
        </w:rPr>
        <w:t xml:space="preserve">ктивности </w:t>
      </w:r>
      <w:r w:rsidRPr="009C19C5">
        <w:rPr>
          <w:rFonts w:ascii="Times New Roman" w:hAnsi="Times New Roman" w:cs="Times New Roman"/>
          <w:sz w:val="24"/>
          <w:szCs w:val="24"/>
          <w:lang w:val="sr-Cyrl-RS"/>
        </w:rPr>
        <w:t xml:space="preserve">су </w:t>
      </w:r>
      <w:r w:rsidR="000A0E4E" w:rsidRPr="009C19C5">
        <w:rPr>
          <w:rFonts w:ascii="Times New Roman" w:hAnsi="Times New Roman" w:cs="Times New Roman"/>
          <w:sz w:val="24"/>
          <w:szCs w:val="24"/>
          <w:lang w:val="sr-Cyrl-RS"/>
        </w:rPr>
        <w:t xml:space="preserve">подељене у </w:t>
      </w:r>
      <w:r w:rsidRPr="009C19C5">
        <w:rPr>
          <w:rFonts w:ascii="Times New Roman" w:hAnsi="Times New Roman" w:cs="Times New Roman"/>
          <w:sz w:val="24"/>
          <w:szCs w:val="24"/>
          <w:lang w:val="sr-Cyrl-RS"/>
        </w:rPr>
        <w:t>следеће групе</w:t>
      </w:r>
      <w:r w:rsidR="000A0E4E" w:rsidRPr="009C19C5">
        <w:rPr>
          <w:rFonts w:ascii="Times New Roman" w:hAnsi="Times New Roman" w:cs="Times New Roman"/>
          <w:sz w:val="24"/>
          <w:szCs w:val="24"/>
          <w:lang w:val="sr-Cyrl-RS"/>
        </w:rPr>
        <w:t>:</w:t>
      </w:r>
    </w:p>
    <w:p w14:paraId="734799FE" w14:textId="77777777" w:rsidR="00CF5588" w:rsidRPr="009C19C5" w:rsidRDefault="00CF5588" w:rsidP="00345850">
      <w:pPr>
        <w:autoSpaceDE w:val="0"/>
        <w:autoSpaceDN w:val="0"/>
        <w:adjustRightInd w:val="0"/>
        <w:spacing w:after="0" w:line="240" w:lineRule="auto"/>
        <w:ind w:firstLine="680"/>
        <w:jc w:val="both"/>
        <w:rPr>
          <w:rFonts w:ascii="Times New Roman" w:hAnsi="Times New Roman" w:cs="Times New Roman"/>
          <w:sz w:val="24"/>
          <w:szCs w:val="24"/>
          <w:lang w:val="sr-Cyrl-RS"/>
        </w:rPr>
      </w:pPr>
    </w:p>
    <w:p w14:paraId="0E8E0ABA" w14:textId="187707DA" w:rsidR="00F276BC" w:rsidRPr="009C19C5" w:rsidRDefault="000A0E4E" w:rsidP="003638FC">
      <w:pPr>
        <w:pStyle w:val="ListParagraph"/>
        <w:numPr>
          <w:ilvl w:val="0"/>
          <w:numId w:val="45"/>
        </w:numPr>
        <w:tabs>
          <w:tab w:val="left" w:pos="990"/>
        </w:tabs>
        <w:autoSpaceDE w:val="0"/>
        <w:autoSpaceDN w:val="0"/>
        <w:adjustRightInd w:val="0"/>
        <w:spacing w:after="0" w:line="240" w:lineRule="auto"/>
        <w:ind w:firstLine="0"/>
        <w:jc w:val="both"/>
        <w:rPr>
          <w:rFonts w:ascii="Times New Roman" w:hAnsi="Times New Roman" w:cs="Times New Roman"/>
          <w:bCs/>
          <w:sz w:val="24"/>
          <w:szCs w:val="24"/>
          <w:lang w:val="sr-Cyrl-RS"/>
        </w:rPr>
      </w:pPr>
      <w:r w:rsidRPr="009C19C5">
        <w:rPr>
          <w:rFonts w:ascii="Times New Roman" w:hAnsi="Times New Roman" w:cs="Times New Roman"/>
          <w:bCs/>
          <w:sz w:val="24"/>
          <w:szCs w:val="24"/>
          <w:lang w:val="sr-Cyrl-RS"/>
        </w:rPr>
        <w:t>Група A: Непосредне активности у циљу ублажавања последица</w:t>
      </w:r>
    </w:p>
    <w:p w14:paraId="7A3E3352" w14:textId="69AFDAF2" w:rsidR="00F276BC" w:rsidRPr="009C19C5" w:rsidRDefault="000A0E4E" w:rsidP="003638FC">
      <w:pPr>
        <w:pStyle w:val="ListParagraph"/>
        <w:autoSpaceDE w:val="0"/>
        <w:autoSpaceDN w:val="0"/>
        <w:adjustRightInd w:val="0"/>
        <w:spacing w:after="0" w:line="240" w:lineRule="auto"/>
        <w:ind w:left="0" w:firstLine="68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Ове активности неопходне су ради ублажавања последица планираног смањења производње електричне енергије засноване на угљ</w:t>
      </w:r>
      <w:r w:rsidR="00286A25" w:rsidRPr="009C19C5">
        <w:rPr>
          <w:rFonts w:ascii="Times New Roman" w:hAnsi="Times New Roman" w:cs="Times New Roman"/>
          <w:sz w:val="24"/>
          <w:szCs w:val="24"/>
          <w:lang w:val="sr-Cyrl-RS"/>
        </w:rPr>
        <w:t>у</w:t>
      </w:r>
      <w:r w:rsidRPr="009C19C5">
        <w:rPr>
          <w:rFonts w:ascii="Times New Roman" w:hAnsi="Times New Roman" w:cs="Times New Roman"/>
          <w:sz w:val="24"/>
          <w:szCs w:val="24"/>
          <w:lang w:val="sr-Cyrl-RS"/>
        </w:rPr>
        <w:t xml:space="preserve">. </w:t>
      </w:r>
      <w:r w:rsidR="003E5900" w:rsidRPr="009C19C5">
        <w:rPr>
          <w:rFonts w:ascii="Times New Roman" w:hAnsi="Times New Roman" w:cs="Times New Roman"/>
          <w:sz w:val="24"/>
          <w:szCs w:val="24"/>
          <w:lang w:val="sr-Cyrl-RS"/>
        </w:rPr>
        <w:t xml:space="preserve">Оне би </w:t>
      </w:r>
      <w:r w:rsidRPr="009C19C5">
        <w:rPr>
          <w:rFonts w:ascii="Times New Roman" w:hAnsi="Times New Roman" w:cs="Times New Roman"/>
          <w:sz w:val="24"/>
          <w:szCs w:val="24"/>
          <w:lang w:val="sr-Cyrl-RS"/>
        </w:rPr>
        <w:t>мора</w:t>
      </w:r>
      <w:r w:rsidR="003E5900" w:rsidRPr="009C19C5">
        <w:rPr>
          <w:rFonts w:ascii="Times New Roman" w:hAnsi="Times New Roman" w:cs="Times New Roman"/>
          <w:sz w:val="24"/>
          <w:szCs w:val="24"/>
          <w:lang w:val="sr-Cyrl-RS"/>
        </w:rPr>
        <w:t xml:space="preserve">ле </w:t>
      </w:r>
      <w:r w:rsidR="003E5900" w:rsidRPr="009C19C5">
        <w:rPr>
          <w:rFonts w:ascii="Times New Roman" w:hAnsi="Times New Roman" w:cs="Times New Roman"/>
          <w:iCs/>
          <w:sz w:val="24"/>
          <w:szCs w:val="24"/>
          <w:lang w:val="sr-Cyrl-RS"/>
        </w:rPr>
        <w:t xml:space="preserve">имати </w:t>
      </w:r>
      <w:r w:rsidRPr="009C19C5">
        <w:rPr>
          <w:rFonts w:ascii="Times New Roman" w:hAnsi="Times New Roman" w:cs="Times New Roman"/>
          <w:sz w:val="24"/>
          <w:szCs w:val="24"/>
          <w:lang w:val="sr-Cyrl-RS"/>
        </w:rPr>
        <w:t xml:space="preserve">приоритет како би се омогућила </w:t>
      </w:r>
      <w:r w:rsidR="003E5900" w:rsidRPr="009C19C5">
        <w:rPr>
          <w:rFonts w:ascii="Times New Roman" w:hAnsi="Times New Roman" w:cs="Times New Roman"/>
          <w:sz w:val="24"/>
          <w:szCs w:val="24"/>
          <w:lang w:val="sr-Cyrl-RS"/>
        </w:rPr>
        <w:t xml:space="preserve"> </w:t>
      </w:r>
      <w:r w:rsidRPr="009C19C5">
        <w:rPr>
          <w:rFonts w:ascii="Times New Roman" w:hAnsi="Times New Roman" w:cs="Times New Roman"/>
          <w:sz w:val="24"/>
          <w:szCs w:val="24"/>
          <w:lang w:val="sr-Cyrl-RS"/>
        </w:rPr>
        <w:t>транзиција.</w:t>
      </w:r>
    </w:p>
    <w:p w14:paraId="1A6F6CFA" w14:textId="77777777" w:rsidR="00CF5588" w:rsidRPr="009C19C5" w:rsidRDefault="00CF5588" w:rsidP="003638FC">
      <w:pPr>
        <w:pStyle w:val="ListParagraph"/>
        <w:autoSpaceDE w:val="0"/>
        <w:autoSpaceDN w:val="0"/>
        <w:adjustRightInd w:val="0"/>
        <w:spacing w:after="0" w:line="240" w:lineRule="auto"/>
        <w:ind w:left="0" w:firstLine="680"/>
        <w:jc w:val="both"/>
        <w:rPr>
          <w:rFonts w:ascii="Times New Roman" w:hAnsi="Times New Roman" w:cs="Times New Roman"/>
          <w:sz w:val="24"/>
          <w:szCs w:val="24"/>
          <w:lang w:val="sr-Cyrl-RS"/>
        </w:rPr>
      </w:pPr>
    </w:p>
    <w:p w14:paraId="3F43C202" w14:textId="09A4B594" w:rsidR="00F276BC" w:rsidRPr="009C19C5" w:rsidRDefault="000A0E4E" w:rsidP="003638FC">
      <w:pPr>
        <w:pStyle w:val="ListParagraph"/>
        <w:numPr>
          <w:ilvl w:val="0"/>
          <w:numId w:val="45"/>
        </w:numPr>
        <w:tabs>
          <w:tab w:val="left" w:pos="990"/>
        </w:tabs>
        <w:autoSpaceDE w:val="0"/>
        <w:autoSpaceDN w:val="0"/>
        <w:adjustRightInd w:val="0"/>
        <w:spacing w:after="0" w:line="240" w:lineRule="auto"/>
        <w:ind w:firstLine="0"/>
        <w:jc w:val="both"/>
        <w:rPr>
          <w:rFonts w:ascii="Times New Roman" w:hAnsi="Times New Roman" w:cs="Times New Roman"/>
          <w:bCs/>
          <w:sz w:val="24"/>
          <w:szCs w:val="24"/>
          <w:lang w:val="sr-Cyrl-RS"/>
        </w:rPr>
      </w:pPr>
      <w:r w:rsidRPr="009C19C5">
        <w:rPr>
          <w:rFonts w:ascii="Times New Roman" w:hAnsi="Times New Roman" w:cs="Times New Roman"/>
          <w:bCs/>
          <w:sz w:val="24"/>
          <w:szCs w:val="24"/>
          <w:lang w:val="sr-Cyrl-RS"/>
        </w:rPr>
        <w:t>Група Б: Будуће активности у циљу праведне транзиције</w:t>
      </w:r>
    </w:p>
    <w:p w14:paraId="542C2E78" w14:textId="213011D6" w:rsidR="00F276BC" w:rsidRPr="009C19C5" w:rsidRDefault="000A0E4E" w:rsidP="00534A78">
      <w:pPr>
        <w:pStyle w:val="ListParagraph"/>
        <w:autoSpaceDE w:val="0"/>
        <w:autoSpaceDN w:val="0"/>
        <w:adjustRightInd w:val="0"/>
        <w:spacing w:after="0" w:line="240" w:lineRule="auto"/>
        <w:ind w:left="0"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 xml:space="preserve">У оквиру ове две групе, активности су даље подељене на националне и локалне, како би се раздвојиле оне  које ће се спроводити широм </w:t>
      </w:r>
      <w:r w:rsidR="007D4593" w:rsidRPr="009C19C5">
        <w:rPr>
          <w:rFonts w:ascii="Times New Roman" w:hAnsi="Times New Roman" w:cs="Times New Roman"/>
          <w:sz w:val="24"/>
          <w:szCs w:val="24"/>
          <w:lang w:val="sr-Cyrl-RS"/>
        </w:rPr>
        <w:t xml:space="preserve">Републике </w:t>
      </w:r>
      <w:r w:rsidRPr="009C19C5">
        <w:rPr>
          <w:rFonts w:ascii="Times New Roman" w:hAnsi="Times New Roman" w:cs="Times New Roman"/>
          <w:sz w:val="24"/>
          <w:szCs w:val="24"/>
          <w:lang w:val="sr-Cyrl-RS"/>
        </w:rPr>
        <w:t>Србије и оне које ће се спроводити само у областима погођеним ефектима познатог или очекиваног смањења рударс</w:t>
      </w:r>
      <w:r w:rsidR="00286A25" w:rsidRPr="009C19C5">
        <w:rPr>
          <w:rFonts w:ascii="Times New Roman" w:hAnsi="Times New Roman" w:cs="Times New Roman"/>
          <w:sz w:val="24"/>
          <w:szCs w:val="24"/>
          <w:lang w:val="sr-Cyrl-RS"/>
        </w:rPr>
        <w:t xml:space="preserve">ких активности </w:t>
      </w:r>
      <w:r w:rsidRPr="009C19C5">
        <w:rPr>
          <w:rFonts w:ascii="Times New Roman" w:hAnsi="Times New Roman" w:cs="Times New Roman"/>
          <w:sz w:val="24"/>
          <w:szCs w:val="24"/>
          <w:lang w:val="sr-Cyrl-RS"/>
        </w:rPr>
        <w:t xml:space="preserve"> и производње електричне енергије на бази угљ</w:t>
      </w:r>
      <w:r w:rsidR="00286A25" w:rsidRPr="009C19C5">
        <w:rPr>
          <w:rFonts w:ascii="Times New Roman" w:hAnsi="Times New Roman" w:cs="Times New Roman"/>
          <w:sz w:val="24"/>
          <w:szCs w:val="24"/>
          <w:lang w:val="sr-Cyrl-RS"/>
        </w:rPr>
        <w:t>а</w:t>
      </w:r>
      <w:r w:rsidRPr="009C19C5">
        <w:rPr>
          <w:rFonts w:ascii="Times New Roman" w:hAnsi="Times New Roman" w:cs="Times New Roman"/>
          <w:sz w:val="24"/>
          <w:szCs w:val="24"/>
          <w:lang w:val="sr-Cyrl-RS"/>
        </w:rPr>
        <w:t xml:space="preserve">. </w:t>
      </w:r>
    </w:p>
    <w:p w14:paraId="3DFF8A3C" w14:textId="441F38E7" w:rsidR="00F276BC" w:rsidRPr="009C19C5" w:rsidRDefault="000A0E4E" w:rsidP="00534A78">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 xml:space="preserve">Било која од локалних акција могла би се спровести на непосредно погођеним територијама пре 2030. године као </w:t>
      </w:r>
      <w:r w:rsidRPr="009C19C5">
        <w:rPr>
          <w:rFonts w:ascii="Times New Roman" w:hAnsi="Times New Roman" w:cs="Times New Roman"/>
          <w:bCs/>
          <w:sz w:val="24"/>
          <w:szCs w:val="24"/>
          <w:lang w:val="sr-Cyrl-RS"/>
        </w:rPr>
        <w:t>пилот пројекат</w:t>
      </w:r>
      <w:r w:rsidRPr="009C19C5">
        <w:rPr>
          <w:rFonts w:ascii="Times New Roman" w:hAnsi="Times New Roman" w:cs="Times New Roman"/>
          <w:sz w:val="24"/>
          <w:szCs w:val="24"/>
          <w:lang w:val="sr-Cyrl-RS"/>
        </w:rPr>
        <w:t xml:space="preserve">. </w:t>
      </w:r>
    </w:p>
    <w:p w14:paraId="4AA04E82" w14:textId="1F351F75" w:rsidR="0006193A" w:rsidRPr="009C19C5" w:rsidRDefault="0006193A" w:rsidP="00534A78">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Иако ове групе олакшавају постављање циљева и планирање, све активности треба разматрати у оквиру јединственог интегрисаног оквира. Овај приступ представља комплементарност и синергију за праведну транзицију у различитим временским оквирима.</w:t>
      </w:r>
    </w:p>
    <w:p w14:paraId="7BD45BC6" w14:textId="2C0470F9" w:rsidR="00F276BC" w:rsidRPr="009C19C5" w:rsidRDefault="00DD2828" w:rsidP="00DD2828">
      <w:pPr>
        <w:autoSpaceDE w:val="0"/>
        <w:autoSpaceDN w:val="0"/>
        <w:adjustRightInd w:val="0"/>
        <w:spacing w:before="120" w:after="0" w:line="240" w:lineRule="auto"/>
        <w:ind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 xml:space="preserve">У </w:t>
      </w:r>
      <w:r w:rsidR="000A0E4E" w:rsidRPr="009C19C5">
        <w:rPr>
          <w:rFonts w:ascii="Times New Roman" w:hAnsi="Times New Roman" w:cs="Times New Roman"/>
          <w:sz w:val="24"/>
          <w:szCs w:val="24"/>
          <w:lang w:val="sr-Cyrl-RS"/>
        </w:rPr>
        <w:t xml:space="preserve">доношењу одлука на основу процена </w:t>
      </w:r>
      <w:r w:rsidR="003E41EA" w:rsidRPr="009C19C5">
        <w:rPr>
          <w:rFonts w:ascii="Times New Roman" w:hAnsi="Times New Roman" w:cs="Times New Roman"/>
          <w:sz w:val="24"/>
          <w:szCs w:val="24"/>
          <w:lang w:val="sr-Cyrl-RS"/>
        </w:rPr>
        <w:t xml:space="preserve">о </w:t>
      </w:r>
      <w:r w:rsidR="000A0E4E" w:rsidRPr="009C19C5">
        <w:rPr>
          <w:rFonts w:ascii="Times New Roman" w:hAnsi="Times New Roman" w:cs="Times New Roman"/>
          <w:sz w:val="24"/>
          <w:szCs w:val="24"/>
          <w:lang w:val="sr-Cyrl-RS"/>
        </w:rPr>
        <w:t>неопходн</w:t>
      </w:r>
      <w:r w:rsidR="003E41EA" w:rsidRPr="009C19C5">
        <w:rPr>
          <w:rFonts w:ascii="Times New Roman" w:hAnsi="Times New Roman" w:cs="Times New Roman"/>
          <w:sz w:val="24"/>
          <w:szCs w:val="24"/>
          <w:lang w:val="sr-Cyrl-RS"/>
        </w:rPr>
        <w:t>ој</w:t>
      </w:r>
      <w:r w:rsidR="00D00552" w:rsidRPr="009C19C5">
        <w:rPr>
          <w:rFonts w:ascii="Times New Roman" w:hAnsi="Times New Roman" w:cs="Times New Roman"/>
          <w:sz w:val="24"/>
          <w:szCs w:val="24"/>
          <w:lang w:val="sr-Cyrl-RS"/>
        </w:rPr>
        <w:t xml:space="preserve"> </w:t>
      </w:r>
      <w:r w:rsidR="000A0E4E" w:rsidRPr="009C19C5">
        <w:rPr>
          <w:rFonts w:ascii="Times New Roman" w:hAnsi="Times New Roman" w:cs="Times New Roman"/>
          <w:sz w:val="24"/>
          <w:szCs w:val="24"/>
          <w:lang w:val="sr-Cyrl-RS"/>
        </w:rPr>
        <w:t>инфраструктур</w:t>
      </w:r>
      <w:r w:rsidR="003E41EA" w:rsidRPr="009C19C5">
        <w:rPr>
          <w:rFonts w:ascii="Times New Roman" w:hAnsi="Times New Roman" w:cs="Times New Roman"/>
          <w:sz w:val="24"/>
          <w:szCs w:val="24"/>
          <w:lang w:val="sr-Cyrl-RS"/>
        </w:rPr>
        <w:t xml:space="preserve">и </w:t>
      </w:r>
      <w:r w:rsidR="000A0E4E" w:rsidRPr="009C19C5">
        <w:rPr>
          <w:rFonts w:ascii="Times New Roman" w:hAnsi="Times New Roman" w:cs="Times New Roman"/>
          <w:sz w:val="24"/>
          <w:szCs w:val="24"/>
          <w:lang w:val="sr-Cyrl-RS"/>
        </w:rPr>
        <w:t>и интервенција</w:t>
      </w:r>
      <w:r w:rsidR="003E41EA" w:rsidRPr="009C19C5">
        <w:rPr>
          <w:rFonts w:ascii="Times New Roman" w:hAnsi="Times New Roman" w:cs="Times New Roman"/>
          <w:sz w:val="24"/>
          <w:szCs w:val="24"/>
          <w:lang w:val="sr-Cyrl-RS"/>
        </w:rPr>
        <w:t>ма</w:t>
      </w:r>
      <w:r w:rsidRPr="009C19C5">
        <w:rPr>
          <w:rFonts w:ascii="Times New Roman" w:hAnsi="Times New Roman" w:cs="Times New Roman"/>
          <w:sz w:val="24"/>
          <w:szCs w:val="24"/>
          <w:lang w:val="sr-Cyrl-RS"/>
        </w:rPr>
        <w:t xml:space="preserve"> примењују се следећи принципи</w:t>
      </w:r>
      <w:r w:rsidR="000A0E4E" w:rsidRPr="009C19C5">
        <w:rPr>
          <w:rFonts w:ascii="Times New Roman" w:hAnsi="Times New Roman" w:cs="Times New Roman"/>
          <w:sz w:val="24"/>
          <w:szCs w:val="24"/>
          <w:lang w:val="sr-Cyrl-RS"/>
        </w:rPr>
        <w:t xml:space="preserve">: </w:t>
      </w:r>
    </w:p>
    <w:p w14:paraId="1CD1A987" w14:textId="1866FD56" w:rsidR="00F276BC" w:rsidRPr="009C19C5" w:rsidRDefault="000A0E4E" w:rsidP="00DD2828">
      <w:pPr>
        <w:pStyle w:val="ListParagraph"/>
        <w:numPr>
          <w:ilvl w:val="0"/>
          <w:numId w:val="12"/>
        </w:numPr>
        <w:tabs>
          <w:tab w:val="left" w:pos="990"/>
        </w:tabs>
        <w:autoSpaceDE w:val="0"/>
        <w:autoSpaceDN w:val="0"/>
        <w:adjustRightInd w:val="0"/>
        <w:spacing w:after="0" w:line="240" w:lineRule="auto"/>
        <w:ind w:left="0"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 xml:space="preserve">Одлуке о инвестирању у јавну инфраструктуру ускладиће се са политикама и стратегијама које </w:t>
      </w:r>
      <w:r w:rsidR="00DD2828" w:rsidRPr="009C19C5">
        <w:rPr>
          <w:rFonts w:ascii="Times New Roman" w:hAnsi="Times New Roman" w:cs="Times New Roman"/>
          <w:sz w:val="24"/>
          <w:szCs w:val="24"/>
          <w:lang w:val="sr-Cyrl-RS"/>
        </w:rPr>
        <w:t>доноси</w:t>
      </w:r>
      <w:r w:rsidRPr="009C19C5">
        <w:rPr>
          <w:rFonts w:ascii="Times New Roman" w:hAnsi="Times New Roman" w:cs="Times New Roman"/>
          <w:sz w:val="24"/>
          <w:szCs w:val="24"/>
          <w:lang w:val="sr-Cyrl-RS"/>
        </w:rPr>
        <w:t xml:space="preserve"> </w:t>
      </w:r>
      <w:r w:rsidR="003E41EA" w:rsidRPr="009C19C5">
        <w:rPr>
          <w:rFonts w:ascii="Times New Roman" w:hAnsi="Times New Roman" w:cs="Times New Roman"/>
          <w:sz w:val="24"/>
          <w:szCs w:val="24"/>
          <w:lang w:val="sr-Cyrl-RS"/>
        </w:rPr>
        <w:t>В</w:t>
      </w:r>
      <w:r w:rsidRPr="009C19C5">
        <w:rPr>
          <w:rFonts w:ascii="Times New Roman" w:hAnsi="Times New Roman" w:cs="Times New Roman"/>
          <w:sz w:val="24"/>
          <w:szCs w:val="24"/>
          <w:lang w:val="sr-Cyrl-RS"/>
        </w:rPr>
        <w:t xml:space="preserve">лада, као што су </w:t>
      </w:r>
      <w:r w:rsidR="003E41EA" w:rsidRPr="009C19C5">
        <w:rPr>
          <w:rFonts w:ascii="Times New Roman" w:hAnsi="Times New Roman" w:cs="Times New Roman"/>
          <w:sz w:val="24"/>
          <w:szCs w:val="24"/>
          <w:lang w:val="sr-Cyrl-RS"/>
        </w:rPr>
        <w:t>И</w:t>
      </w:r>
      <w:r w:rsidRPr="009C19C5">
        <w:rPr>
          <w:rFonts w:ascii="Times New Roman" w:hAnsi="Times New Roman" w:cs="Times New Roman"/>
          <w:sz w:val="24"/>
          <w:szCs w:val="24"/>
          <w:lang w:val="sr-Cyrl-RS"/>
        </w:rPr>
        <w:t>НЕКП, Стратегиј</w:t>
      </w:r>
      <w:r w:rsidR="003E41EA" w:rsidRPr="009C19C5">
        <w:rPr>
          <w:rFonts w:ascii="Times New Roman" w:hAnsi="Times New Roman" w:cs="Times New Roman"/>
          <w:sz w:val="24"/>
          <w:szCs w:val="24"/>
          <w:lang w:val="sr-Cyrl-RS"/>
        </w:rPr>
        <w:t>а развоја енергетике</w:t>
      </w:r>
      <w:r w:rsidRPr="009C19C5">
        <w:rPr>
          <w:rFonts w:ascii="Times New Roman" w:hAnsi="Times New Roman" w:cs="Times New Roman"/>
          <w:sz w:val="24"/>
          <w:szCs w:val="24"/>
          <w:lang w:val="sr-Cyrl-RS"/>
        </w:rPr>
        <w:t xml:space="preserve">, локални економски планови, </w:t>
      </w:r>
      <w:r w:rsidR="00DD2828" w:rsidRPr="009C19C5">
        <w:rPr>
          <w:rFonts w:ascii="Times New Roman" w:hAnsi="Times New Roman" w:cs="Times New Roman"/>
          <w:sz w:val="24"/>
          <w:szCs w:val="24"/>
          <w:lang w:val="sr-Cyrl-RS"/>
        </w:rPr>
        <w:t>и</w:t>
      </w:r>
      <w:r w:rsidR="00E04C56" w:rsidRPr="009C19C5">
        <w:rPr>
          <w:rFonts w:ascii="Times New Roman" w:hAnsi="Times New Roman" w:cs="Times New Roman"/>
          <w:sz w:val="24"/>
          <w:szCs w:val="24"/>
          <w:lang w:val="sr-Cyrl-RS"/>
        </w:rPr>
        <w:t xml:space="preserve"> </w:t>
      </w:r>
      <w:r w:rsidR="00DD2828" w:rsidRPr="009C19C5">
        <w:rPr>
          <w:rFonts w:ascii="Times New Roman" w:hAnsi="Times New Roman" w:cs="Times New Roman"/>
          <w:sz w:val="24"/>
          <w:szCs w:val="24"/>
          <w:lang w:val="sr-Cyrl-RS"/>
        </w:rPr>
        <w:t>др</w:t>
      </w:r>
      <w:r w:rsidRPr="009C19C5">
        <w:rPr>
          <w:rFonts w:ascii="Times New Roman" w:hAnsi="Times New Roman" w:cs="Times New Roman"/>
          <w:sz w:val="24"/>
          <w:szCs w:val="24"/>
          <w:lang w:val="sr-Cyrl-RS"/>
        </w:rPr>
        <w:t>.</w:t>
      </w:r>
    </w:p>
    <w:p w14:paraId="3261576B" w14:textId="0B5765F7" w:rsidR="00F276BC" w:rsidRPr="009C19C5" w:rsidRDefault="000A0E4E" w:rsidP="00DD2828">
      <w:pPr>
        <w:pStyle w:val="ListParagraph"/>
        <w:numPr>
          <w:ilvl w:val="0"/>
          <w:numId w:val="12"/>
        </w:numPr>
        <w:tabs>
          <w:tab w:val="left" w:pos="990"/>
        </w:tabs>
        <w:autoSpaceDE w:val="0"/>
        <w:autoSpaceDN w:val="0"/>
        <w:adjustRightInd w:val="0"/>
        <w:spacing w:after="0" w:line="240" w:lineRule="auto"/>
        <w:ind w:left="0"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 xml:space="preserve">Инфраструктура може ефикасно да реши неке проблеме социјалне инклузије, </w:t>
      </w:r>
      <w:r w:rsidR="00380FFB" w:rsidRPr="009C19C5">
        <w:rPr>
          <w:rFonts w:ascii="Times New Roman" w:hAnsi="Times New Roman" w:cs="Times New Roman"/>
          <w:sz w:val="24"/>
          <w:szCs w:val="24"/>
          <w:lang w:val="sr-Cyrl-RS"/>
        </w:rPr>
        <w:t xml:space="preserve">а </w:t>
      </w:r>
      <w:r w:rsidRPr="009C19C5">
        <w:rPr>
          <w:rFonts w:ascii="Times New Roman" w:hAnsi="Times New Roman" w:cs="Times New Roman"/>
          <w:sz w:val="24"/>
          <w:szCs w:val="24"/>
          <w:lang w:val="sr-Cyrl-RS"/>
        </w:rPr>
        <w:t xml:space="preserve">предлажу </w:t>
      </w:r>
      <w:r w:rsidR="00380FFB" w:rsidRPr="009C19C5">
        <w:rPr>
          <w:rFonts w:ascii="Times New Roman" w:hAnsi="Times New Roman" w:cs="Times New Roman"/>
          <w:sz w:val="24"/>
          <w:szCs w:val="24"/>
          <w:lang w:val="sr-Cyrl-RS"/>
        </w:rPr>
        <w:t xml:space="preserve">се и </w:t>
      </w:r>
      <w:r w:rsidRPr="009C19C5">
        <w:rPr>
          <w:rFonts w:ascii="Times New Roman" w:hAnsi="Times New Roman" w:cs="Times New Roman"/>
          <w:sz w:val="24"/>
          <w:szCs w:val="24"/>
          <w:lang w:val="sr-Cyrl-RS"/>
        </w:rPr>
        <w:t>циљане нематеријалне интервенције. Све активности имају приоритет на основу утицаја транзиције на директно и индиректно погођено становништво.</w:t>
      </w:r>
    </w:p>
    <w:p w14:paraId="5B636043" w14:textId="27E04C07" w:rsidR="00F276BC" w:rsidRPr="009C19C5" w:rsidRDefault="000A0E4E" w:rsidP="00DD2828">
      <w:pPr>
        <w:pStyle w:val="ListParagraph"/>
        <w:numPr>
          <w:ilvl w:val="0"/>
          <w:numId w:val="12"/>
        </w:numPr>
        <w:tabs>
          <w:tab w:val="left" w:pos="990"/>
        </w:tabs>
        <w:autoSpaceDE w:val="0"/>
        <w:autoSpaceDN w:val="0"/>
        <w:adjustRightInd w:val="0"/>
        <w:spacing w:after="0" w:line="240" w:lineRule="auto"/>
        <w:ind w:left="0"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Прилагођеност сврси, приступачност и приуштивост су кључни чиниоци у процесу процене за избор активности.</w:t>
      </w:r>
    </w:p>
    <w:p w14:paraId="0E70D39E" w14:textId="62D17126" w:rsidR="00F276BC" w:rsidRPr="009C19C5" w:rsidRDefault="000A0E4E" w:rsidP="00DD2828">
      <w:pPr>
        <w:pStyle w:val="ListParagraph"/>
        <w:numPr>
          <w:ilvl w:val="0"/>
          <w:numId w:val="12"/>
        </w:numPr>
        <w:tabs>
          <w:tab w:val="left" w:pos="990"/>
        </w:tabs>
        <w:autoSpaceDE w:val="0"/>
        <w:autoSpaceDN w:val="0"/>
        <w:adjustRightInd w:val="0"/>
        <w:spacing w:after="0" w:line="240" w:lineRule="auto"/>
        <w:ind w:left="0"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Појединци, предузећа и заједница морају имати капацитет, способност и вољу да приступе/подрже интервенције.</w:t>
      </w:r>
    </w:p>
    <w:p w14:paraId="19730FBF" w14:textId="77777777" w:rsidR="00F276BC" w:rsidRPr="009C19C5" w:rsidRDefault="000A0E4E" w:rsidP="00DD2828">
      <w:pPr>
        <w:pStyle w:val="ListParagraph"/>
        <w:numPr>
          <w:ilvl w:val="0"/>
          <w:numId w:val="12"/>
        </w:numPr>
        <w:tabs>
          <w:tab w:val="left" w:pos="990"/>
        </w:tabs>
        <w:autoSpaceDE w:val="0"/>
        <w:autoSpaceDN w:val="0"/>
        <w:adjustRightInd w:val="0"/>
        <w:spacing w:after="0" w:line="240" w:lineRule="auto"/>
        <w:ind w:left="0"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Флексибилност да се одговори на сложену и променљиву природу утицаја услед транзиције према предвиђеном распореду.</w:t>
      </w:r>
    </w:p>
    <w:p w14:paraId="6E2FC077" w14:textId="77777777" w:rsidR="00F276BC" w:rsidRPr="009C19C5" w:rsidRDefault="000A0E4E" w:rsidP="00DD2828">
      <w:pPr>
        <w:pStyle w:val="ListParagraph"/>
        <w:numPr>
          <w:ilvl w:val="0"/>
          <w:numId w:val="12"/>
        </w:numPr>
        <w:tabs>
          <w:tab w:val="left" w:pos="990"/>
        </w:tabs>
        <w:autoSpaceDE w:val="0"/>
        <w:autoSpaceDN w:val="0"/>
        <w:adjustRightInd w:val="0"/>
        <w:spacing w:after="0" w:line="240" w:lineRule="auto"/>
        <w:ind w:left="0"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Улагања у инфраструктуру треба да искористе компаративне предности предузећа која послују у региону и подрже она за која је потребно да трансформишу своје активности како би испунили свој потенцијал за будући раст.</w:t>
      </w:r>
    </w:p>
    <w:p w14:paraId="5366F20F" w14:textId="4E8E9387" w:rsidR="00F276BC" w:rsidRPr="009C19C5" w:rsidRDefault="000A0E4E" w:rsidP="00534A78">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Кључни захтев методологије је идентификација могућности и препрека које су у вези са локалним економским и друштвеним развојем и потреб</w:t>
      </w:r>
      <w:r w:rsidR="00DD2828" w:rsidRPr="009C19C5">
        <w:rPr>
          <w:rFonts w:ascii="Times New Roman" w:hAnsi="Times New Roman" w:cs="Times New Roman"/>
          <w:sz w:val="24"/>
          <w:szCs w:val="24"/>
          <w:lang w:val="sr-Cyrl-RS"/>
        </w:rPr>
        <w:t>ама</w:t>
      </w:r>
      <w:r w:rsidRPr="009C19C5">
        <w:rPr>
          <w:rFonts w:ascii="Times New Roman" w:hAnsi="Times New Roman" w:cs="Times New Roman"/>
          <w:sz w:val="24"/>
          <w:szCs w:val="24"/>
          <w:lang w:val="sr-Cyrl-RS"/>
        </w:rPr>
        <w:t xml:space="preserve"> имајући у виду </w:t>
      </w:r>
      <w:r w:rsidR="00DD2828" w:rsidRPr="009C19C5">
        <w:rPr>
          <w:rFonts w:ascii="Times New Roman" w:hAnsi="Times New Roman" w:cs="Times New Roman"/>
          <w:sz w:val="24"/>
          <w:szCs w:val="24"/>
          <w:lang w:val="sr-Cyrl-RS"/>
        </w:rPr>
        <w:t>допринос или утицај</w:t>
      </w:r>
      <w:r w:rsidRPr="009C19C5">
        <w:rPr>
          <w:rFonts w:ascii="Times New Roman" w:hAnsi="Times New Roman" w:cs="Times New Roman"/>
          <w:sz w:val="24"/>
          <w:szCs w:val="24"/>
          <w:lang w:val="sr-Cyrl-RS"/>
        </w:rPr>
        <w:t xml:space="preserve"> </w:t>
      </w:r>
      <w:r w:rsidRPr="009C19C5">
        <w:rPr>
          <w:rFonts w:ascii="Times New Roman" w:hAnsi="Times New Roman" w:cs="Times New Roman"/>
          <w:sz w:val="24"/>
          <w:szCs w:val="24"/>
          <w:lang w:val="sr-Cyrl-RS"/>
        </w:rPr>
        <w:lastRenderedPageBreak/>
        <w:t xml:space="preserve">транзиције на </w:t>
      </w:r>
      <w:r w:rsidR="00DD2828" w:rsidRPr="009C19C5">
        <w:rPr>
          <w:rFonts w:ascii="Times New Roman" w:hAnsi="Times New Roman" w:cs="Times New Roman"/>
          <w:sz w:val="24"/>
          <w:szCs w:val="24"/>
          <w:lang w:val="sr-Cyrl-RS"/>
        </w:rPr>
        <w:t xml:space="preserve">остварење </w:t>
      </w:r>
      <w:r w:rsidRPr="009C19C5">
        <w:rPr>
          <w:rFonts w:ascii="Times New Roman" w:hAnsi="Times New Roman" w:cs="Times New Roman"/>
          <w:sz w:val="24"/>
          <w:szCs w:val="24"/>
          <w:lang w:val="sr-Cyrl-RS"/>
        </w:rPr>
        <w:t>климатски неутралн</w:t>
      </w:r>
      <w:r w:rsidR="00DD2828" w:rsidRPr="009C19C5">
        <w:rPr>
          <w:rFonts w:ascii="Times New Roman" w:hAnsi="Times New Roman" w:cs="Times New Roman"/>
          <w:sz w:val="24"/>
          <w:szCs w:val="24"/>
          <w:lang w:val="sr-Cyrl-RS"/>
        </w:rPr>
        <w:t>е</w:t>
      </w:r>
      <w:r w:rsidRPr="009C19C5">
        <w:rPr>
          <w:rFonts w:ascii="Times New Roman" w:hAnsi="Times New Roman" w:cs="Times New Roman"/>
          <w:sz w:val="24"/>
          <w:szCs w:val="24"/>
          <w:lang w:val="sr-Cyrl-RS"/>
        </w:rPr>
        <w:t xml:space="preserve"> економиј</w:t>
      </w:r>
      <w:r w:rsidR="00DD2828" w:rsidRPr="009C19C5">
        <w:rPr>
          <w:rFonts w:ascii="Times New Roman" w:hAnsi="Times New Roman" w:cs="Times New Roman"/>
          <w:sz w:val="24"/>
          <w:szCs w:val="24"/>
          <w:lang w:val="sr-Cyrl-RS"/>
        </w:rPr>
        <w:t>е</w:t>
      </w:r>
      <w:r w:rsidRPr="009C19C5">
        <w:rPr>
          <w:rFonts w:ascii="Times New Roman" w:hAnsi="Times New Roman" w:cs="Times New Roman"/>
          <w:sz w:val="24"/>
          <w:szCs w:val="24"/>
          <w:lang w:val="sr-Cyrl-RS"/>
        </w:rPr>
        <w:t>, као и</w:t>
      </w:r>
      <w:r w:rsidR="00380FFB" w:rsidRPr="009C19C5">
        <w:rPr>
          <w:rFonts w:ascii="Times New Roman" w:hAnsi="Times New Roman" w:cs="Times New Roman"/>
          <w:sz w:val="24"/>
          <w:szCs w:val="24"/>
          <w:lang w:val="sr-Cyrl-RS"/>
        </w:rPr>
        <w:t xml:space="preserve"> на</w:t>
      </w:r>
      <w:r w:rsidRPr="009C19C5">
        <w:rPr>
          <w:rFonts w:ascii="Times New Roman" w:hAnsi="Times New Roman" w:cs="Times New Roman"/>
          <w:sz w:val="24"/>
          <w:szCs w:val="24"/>
          <w:lang w:val="sr-Cyrl-RS"/>
        </w:rPr>
        <w:t xml:space="preserve"> економски раст предузећа која имају потенцијал за ра</w:t>
      </w:r>
      <w:r w:rsidR="00DD2828" w:rsidRPr="009C19C5">
        <w:rPr>
          <w:rFonts w:ascii="Times New Roman" w:hAnsi="Times New Roman" w:cs="Times New Roman"/>
          <w:sz w:val="24"/>
          <w:szCs w:val="24"/>
          <w:lang w:val="sr-Cyrl-RS"/>
        </w:rPr>
        <w:t>звој</w:t>
      </w:r>
      <w:r w:rsidRPr="009C19C5">
        <w:rPr>
          <w:rFonts w:ascii="Times New Roman" w:hAnsi="Times New Roman" w:cs="Times New Roman"/>
          <w:sz w:val="24"/>
          <w:szCs w:val="24"/>
          <w:lang w:val="sr-Cyrl-RS"/>
        </w:rPr>
        <w:t xml:space="preserve"> у блиској будућности. </w:t>
      </w:r>
    </w:p>
    <w:p w14:paraId="2F610457" w14:textId="6F501551" w:rsidR="00F276BC" w:rsidRPr="009C19C5" w:rsidRDefault="000A0E4E" w:rsidP="00DD2828">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 xml:space="preserve">На основу наведеног приступа, </w:t>
      </w:r>
      <w:r w:rsidR="004F3B10" w:rsidRPr="009C19C5">
        <w:rPr>
          <w:rFonts w:ascii="Times New Roman" w:hAnsi="Times New Roman" w:cs="Times New Roman"/>
          <w:sz w:val="24"/>
          <w:szCs w:val="24"/>
          <w:lang w:val="sr-Cyrl-RS"/>
        </w:rPr>
        <w:t xml:space="preserve">одлука о укључивању конкретних </w:t>
      </w:r>
      <w:r w:rsidRPr="009C19C5">
        <w:rPr>
          <w:rFonts w:ascii="Times New Roman" w:hAnsi="Times New Roman" w:cs="Times New Roman"/>
          <w:sz w:val="24"/>
          <w:szCs w:val="24"/>
          <w:lang w:val="sr-Cyrl-RS"/>
        </w:rPr>
        <w:t>активности</w:t>
      </w:r>
      <w:r w:rsidR="00DD2828" w:rsidRPr="009C19C5">
        <w:rPr>
          <w:rFonts w:ascii="Times New Roman" w:hAnsi="Times New Roman" w:cs="Times New Roman"/>
          <w:sz w:val="24"/>
          <w:szCs w:val="24"/>
          <w:lang w:val="sr-Cyrl-RS"/>
        </w:rPr>
        <w:t xml:space="preserve"> </w:t>
      </w:r>
      <w:r w:rsidRPr="009C19C5">
        <w:rPr>
          <w:rFonts w:ascii="Times New Roman" w:hAnsi="Times New Roman" w:cs="Times New Roman"/>
          <w:sz w:val="24"/>
          <w:szCs w:val="24"/>
          <w:lang w:val="sr-Cyrl-RS"/>
        </w:rPr>
        <w:t xml:space="preserve">у </w:t>
      </w:r>
      <w:r w:rsidR="00534C8C" w:rsidRPr="009C19C5">
        <w:rPr>
          <w:rFonts w:ascii="Times New Roman" w:hAnsi="Times New Roman" w:cs="Times New Roman"/>
          <w:sz w:val="24"/>
          <w:szCs w:val="24"/>
          <w:lang w:val="sr-Cyrl-RS"/>
        </w:rPr>
        <w:t>ППЕТ</w:t>
      </w:r>
      <w:r w:rsidRPr="009C19C5">
        <w:rPr>
          <w:rFonts w:ascii="Times New Roman" w:hAnsi="Times New Roman" w:cs="Times New Roman"/>
          <w:sz w:val="24"/>
          <w:szCs w:val="24"/>
          <w:lang w:val="sr-Cyrl-RS"/>
        </w:rPr>
        <w:t xml:space="preserve"> </w:t>
      </w:r>
      <w:r w:rsidR="004F3B10" w:rsidRPr="009C19C5">
        <w:rPr>
          <w:rFonts w:ascii="Times New Roman" w:hAnsi="Times New Roman" w:cs="Times New Roman"/>
          <w:sz w:val="24"/>
          <w:szCs w:val="24"/>
          <w:lang w:val="sr-Cyrl-RS"/>
        </w:rPr>
        <w:t>је донета</w:t>
      </w:r>
      <w:r w:rsidR="00DD2828" w:rsidRPr="009C19C5">
        <w:rPr>
          <w:rFonts w:ascii="Times New Roman" w:hAnsi="Times New Roman" w:cs="Times New Roman"/>
          <w:sz w:val="24"/>
          <w:szCs w:val="24"/>
          <w:lang w:val="sr-Cyrl-RS"/>
        </w:rPr>
        <w:t xml:space="preserve"> </w:t>
      </w:r>
      <w:r w:rsidRPr="009C19C5">
        <w:rPr>
          <w:rFonts w:ascii="Times New Roman" w:hAnsi="Times New Roman" w:cs="Times New Roman"/>
          <w:sz w:val="24"/>
          <w:szCs w:val="24"/>
          <w:lang w:val="sr-Cyrl-RS"/>
        </w:rPr>
        <w:t>на основу следећих фактора:</w:t>
      </w:r>
    </w:p>
    <w:p w14:paraId="37F03DBF" w14:textId="5F7ED62D" w:rsidR="00F276BC" w:rsidRPr="009C19C5" w:rsidRDefault="000A0E4E" w:rsidP="00DD2828">
      <w:pPr>
        <w:pStyle w:val="ListParagraph"/>
        <w:numPr>
          <w:ilvl w:val="0"/>
          <w:numId w:val="13"/>
        </w:numPr>
        <w:tabs>
          <w:tab w:val="left" w:pos="990"/>
        </w:tabs>
        <w:autoSpaceDE w:val="0"/>
        <w:autoSpaceDN w:val="0"/>
        <w:adjustRightInd w:val="0"/>
        <w:spacing w:after="0" w:line="240" w:lineRule="auto"/>
        <w:ind w:left="0"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 xml:space="preserve">Географског положаја погођених области и близине ширем београдском тржишту на ком </w:t>
      </w:r>
      <w:r w:rsidR="00380FFB" w:rsidRPr="009C19C5">
        <w:rPr>
          <w:rFonts w:ascii="Times New Roman" w:hAnsi="Times New Roman" w:cs="Times New Roman"/>
          <w:sz w:val="24"/>
          <w:szCs w:val="24"/>
          <w:lang w:val="sr-Cyrl-RS"/>
        </w:rPr>
        <w:t xml:space="preserve">је </w:t>
      </w:r>
      <w:r w:rsidRPr="009C19C5">
        <w:rPr>
          <w:rFonts w:ascii="Times New Roman" w:hAnsi="Times New Roman" w:cs="Times New Roman"/>
          <w:sz w:val="24"/>
          <w:szCs w:val="24"/>
          <w:lang w:val="sr-Cyrl-RS"/>
        </w:rPr>
        <w:t>мо</w:t>
      </w:r>
      <w:r w:rsidR="00380FFB" w:rsidRPr="009C19C5">
        <w:rPr>
          <w:rFonts w:ascii="Times New Roman" w:hAnsi="Times New Roman" w:cs="Times New Roman"/>
          <w:sz w:val="24"/>
          <w:szCs w:val="24"/>
          <w:lang w:val="sr-Cyrl-RS"/>
        </w:rPr>
        <w:t xml:space="preserve">гућа </w:t>
      </w:r>
      <w:r w:rsidRPr="009C19C5">
        <w:rPr>
          <w:rFonts w:ascii="Times New Roman" w:hAnsi="Times New Roman" w:cs="Times New Roman"/>
          <w:sz w:val="24"/>
          <w:szCs w:val="24"/>
          <w:lang w:val="sr-Cyrl-RS"/>
        </w:rPr>
        <w:t>трговин</w:t>
      </w:r>
      <w:r w:rsidR="00380FFB" w:rsidRPr="009C19C5">
        <w:rPr>
          <w:rFonts w:ascii="Times New Roman" w:hAnsi="Times New Roman" w:cs="Times New Roman"/>
          <w:sz w:val="24"/>
          <w:szCs w:val="24"/>
          <w:lang w:val="sr-Cyrl-RS"/>
        </w:rPr>
        <w:t>а</w:t>
      </w:r>
      <w:r w:rsidRPr="009C19C5">
        <w:rPr>
          <w:rFonts w:ascii="Times New Roman" w:hAnsi="Times New Roman" w:cs="Times New Roman"/>
          <w:sz w:val="24"/>
          <w:szCs w:val="24"/>
          <w:lang w:val="sr-Cyrl-RS"/>
        </w:rPr>
        <w:t xml:space="preserve"> робама и услугама</w:t>
      </w:r>
      <w:r w:rsidR="00E27280" w:rsidRPr="009C19C5">
        <w:rPr>
          <w:rFonts w:ascii="Times New Roman" w:hAnsi="Times New Roman" w:cs="Times New Roman"/>
          <w:sz w:val="24"/>
          <w:szCs w:val="24"/>
          <w:lang w:val="sr-Cyrl-RS"/>
        </w:rPr>
        <w:t>.</w:t>
      </w:r>
    </w:p>
    <w:p w14:paraId="167D8E73" w14:textId="77BE325A" w:rsidR="00F276BC" w:rsidRPr="009C19C5" w:rsidRDefault="00DD2828" w:rsidP="00DD2828">
      <w:pPr>
        <w:pStyle w:val="ListParagraph"/>
        <w:numPr>
          <w:ilvl w:val="0"/>
          <w:numId w:val="13"/>
        </w:numPr>
        <w:tabs>
          <w:tab w:val="left" w:pos="990"/>
        </w:tabs>
        <w:autoSpaceDE w:val="0"/>
        <w:autoSpaceDN w:val="0"/>
        <w:adjustRightInd w:val="0"/>
        <w:spacing w:before="120" w:after="0" w:line="240" w:lineRule="auto"/>
        <w:ind w:left="0"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Доступних р</w:t>
      </w:r>
      <w:r w:rsidR="000A0E4E" w:rsidRPr="009C19C5">
        <w:rPr>
          <w:rFonts w:ascii="Times New Roman" w:hAnsi="Times New Roman" w:cs="Times New Roman"/>
          <w:sz w:val="24"/>
          <w:szCs w:val="24"/>
          <w:lang w:val="sr-Cyrl-RS"/>
        </w:rPr>
        <w:t>есурса у погођеним областима</w:t>
      </w:r>
      <w:r w:rsidR="00E27280" w:rsidRPr="009C19C5">
        <w:rPr>
          <w:rFonts w:ascii="Times New Roman" w:hAnsi="Times New Roman" w:cs="Times New Roman"/>
          <w:sz w:val="24"/>
          <w:szCs w:val="24"/>
          <w:lang w:val="sr-Cyrl-RS"/>
        </w:rPr>
        <w:t>.</w:t>
      </w:r>
    </w:p>
    <w:p w14:paraId="69CE7EE2" w14:textId="1FEB6074" w:rsidR="00F276BC" w:rsidRPr="009C19C5" w:rsidRDefault="000A0E4E" w:rsidP="00DD2828">
      <w:pPr>
        <w:pStyle w:val="ListParagraph"/>
        <w:numPr>
          <w:ilvl w:val="0"/>
          <w:numId w:val="13"/>
        </w:numPr>
        <w:tabs>
          <w:tab w:val="left" w:pos="990"/>
        </w:tabs>
        <w:autoSpaceDE w:val="0"/>
        <w:autoSpaceDN w:val="0"/>
        <w:adjustRightInd w:val="0"/>
        <w:spacing w:before="120" w:after="0" w:line="240" w:lineRule="auto"/>
        <w:ind w:left="0"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Постојања економских активности унутар погођених области или у ширем подручју Београда од посебног интереса за погођене области</w:t>
      </w:r>
      <w:r w:rsidR="00E27280" w:rsidRPr="009C19C5">
        <w:rPr>
          <w:rFonts w:ascii="Times New Roman" w:hAnsi="Times New Roman" w:cs="Times New Roman"/>
          <w:sz w:val="24"/>
          <w:szCs w:val="24"/>
          <w:lang w:val="sr-Cyrl-RS"/>
        </w:rPr>
        <w:t>.</w:t>
      </w:r>
    </w:p>
    <w:p w14:paraId="31E68B47" w14:textId="23E00F65" w:rsidR="00F276BC" w:rsidRPr="009C19C5" w:rsidRDefault="000A0E4E" w:rsidP="00DD2828">
      <w:pPr>
        <w:pStyle w:val="ListParagraph"/>
        <w:numPr>
          <w:ilvl w:val="0"/>
          <w:numId w:val="13"/>
        </w:numPr>
        <w:tabs>
          <w:tab w:val="left" w:pos="990"/>
        </w:tabs>
        <w:autoSpaceDE w:val="0"/>
        <w:autoSpaceDN w:val="0"/>
        <w:adjustRightInd w:val="0"/>
        <w:spacing w:before="120" w:after="0" w:line="240" w:lineRule="auto"/>
        <w:ind w:left="0"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 xml:space="preserve">Приступа погођених области </w:t>
      </w:r>
      <w:r w:rsidR="00380FFB" w:rsidRPr="009C19C5">
        <w:rPr>
          <w:rFonts w:ascii="Times New Roman" w:hAnsi="Times New Roman" w:cs="Times New Roman"/>
          <w:sz w:val="24"/>
          <w:szCs w:val="24"/>
          <w:lang w:val="sr-Cyrl-RS"/>
        </w:rPr>
        <w:t xml:space="preserve">критичној </w:t>
      </w:r>
      <w:r w:rsidRPr="009C19C5">
        <w:rPr>
          <w:rFonts w:ascii="Times New Roman" w:hAnsi="Times New Roman" w:cs="Times New Roman"/>
          <w:sz w:val="24"/>
          <w:szCs w:val="24"/>
          <w:lang w:val="sr-Cyrl-RS"/>
        </w:rPr>
        <w:t xml:space="preserve">или </w:t>
      </w:r>
      <w:r w:rsidR="00D00552" w:rsidRPr="009C19C5">
        <w:rPr>
          <w:rFonts w:ascii="Times New Roman" w:hAnsi="Times New Roman" w:cs="Times New Roman"/>
          <w:sz w:val="24"/>
          <w:szCs w:val="24"/>
          <w:lang w:val="sr-Cyrl-RS"/>
        </w:rPr>
        <w:t>пратећој</w:t>
      </w:r>
      <w:r w:rsidR="003F1A95" w:rsidRPr="009C19C5">
        <w:rPr>
          <w:rFonts w:ascii="Times New Roman" w:hAnsi="Times New Roman" w:cs="Times New Roman"/>
          <w:sz w:val="24"/>
          <w:szCs w:val="24"/>
          <w:lang w:val="sr-Cyrl-RS"/>
        </w:rPr>
        <w:t xml:space="preserve"> </w:t>
      </w:r>
      <w:r w:rsidRPr="009C19C5">
        <w:rPr>
          <w:rFonts w:ascii="Times New Roman" w:hAnsi="Times New Roman" w:cs="Times New Roman"/>
          <w:sz w:val="24"/>
          <w:szCs w:val="24"/>
          <w:lang w:val="sr-Cyrl-RS"/>
        </w:rPr>
        <w:t>инфраструктур</w:t>
      </w:r>
      <w:r w:rsidR="00380FFB" w:rsidRPr="009C19C5">
        <w:rPr>
          <w:rFonts w:ascii="Times New Roman" w:hAnsi="Times New Roman" w:cs="Times New Roman"/>
          <w:sz w:val="24"/>
          <w:szCs w:val="24"/>
          <w:lang w:val="sr-Cyrl-RS"/>
        </w:rPr>
        <w:t xml:space="preserve">и </w:t>
      </w:r>
      <w:r w:rsidRPr="009C19C5">
        <w:rPr>
          <w:rFonts w:ascii="Times New Roman" w:hAnsi="Times New Roman" w:cs="Times New Roman"/>
          <w:sz w:val="24"/>
          <w:szCs w:val="24"/>
          <w:lang w:val="sr-Cyrl-RS"/>
        </w:rPr>
        <w:t>и услугама неопходним за економско укључивање и развој тржишта</w:t>
      </w:r>
      <w:r w:rsidR="00E27280" w:rsidRPr="009C19C5">
        <w:rPr>
          <w:rFonts w:ascii="Times New Roman" w:hAnsi="Times New Roman" w:cs="Times New Roman"/>
          <w:sz w:val="24"/>
          <w:szCs w:val="24"/>
          <w:lang w:val="sr-Cyrl-RS"/>
        </w:rPr>
        <w:t>.</w:t>
      </w:r>
    </w:p>
    <w:p w14:paraId="747A0133" w14:textId="5F693428" w:rsidR="00F276BC" w:rsidRPr="009C19C5" w:rsidRDefault="000A0E4E" w:rsidP="00DD2828">
      <w:pPr>
        <w:pStyle w:val="ListParagraph"/>
        <w:numPr>
          <w:ilvl w:val="0"/>
          <w:numId w:val="13"/>
        </w:numPr>
        <w:tabs>
          <w:tab w:val="left" w:pos="990"/>
        </w:tabs>
        <w:autoSpaceDE w:val="0"/>
        <w:autoSpaceDN w:val="0"/>
        <w:adjustRightInd w:val="0"/>
        <w:spacing w:before="120" w:after="0" w:line="240" w:lineRule="auto"/>
        <w:ind w:left="0"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Профила вештина, демографских карактеристика и прихода становништва погођених подручја</w:t>
      </w:r>
      <w:r w:rsidR="00E27280" w:rsidRPr="009C19C5">
        <w:rPr>
          <w:rFonts w:ascii="Times New Roman" w:hAnsi="Times New Roman" w:cs="Times New Roman"/>
          <w:sz w:val="24"/>
          <w:szCs w:val="24"/>
          <w:lang w:val="sr-Cyrl-RS"/>
        </w:rPr>
        <w:t>.</w:t>
      </w:r>
    </w:p>
    <w:p w14:paraId="6202C73C" w14:textId="77777777" w:rsidR="00C90461" w:rsidRPr="009C19C5" w:rsidRDefault="00C90461" w:rsidP="00C90461">
      <w:pPr>
        <w:pStyle w:val="ListParagraph"/>
        <w:tabs>
          <w:tab w:val="left" w:pos="990"/>
        </w:tabs>
        <w:autoSpaceDE w:val="0"/>
        <w:autoSpaceDN w:val="0"/>
        <w:adjustRightInd w:val="0"/>
        <w:spacing w:before="120" w:after="0" w:line="240" w:lineRule="auto"/>
        <w:jc w:val="both"/>
        <w:rPr>
          <w:rFonts w:ascii="Times New Roman" w:hAnsi="Times New Roman" w:cs="Times New Roman"/>
          <w:sz w:val="24"/>
          <w:szCs w:val="24"/>
          <w:lang w:val="sr-Cyrl-RS"/>
        </w:rPr>
      </w:pPr>
    </w:p>
    <w:p w14:paraId="078CFCA3" w14:textId="5E825651" w:rsidR="00F276BC" w:rsidRPr="009C19C5" w:rsidRDefault="000A0E4E" w:rsidP="00DD2828">
      <w:pPr>
        <w:pStyle w:val="ListParagraph"/>
        <w:numPr>
          <w:ilvl w:val="0"/>
          <w:numId w:val="13"/>
        </w:numPr>
        <w:tabs>
          <w:tab w:val="left" w:pos="990"/>
        </w:tabs>
        <w:autoSpaceDE w:val="0"/>
        <w:autoSpaceDN w:val="0"/>
        <w:adjustRightInd w:val="0"/>
        <w:spacing w:before="120" w:after="0" w:line="240" w:lineRule="auto"/>
        <w:ind w:left="0"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Унутрашње повезаности погођених подручја, њихове повезаности са укљученим општинама, или спољашње повезаности са другим подручјима (различитим средствима транспорта, као што су железница, аутопутеви, путеви, аутобуси</w:t>
      </w:r>
      <w:r w:rsidR="003F1A95" w:rsidRPr="009C19C5">
        <w:rPr>
          <w:rFonts w:ascii="Times New Roman" w:hAnsi="Times New Roman" w:cs="Times New Roman"/>
          <w:sz w:val="24"/>
          <w:szCs w:val="24"/>
          <w:lang w:val="sr-Cyrl-RS"/>
        </w:rPr>
        <w:t xml:space="preserve">, као </w:t>
      </w:r>
      <w:r w:rsidRPr="009C19C5">
        <w:rPr>
          <w:rFonts w:ascii="Times New Roman" w:hAnsi="Times New Roman" w:cs="Times New Roman"/>
          <w:sz w:val="24"/>
          <w:szCs w:val="24"/>
          <w:lang w:val="sr-Cyrl-RS"/>
        </w:rPr>
        <w:t>и телекомуникацион</w:t>
      </w:r>
      <w:r w:rsidR="003F1A95" w:rsidRPr="009C19C5">
        <w:rPr>
          <w:rFonts w:ascii="Times New Roman" w:hAnsi="Times New Roman" w:cs="Times New Roman"/>
          <w:sz w:val="24"/>
          <w:szCs w:val="24"/>
          <w:lang w:val="sr-Cyrl-RS"/>
        </w:rPr>
        <w:t xml:space="preserve">ом </w:t>
      </w:r>
      <w:r w:rsidRPr="009C19C5">
        <w:rPr>
          <w:rFonts w:ascii="Times New Roman" w:hAnsi="Times New Roman" w:cs="Times New Roman"/>
          <w:sz w:val="24"/>
          <w:szCs w:val="24"/>
          <w:lang w:val="sr-Cyrl-RS"/>
        </w:rPr>
        <w:t>инфраструктур</w:t>
      </w:r>
      <w:r w:rsidR="003F1A95" w:rsidRPr="009C19C5">
        <w:rPr>
          <w:rFonts w:ascii="Times New Roman" w:hAnsi="Times New Roman" w:cs="Times New Roman"/>
          <w:sz w:val="24"/>
          <w:szCs w:val="24"/>
          <w:lang w:val="sr-Cyrl-RS"/>
        </w:rPr>
        <w:t>ом</w:t>
      </w:r>
      <w:r w:rsidRPr="009C19C5">
        <w:rPr>
          <w:rFonts w:ascii="Times New Roman" w:hAnsi="Times New Roman" w:cs="Times New Roman"/>
          <w:sz w:val="24"/>
          <w:szCs w:val="24"/>
          <w:lang w:val="sr-Cyrl-RS"/>
        </w:rPr>
        <w:t>), а посебно са ширим подручјем Београда</w:t>
      </w:r>
      <w:r w:rsidR="00E27280" w:rsidRPr="009C19C5">
        <w:rPr>
          <w:rFonts w:ascii="Times New Roman" w:hAnsi="Times New Roman" w:cs="Times New Roman"/>
          <w:sz w:val="24"/>
          <w:szCs w:val="24"/>
          <w:lang w:val="sr-Cyrl-RS"/>
        </w:rPr>
        <w:t>.</w:t>
      </w:r>
    </w:p>
    <w:p w14:paraId="46C4BD79" w14:textId="566A9970" w:rsidR="00F276BC" w:rsidRPr="009C19C5" w:rsidRDefault="000A0E4E" w:rsidP="00DD2828">
      <w:pPr>
        <w:pStyle w:val="ListParagraph"/>
        <w:numPr>
          <w:ilvl w:val="0"/>
          <w:numId w:val="13"/>
        </w:numPr>
        <w:tabs>
          <w:tab w:val="left" w:pos="990"/>
        </w:tabs>
        <w:autoSpaceDE w:val="0"/>
        <w:autoSpaceDN w:val="0"/>
        <w:adjustRightInd w:val="0"/>
        <w:spacing w:before="120" w:after="0" w:line="240" w:lineRule="auto"/>
        <w:ind w:left="0"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Друштвених фактора погођених подручја (тј. мрежа и веза, друштвених и културних предности и слабости)</w:t>
      </w:r>
      <w:r w:rsidR="00D00552" w:rsidRPr="009C19C5">
        <w:rPr>
          <w:rFonts w:ascii="Times New Roman" w:hAnsi="Times New Roman" w:cs="Times New Roman"/>
          <w:sz w:val="24"/>
          <w:szCs w:val="24"/>
          <w:lang w:val="sr-Cyrl-RS"/>
        </w:rPr>
        <w:t>.</w:t>
      </w:r>
    </w:p>
    <w:p w14:paraId="04A5B702" w14:textId="77777777" w:rsidR="00F276BC" w:rsidRPr="009C19C5" w:rsidRDefault="000A0E4E" w:rsidP="004F3B10">
      <w:pPr>
        <w:spacing w:after="0" w:line="240" w:lineRule="auto"/>
        <w:ind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 xml:space="preserve">Компаративна анализа територијалних предности и мана које би могле да утичу на постизање праведне транзиције обухвата следеће регионалне елементе, на локалном нивоу: </w:t>
      </w:r>
    </w:p>
    <w:p w14:paraId="646A785A" w14:textId="3C9C534E" w:rsidR="00F276BC" w:rsidRPr="009C19C5" w:rsidRDefault="000A0E4E" w:rsidP="004F3B10">
      <w:pPr>
        <w:pStyle w:val="ListParagraph"/>
        <w:numPr>
          <w:ilvl w:val="0"/>
          <w:numId w:val="14"/>
        </w:numPr>
        <w:tabs>
          <w:tab w:val="left" w:pos="1080"/>
        </w:tabs>
        <w:autoSpaceDE w:val="0"/>
        <w:autoSpaceDN w:val="0"/>
        <w:adjustRightInd w:val="0"/>
        <w:spacing w:after="0" w:line="240" w:lineRule="auto"/>
        <w:ind w:left="0"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 xml:space="preserve">Географска локација у односу на близину главних економских центара, транзитних центара за робу и трансферних чворишта за </w:t>
      </w:r>
      <w:r w:rsidR="00CF792B" w:rsidRPr="009C19C5">
        <w:rPr>
          <w:rFonts w:ascii="Times New Roman" w:hAnsi="Times New Roman" w:cs="Times New Roman"/>
          <w:sz w:val="24"/>
          <w:szCs w:val="24"/>
          <w:lang w:val="sr-Cyrl-RS"/>
        </w:rPr>
        <w:t>становништво</w:t>
      </w:r>
      <w:r w:rsidRPr="009C19C5">
        <w:rPr>
          <w:rFonts w:ascii="Times New Roman" w:hAnsi="Times New Roman" w:cs="Times New Roman"/>
          <w:sz w:val="24"/>
          <w:szCs w:val="24"/>
          <w:lang w:val="sr-Cyrl-RS"/>
        </w:rPr>
        <w:t xml:space="preserve">. </w:t>
      </w:r>
    </w:p>
    <w:p w14:paraId="6398107A" w14:textId="2F37D6D3" w:rsidR="00F276BC" w:rsidRPr="009C19C5" w:rsidRDefault="000A0E4E" w:rsidP="004F3B10">
      <w:pPr>
        <w:pStyle w:val="ListParagraph"/>
        <w:numPr>
          <w:ilvl w:val="0"/>
          <w:numId w:val="14"/>
        </w:numPr>
        <w:tabs>
          <w:tab w:val="left" w:pos="1080"/>
        </w:tabs>
        <w:autoSpaceDE w:val="0"/>
        <w:autoSpaceDN w:val="0"/>
        <w:adjustRightInd w:val="0"/>
        <w:spacing w:before="120" w:after="0" w:line="240" w:lineRule="auto"/>
        <w:ind w:left="0"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Геоморфолошке карактеристике</w:t>
      </w:r>
      <w:r w:rsidR="00E27280" w:rsidRPr="009C19C5">
        <w:rPr>
          <w:rFonts w:ascii="Times New Roman" w:hAnsi="Times New Roman" w:cs="Times New Roman"/>
          <w:sz w:val="24"/>
          <w:szCs w:val="24"/>
          <w:lang w:val="sr-Cyrl-RS"/>
        </w:rPr>
        <w:t>.</w:t>
      </w:r>
    </w:p>
    <w:p w14:paraId="5BBCF4DB" w14:textId="0C391813" w:rsidR="00F276BC" w:rsidRPr="009C19C5" w:rsidRDefault="000A0E4E" w:rsidP="004F3B10">
      <w:pPr>
        <w:pStyle w:val="ListParagraph"/>
        <w:numPr>
          <w:ilvl w:val="0"/>
          <w:numId w:val="14"/>
        </w:numPr>
        <w:tabs>
          <w:tab w:val="left" w:pos="1080"/>
        </w:tabs>
        <w:autoSpaceDE w:val="0"/>
        <w:autoSpaceDN w:val="0"/>
        <w:adjustRightInd w:val="0"/>
        <w:spacing w:before="120" w:after="0" w:line="240" w:lineRule="auto"/>
        <w:ind w:left="0"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 xml:space="preserve">Локалне историјске или </w:t>
      </w:r>
      <w:r w:rsidR="00CF792B" w:rsidRPr="009C19C5">
        <w:rPr>
          <w:rFonts w:ascii="Times New Roman" w:hAnsi="Times New Roman" w:cs="Times New Roman"/>
          <w:sz w:val="24"/>
          <w:szCs w:val="24"/>
          <w:lang w:val="sr-Cyrl-RS"/>
        </w:rPr>
        <w:t xml:space="preserve">друге </w:t>
      </w:r>
      <w:r w:rsidRPr="009C19C5">
        <w:rPr>
          <w:rFonts w:ascii="Times New Roman" w:hAnsi="Times New Roman" w:cs="Times New Roman"/>
          <w:sz w:val="24"/>
          <w:szCs w:val="24"/>
          <w:lang w:val="sr-Cyrl-RS"/>
        </w:rPr>
        <w:t>посебне карактеристике, као што су туристичке атракције и културно наслеђе</w:t>
      </w:r>
      <w:r w:rsidR="00E27280" w:rsidRPr="009C19C5">
        <w:rPr>
          <w:rFonts w:ascii="Times New Roman" w:hAnsi="Times New Roman" w:cs="Times New Roman"/>
          <w:sz w:val="24"/>
          <w:szCs w:val="24"/>
          <w:lang w:val="sr-Cyrl-RS"/>
        </w:rPr>
        <w:t>.</w:t>
      </w:r>
    </w:p>
    <w:p w14:paraId="7B0A5BE8" w14:textId="055D45F5" w:rsidR="00F276BC" w:rsidRPr="009C19C5" w:rsidRDefault="000A0E4E" w:rsidP="004F3B10">
      <w:pPr>
        <w:pStyle w:val="ListParagraph"/>
        <w:numPr>
          <w:ilvl w:val="0"/>
          <w:numId w:val="14"/>
        </w:numPr>
        <w:tabs>
          <w:tab w:val="left" w:pos="1080"/>
        </w:tabs>
        <w:autoSpaceDE w:val="0"/>
        <w:autoSpaceDN w:val="0"/>
        <w:adjustRightInd w:val="0"/>
        <w:spacing w:before="120" w:after="0" w:line="240" w:lineRule="auto"/>
        <w:ind w:left="0"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Начини транспорта и дигитална повезаност</w:t>
      </w:r>
      <w:r w:rsidR="00E27280" w:rsidRPr="009C19C5">
        <w:rPr>
          <w:rFonts w:ascii="Times New Roman" w:hAnsi="Times New Roman" w:cs="Times New Roman"/>
          <w:sz w:val="24"/>
          <w:szCs w:val="24"/>
          <w:lang w:val="sr-Cyrl-RS"/>
        </w:rPr>
        <w:t>.</w:t>
      </w:r>
    </w:p>
    <w:p w14:paraId="5774D821" w14:textId="66516C31" w:rsidR="00F276BC" w:rsidRPr="009C19C5" w:rsidRDefault="000A0E4E" w:rsidP="004F3B10">
      <w:pPr>
        <w:pStyle w:val="ListParagraph"/>
        <w:numPr>
          <w:ilvl w:val="0"/>
          <w:numId w:val="14"/>
        </w:numPr>
        <w:tabs>
          <w:tab w:val="left" w:pos="1080"/>
        </w:tabs>
        <w:autoSpaceDE w:val="0"/>
        <w:autoSpaceDN w:val="0"/>
        <w:adjustRightInd w:val="0"/>
        <w:spacing w:before="120" w:after="0" w:line="240" w:lineRule="auto"/>
        <w:ind w:left="0"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 xml:space="preserve">Терцијарно образовање и интегрисани објекти за </w:t>
      </w:r>
      <w:r w:rsidR="00A818CA" w:rsidRPr="009C19C5">
        <w:rPr>
          <w:rFonts w:ascii="Times New Roman" w:hAnsi="Times New Roman" w:cs="Times New Roman"/>
          <w:sz w:val="24"/>
          <w:szCs w:val="24"/>
          <w:lang w:val="sr-Cyrl-RS"/>
        </w:rPr>
        <w:t>до</w:t>
      </w:r>
      <w:r w:rsidRPr="009C19C5">
        <w:rPr>
          <w:rFonts w:ascii="Times New Roman" w:hAnsi="Times New Roman" w:cs="Times New Roman"/>
          <w:sz w:val="24"/>
          <w:szCs w:val="24"/>
          <w:lang w:val="sr-Cyrl-RS"/>
        </w:rPr>
        <w:t xml:space="preserve">животно </w:t>
      </w:r>
      <w:r w:rsidR="00A818CA" w:rsidRPr="009C19C5">
        <w:rPr>
          <w:rFonts w:ascii="Times New Roman" w:hAnsi="Times New Roman" w:cs="Times New Roman"/>
          <w:sz w:val="24"/>
          <w:szCs w:val="24"/>
          <w:lang w:val="sr-Cyrl-RS"/>
        </w:rPr>
        <w:t>образовање</w:t>
      </w:r>
      <w:r w:rsidR="00E27280" w:rsidRPr="009C19C5">
        <w:rPr>
          <w:rFonts w:ascii="Times New Roman" w:hAnsi="Times New Roman" w:cs="Times New Roman"/>
          <w:sz w:val="24"/>
          <w:szCs w:val="24"/>
          <w:lang w:val="sr-Cyrl-RS"/>
        </w:rPr>
        <w:t>.</w:t>
      </w:r>
      <w:r w:rsidRPr="009C19C5">
        <w:rPr>
          <w:rFonts w:ascii="Times New Roman" w:hAnsi="Times New Roman" w:cs="Times New Roman"/>
          <w:sz w:val="24"/>
          <w:szCs w:val="24"/>
          <w:lang w:val="sr-Cyrl-RS"/>
        </w:rPr>
        <w:t xml:space="preserve"> </w:t>
      </w:r>
    </w:p>
    <w:p w14:paraId="389445C7" w14:textId="04BF4A14" w:rsidR="00F276BC" w:rsidRPr="009C19C5" w:rsidRDefault="00A818CA" w:rsidP="004F3B10">
      <w:pPr>
        <w:pStyle w:val="ListParagraph"/>
        <w:numPr>
          <w:ilvl w:val="0"/>
          <w:numId w:val="14"/>
        </w:numPr>
        <w:tabs>
          <w:tab w:val="left" w:pos="1080"/>
        </w:tabs>
        <w:autoSpaceDE w:val="0"/>
        <w:autoSpaceDN w:val="0"/>
        <w:adjustRightInd w:val="0"/>
        <w:spacing w:before="120" w:after="0" w:line="240" w:lineRule="auto"/>
        <w:ind w:left="0"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 xml:space="preserve">Институције </w:t>
      </w:r>
      <w:r w:rsidR="000A0E4E" w:rsidRPr="009C19C5">
        <w:rPr>
          <w:rFonts w:ascii="Times New Roman" w:hAnsi="Times New Roman" w:cs="Times New Roman"/>
          <w:sz w:val="24"/>
          <w:szCs w:val="24"/>
          <w:lang w:val="sr-Cyrl-RS"/>
        </w:rPr>
        <w:t xml:space="preserve">социјалне и примарне здравствене заштите и услуге намењене углавном највише погођеном становништву, тј. старијима, деци и породицама. </w:t>
      </w:r>
    </w:p>
    <w:p w14:paraId="2B45AA54" w14:textId="7BA0EDC0" w:rsidR="00F276BC" w:rsidRPr="009C19C5" w:rsidRDefault="000A0E4E" w:rsidP="004F3B10">
      <w:pPr>
        <w:pStyle w:val="ListParagraph"/>
        <w:numPr>
          <w:ilvl w:val="0"/>
          <w:numId w:val="14"/>
        </w:numPr>
        <w:tabs>
          <w:tab w:val="left" w:pos="1080"/>
        </w:tabs>
        <w:autoSpaceDE w:val="0"/>
        <w:autoSpaceDN w:val="0"/>
        <w:adjustRightInd w:val="0"/>
        <w:spacing w:before="120" w:after="0" w:line="240" w:lineRule="auto"/>
        <w:ind w:left="0"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Дигитализација јавних услуга</w:t>
      </w:r>
      <w:r w:rsidR="00E27280" w:rsidRPr="009C19C5">
        <w:rPr>
          <w:rFonts w:ascii="Times New Roman" w:hAnsi="Times New Roman" w:cs="Times New Roman"/>
          <w:sz w:val="24"/>
          <w:szCs w:val="24"/>
          <w:lang w:val="sr-Cyrl-RS"/>
        </w:rPr>
        <w:t>.</w:t>
      </w:r>
    </w:p>
    <w:p w14:paraId="2AA4137C" w14:textId="5CB089BD" w:rsidR="00F276BC" w:rsidRPr="009C19C5" w:rsidRDefault="000A0E4E" w:rsidP="004F3B10">
      <w:pPr>
        <w:pStyle w:val="ListParagraph"/>
        <w:numPr>
          <w:ilvl w:val="0"/>
          <w:numId w:val="14"/>
        </w:numPr>
        <w:tabs>
          <w:tab w:val="left" w:pos="1080"/>
        </w:tabs>
        <w:autoSpaceDE w:val="0"/>
        <w:autoSpaceDN w:val="0"/>
        <w:adjustRightInd w:val="0"/>
        <w:spacing w:before="120" w:after="0" w:line="240" w:lineRule="auto"/>
        <w:ind w:left="0"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Локалн</w:t>
      </w:r>
      <w:r w:rsidR="00D1178A" w:rsidRPr="009C19C5">
        <w:rPr>
          <w:rFonts w:ascii="Times New Roman" w:hAnsi="Times New Roman" w:cs="Times New Roman"/>
          <w:sz w:val="24"/>
          <w:szCs w:val="24"/>
          <w:lang w:val="sr-Cyrl-RS"/>
        </w:rPr>
        <w:t>у</w:t>
      </w:r>
      <w:r w:rsidRPr="009C19C5">
        <w:rPr>
          <w:rFonts w:ascii="Times New Roman" w:hAnsi="Times New Roman" w:cs="Times New Roman"/>
          <w:sz w:val="24"/>
          <w:szCs w:val="24"/>
          <w:lang w:val="sr-Cyrl-RS"/>
        </w:rPr>
        <w:t xml:space="preserve"> </w:t>
      </w:r>
      <w:r w:rsidR="00A818CA" w:rsidRPr="009C19C5">
        <w:rPr>
          <w:rFonts w:ascii="Times New Roman" w:hAnsi="Times New Roman" w:cs="Times New Roman"/>
          <w:sz w:val="24"/>
          <w:szCs w:val="24"/>
          <w:lang w:val="sr-Cyrl-RS"/>
        </w:rPr>
        <w:t>водоводн</w:t>
      </w:r>
      <w:r w:rsidR="00D1178A" w:rsidRPr="009C19C5">
        <w:rPr>
          <w:rFonts w:ascii="Times New Roman" w:hAnsi="Times New Roman" w:cs="Times New Roman"/>
          <w:sz w:val="24"/>
          <w:szCs w:val="24"/>
          <w:lang w:val="sr-Cyrl-RS"/>
        </w:rPr>
        <w:t>у</w:t>
      </w:r>
      <w:r w:rsidR="00A818CA" w:rsidRPr="009C19C5">
        <w:rPr>
          <w:rFonts w:ascii="Times New Roman" w:hAnsi="Times New Roman" w:cs="Times New Roman"/>
          <w:sz w:val="24"/>
          <w:szCs w:val="24"/>
          <w:lang w:val="sr-Cyrl-RS"/>
        </w:rPr>
        <w:t xml:space="preserve"> и канализацион</w:t>
      </w:r>
      <w:r w:rsidR="00D1178A" w:rsidRPr="009C19C5">
        <w:rPr>
          <w:rFonts w:ascii="Times New Roman" w:hAnsi="Times New Roman" w:cs="Times New Roman"/>
          <w:sz w:val="24"/>
          <w:szCs w:val="24"/>
          <w:lang w:val="sr-Cyrl-RS"/>
        </w:rPr>
        <w:t xml:space="preserve">у </w:t>
      </w:r>
      <w:r w:rsidR="00A818CA" w:rsidRPr="009C19C5">
        <w:rPr>
          <w:rFonts w:ascii="Times New Roman" w:hAnsi="Times New Roman" w:cs="Times New Roman"/>
          <w:sz w:val="24"/>
          <w:szCs w:val="24"/>
          <w:lang w:val="sr-Cyrl-RS"/>
        </w:rPr>
        <w:t>мреж</w:t>
      </w:r>
      <w:r w:rsidR="00D1178A" w:rsidRPr="009C19C5">
        <w:rPr>
          <w:rFonts w:ascii="Times New Roman" w:hAnsi="Times New Roman" w:cs="Times New Roman"/>
          <w:sz w:val="24"/>
          <w:szCs w:val="24"/>
          <w:lang w:val="sr-Cyrl-RS"/>
        </w:rPr>
        <w:t>у</w:t>
      </w:r>
      <w:r w:rsidR="00E27280" w:rsidRPr="009C19C5">
        <w:rPr>
          <w:rFonts w:ascii="Times New Roman" w:hAnsi="Times New Roman" w:cs="Times New Roman"/>
          <w:sz w:val="24"/>
          <w:szCs w:val="24"/>
          <w:lang w:val="sr-Cyrl-RS"/>
        </w:rPr>
        <w:t>.</w:t>
      </w:r>
    </w:p>
    <w:p w14:paraId="738C5403" w14:textId="67CDD3A3" w:rsidR="00F276BC" w:rsidRPr="009C19C5" w:rsidRDefault="000A0E4E" w:rsidP="004F3B10">
      <w:pPr>
        <w:pStyle w:val="ListParagraph"/>
        <w:numPr>
          <w:ilvl w:val="0"/>
          <w:numId w:val="14"/>
        </w:numPr>
        <w:tabs>
          <w:tab w:val="left" w:pos="1080"/>
        </w:tabs>
        <w:autoSpaceDE w:val="0"/>
        <w:autoSpaceDN w:val="0"/>
        <w:adjustRightInd w:val="0"/>
        <w:spacing w:before="120" w:after="0" w:line="240" w:lineRule="auto"/>
        <w:ind w:left="0"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Демограф</w:t>
      </w:r>
      <w:r w:rsidR="00A818CA" w:rsidRPr="009C19C5">
        <w:rPr>
          <w:rFonts w:ascii="Times New Roman" w:hAnsi="Times New Roman" w:cs="Times New Roman"/>
          <w:sz w:val="24"/>
          <w:szCs w:val="24"/>
          <w:lang w:val="sr-Cyrl-RS"/>
        </w:rPr>
        <w:t>ске карактеристике</w:t>
      </w:r>
      <w:r w:rsidRPr="009C19C5">
        <w:rPr>
          <w:rFonts w:ascii="Times New Roman" w:hAnsi="Times New Roman" w:cs="Times New Roman"/>
          <w:sz w:val="24"/>
          <w:szCs w:val="24"/>
          <w:lang w:val="sr-Cyrl-RS"/>
        </w:rPr>
        <w:t xml:space="preserve"> и ниво сиромаштва</w:t>
      </w:r>
      <w:r w:rsidR="00E27280" w:rsidRPr="009C19C5">
        <w:rPr>
          <w:rFonts w:ascii="Times New Roman" w:hAnsi="Times New Roman" w:cs="Times New Roman"/>
          <w:sz w:val="24"/>
          <w:szCs w:val="24"/>
          <w:lang w:val="sr-Cyrl-RS"/>
        </w:rPr>
        <w:t>.</w:t>
      </w:r>
    </w:p>
    <w:p w14:paraId="697FDA5E" w14:textId="3054541F" w:rsidR="00F276BC" w:rsidRPr="009C19C5" w:rsidRDefault="000A0E4E" w:rsidP="004F3B10">
      <w:pPr>
        <w:pStyle w:val="ListParagraph"/>
        <w:numPr>
          <w:ilvl w:val="0"/>
          <w:numId w:val="5"/>
        </w:numPr>
        <w:tabs>
          <w:tab w:val="left" w:pos="1080"/>
        </w:tabs>
        <w:autoSpaceDE w:val="0"/>
        <w:autoSpaceDN w:val="0"/>
        <w:adjustRightInd w:val="0"/>
        <w:spacing w:before="120" w:after="0" w:line="240" w:lineRule="auto"/>
        <w:ind w:left="0"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Секторске индустријске области, укључујући следеће аспекте</w:t>
      </w:r>
      <w:r w:rsidR="00E27280" w:rsidRPr="009C19C5">
        <w:rPr>
          <w:rFonts w:ascii="Times New Roman" w:hAnsi="Times New Roman" w:cs="Times New Roman"/>
          <w:sz w:val="24"/>
          <w:szCs w:val="24"/>
          <w:lang w:val="sr-Cyrl-RS"/>
        </w:rPr>
        <w:t>:</w:t>
      </w:r>
    </w:p>
    <w:p w14:paraId="68E93BE9" w14:textId="4F7400ED" w:rsidR="00F276BC" w:rsidRPr="009C19C5" w:rsidRDefault="000A0E4E" w:rsidP="004F3B10">
      <w:pPr>
        <w:pStyle w:val="ListParagraph"/>
        <w:numPr>
          <w:ilvl w:val="0"/>
          <w:numId w:val="49"/>
        </w:numPr>
        <w:tabs>
          <w:tab w:val="left" w:pos="1080"/>
        </w:tabs>
        <w:spacing w:before="120" w:after="0" w:line="240" w:lineRule="auto"/>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Истраживачка активност, кластери за инкубације и иновације</w:t>
      </w:r>
      <w:r w:rsidR="00E27280" w:rsidRPr="009C19C5">
        <w:rPr>
          <w:rFonts w:ascii="Times New Roman" w:hAnsi="Times New Roman" w:cs="Times New Roman"/>
          <w:sz w:val="24"/>
          <w:szCs w:val="24"/>
          <w:lang w:val="sr-Cyrl-RS"/>
        </w:rPr>
        <w:t>.</w:t>
      </w:r>
      <w:r w:rsidRPr="009C19C5">
        <w:rPr>
          <w:rFonts w:ascii="Times New Roman" w:hAnsi="Times New Roman" w:cs="Times New Roman"/>
          <w:sz w:val="24"/>
          <w:szCs w:val="24"/>
          <w:lang w:val="sr-Cyrl-RS"/>
        </w:rPr>
        <w:t xml:space="preserve"> </w:t>
      </w:r>
    </w:p>
    <w:p w14:paraId="56AC4BD6" w14:textId="2E2C02CD" w:rsidR="00F276BC" w:rsidRPr="009C19C5" w:rsidRDefault="000A0E4E" w:rsidP="004F3B10">
      <w:pPr>
        <w:pStyle w:val="ListParagraph"/>
        <w:numPr>
          <w:ilvl w:val="0"/>
          <w:numId w:val="49"/>
        </w:numPr>
        <w:tabs>
          <w:tab w:val="left" w:pos="1080"/>
        </w:tabs>
        <w:spacing w:before="120" w:after="0" w:line="240" w:lineRule="auto"/>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 xml:space="preserve">Индустријске и </w:t>
      </w:r>
      <w:r w:rsidR="00A818CA" w:rsidRPr="009C19C5">
        <w:rPr>
          <w:rFonts w:ascii="Times New Roman" w:hAnsi="Times New Roman" w:cs="Times New Roman"/>
          <w:sz w:val="24"/>
          <w:szCs w:val="24"/>
          <w:lang w:val="sr-Cyrl-RS"/>
        </w:rPr>
        <w:t xml:space="preserve">зоне </w:t>
      </w:r>
      <w:r w:rsidRPr="009C19C5">
        <w:rPr>
          <w:rFonts w:ascii="Times New Roman" w:hAnsi="Times New Roman" w:cs="Times New Roman"/>
          <w:sz w:val="24"/>
          <w:szCs w:val="24"/>
          <w:lang w:val="sr-Cyrl-RS"/>
        </w:rPr>
        <w:t>слободне трговин</w:t>
      </w:r>
      <w:r w:rsidR="00A818CA" w:rsidRPr="009C19C5">
        <w:rPr>
          <w:rFonts w:ascii="Times New Roman" w:hAnsi="Times New Roman" w:cs="Times New Roman"/>
          <w:sz w:val="24"/>
          <w:szCs w:val="24"/>
          <w:lang w:val="sr-Cyrl-RS"/>
        </w:rPr>
        <w:t>е</w:t>
      </w:r>
      <w:r w:rsidR="00E27280" w:rsidRPr="009C19C5">
        <w:rPr>
          <w:rFonts w:ascii="Times New Roman" w:hAnsi="Times New Roman" w:cs="Times New Roman"/>
          <w:sz w:val="24"/>
          <w:szCs w:val="24"/>
          <w:lang w:val="sr-Cyrl-RS"/>
        </w:rPr>
        <w:t>.</w:t>
      </w:r>
    </w:p>
    <w:p w14:paraId="2AE623B0" w14:textId="745E268C" w:rsidR="00F276BC" w:rsidRPr="009C19C5" w:rsidRDefault="000A0E4E" w:rsidP="004F3B10">
      <w:pPr>
        <w:pStyle w:val="ListParagraph"/>
        <w:numPr>
          <w:ilvl w:val="0"/>
          <w:numId w:val="49"/>
        </w:numPr>
        <w:tabs>
          <w:tab w:val="left" w:pos="720"/>
          <w:tab w:val="left" w:pos="1080"/>
        </w:tabs>
        <w:spacing w:before="120" w:after="0" w:line="240" w:lineRule="auto"/>
        <w:ind w:left="0" w:firstLine="72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 xml:space="preserve">Развој главних </w:t>
      </w:r>
      <w:r w:rsidR="00A818CA" w:rsidRPr="009C19C5">
        <w:rPr>
          <w:rFonts w:ascii="Times New Roman" w:hAnsi="Times New Roman" w:cs="Times New Roman"/>
          <w:sz w:val="24"/>
          <w:szCs w:val="24"/>
          <w:lang w:val="sr-Cyrl-RS"/>
        </w:rPr>
        <w:t>привредних делатности</w:t>
      </w:r>
      <w:r w:rsidR="00E04C56" w:rsidRPr="009C19C5">
        <w:rPr>
          <w:rFonts w:ascii="Times New Roman" w:hAnsi="Times New Roman" w:cs="Times New Roman"/>
          <w:sz w:val="24"/>
          <w:szCs w:val="24"/>
          <w:lang w:val="sr-Cyrl-RS"/>
        </w:rPr>
        <w:t xml:space="preserve"> </w:t>
      </w:r>
      <w:r w:rsidRPr="009C19C5">
        <w:rPr>
          <w:rFonts w:ascii="Times New Roman" w:hAnsi="Times New Roman" w:cs="Times New Roman"/>
          <w:sz w:val="24"/>
          <w:szCs w:val="24"/>
          <w:lang w:val="sr-Cyrl-RS"/>
        </w:rPr>
        <w:t xml:space="preserve">узимајући у обзир економске активности које опадају или се трансформишу услед транзиције, и бавећи се проблемима раста, зависности од </w:t>
      </w:r>
      <w:r w:rsidR="00A7582E" w:rsidRPr="009C19C5">
        <w:rPr>
          <w:rFonts w:ascii="Times New Roman" w:hAnsi="Times New Roman" w:cs="Times New Roman"/>
          <w:sz w:val="24"/>
          <w:szCs w:val="24"/>
          <w:lang w:val="sr-Cyrl-RS"/>
        </w:rPr>
        <w:t xml:space="preserve">ЕПС АД </w:t>
      </w:r>
      <w:r w:rsidRPr="009C19C5">
        <w:rPr>
          <w:rFonts w:ascii="Times New Roman" w:hAnsi="Times New Roman" w:cs="Times New Roman"/>
          <w:sz w:val="24"/>
          <w:szCs w:val="24"/>
          <w:lang w:val="sr-Cyrl-RS"/>
        </w:rPr>
        <w:t>/ Ресавиц</w:t>
      </w:r>
      <w:r w:rsidR="00A818CA" w:rsidRPr="009C19C5">
        <w:rPr>
          <w:rFonts w:ascii="Times New Roman" w:hAnsi="Times New Roman" w:cs="Times New Roman"/>
          <w:sz w:val="24"/>
          <w:szCs w:val="24"/>
          <w:lang w:val="sr-Cyrl-RS"/>
        </w:rPr>
        <w:t>е</w:t>
      </w:r>
      <w:r w:rsidR="006B706C" w:rsidRPr="009C19C5">
        <w:rPr>
          <w:rFonts w:ascii="Times New Roman" w:hAnsi="Times New Roman" w:cs="Times New Roman"/>
          <w:sz w:val="24"/>
          <w:szCs w:val="24"/>
          <w:lang w:val="sr-Cyrl-RS"/>
        </w:rPr>
        <w:t xml:space="preserve"> и државних предузећа</w:t>
      </w:r>
      <w:r w:rsidRPr="009C19C5">
        <w:rPr>
          <w:rFonts w:ascii="Times New Roman" w:hAnsi="Times New Roman" w:cs="Times New Roman"/>
          <w:sz w:val="24"/>
          <w:szCs w:val="24"/>
          <w:lang w:val="sr-Cyrl-RS"/>
        </w:rPr>
        <w:t>, интернационализације и извоза, финансирања и инвестиција</w:t>
      </w:r>
      <w:r w:rsidR="00E27280" w:rsidRPr="009C19C5">
        <w:rPr>
          <w:rFonts w:ascii="Times New Roman" w:hAnsi="Times New Roman" w:cs="Times New Roman"/>
          <w:sz w:val="24"/>
          <w:szCs w:val="24"/>
          <w:lang w:val="sr-Cyrl-RS"/>
        </w:rPr>
        <w:t>.</w:t>
      </w:r>
    </w:p>
    <w:p w14:paraId="59F3F3B3" w14:textId="2DF986BA" w:rsidR="00F276BC" w:rsidRPr="009C19C5" w:rsidRDefault="000A0E4E" w:rsidP="004F3B10">
      <w:pPr>
        <w:pStyle w:val="ListParagraph"/>
        <w:numPr>
          <w:ilvl w:val="0"/>
          <w:numId w:val="49"/>
        </w:numPr>
        <w:tabs>
          <w:tab w:val="left" w:pos="1080"/>
        </w:tabs>
        <w:spacing w:before="120" w:after="0" w:line="240" w:lineRule="auto"/>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Организације које пружају подршку предузећима и запосленима на локалном нивоу</w:t>
      </w:r>
      <w:r w:rsidR="00E27280" w:rsidRPr="009C19C5">
        <w:rPr>
          <w:rFonts w:ascii="Times New Roman" w:hAnsi="Times New Roman" w:cs="Times New Roman"/>
          <w:sz w:val="24"/>
          <w:szCs w:val="24"/>
          <w:lang w:val="sr-Cyrl-RS"/>
        </w:rPr>
        <w:t>.</w:t>
      </w:r>
    </w:p>
    <w:p w14:paraId="7ED8EEEB" w14:textId="2404EDD5" w:rsidR="00F276BC" w:rsidRPr="009C19C5" w:rsidRDefault="000A0E4E" w:rsidP="004F3B10">
      <w:pPr>
        <w:pStyle w:val="ListParagraph"/>
        <w:numPr>
          <w:ilvl w:val="0"/>
          <w:numId w:val="49"/>
        </w:numPr>
        <w:tabs>
          <w:tab w:val="left" w:pos="720"/>
          <w:tab w:val="left" w:pos="1080"/>
        </w:tabs>
        <w:spacing w:before="120" w:after="0" w:line="240" w:lineRule="auto"/>
        <w:ind w:left="0" w:firstLine="720"/>
        <w:jc w:val="both"/>
        <w:rPr>
          <w:rFonts w:ascii="Times New Roman" w:hAnsi="Times New Roman" w:cs="Times New Roman"/>
          <w:sz w:val="24"/>
          <w:szCs w:val="24"/>
          <w:lang w:val="sr-Cyrl-RS"/>
        </w:rPr>
      </w:pPr>
      <w:bookmarkStart w:id="34" w:name="_Hlk202345713"/>
      <w:r w:rsidRPr="009C19C5">
        <w:rPr>
          <w:rFonts w:ascii="Times New Roman" w:hAnsi="Times New Roman" w:cs="Times New Roman"/>
          <w:sz w:val="24"/>
          <w:szCs w:val="24"/>
          <w:lang w:val="sr-Cyrl-RS"/>
        </w:rPr>
        <w:t>Свеукупни проблеми конкурентности, као што су дигитализација предузећа, државна помоћ и питања конкуренције, отпорност банкарског сектора, заштита интелектуалне својине, и интегритет и контрола корупције</w:t>
      </w:r>
      <w:bookmarkEnd w:id="34"/>
      <w:r w:rsidRPr="009C19C5">
        <w:rPr>
          <w:rFonts w:ascii="Times New Roman" w:hAnsi="Times New Roman" w:cs="Times New Roman"/>
          <w:sz w:val="24"/>
          <w:szCs w:val="24"/>
          <w:lang w:val="sr-Cyrl-RS"/>
        </w:rPr>
        <w:t>.</w:t>
      </w:r>
    </w:p>
    <w:p w14:paraId="6C24CF28" w14:textId="77777777" w:rsidR="00CF5588" w:rsidRPr="009C19C5" w:rsidRDefault="00CF5588" w:rsidP="00CF5588">
      <w:pPr>
        <w:pStyle w:val="ListParagraph"/>
        <w:tabs>
          <w:tab w:val="left" w:pos="720"/>
          <w:tab w:val="left" w:pos="1080"/>
        </w:tabs>
        <w:spacing w:before="120" w:after="0" w:line="240" w:lineRule="auto"/>
        <w:jc w:val="both"/>
        <w:rPr>
          <w:rFonts w:ascii="Times New Roman" w:hAnsi="Times New Roman" w:cs="Times New Roman"/>
          <w:sz w:val="24"/>
          <w:szCs w:val="24"/>
          <w:lang w:val="sr-Cyrl-RS"/>
        </w:rPr>
      </w:pPr>
    </w:p>
    <w:p w14:paraId="6F5919B6" w14:textId="58E627DD" w:rsidR="00AB6F97" w:rsidRPr="009C19C5" w:rsidRDefault="004F3B10" w:rsidP="00AB6F97">
      <w:pPr>
        <w:pStyle w:val="BodyText"/>
        <w:spacing w:line="240" w:lineRule="auto"/>
        <w:ind w:firstLine="720"/>
        <w:rPr>
          <w:rFonts w:ascii="Times New Roman" w:hAnsi="Times New Roman" w:cs="Times New Roman"/>
          <w:sz w:val="24"/>
          <w:szCs w:val="24"/>
          <w:lang w:val="sr-Cyrl-RS"/>
        </w:rPr>
      </w:pPr>
      <w:r w:rsidRPr="009C19C5">
        <w:rPr>
          <w:rFonts w:ascii="Times New Roman" w:hAnsi="Times New Roman" w:cs="Times New Roman"/>
          <w:sz w:val="24"/>
          <w:szCs w:val="24"/>
          <w:lang w:val="sr-Cyrl-RS"/>
        </w:rPr>
        <w:t>А</w:t>
      </w:r>
      <w:r w:rsidR="000A0E4E" w:rsidRPr="009C19C5">
        <w:rPr>
          <w:rFonts w:ascii="Times New Roman" w:hAnsi="Times New Roman" w:cs="Times New Roman"/>
          <w:sz w:val="24"/>
          <w:szCs w:val="24"/>
          <w:lang w:val="sr-Cyrl-RS"/>
        </w:rPr>
        <w:t xml:space="preserve">ктивности </w:t>
      </w:r>
      <w:r w:rsidRPr="009C19C5">
        <w:rPr>
          <w:rFonts w:ascii="Times New Roman" w:hAnsi="Times New Roman" w:cs="Times New Roman"/>
          <w:sz w:val="24"/>
          <w:szCs w:val="24"/>
          <w:lang w:val="sr-Cyrl-RS"/>
        </w:rPr>
        <w:t>су приказане</w:t>
      </w:r>
      <w:r w:rsidR="000A0E4E" w:rsidRPr="009C19C5">
        <w:rPr>
          <w:rFonts w:ascii="Times New Roman" w:hAnsi="Times New Roman" w:cs="Times New Roman"/>
          <w:sz w:val="24"/>
          <w:szCs w:val="24"/>
          <w:lang w:val="sr-Cyrl-RS"/>
        </w:rPr>
        <w:t xml:space="preserve"> у таб</w:t>
      </w:r>
      <w:r w:rsidR="00A53D3C" w:rsidRPr="009C19C5">
        <w:rPr>
          <w:rFonts w:ascii="Times New Roman" w:hAnsi="Times New Roman" w:cs="Times New Roman"/>
          <w:sz w:val="24"/>
          <w:szCs w:val="24"/>
          <w:lang w:val="sr-Cyrl-RS"/>
        </w:rPr>
        <w:t>.</w:t>
      </w:r>
      <w:r w:rsidR="000A0E4E" w:rsidRPr="009C19C5">
        <w:rPr>
          <w:rFonts w:ascii="Times New Roman" w:hAnsi="Times New Roman" w:cs="Times New Roman"/>
          <w:sz w:val="24"/>
          <w:szCs w:val="24"/>
          <w:lang w:val="sr-Cyrl-RS"/>
        </w:rPr>
        <w:t xml:space="preserve"> </w:t>
      </w:r>
      <w:r w:rsidRPr="009C19C5">
        <w:rPr>
          <w:rFonts w:ascii="Times New Roman" w:hAnsi="Times New Roman" w:cs="Times New Roman"/>
          <w:sz w:val="24"/>
          <w:szCs w:val="24"/>
          <w:lang w:val="sr-Cyrl-RS"/>
        </w:rPr>
        <w:t xml:space="preserve">10, </w:t>
      </w:r>
      <w:r w:rsidR="00D56599" w:rsidRPr="009C19C5">
        <w:rPr>
          <w:rFonts w:ascii="Times New Roman" w:hAnsi="Times New Roman" w:cs="Times New Roman"/>
          <w:sz w:val="24"/>
          <w:szCs w:val="24"/>
          <w:lang w:val="sr-Cyrl-RS"/>
        </w:rPr>
        <w:t>1</w:t>
      </w:r>
      <w:r w:rsidRPr="009C19C5">
        <w:rPr>
          <w:rFonts w:ascii="Times New Roman" w:hAnsi="Times New Roman" w:cs="Times New Roman"/>
          <w:sz w:val="24"/>
          <w:szCs w:val="24"/>
          <w:lang w:val="sr-Cyrl-RS"/>
        </w:rPr>
        <w:t>1</w:t>
      </w:r>
      <w:r w:rsidR="00D56599" w:rsidRPr="009C19C5">
        <w:rPr>
          <w:rFonts w:ascii="Times New Roman" w:hAnsi="Times New Roman" w:cs="Times New Roman"/>
          <w:sz w:val="24"/>
          <w:szCs w:val="24"/>
          <w:lang w:val="sr-Cyrl-RS"/>
        </w:rPr>
        <w:t>,</w:t>
      </w:r>
      <w:r w:rsidR="00555009" w:rsidRPr="009C19C5">
        <w:rPr>
          <w:rFonts w:ascii="Times New Roman" w:hAnsi="Times New Roman" w:cs="Times New Roman"/>
          <w:sz w:val="24"/>
          <w:szCs w:val="24"/>
          <w:lang w:val="sr-Cyrl-RS"/>
        </w:rPr>
        <w:t xml:space="preserve"> </w:t>
      </w:r>
      <w:r w:rsidRPr="009C19C5">
        <w:rPr>
          <w:rFonts w:ascii="Times New Roman" w:hAnsi="Times New Roman" w:cs="Times New Roman"/>
          <w:sz w:val="24"/>
          <w:szCs w:val="24"/>
          <w:lang w:val="sr-Cyrl-RS"/>
        </w:rPr>
        <w:t>12</w:t>
      </w:r>
      <w:r w:rsidR="006B706C" w:rsidRPr="009C19C5">
        <w:rPr>
          <w:rFonts w:ascii="Times New Roman" w:hAnsi="Times New Roman" w:cs="Times New Roman"/>
          <w:sz w:val="24"/>
          <w:szCs w:val="24"/>
          <w:lang w:val="sr-Cyrl-RS"/>
        </w:rPr>
        <w:t>.</w:t>
      </w:r>
      <w:r w:rsidR="00D56599" w:rsidRPr="009C19C5">
        <w:rPr>
          <w:rFonts w:ascii="Times New Roman" w:hAnsi="Times New Roman" w:cs="Times New Roman"/>
          <w:sz w:val="24"/>
          <w:szCs w:val="24"/>
          <w:lang w:val="sr-Cyrl-RS"/>
        </w:rPr>
        <w:t xml:space="preserve"> и 13</w:t>
      </w:r>
      <w:r w:rsidRPr="009C19C5">
        <w:rPr>
          <w:rFonts w:ascii="Times New Roman" w:hAnsi="Times New Roman" w:cs="Times New Roman"/>
          <w:sz w:val="24"/>
          <w:szCs w:val="24"/>
          <w:lang w:val="sr-Cyrl-RS"/>
        </w:rPr>
        <w:t>.</w:t>
      </w:r>
    </w:p>
    <w:p w14:paraId="3A87D781" w14:textId="77777777" w:rsidR="00AE5BAA" w:rsidRPr="009C19C5" w:rsidRDefault="00AE5BAA" w:rsidP="00AB6F97">
      <w:pPr>
        <w:pStyle w:val="BodyText"/>
        <w:spacing w:line="240" w:lineRule="auto"/>
        <w:ind w:firstLine="720"/>
        <w:rPr>
          <w:rFonts w:ascii="Times New Roman" w:hAnsi="Times New Roman" w:cs="Times New Roman"/>
          <w:sz w:val="24"/>
          <w:szCs w:val="24"/>
          <w:lang w:val="sr-Cyrl-RS"/>
        </w:rPr>
      </w:pPr>
    </w:p>
    <w:p w14:paraId="4E6B068A" w14:textId="77777777" w:rsidR="00686B52" w:rsidRPr="009C19C5" w:rsidRDefault="00686B52" w:rsidP="00AB6F97">
      <w:pPr>
        <w:pStyle w:val="BodyText"/>
        <w:spacing w:line="240" w:lineRule="auto"/>
        <w:ind w:firstLine="720"/>
        <w:rPr>
          <w:rFonts w:ascii="Times New Roman" w:hAnsi="Times New Roman" w:cs="Times New Roman"/>
          <w:sz w:val="24"/>
          <w:szCs w:val="24"/>
          <w:lang w:val="sr-Cyrl-RS"/>
        </w:rPr>
        <w:sectPr w:rsidR="00686B52" w:rsidRPr="009C19C5" w:rsidSect="00AE2386">
          <w:headerReference w:type="even" r:id="rId13"/>
          <w:headerReference w:type="default" r:id="rId14"/>
          <w:footerReference w:type="even" r:id="rId15"/>
          <w:headerReference w:type="first" r:id="rId16"/>
          <w:pgSz w:w="11910" w:h="16840"/>
          <w:pgMar w:top="720" w:right="720" w:bottom="720" w:left="720" w:header="720" w:footer="720" w:gutter="0"/>
          <w:pgNumType w:start="1"/>
          <w:cols w:space="720"/>
          <w:titlePg/>
          <w:docGrid w:linePitch="299"/>
        </w:sectPr>
      </w:pPr>
    </w:p>
    <w:p w14:paraId="73B26D08" w14:textId="77777777" w:rsidR="00BC369C" w:rsidRPr="009C19C5" w:rsidRDefault="00BC369C" w:rsidP="00BC369C">
      <w:pPr>
        <w:pStyle w:val="Caption"/>
        <w:keepNext/>
        <w:rPr>
          <w:rFonts w:ascii="Times New Roman" w:hAnsi="Times New Roman" w:cs="Times New Roman"/>
          <w:sz w:val="18"/>
          <w:szCs w:val="18"/>
          <w:lang w:val="sr-Cyrl-RS"/>
        </w:rPr>
      </w:pPr>
      <w:bookmarkStart w:id="35" w:name="_Hlk202346456"/>
    </w:p>
    <w:p w14:paraId="1F0DB901" w14:textId="700EC83F" w:rsidR="00BC369C" w:rsidRPr="009C19C5" w:rsidRDefault="00BC369C" w:rsidP="00BC369C">
      <w:pPr>
        <w:pStyle w:val="Caption"/>
        <w:keepNext/>
        <w:rPr>
          <w:rFonts w:ascii="Times New Roman" w:hAnsi="Times New Roman" w:cs="Times New Roman"/>
          <w:i w:val="0"/>
          <w:iCs w:val="0"/>
          <w:color w:val="auto"/>
          <w:sz w:val="24"/>
          <w:szCs w:val="24"/>
          <w:lang w:val="sr-Cyrl-RS"/>
        </w:rPr>
      </w:pPr>
      <w:r w:rsidRPr="009C19C5">
        <w:rPr>
          <w:rFonts w:ascii="Times New Roman" w:hAnsi="Times New Roman" w:cs="Times New Roman"/>
          <w:i w:val="0"/>
          <w:iCs w:val="0"/>
          <w:color w:val="auto"/>
          <w:sz w:val="24"/>
          <w:szCs w:val="24"/>
          <w:lang w:val="sr-Cyrl-RS"/>
        </w:rPr>
        <w:t>6.1. Краткорочне акт</w:t>
      </w:r>
      <w:r w:rsidR="00F054FC">
        <w:rPr>
          <w:rFonts w:ascii="Times New Roman" w:hAnsi="Times New Roman" w:cs="Times New Roman"/>
          <w:i w:val="0"/>
          <w:iCs w:val="0"/>
          <w:color w:val="auto"/>
          <w:sz w:val="24"/>
          <w:szCs w:val="24"/>
          <w:lang w:val="sr-Cyrl-RS"/>
        </w:rPr>
        <w:t>и</w:t>
      </w:r>
      <w:r w:rsidRPr="009C19C5">
        <w:rPr>
          <w:rFonts w:ascii="Times New Roman" w:hAnsi="Times New Roman" w:cs="Times New Roman"/>
          <w:i w:val="0"/>
          <w:iCs w:val="0"/>
          <w:color w:val="auto"/>
          <w:sz w:val="24"/>
          <w:szCs w:val="24"/>
          <w:lang w:val="sr-Cyrl-RS"/>
        </w:rPr>
        <w:t>вности на националном нивоу (Група А)</w:t>
      </w:r>
    </w:p>
    <w:p w14:paraId="6C7F20D2" w14:textId="77777777" w:rsidR="00BC369C" w:rsidRPr="009C19C5" w:rsidRDefault="00BC369C" w:rsidP="00BC369C">
      <w:pPr>
        <w:pStyle w:val="Caption"/>
        <w:keepNext/>
        <w:jc w:val="left"/>
        <w:rPr>
          <w:rFonts w:ascii="Times New Roman" w:hAnsi="Times New Roman" w:cs="Times New Roman"/>
          <w:i w:val="0"/>
          <w:iCs w:val="0"/>
          <w:color w:val="auto"/>
          <w:sz w:val="20"/>
          <w:szCs w:val="20"/>
          <w:lang w:val="sr-Cyrl-RS"/>
        </w:rPr>
      </w:pPr>
      <w:r w:rsidRPr="009C19C5">
        <w:rPr>
          <w:rFonts w:ascii="Times New Roman" w:hAnsi="Times New Roman" w:cs="Times New Roman"/>
          <w:i w:val="0"/>
          <w:iCs w:val="0"/>
          <w:color w:val="auto"/>
          <w:sz w:val="20"/>
          <w:szCs w:val="20"/>
          <w:lang w:val="sr-Cyrl-RS"/>
        </w:rPr>
        <w:t>Табела 10: Краткорочне активности на националном нивоу</w:t>
      </w:r>
    </w:p>
    <w:bookmarkEnd w:id="35"/>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
        <w:gridCol w:w="2238"/>
        <w:gridCol w:w="1356"/>
        <w:gridCol w:w="1779"/>
        <w:gridCol w:w="1213"/>
        <w:gridCol w:w="1599"/>
        <w:gridCol w:w="1481"/>
        <w:gridCol w:w="1900"/>
        <w:gridCol w:w="1672"/>
        <w:gridCol w:w="1490"/>
      </w:tblGrid>
      <w:tr w:rsidR="00BC369C" w:rsidRPr="009C19C5" w14:paraId="1411AC5F" w14:textId="77777777" w:rsidTr="00694C70">
        <w:trPr>
          <w:trHeight w:val="404"/>
          <w:tblHeader/>
          <w:jc w:val="center"/>
        </w:trPr>
        <w:tc>
          <w:tcPr>
            <w:tcW w:w="156" w:type="pct"/>
            <w:tcBorders>
              <w:top w:val="single" w:sz="4" w:space="0" w:color="auto"/>
              <w:left w:val="single" w:sz="4" w:space="0" w:color="auto"/>
              <w:bottom w:val="single" w:sz="4" w:space="0" w:color="auto"/>
              <w:right w:val="single" w:sz="4" w:space="0" w:color="auto"/>
            </w:tcBorders>
            <w:shd w:val="clear" w:color="auto" w:fill="auto"/>
            <w:vAlign w:val="center"/>
          </w:tcPr>
          <w:p w14:paraId="641B00BD" w14:textId="77777777" w:rsidR="00BC369C" w:rsidRPr="009C19C5" w:rsidRDefault="00BC369C" w:rsidP="00694C70">
            <w:pPr>
              <w:spacing w:after="0" w:line="240" w:lineRule="auto"/>
              <w:jc w:val="center"/>
              <w:rPr>
                <w:rFonts w:ascii="Times New Roman" w:hAnsi="Times New Roman" w:cs="Times New Roman"/>
                <w:sz w:val="18"/>
                <w:szCs w:val="18"/>
                <w:lang w:val="sr-Cyrl-RS" w:eastAsia="el-GR"/>
              </w:rPr>
            </w:pP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7AF83497" w14:textId="77777777" w:rsidR="00BC369C" w:rsidRPr="009C19C5" w:rsidRDefault="00BC369C" w:rsidP="00694C70">
            <w:pPr>
              <w:spacing w:after="0" w:line="240" w:lineRule="auto"/>
              <w:jc w:val="center"/>
              <w:rPr>
                <w:rFonts w:ascii="Times New Roman" w:hAnsi="Times New Roman" w:cs="Times New Roman"/>
                <w:sz w:val="18"/>
                <w:szCs w:val="18"/>
                <w:lang w:val="sr-Cyrl-RS" w:eastAsia="el-GR"/>
              </w:rPr>
            </w:pPr>
            <w:r w:rsidRPr="009C19C5">
              <w:rPr>
                <w:rFonts w:ascii="Times New Roman" w:hAnsi="Times New Roman" w:cs="Times New Roman"/>
                <w:sz w:val="18"/>
                <w:szCs w:val="18"/>
                <w:lang w:val="sr-Cyrl-RS" w:eastAsia="el-GR"/>
              </w:rPr>
              <w:t>Предмет активности</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1F066E35" w14:textId="77777777" w:rsidR="00BC369C" w:rsidRPr="009C19C5" w:rsidRDefault="00BC369C" w:rsidP="00694C70">
            <w:pPr>
              <w:spacing w:after="0" w:line="240" w:lineRule="auto"/>
              <w:jc w:val="center"/>
              <w:rPr>
                <w:rFonts w:ascii="Times New Roman" w:hAnsi="Times New Roman" w:cs="Times New Roman"/>
                <w:sz w:val="18"/>
                <w:szCs w:val="18"/>
                <w:lang w:val="sr-Cyrl-RS" w:eastAsia="el-GR"/>
              </w:rPr>
            </w:pPr>
            <w:r w:rsidRPr="009C19C5">
              <w:rPr>
                <w:rFonts w:ascii="Times New Roman" w:hAnsi="Times New Roman" w:cs="Times New Roman"/>
                <w:sz w:val="18"/>
                <w:szCs w:val="18"/>
                <w:lang w:val="sr-Cyrl-RS" w:eastAsia="el-GR"/>
              </w:rPr>
              <w:t>Временски оквир</w:t>
            </w:r>
          </w:p>
        </w:tc>
        <w:tc>
          <w:tcPr>
            <w:tcW w:w="585" w:type="pct"/>
            <w:tcBorders>
              <w:top w:val="single" w:sz="4" w:space="0" w:color="auto"/>
              <w:left w:val="single" w:sz="4" w:space="0" w:color="auto"/>
              <w:bottom w:val="single" w:sz="4" w:space="0" w:color="auto"/>
              <w:right w:val="single" w:sz="4" w:space="0" w:color="auto"/>
            </w:tcBorders>
            <w:shd w:val="clear" w:color="auto" w:fill="auto"/>
            <w:vAlign w:val="center"/>
          </w:tcPr>
          <w:p w14:paraId="54BEA9B7" w14:textId="77777777" w:rsidR="00BC369C" w:rsidRPr="009C19C5" w:rsidRDefault="00BC369C" w:rsidP="00694C70">
            <w:pPr>
              <w:spacing w:after="0" w:line="240" w:lineRule="auto"/>
              <w:jc w:val="center"/>
              <w:rPr>
                <w:rFonts w:ascii="Times New Roman" w:hAnsi="Times New Roman" w:cs="Times New Roman"/>
                <w:sz w:val="18"/>
                <w:szCs w:val="18"/>
                <w:lang w:val="sr-Cyrl-RS" w:eastAsia="el-GR"/>
              </w:rPr>
            </w:pPr>
            <w:r w:rsidRPr="009C19C5">
              <w:rPr>
                <w:rFonts w:ascii="Times New Roman" w:hAnsi="Times New Roman" w:cs="Times New Roman"/>
                <w:sz w:val="18"/>
                <w:szCs w:val="18"/>
                <w:lang w:val="sr-Cyrl-RS" w:eastAsia="el-GR"/>
              </w:rPr>
              <w:t>Одговорна заинтересована страна</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14:paraId="3181AFBE" w14:textId="77777777" w:rsidR="00BC369C" w:rsidRPr="009C19C5" w:rsidRDefault="00BC369C" w:rsidP="00694C70">
            <w:pPr>
              <w:spacing w:after="0" w:line="240" w:lineRule="auto"/>
              <w:jc w:val="center"/>
              <w:rPr>
                <w:rFonts w:ascii="Times New Roman" w:hAnsi="Times New Roman" w:cs="Times New Roman"/>
                <w:sz w:val="18"/>
                <w:szCs w:val="18"/>
                <w:lang w:val="sr-Cyrl-RS" w:eastAsia="el-GR"/>
              </w:rPr>
            </w:pPr>
            <w:r w:rsidRPr="009C19C5">
              <w:rPr>
                <w:rFonts w:ascii="Times New Roman" w:hAnsi="Times New Roman" w:cs="Times New Roman"/>
                <w:sz w:val="18"/>
                <w:szCs w:val="18"/>
                <w:lang w:val="sr-Cyrl-RS" w:eastAsia="el-GR"/>
              </w:rPr>
              <w:t>Процена трошкова</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14:paraId="573FD2D4" w14:textId="77777777" w:rsidR="00BC369C" w:rsidRPr="009C19C5" w:rsidRDefault="00BC369C" w:rsidP="00694C70">
            <w:pPr>
              <w:spacing w:after="0" w:line="240" w:lineRule="auto"/>
              <w:jc w:val="center"/>
              <w:rPr>
                <w:rFonts w:ascii="Times New Roman" w:hAnsi="Times New Roman" w:cs="Times New Roman"/>
                <w:sz w:val="18"/>
                <w:szCs w:val="18"/>
                <w:lang w:val="sr-Cyrl-RS" w:eastAsia="el-GR"/>
              </w:rPr>
            </w:pPr>
            <w:r w:rsidRPr="009C19C5">
              <w:rPr>
                <w:rFonts w:ascii="Times New Roman" w:hAnsi="Times New Roman" w:cs="Times New Roman"/>
                <w:sz w:val="18"/>
                <w:szCs w:val="18"/>
                <w:lang w:val="sr-Cyrl-RS" w:eastAsia="el-GR"/>
              </w:rPr>
              <w:t>Извор финансирања</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468801CE" w14:textId="77777777" w:rsidR="00BC369C" w:rsidRPr="009C19C5" w:rsidRDefault="00BC369C" w:rsidP="00694C70">
            <w:pPr>
              <w:spacing w:after="0" w:line="240" w:lineRule="auto"/>
              <w:jc w:val="center"/>
              <w:rPr>
                <w:rFonts w:ascii="Times New Roman" w:hAnsi="Times New Roman" w:cs="Times New Roman"/>
                <w:sz w:val="18"/>
                <w:szCs w:val="18"/>
                <w:lang w:val="sr-Cyrl-RS" w:eastAsia="el-GR"/>
              </w:rPr>
            </w:pPr>
            <w:r w:rsidRPr="009C19C5">
              <w:rPr>
                <w:rFonts w:ascii="Times New Roman" w:hAnsi="Times New Roman" w:cs="Times New Roman"/>
                <w:sz w:val="18"/>
                <w:szCs w:val="18"/>
                <w:lang w:val="sr-Cyrl-RS" w:eastAsia="el-GR"/>
              </w:rPr>
              <w:t>Подручје</w:t>
            </w: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14:paraId="6ABA202A" w14:textId="77777777" w:rsidR="00BC369C" w:rsidRPr="009C19C5" w:rsidRDefault="00BC369C" w:rsidP="00694C70">
            <w:pPr>
              <w:spacing w:after="0" w:line="240" w:lineRule="auto"/>
              <w:jc w:val="center"/>
              <w:rPr>
                <w:rFonts w:ascii="Times New Roman" w:hAnsi="Times New Roman" w:cs="Times New Roman"/>
                <w:sz w:val="18"/>
                <w:szCs w:val="18"/>
                <w:lang w:val="sr-Cyrl-RS" w:eastAsia="el-GR"/>
              </w:rPr>
            </w:pPr>
            <w:r w:rsidRPr="009C19C5">
              <w:rPr>
                <w:rFonts w:ascii="Times New Roman" w:hAnsi="Times New Roman" w:cs="Times New Roman"/>
                <w:sz w:val="18"/>
                <w:szCs w:val="18"/>
                <w:lang w:val="sr-Cyrl-RS" w:eastAsia="el-GR"/>
              </w:rPr>
              <w:t>Циљна група</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14:paraId="0170CD6B" w14:textId="77777777" w:rsidR="00BC369C" w:rsidRPr="009C19C5" w:rsidRDefault="00BC369C" w:rsidP="00694C70">
            <w:pPr>
              <w:spacing w:after="0" w:line="240" w:lineRule="auto"/>
              <w:jc w:val="center"/>
              <w:rPr>
                <w:rFonts w:ascii="Times New Roman" w:hAnsi="Times New Roman" w:cs="Times New Roman"/>
                <w:sz w:val="18"/>
                <w:szCs w:val="18"/>
                <w:lang w:val="sr-Cyrl-RS" w:eastAsia="el-GR"/>
              </w:rPr>
            </w:pPr>
            <w:r w:rsidRPr="009C19C5">
              <w:rPr>
                <w:rFonts w:ascii="Times New Roman" w:hAnsi="Times New Roman" w:cs="Times New Roman"/>
                <w:sz w:val="18"/>
                <w:szCs w:val="18"/>
                <w:lang w:val="sr-Cyrl-RS" w:eastAsia="el-GR"/>
              </w:rPr>
              <w:t>Кључни показатељ учинка</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5F853366" w14:textId="77777777" w:rsidR="00BC369C" w:rsidRPr="009C19C5" w:rsidRDefault="00BC369C" w:rsidP="00694C70">
            <w:pPr>
              <w:spacing w:after="0" w:line="240" w:lineRule="auto"/>
              <w:ind w:right="-20"/>
              <w:jc w:val="center"/>
              <w:rPr>
                <w:rFonts w:ascii="Times New Roman" w:hAnsi="Times New Roman" w:cs="Times New Roman"/>
                <w:sz w:val="18"/>
                <w:szCs w:val="18"/>
                <w:lang w:val="sr-Cyrl-RS" w:eastAsia="el-GR"/>
              </w:rPr>
            </w:pPr>
            <w:r w:rsidRPr="009C19C5">
              <w:rPr>
                <w:rFonts w:ascii="Times New Roman" w:hAnsi="Times New Roman" w:cs="Times New Roman"/>
                <w:sz w:val="18"/>
                <w:szCs w:val="18"/>
                <w:lang w:val="sr-Cyrl-RS" w:eastAsia="el-GR"/>
              </w:rPr>
              <w:t>Ефекат и приоритет</w:t>
            </w:r>
          </w:p>
        </w:tc>
      </w:tr>
      <w:tr w:rsidR="00BC369C" w:rsidRPr="009C19C5" w14:paraId="1FEB150A" w14:textId="77777777" w:rsidTr="00694C70">
        <w:trPr>
          <w:trHeight w:val="205"/>
          <w:jc w:val="center"/>
        </w:trPr>
        <w:tc>
          <w:tcPr>
            <w:tcW w:w="156" w:type="pct"/>
            <w:tcBorders>
              <w:top w:val="single" w:sz="4" w:space="0" w:color="auto"/>
              <w:left w:val="single" w:sz="4" w:space="0" w:color="auto"/>
              <w:bottom w:val="single" w:sz="4" w:space="0" w:color="auto"/>
              <w:right w:val="single" w:sz="4" w:space="0" w:color="auto"/>
            </w:tcBorders>
            <w:shd w:val="clear" w:color="auto" w:fill="auto"/>
            <w:vAlign w:val="center"/>
          </w:tcPr>
          <w:p w14:paraId="050E6F10"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p>
        </w:tc>
        <w:tc>
          <w:tcPr>
            <w:tcW w:w="4844"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15C77548"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sz w:val="20"/>
                <w:szCs w:val="20"/>
                <w:lang w:val="sr-Cyrl-RS" w:eastAsia="el-GR"/>
              </w:rPr>
              <w:t>Национални ниво</w:t>
            </w:r>
          </w:p>
        </w:tc>
      </w:tr>
      <w:tr w:rsidR="00BC369C" w:rsidRPr="009C19C5" w14:paraId="2F20D5DF" w14:textId="77777777" w:rsidTr="00694C70">
        <w:trPr>
          <w:trHeight w:val="2985"/>
          <w:jc w:val="center"/>
        </w:trPr>
        <w:tc>
          <w:tcPr>
            <w:tcW w:w="156" w:type="pct"/>
            <w:tcBorders>
              <w:top w:val="single" w:sz="4" w:space="0" w:color="auto"/>
              <w:left w:val="single" w:sz="4" w:space="0" w:color="auto"/>
              <w:bottom w:val="single" w:sz="4" w:space="0" w:color="auto"/>
              <w:right w:val="single" w:sz="4" w:space="0" w:color="auto"/>
            </w:tcBorders>
            <w:shd w:val="clear" w:color="auto" w:fill="auto"/>
            <w:vAlign w:val="center"/>
          </w:tcPr>
          <w:p w14:paraId="1892D7DC"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bookmarkStart w:id="36" w:name="_Hlk202346529"/>
            <w:r w:rsidRPr="009C19C5">
              <w:rPr>
                <w:rFonts w:ascii="Times New Roman" w:hAnsi="Times New Roman" w:cs="Times New Roman"/>
                <w:sz w:val="20"/>
                <w:szCs w:val="20"/>
                <w:lang w:val="sr-Cyrl-RS" w:eastAsia="en-GB"/>
              </w:rPr>
              <w:t>1.</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546FC160"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 xml:space="preserve">Постављање и операционализација управљања праведном транзицијом у </w:t>
            </w:r>
            <w:r w:rsidRPr="009C19C5">
              <w:rPr>
                <w:rFonts w:ascii="Times New Roman" w:hAnsi="Times New Roman" w:cs="Times New Roman"/>
                <w:sz w:val="20"/>
                <w:szCs w:val="20"/>
                <w:lang w:val="sr-Cyrl-RS"/>
              </w:rPr>
              <w:t>Републици</w:t>
            </w:r>
            <w:r w:rsidRPr="009C19C5">
              <w:rPr>
                <w:rFonts w:ascii="Times New Roman" w:hAnsi="Times New Roman" w:cs="Times New Roman"/>
                <w:sz w:val="20"/>
                <w:szCs w:val="20"/>
                <w:lang w:val="sr-Cyrl-RS" w:eastAsia="en-GB"/>
              </w:rPr>
              <w:t xml:space="preserve"> Србији </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5E5A7164"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12 месеци</w:t>
            </w:r>
          </w:p>
        </w:tc>
        <w:tc>
          <w:tcPr>
            <w:tcW w:w="585" w:type="pct"/>
            <w:tcBorders>
              <w:top w:val="single" w:sz="4" w:space="0" w:color="auto"/>
              <w:left w:val="single" w:sz="4" w:space="0" w:color="auto"/>
              <w:bottom w:val="single" w:sz="4" w:space="0" w:color="auto"/>
              <w:right w:val="single" w:sz="4" w:space="0" w:color="auto"/>
            </w:tcBorders>
            <w:shd w:val="clear" w:color="auto" w:fill="auto"/>
            <w:vAlign w:val="center"/>
          </w:tcPr>
          <w:p w14:paraId="4EBCEA49"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Влада – пројектна управа – Министарство рударства и енергетике</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14:paraId="4074CE02"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Н/A</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14:paraId="5C0FF43F"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Н/A</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6B1A06B3"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Национално</w:t>
            </w: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14:paraId="607FFDDB"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 xml:space="preserve">Министарство за рад, запошљавање, борачка и социјална питања, Министарство </w:t>
            </w:r>
          </w:p>
          <w:p w14:paraId="293AAC14"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заштите животне средине, Министарство рударства и енергетике, Министарство просвете, Министарство привреде, Министарство грађевинарства, саобраћаја и инфраструктуре, Министарство финансија, Министарство пољопривреде, шумарства и водопривреде, Министарство унутрашњих послова, локалне власти, ЕПС АД</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14:paraId="4AE835DC" w14:textId="3841F419"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Припрема комитета Владе, јединице за праведну транзицију у оквиру Министарства рударства и енергетике, и ad hoc радних група</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14:paraId="49671469"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 xml:space="preserve">Покретачка снага Плана за праведну енергетску транзицију мора бити посвећеност Владе. </w:t>
            </w:r>
          </w:p>
          <w:p w14:paraId="1286D1AB"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p>
          <w:p w14:paraId="59265893" w14:textId="553E2EE9"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Приоритет: висок у периоду ублажавања ефеката транзиције, према плану</w:t>
            </w:r>
          </w:p>
        </w:tc>
      </w:tr>
    </w:tbl>
    <w:p w14:paraId="19B99705" w14:textId="77777777" w:rsidR="00BC369C" w:rsidRPr="009C19C5" w:rsidRDefault="00BC369C" w:rsidP="00BE195F">
      <w:pPr>
        <w:pStyle w:val="Heading2"/>
      </w:pPr>
      <w:bookmarkStart w:id="37" w:name="_Toc183082942"/>
      <w:bookmarkEnd w:id="36"/>
    </w:p>
    <w:p w14:paraId="7FE34778" w14:textId="77777777" w:rsidR="00BC369C" w:rsidRPr="009C19C5" w:rsidRDefault="00BC369C" w:rsidP="00BC369C">
      <w:pPr>
        <w:rPr>
          <w:lang w:val="sr-Cyrl-RS" w:eastAsia="el-GR"/>
        </w:rPr>
      </w:pPr>
    </w:p>
    <w:p w14:paraId="4D39D0B0" w14:textId="77777777" w:rsidR="00BC369C" w:rsidRPr="009C19C5" w:rsidRDefault="00BC369C" w:rsidP="00BC369C">
      <w:pPr>
        <w:rPr>
          <w:lang w:val="sr-Cyrl-RS" w:eastAsia="el-GR"/>
        </w:rPr>
      </w:pPr>
    </w:p>
    <w:p w14:paraId="0761423E" w14:textId="51223B6E" w:rsidR="00BC369C" w:rsidRPr="00AD26DD" w:rsidRDefault="00BC369C" w:rsidP="00BE195F">
      <w:pPr>
        <w:pStyle w:val="Heading2"/>
      </w:pPr>
      <w:r w:rsidRPr="00AD26DD">
        <w:lastRenderedPageBreak/>
        <w:t>6.2. Припремне активности на националном нивоу (Група Б)</w:t>
      </w:r>
      <w:bookmarkEnd w:id="37"/>
    </w:p>
    <w:p w14:paraId="39370C28" w14:textId="77777777" w:rsidR="00BC369C" w:rsidRPr="009C19C5" w:rsidRDefault="00BC369C" w:rsidP="00BC369C">
      <w:pPr>
        <w:pStyle w:val="Caption"/>
        <w:keepNext/>
        <w:jc w:val="left"/>
        <w:rPr>
          <w:rFonts w:ascii="Times New Roman" w:hAnsi="Times New Roman" w:cs="Times New Roman"/>
          <w:color w:val="auto"/>
          <w:sz w:val="20"/>
          <w:szCs w:val="20"/>
          <w:lang w:val="sr-Cyrl-RS"/>
        </w:rPr>
      </w:pPr>
      <w:r w:rsidRPr="009C19C5">
        <w:rPr>
          <w:rFonts w:ascii="Times New Roman" w:hAnsi="Times New Roman" w:cs="Times New Roman"/>
          <w:i w:val="0"/>
          <w:iCs w:val="0"/>
          <w:color w:val="auto"/>
          <w:sz w:val="24"/>
          <w:szCs w:val="24"/>
          <w:lang w:val="sr-Cyrl-RS"/>
        </w:rPr>
        <w:t>Т</w:t>
      </w:r>
      <w:r w:rsidRPr="009C19C5">
        <w:rPr>
          <w:rFonts w:ascii="Times New Roman" w:hAnsi="Times New Roman" w:cs="Times New Roman"/>
          <w:i w:val="0"/>
          <w:iCs w:val="0"/>
          <w:color w:val="auto"/>
          <w:sz w:val="20"/>
          <w:szCs w:val="20"/>
          <w:lang w:val="sr-Cyrl-RS"/>
        </w:rPr>
        <w:t>абела 11: Припремне активности на националном нивоу</w:t>
      </w:r>
    </w:p>
    <w:tbl>
      <w:tblPr>
        <w:tblW w:w="494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
        <w:gridCol w:w="1805"/>
        <w:gridCol w:w="1195"/>
        <w:gridCol w:w="1603"/>
        <w:gridCol w:w="1180"/>
        <w:gridCol w:w="1579"/>
        <w:gridCol w:w="1337"/>
        <w:gridCol w:w="2103"/>
        <w:gridCol w:w="2148"/>
        <w:gridCol w:w="1706"/>
      </w:tblGrid>
      <w:tr w:rsidR="00BC369C" w:rsidRPr="009C19C5" w14:paraId="368CA09A" w14:textId="77777777" w:rsidTr="00694C70">
        <w:trPr>
          <w:trHeight w:val="404"/>
          <w:tblHeader/>
          <w:jc w:val="center"/>
        </w:trPr>
        <w:tc>
          <w:tcPr>
            <w:tcW w:w="120" w:type="pct"/>
            <w:tcBorders>
              <w:top w:val="single" w:sz="4" w:space="0" w:color="auto"/>
              <w:left w:val="single" w:sz="4" w:space="0" w:color="auto"/>
              <w:bottom w:val="single" w:sz="4" w:space="0" w:color="auto"/>
              <w:right w:val="single" w:sz="4" w:space="0" w:color="auto"/>
            </w:tcBorders>
            <w:shd w:val="clear" w:color="auto" w:fill="auto"/>
            <w:vAlign w:val="center"/>
          </w:tcPr>
          <w:p w14:paraId="0FDA26E3"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3F128976"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sz w:val="20"/>
                <w:szCs w:val="20"/>
                <w:lang w:val="sr-Cyrl-RS" w:eastAsia="el-GR"/>
              </w:rPr>
              <w:t>Предмет акције</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14:paraId="45305A25"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sz w:val="20"/>
                <w:szCs w:val="20"/>
                <w:lang w:val="sr-Cyrl-RS" w:eastAsia="el-GR"/>
              </w:rPr>
              <w:t>Временски оквир</w:t>
            </w:r>
          </w:p>
        </w:tc>
        <w:tc>
          <w:tcPr>
            <w:tcW w:w="534" w:type="pct"/>
            <w:tcBorders>
              <w:top w:val="single" w:sz="4" w:space="0" w:color="auto"/>
              <w:left w:val="single" w:sz="4" w:space="0" w:color="auto"/>
              <w:bottom w:val="single" w:sz="4" w:space="0" w:color="auto"/>
              <w:right w:val="single" w:sz="4" w:space="0" w:color="auto"/>
            </w:tcBorders>
            <w:shd w:val="clear" w:color="auto" w:fill="auto"/>
            <w:vAlign w:val="center"/>
          </w:tcPr>
          <w:p w14:paraId="6AFF14F5"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sz w:val="20"/>
                <w:szCs w:val="20"/>
                <w:lang w:val="sr-Cyrl-RS" w:eastAsia="el-GR"/>
              </w:rPr>
              <w:t>Одговорна заинтересована страна</w:t>
            </w:r>
          </w:p>
        </w:tc>
        <w:tc>
          <w:tcPr>
            <w:tcW w:w="393" w:type="pct"/>
            <w:tcBorders>
              <w:top w:val="single" w:sz="4" w:space="0" w:color="auto"/>
              <w:left w:val="single" w:sz="4" w:space="0" w:color="auto"/>
              <w:bottom w:val="single" w:sz="4" w:space="0" w:color="auto"/>
              <w:right w:val="single" w:sz="4" w:space="0" w:color="auto"/>
            </w:tcBorders>
            <w:shd w:val="clear" w:color="auto" w:fill="auto"/>
            <w:vAlign w:val="center"/>
          </w:tcPr>
          <w:p w14:paraId="56D3DAD6"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sz w:val="20"/>
                <w:szCs w:val="20"/>
                <w:lang w:val="sr-Cyrl-RS" w:eastAsia="el-GR"/>
              </w:rPr>
              <w:t>Процена трошкова</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14:paraId="187F29DF"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sz w:val="20"/>
                <w:szCs w:val="20"/>
                <w:lang w:val="sr-Cyrl-RS" w:eastAsia="el-GR"/>
              </w:rPr>
              <w:t>Извори финансирања</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14:paraId="61761997"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sz w:val="20"/>
                <w:szCs w:val="20"/>
                <w:lang w:val="sr-Cyrl-RS" w:eastAsia="el-GR"/>
              </w:rPr>
              <w:t>Подручје</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14:paraId="0AC09DEF"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sz w:val="20"/>
                <w:szCs w:val="20"/>
                <w:lang w:val="sr-Cyrl-RS" w:eastAsia="el-GR"/>
              </w:rPr>
              <w:t>Циљна група</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tcPr>
          <w:p w14:paraId="1A7798C4"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sz w:val="20"/>
                <w:szCs w:val="20"/>
                <w:lang w:val="sr-Cyrl-RS" w:eastAsia="el-GR"/>
              </w:rPr>
              <w:t>Кључни показатељ учинка / КПИ (Key Performance index – KPI)</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14:paraId="792C60DB"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sz w:val="20"/>
                <w:szCs w:val="20"/>
                <w:lang w:val="sr-Cyrl-RS" w:eastAsia="el-GR"/>
              </w:rPr>
              <w:t>Ефекат и приоритет</w:t>
            </w:r>
          </w:p>
        </w:tc>
      </w:tr>
      <w:tr w:rsidR="00BC369C" w:rsidRPr="009C19C5" w14:paraId="62CF21C1" w14:textId="77777777" w:rsidTr="00694C70">
        <w:trPr>
          <w:trHeight w:val="205"/>
          <w:jc w:val="center"/>
        </w:trPr>
        <w:tc>
          <w:tcPr>
            <w:tcW w:w="120" w:type="pct"/>
            <w:tcBorders>
              <w:top w:val="single" w:sz="4" w:space="0" w:color="auto"/>
              <w:left w:val="single" w:sz="4" w:space="0" w:color="auto"/>
              <w:bottom w:val="single" w:sz="4" w:space="0" w:color="auto"/>
              <w:right w:val="single" w:sz="4" w:space="0" w:color="auto"/>
            </w:tcBorders>
            <w:shd w:val="clear" w:color="auto" w:fill="auto"/>
            <w:vAlign w:val="center"/>
          </w:tcPr>
          <w:p w14:paraId="4BFA1547"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p>
        </w:tc>
        <w:tc>
          <w:tcPr>
            <w:tcW w:w="4880"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540F1CC2"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sz w:val="20"/>
                <w:szCs w:val="20"/>
                <w:lang w:val="sr-Cyrl-RS" w:eastAsia="el-GR"/>
              </w:rPr>
              <w:t>Национални ниво</w:t>
            </w:r>
          </w:p>
        </w:tc>
      </w:tr>
      <w:tr w:rsidR="00BC369C" w:rsidRPr="009C19C5" w14:paraId="29FD282B" w14:textId="77777777" w:rsidTr="00694C70">
        <w:trPr>
          <w:trHeight w:val="1178"/>
          <w:jc w:val="center"/>
        </w:trPr>
        <w:tc>
          <w:tcPr>
            <w:tcW w:w="120" w:type="pct"/>
            <w:tcBorders>
              <w:top w:val="single" w:sz="4" w:space="0" w:color="auto"/>
              <w:left w:val="single" w:sz="4" w:space="0" w:color="auto"/>
              <w:bottom w:val="single" w:sz="4" w:space="0" w:color="auto"/>
              <w:right w:val="single" w:sz="4" w:space="0" w:color="auto"/>
            </w:tcBorders>
            <w:vAlign w:val="center"/>
          </w:tcPr>
          <w:p w14:paraId="3F4EDCCE"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t>2.</w:t>
            </w:r>
          </w:p>
        </w:tc>
        <w:tc>
          <w:tcPr>
            <w:tcW w:w="601" w:type="pct"/>
            <w:tcBorders>
              <w:top w:val="single" w:sz="4" w:space="0" w:color="auto"/>
              <w:left w:val="single" w:sz="4" w:space="0" w:color="auto"/>
              <w:bottom w:val="single" w:sz="4" w:space="0" w:color="auto"/>
              <w:right w:val="single" w:sz="4" w:space="0" w:color="auto"/>
            </w:tcBorders>
            <w:vAlign w:val="center"/>
          </w:tcPr>
          <w:p w14:paraId="4F798FB2"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t>Успостављање механизама за финансирање праведне транзиције и система за управљање</w:t>
            </w:r>
          </w:p>
        </w:tc>
        <w:tc>
          <w:tcPr>
            <w:tcW w:w="398" w:type="pct"/>
            <w:tcBorders>
              <w:top w:val="single" w:sz="4" w:space="0" w:color="auto"/>
              <w:left w:val="single" w:sz="4" w:space="0" w:color="auto"/>
              <w:bottom w:val="single" w:sz="4" w:space="0" w:color="auto"/>
              <w:right w:val="single" w:sz="4" w:space="0" w:color="auto"/>
            </w:tcBorders>
            <w:vAlign w:val="center"/>
          </w:tcPr>
          <w:p w14:paraId="058A76BC"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t>12 месеци</w:t>
            </w:r>
          </w:p>
        </w:tc>
        <w:tc>
          <w:tcPr>
            <w:tcW w:w="534" w:type="pct"/>
            <w:tcBorders>
              <w:top w:val="single" w:sz="4" w:space="0" w:color="auto"/>
              <w:left w:val="single" w:sz="4" w:space="0" w:color="auto"/>
              <w:bottom w:val="single" w:sz="4" w:space="0" w:color="auto"/>
              <w:right w:val="single" w:sz="4" w:space="0" w:color="auto"/>
            </w:tcBorders>
            <w:vAlign w:val="center"/>
          </w:tcPr>
          <w:p w14:paraId="2BF9C052"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t>Влада– Пројектна управа– Министарство рударства и енергетике</w:t>
            </w:r>
          </w:p>
        </w:tc>
        <w:tc>
          <w:tcPr>
            <w:tcW w:w="393" w:type="pct"/>
            <w:tcBorders>
              <w:top w:val="single" w:sz="4" w:space="0" w:color="auto"/>
              <w:left w:val="single" w:sz="4" w:space="0" w:color="auto"/>
              <w:bottom w:val="single" w:sz="4" w:space="0" w:color="auto"/>
              <w:right w:val="single" w:sz="4" w:space="0" w:color="auto"/>
            </w:tcBorders>
            <w:vAlign w:val="center"/>
          </w:tcPr>
          <w:p w14:paraId="2753E235"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t>350 хиљада евра</w:t>
            </w:r>
          </w:p>
        </w:tc>
        <w:tc>
          <w:tcPr>
            <w:tcW w:w="526" w:type="pct"/>
            <w:tcBorders>
              <w:top w:val="single" w:sz="4" w:space="0" w:color="auto"/>
              <w:left w:val="single" w:sz="4" w:space="0" w:color="auto"/>
              <w:bottom w:val="single" w:sz="4" w:space="0" w:color="auto"/>
              <w:right w:val="single" w:sz="4" w:space="0" w:color="auto"/>
            </w:tcBorders>
            <w:vAlign w:val="center"/>
          </w:tcPr>
          <w:p w14:paraId="5819CB9E" w14:textId="5EDA5E68"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t>Међународни донатори,</w:t>
            </w:r>
            <w:r w:rsidRPr="009C19C5">
              <w:rPr>
                <w:rFonts w:ascii="Times New Roman" w:hAnsi="Times New Roman" w:cs="Times New Roman"/>
                <w:sz w:val="20"/>
                <w:szCs w:val="20"/>
                <w:lang w:val="sr-Cyrl-RS" w:eastAsia="en-GB"/>
              </w:rPr>
              <w:t xml:space="preserve"> буџет Републике</w:t>
            </w:r>
            <w:r w:rsidRPr="009C19C5">
              <w:rPr>
                <w:rFonts w:ascii="Times New Roman" w:eastAsia="Times New Roman" w:hAnsi="Times New Roman" w:cs="Times New Roman"/>
                <w:kern w:val="0"/>
                <w:sz w:val="20"/>
                <w:szCs w:val="20"/>
                <w:lang w:val="sr-Cyrl-RS"/>
              </w:rPr>
              <w:t xml:space="preserve"> </w:t>
            </w:r>
            <w:r w:rsidRPr="009C19C5">
              <w:rPr>
                <w:rFonts w:ascii="Times New Roman" w:hAnsi="Times New Roman" w:cs="Times New Roman"/>
                <w:color w:val="000000"/>
                <w:sz w:val="20"/>
                <w:szCs w:val="20"/>
                <w:lang w:val="sr-Cyrl-RS" w:eastAsia="en-GB"/>
              </w:rPr>
              <w:t>и други извори у складу са законом</w:t>
            </w:r>
          </w:p>
        </w:tc>
        <w:tc>
          <w:tcPr>
            <w:tcW w:w="445" w:type="pct"/>
            <w:tcBorders>
              <w:top w:val="single" w:sz="4" w:space="0" w:color="auto"/>
              <w:left w:val="single" w:sz="4" w:space="0" w:color="auto"/>
              <w:bottom w:val="single" w:sz="4" w:space="0" w:color="auto"/>
              <w:right w:val="single" w:sz="4" w:space="0" w:color="auto"/>
            </w:tcBorders>
            <w:vAlign w:val="center"/>
          </w:tcPr>
          <w:p w14:paraId="70A5475C"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t>Национално</w:t>
            </w:r>
          </w:p>
        </w:tc>
        <w:tc>
          <w:tcPr>
            <w:tcW w:w="700" w:type="pct"/>
            <w:tcBorders>
              <w:top w:val="single" w:sz="4" w:space="0" w:color="auto"/>
              <w:left w:val="single" w:sz="4" w:space="0" w:color="auto"/>
              <w:bottom w:val="single" w:sz="4" w:space="0" w:color="auto"/>
              <w:right w:val="single" w:sz="4" w:space="0" w:color="auto"/>
            </w:tcBorders>
            <w:vAlign w:val="center"/>
          </w:tcPr>
          <w:p w14:paraId="0FAF81E5" w14:textId="6E6CCBFB"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t>Сва министарства и тела Владе укључена у праведну транзицију</w:t>
            </w:r>
          </w:p>
        </w:tc>
        <w:tc>
          <w:tcPr>
            <w:tcW w:w="715" w:type="pct"/>
            <w:tcBorders>
              <w:top w:val="single" w:sz="4" w:space="0" w:color="auto"/>
              <w:left w:val="single" w:sz="4" w:space="0" w:color="auto"/>
              <w:bottom w:val="single" w:sz="4" w:space="0" w:color="auto"/>
              <w:right w:val="single" w:sz="4" w:space="0" w:color="auto"/>
            </w:tcBorders>
            <w:vAlign w:val="center"/>
          </w:tcPr>
          <w:p w14:paraId="5B16F034"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t xml:space="preserve">Споразуми за дефинисање механизама за финансирање праведне транзиције, одлуке Владе о успостављању управљачког тела, </w:t>
            </w:r>
          </w:p>
          <w:p w14:paraId="1A09D5B5"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t>одлуке Владе дефинишу систем управљања</w:t>
            </w:r>
          </w:p>
        </w:tc>
        <w:tc>
          <w:tcPr>
            <w:tcW w:w="568" w:type="pct"/>
            <w:tcBorders>
              <w:top w:val="single" w:sz="4" w:space="0" w:color="auto"/>
              <w:left w:val="single" w:sz="4" w:space="0" w:color="auto"/>
              <w:bottom w:val="single" w:sz="4" w:space="0" w:color="auto"/>
              <w:right w:val="single" w:sz="4" w:space="0" w:color="auto"/>
            </w:tcBorders>
            <w:vAlign w:val="center"/>
          </w:tcPr>
          <w:p w14:paraId="065839EE"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t>Могућност финансирања  активности праведне транзиције кроз договорени механизам</w:t>
            </w:r>
          </w:p>
          <w:p w14:paraId="01B30348"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p>
          <w:p w14:paraId="4B918DE3"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t>Приоритет: Висок</w:t>
            </w:r>
          </w:p>
        </w:tc>
      </w:tr>
      <w:tr w:rsidR="00BC369C" w:rsidRPr="009C19C5" w14:paraId="1234B4A3" w14:textId="77777777" w:rsidTr="00694C70">
        <w:trPr>
          <w:trHeight w:val="305"/>
          <w:jc w:val="center"/>
        </w:trPr>
        <w:tc>
          <w:tcPr>
            <w:tcW w:w="120" w:type="pct"/>
            <w:tcBorders>
              <w:top w:val="single" w:sz="4" w:space="0" w:color="auto"/>
              <w:left w:val="single" w:sz="4" w:space="0" w:color="auto"/>
              <w:bottom w:val="single" w:sz="4" w:space="0" w:color="auto"/>
              <w:right w:val="single" w:sz="4" w:space="0" w:color="auto"/>
            </w:tcBorders>
            <w:vAlign w:val="center"/>
          </w:tcPr>
          <w:p w14:paraId="6FFAB6E9"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color w:val="000000"/>
                <w:sz w:val="20"/>
                <w:szCs w:val="20"/>
                <w:lang w:val="sr-Cyrl-RS" w:eastAsia="en-GB"/>
              </w:rPr>
              <w:t>3.</w:t>
            </w:r>
          </w:p>
        </w:tc>
        <w:tc>
          <w:tcPr>
            <w:tcW w:w="601" w:type="pct"/>
            <w:tcBorders>
              <w:top w:val="single" w:sz="4" w:space="0" w:color="auto"/>
              <w:left w:val="single" w:sz="4" w:space="0" w:color="auto"/>
              <w:bottom w:val="single" w:sz="4" w:space="0" w:color="auto"/>
              <w:right w:val="single" w:sz="4" w:space="0" w:color="auto"/>
            </w:tcBorders>
            <w:vAlign w:val="center"/>
          </w:tcPr>
          <w:p w14:paraId="0047F8D1"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t>Ажурирање законодавства, како би се укључили одговарајући механизми управљања и праћења и усвојио и спровео ППЕТ</w:t>
            </w:r>
          </w:p>
        </w:tc>
        <w:tc>
          <w:tcPr>
            <w:tcW w:w="398" w:type="pct"/>
            <w:tcBorders>
              <w:top w:val="single" w:sz="4" w:space="0" w:color="auto"/>
              <w:left w:val="single" w:sz="4" w:space="0" w:color="auto"/>
              <w:bottom w:val="single" w:sz="4" w:space="0" w:color="auto"/>
              <w:right w:val="single" w:sz="4" w:space="0" w:color="auto"/>
            </w:tcBorders>
            <w:vAlign w:val="center"/>
          </w:tcPr>
          <w:p w14:paraId="64211A41"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t>12 месеци</w:t>
            </w:r>
          </w:p>
        </w:tc>
        <w:tc>
          <w:tcPr>
            <w:tcW w:w="534" w:type="pct"/>
            <w:tcBorders>
              <w:top w:val="single" w:sz="4" w:space="0" w:color="auto"/>
              <w:left w:val="single" w:sz="4" w:space="0" w:color="auto"/>
              <w:bottom w:val="single" w:sz="4" w:space="0" w:color="auto"/>
              <w:right w:val="single" w:sz="4" w:space="0" w:color="auto"/>
            </w:tcBorders>
            <w:vAlign w:val="center"/>
          </w:tcPr>
          <w:p w14:paraId="64F90F85"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t>Министарство рударства и енергетике</w:t>
            </w:r>
          </w:p>
        </w:tc>
        <w:tc>
          <w:tcPr>
            <w:tcW w:w="393" w:type="pct"/>
            <w:tcBorders>
              <w:top w:val="single" w:sz="4" w:space="0" w:color="auto"/>
              <w:left w:val="single" w:sz="4" w:space="0" w:color="auto"/>
              <w:bottom w:val="single" w:sz="4" w:space="0" w:color="auto"/>
              <w:right w:val="single" w:sz="4" w:space="0" w:color="auto"/>
            </w:tcBorders>
            <w:vAlign w:val="center"/>
          </w:tcPr>
          <w:p w14:paraId="41D55CB9"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p>
          <w:p w14:paraId="31530544"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t>150 хиљада евра</w:t>
            </w:r>
          </w:p>
          <w:p w14:paraId="58FDD64C"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t>Трошкови правне помоћи</w:t>
            </w:r>
          </w:p>
        </w:tc>
        <w:tc>
          <w:tcPr>
            <w:tcW w:w="526" w:type="pct"/>
            <w:tcBorders>
              <w:top w:val="single" w:sz="4" w:space="0" w:color="auto"/>
              <w:left w:val="single" w:sz="4" w:space="0" w:color="auto"/>
              <w:bottom w:val="single" w:sz="4" w:space="0" w:color="auto"/>
              <w:right w:val="single" w:sz="4" w:space="0" w:color="auto"/>
            </w:tcBorders>
            <w:vAlign w:val="center"/>
          </w:tcPr>
          <w:p w14:paraId="1D12FE39"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p>
          <w:p w14:paraId="7CAF97A9"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t>Међународни</w:t>
            </w:r>
          </w:p>
          <w:p w14:paraId="775A2F1E"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t>донатори</w:t>
            </w:r>
          </w:p>
        </w:tc>
        <w:tc>
          <w:tcPr>
            <w:tcW w:w="445" w:type="pct"/>
            <w:tcBorders>
              <w:top w:val="single" w:sz="4" w:space="0" w:color="auto"/>
              <w:left w:val="single" w:sz="4" w:space="0" w:color="auto"/>
              <w:bottom w:val="single" w:sz="4" w:space="0" w:color="auto"/>
              <w:right w:val="single" w:sz="4" w:space="0" w:color="auto"/>
            </w:tcBorders>
            <w:vAlign w:val="center"/>
          </w:tcPr>
          <w:p w14:paraId="59CE947F"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t>Национално</w:t>
            </w:r>
          </w:p>
        </w:tc>
        <w:tc>
          <w:tcPr>
            <w:tcW w:w="700" w:type="pct"/>
            <w:tcBorders>
              <w:top w:val="single" w:sz="4" w:space="0" w:color="auto"/>
              <w:left w:val="single" w:sz="4" w:space="0" w:color="auto"/>
              <w:bottom w:val="single" w:sz="4" w:space="0" w:color="auto"/>
              <w:right w:val="single" w:sz="4" w:space="0" w:color="auto"/>
            </w:tcBorders>
            <w:vAlign w:val="center"/>
          </w:tcPr>
          <w:p w14:paraId="6523BD0D"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t xml:space="preserve">Влада </w:t>
            </w:r>
          </w:p>
        </w:tc>
        <w:tc>
          <w:tcPr>
            <w:tcW w:w="715" w:type="pct"/>
            <w:tcBorders>
              <w:top w:val="single" w:sz="4" w:space="0" w:color="auto"/>
              <w:left w:val="single" w:sz="4" w:space="0" w:color="auto"/>
              <w:bottom w:val="single" w:sz="4" w:space="0" w:color="auto"/>
              <w:right w:val="single" w:sz="4" w:space="0" w:color="auto"/>
            </w:tcBorders>
            <w:vAlign w:val="center"/>
          </w:tcPr>
          <w:p w14:paraId="271891A9"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t xml:space="preserve">Усвајање свих потребних законских и подзаконских аката </w:t>
            </w:r>
          </w:p>
        </w:tc>
        <w:tc>
          <w:tcPr>
            <w:tcW w:w="568" w:type="pct"/>
            <w:tcBorders>
              <w:top w:val="single" w:sz="4" w:space="0" w:color="auto"/>
              <w:left w:val="single" w:sz="4" w:space="0" w:color="auto"/>
              <w:bottom w:val="single" w:sz="4" w:space="0" w:color="auto"/>
              <w:right w:val="single" w:sz="4" w:space="0" w:color="auto"/>
            </w:tcBorders>
            <w:vAlign w:val="center"/>
          </w:tcPr>
          <w:p w14:paraId="7498D67C"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t xml:space="preserve">Праведна транзиција је покренута и укључена у правни оквир </w:t>
            </w:r>
          </w:p>
          <w:p w14:paraId="266947F0"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p>
          <w:p w14:paraId="2FF98374"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t>Приоритет: Висок током припреме за декарбонизацију</w:t>
            </w:r>
          </w:p>
        </w:tc>
      </w:tr>
      <w:tr w:rsidR="00BC369C" w:rsidRPr="009C19C5" w14:paraId="6F8BEB36" w14:textId="77777777" w:rsidTr="00694C70">
        <w:trPr>
          <w:trHeight w:val="404"/>
          <w:jc w:val="center"/>
        </w:trPr>
        <w:tc>
          <w:tcPr>
            <w:tcW w:w="120" w:type="pct"/>
            <w:tcBorders>
              <w:top w:val="single" w:sz="4" w:space="0" w:color="auto"/>
              <w:left w:val="single" w:sz="4" w:space="0" w:color="auto"/>
              <w:bottom w:val="single" w:sz="4" w:space="0" w:color="auto"/>
              <w:right w:val="single" w:sz="4" w:space="0" w:color="auto"/>
            </w:tcBorders>
            <w:vAlign w:val="center"/>
          </w:tcPr>
          <w:p w14:paraId="0B028D3C"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t>4.</w:t>
            </w:r>
          </w:p>
        </w:tc>
        <w:tc>
          <w:tcPr>
            <w:tcW w:w="601" w:type="pct"/>
            <w:tcBorders>
              <w:top w:val="single" w:sz="4" w:space="0" w:color="auto"/>
              <w:left w:val="single" w:sz="4" w:space="0" w:color="auto"/>
              <w:bottom w:val="single" w:sz="4" w:space="0" w:color="auto"/>
              <w:right w:val="single" w:sz="4" w:space="0" w:color="auto"/>
            </w:tcBorders>
            <w:vAlign w:val="center"/>
          </w:tcPr>
          <w:p w14:paraId="7BF0FD3A" w14:textId="77777777" w:rsidR="00BC369C" w:rsidRPr="009C19C5" w:rsidRDefault="00BC369C" w:rsidP="00694C70">
            <w:pPr>
              <w:spacing w:after="0" w:line="240" w:lineRule="auto"/>
              <w:jc w:val="center"/>
              <w:rPr>
                <w:rFonts w:ascii="Times New Roman" w:hAnsi="Times New Roman" w:cs="Times New Roman"/>
                <w:color w:val="000000"/>
                <w:sz w:val="20"/>
                <w:szCs w:val="20"/>
                <w:highlight w:val="yellow"/>
                <w:lang w:val="sr-Cyrl-RS" w:eastAsia="en-GB"/>
              </w:rPr>
            </w:pPr>
            <w:r w:rsidRPr="009C19C5">
              <w:rPr>
                <w:rFonts w:ascii="Times New Roman" w:hAnsi="Times New Roman" w:cs="Times New Roman"/>
                <w:color w:val="000000"/>
                <w:sz w:val="20"/>
                <w:szCs w:val="20"/>
                <w:lang w:val="sr-Cyrl-RS" w:eastAsia="en-GB"/>
              </w:rPr>
              <w:t>Укључивање праведне транзиције у стратешка и планска документа</w:t>
            </w:r>
          </w:p>
        </w:tc>
        <w:tc>
          <w:tcPr>
            <w:tcW w:w="398" w:type="pct"/>
            <w:tcBorders>
              <w:top w:val="single" w:sz="4" w:space="0" w:color="auto"/>
              <w:left w:val="single" w:sz="4" w:space="0" w:color="auto"/>
              <w:bottom w:val="single" w:sz="4" w:space="0" w:color="auto"/>
              <w:right w:val="single" w:sz="4" w:space="0" w:color="auto"/>
            </w:tcBorders>
            <w:vAlign w:val="center"/>
          </w:tcPr>
          <w:p w14:paraId="672F9061" w14:textId="77777777" w:rsidR="00BC369C" w:rsidRPr="009C19C5" w:rsidRDefault="00BC369C" w:rsidP="00694C70">
            <w:pPr>
              <w:spacing w:after="0" w:line="240" w:lineRule="auto"/>
              <w:jc w:val="center"/>
              <w:rPr>
                <w:rFonts w:ascii="Times New Roman" w:hAnsi="Times New Roman" w:cs="Times New Roman"/>
                <w:color w:val="000000"/>
                <w:sz w:val="20"/>
                <w:szCs w:val="20"/>
                <w:highlight w:val="yellow"/>
                <w:lang w:val="sr-Cyrl-RS" w:eastAsia="en-GB"/>
              </w:rPr>
            </w:pPr>
            <w:r w:rsidRPr="009C19C5">
              <w:rPr>
                <w:rFonts w:ascii="Times New Roman" w:hAnsi="Times New Roman" w:cs="Times New Roman"/>
                <w:color w:val="000000"/>
                <w:sz w:val="20"/>
                <w:szCs w:val="20"/>
                <w:lang w:val="sr-Cyrl-RS" w:eastAsia="en-GB"/>
              </w:rPr>
              <w:t>36 месеци</w:t>
            </w:r>
          </w:p>
        </w:tc>
        <w:tc>
          <w:tcPr>
            <w:tcW w:w="534" w:type="pct"/>
            <w:tcBorders>
              <w:top w:val="single" w:sz="4" w:space="0" w:color="auto"/>
              <w:left w:val="single" w:sz="4" w:space="0" w:color="auto"/>
              <w:bottom w:val="single" w:sz="4" w:space="0" w:color="auto"/>
              <w:right w:val="single" w:sz="4" w:space="0" w:color="auto"/>
            </w:tcBorders>
            <w:vAlign w:val="center"/>
          </w:tcPr>
          <w:p w14:paraId="26C2D240" w14:textId="77777777" w:rsidR="00BC369C" w:rsidRPr="009C19C5" w:rsidRDefault="00BC369C" w:rsidP="00694C70">
            <w:pPr>
              <w:spacing w:after="0" w:line="240" w:lineRule="auto"/>
              <w:jc w:val="center"/>
              <w:rPr>
                <w:rFonts w:ascii="Times New Roman" w:hAnsi="Times New Roman" w:cs="Times New Roman"/>
                <w:color w:val="000000"/>
                <w:sz w:val="20"/>
                <w:szCs w:val="20"/>
                <w:highlight w:val="yellow"/>
                <w:lang w:val="sr-Cyrl-RS" w:eastAsia="en-GB"/>
              </w:rPr>
            </w:pPr>
            <w:r w:rsidRPr="009C19C5">
              <w:rPr>
                <w:rFonts w:ascii="Times New Roman" w:hAnsi="Times New Roman" w:cs="Times New Roman"/>
                <w:color w:val="000000"/>
                <w:sz w:val="20"/>
                <w:szCs w:val="20"/>
                <w:lang w:val="sr-Cyrl-RS" w:eastAsia="en-GB"/>
              </w:rPr>
              <w:t>Министарство рударства и енергетике</w:t>
            </w:r>
          </w:p>
        </w:tc>
        <w:tc>
          <w:tcPr>
            <w:tcW w:w="393" w:type="pct"/>
            <w:tcBorders>
              <w:top w:val="single" w:sz="4" w:space="0" w:color="auto"/>
              <w:left w:val="single" w:sz="4" w:space="0" w:color="auto"/>
              <w:bottom w:val="single" w:sz="4" w:space="0" w:color="auto"/>
              <w:right w:val="single" w:sz="4" w:space="0" w:color="auto"/>
            </w:tcBorders>
            <w:vAlign w:val="center"/>
          </w:tcPr>
          <w:p w14:paraId="1B08A224" w14:textId="77777777" w:rsidR="00BC369C" w:rsidRPr="009C19C5" w:rsidRDefault="00BC369C" w:rsidP="00694C70">
            <w:pPr>
              <w:spacing w:after="0" w:line="240" w:lineRule="auto"/>
              <w:jc w:val="center"/>
              <w:rPr>
                <w:rFonts w:ascii="Times New Roman" w:hAnsi="Times New Roman" w:cs="Times New Roman"/>
                <w:color w:val="000000"/>
                <w:sz w:val="20"/>
                <w:szCs w:val="20"/>
                <w:highlight w:val="yellow"/>
                <w:lang w:val="sr-Cyrl-RS" w:eastAsia="en-GB"/>
              </w:rPr>
            </w:pPr>
            <w:r w:rsidRPr="009C19C5">
              <w:rPr>
                <w:rFonts w:ascii="Times New Roman" w:hAnsi="Times New Roman" w:cs="Times New Roman"/>
                <w:color w:val="000000"/>
                <w:sz w:val="20"/>
                <w:szCs w:val="20"/>
                <w:lang w:val="sr-Cyrl-RS" w:eastAsia="en-GB"/>
              </w:rPr>
              <w:t>180 хиљада евра</w:t>
            </w:r>
          </w:p>
        </w:tc>
        <w:tc>
          <w:tcPr>
            <w:tcW w:w="526" w:type="pct"/>
            <w:tcBorders>
              <w:top w:val="single" w:sz="4" w:space="0" w:color="auto"/>
              <w:left w:val="single" w:sz="4" w:space="0" w:color="auto"/>
              <w:bottom w:val="single" w:sz="4" w:space="0" w:color="auto"/>
              <w:right w:val="single" w:sz="4" w:space="0" w:color="auto"/>
            </w:tcBorders>
            <w:vAlign w:val="center"/>
          </w:tcPr>
          <w:p w14:paraId="3540FE18" w14:textId="0EB7B25B" w:rsidR="00BC369C" w:rsidRPr="009C19C5" w:rsidRDefault="00BC369C" w:rsidP="00694C70">
            <w:pPr>
              <w:spacing w:after="0" w:line="240" w:lineRule="auto"/>
              <w:jc w:val="center"/>
              <w:rPr>
                <w:rFonts w:ascii="Times New Roman" w:hAnsi="Times New Roman" w:cs="Times New Roman"/>
                <w:color w:val="000000"/>
                <w:sz w:val="20"/>
                <w:szCs w:val="20"/>
                <w:highlight w:val="yellow"/>
                <w:lang w:val="sr-Cyrl-RS" w:eastAsia="en-GB"/>
              </w:rPr>
            </w:pPr>
            <w:r w:rsidRPr="009C19C5">
              <w:rPr>
                <w:rFonts w:ascii="Times New Roman" w:hAnsi="Times New Roman" w:cs="Times New Roman"/>
                <w:color w:val="000000"/>
                <w:sz w:val="20"/>
                <w:szCs w:val="20"/>
                <w:lang w:val="sr-Cyrl-RS" w:eastAsia="en-GB"/>
              </w:rPr>
              <w:t>Међународни донатори,</w:t>
            </w:r>
            <w:r w:rsidRPr="009C19C5">
              <w:rPr>
                <w:rFonts w:ascii="Times New Roman" w:hAnsi="Times New Roman" w:cs="Times New Roman"/>
                <w:sz w:val="20"/>
                <w:szCs w:val="20"/>
                <w:lang w:val="sr-Cyrl-RS" w:eastAsia="en-GB"/>
              </w:rPr>
              <w:t xml:space="preserve"> буџет Републике</w:t>
            </w:r>
            <w:r w:rsidRPr="009C19C5">
              <w:rPr>
                <w:rFonts w:ascii="Times New Roman" w:eastAsia="Times New Roman" w:hAnsi="Times New Roman" w:cs="Times New Roman"/>
                <w:kern w:val="0"/>
                <w:sz w:val="20"/>
                <w:szCs w:val="20"/>
                <w:lang w:val="sr-Cyrl-RS"/>
              </w:rPr>
              <w:t xml:space="preserve"> </w:t>
            </w:r>
            <w:r w:rsidRPr="009C19C5">
              <w:rPr>
                <w:rFonts w:ascii="Times New Roman" w:hAnsi="Times New Roman" w:cs="Times New Roman"/>
                <w:color w:val="000000"/>
                <w:sz w:val="20"/>
                <w:szCs w:val="20"/>
                <w:lang w:val="sr-Cyrl-RS" w:eastAsia="en-GB"/>
              </w:rPr>
              <w:t>и други извори у складу са законом</w:t>
            </w:r>
          </w:p>
        </w:tc>
        <w:tc>
          <w:tcPr>
            <w:tcW w:w="445" w:type="pct"/>
            <w:tcBorders>
              <w:top w:val="single" w:sz="4" w:space="0" w:color="auto"/>
              <w:left w:val="single" w:sz="4" w:space="0" w:color="auto"/>
              <w:bottom w:val="single" w:sz="4" w:space="0" w:color="auto"/>
              <w:right w:val="single" w:sz="4" w:space="0" w:color="auto"/>
            </w:tcBorders>
            <w:vAlign w:val="center"/>
          </w:tcPr>
          <w:p w14:paraId="1960AF58" w14:textId="77777777" w:rsidR="00BC369C" w:rsidRPr="009C19C5" w:rsidRDefault="00BC369C" w:rsidP="00694C70">
            <w:pPr>
              <w:spacing w:after="0" w:line="240" w:lineRule="auto"/>
              <w:jc w:val="center"/>
              <w:rPr>
                <w:rFonts w:ascii="Times New Roman" w:hAnsi="Times New Roman" w:cs="Times New Roman"/>
                <w:color w:val="000000"/>
                <w:sz w:val="20"/>
                <w:szCs w:val="20"/>
                <w:highlight w:val="yellow"/>
                <w:lang w:val="sr-Cyrl-RS" w:eastAsia="en-GB"/>
              </w:rPr>
            </w:pPr>
            <w:r w:rsidRPr="009C19C5">
              <w:rPr>
                <w:rFonts w:ascii="Times New Roman" w:hAnsi="Times New Roman" w:cs="Times New Roman"/>
                <w:color w:val="000000"/>
                <w:sz w:val="20"/>
                <w:szCs w:val="20"/>
                <w:lang w:val="sr-Cyrl-RS" w:eastAsia="en-GB"/>
              </w:rPr>
              <w:t>Национално</w:t>
            </w:r>
          </w:p>
        </w:tc>
        <w:tc>
          <w:tcPr>
            <w:tcW w:w="700" w:type="pct"/>
            <w:tcBorders>
              <w:top w:val="single" w:sz="4" w:space="0" w:color="auto"/>
              <w:left w:val="single" w:sz="4" w:space="0" w:color="auto"/>
              <w:bottom w:val="single" w:sz="4" w:space="0" w:color="auto"/>
              <w:right w:val="single" w:sz="4" w:space="0" w:color="auto"/>
            </w:tcBorders>
            <w:vAlign w:val="center"/>
          </w:tcPr>
          <w:p w14:paraId="2D338788" w14:textId="77777777" w:rsidR="00BC369C" w:rsidRPr="009C19C5" w:rsidRDefault="00BC369C" w:rsidP="00694C70">
            <w:pPr>
              <w:spacing w:after="0" w:line="240" w:lineRule="auto"/>
              <w:jc w:val="center"/>
              <w:rPr>
                <w:rFonts w:ascii="Times New Roman" w:hAnsi="Times New Roman" w:cs="Times New Roman"/>
                <w:color w:val="000000"/>
                <w:sz w:val="20"/>
                <w:szCs w:val="20"/>
                <w:highlight w:val="yellow"/>
                <w:lang w:val="sr-Cyrl-RS" w:eastAsia="en-GB"/>
              </w:rPr>
            </w:pPr>
            <w:r w:rsidRPr="009C19C5">
              <w:rPr>
                <w:rFonts w:ascii="Times New Roman" w:hAnsi="Times New Roman" w:cs="Times New Roman"/>
                <w:color w:val="000000"/>
                <w:sz w:val="20"/>
                <w:szCs w:val="20"/>
                <w:lang w:val="sr-Cyrl-RS" w:eastAsia="en-GB"/>
              </w:rPr>
              <w:t xml:space="preserve">Министарство за рад, запошљавање, борачка и социјална питања, Министарство заштите животне средине, Министарство рударства и енергетике, Министарство просвете, </w:t>
            </w:r>
            <w:r w:rsidRPr="009C19C5">
              <w:rPr>
                <w:rFonts w:ascii="Times New Roman" w:hAnsi="Times New Roman" w:cs="Times New Roman"/>
                <w:color w:val="000000"/>
                <w:sz w:val="20"/>
                <w:szCs w:val="20"/>
                <w:lang w:val="sr-Cyrl-RS" w:eastAsia="en-GB"/>
              </w:rPr>
              <w:lastRenderedPageBreak/>
              <w:t>Министарство привреде</w:t>
            </w:r>
          </w:p>
        </w:tc>
        <w:tc>
          <w:tcPr>
            <w:tcW w:w="715" w:type="pct"/>
            <w:tcBorders>
              <w:top w:val="single" w:sz="4" w:space="0" w:color="auto"/>
              <w:left w:val="single" w:sz="4" w:space="0" w:color="auto"/>
              <w:bottom w:val="single" w:sz="4" w:space="0" w:color="auto"/>
              <w:right w:val="single" w:sz="4" w:space="0" w:color="auto"/>
            </w:tcBorders>
            <w:vAlign w:val="center"/>
          </w:tcPr>
          <w:p w14:paraId="2CE3279A" w14:textId="29973F9A"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lastRenderedPageBreak/>
              <w:t>Број предлога кој</w:t>
            </w:r>
            <w:r w:rsidR="009A25DF">
              <w:rPr>
                <w:rFonts w:ascii="Times New Roman" w:hAnsi="Times New Roman" w:cs="Times New Roman"/>
                <w:color w:val="000000"/>
                <w:sz w:val="20"/>
                <w:szCs w:val="20"/>
                <w:lang w:val="sr-Cyrl-RS" w:eastAsia="en-GB"/>
              </w:rPr>
              <w:t>и</w:t>
            </w:r>
            <w:r w:rsidRPr="009C19C5">
              <w:rPr>
                <w:rFonts w:ascii="Times New Roman" w:hAnsi="Times New Roman" w:cs="Times New Roman"/>
                <w:color w:val="000000"/>
                <w:sz w:val="20"/>
                <w:szCs w:val="20"/>
                <w:lang w:val="sr-Cyrl-RS" w:eastAsia="en-GB"/>
              </w:rPr>
              <w:t xml:space="preserve"> се односе на праведну транзицију у постојећим и новим стратешким и планским документима и законима/ Министарство рударства и енергетике</w:t>
            </w:r>
          </w:p>
        </w:tc>
        <w:tc>
          <w:tcPr>
            <w:tcW w:w="568" w:type="pct"/>
            <w:tcBorders>
              <w:top w:val="single" w:sz="4" w:space="0" w:color="auto"/>
              <w:left w:val="single" w:sz="4" w:space="0" w:color="auto"/>
              <w:bottom w:val="single" w:sz="4" w:space="0" w:color="auto"/>
              <w:right w:val="single" w:sz="4" w:space="0" w:color="auto"/>
            </w:tcBorders>
            <w:vAlign w:val="center"/>
          </w:tcPr>
          <w:p w14:paraId="21730574"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t>Постоји интегрисани одговор на изазове које доноси праведна транзиција у низу националних стратегија</w:t>
            </w:r>
          </w:p>
          <w:p w14:paraId="54A50A0E"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p>
          <w:p w14:paraId="5A7FAFE6"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t xml:space="preserve">Приоритет: Висок током </w:t>
            </w:r>
            <w:r w:rsidRPr="009C19C5">
              <w:rPr>
                <w:rFonts w:ascii="Times New Roman" w:hAnsi="Times New Roman" w:cs="Times New Roman"/>
                <w:color w:val="000000"/>
                <w:sz w:val="20"/>
                <w:szCs w:val="20"/>
                <w:lang w:val="sr-Cyrl-RS" w:eastAsia="en-GB"/>
              </w:rPr>
              <w:lastRenderedPageBreak/>
              <w:t>припреме за декарбонизацију</w:t>
            </w:r>
          </w:p>
        </w:tc>
      </w:tr>
      <w:tr w:rsidR="00BC369C" w:rsidRPr="009C19C5" w14:paraId="57224DAB" w14:textId="77777777" w:rsidTr="00694C70">
        <w:trPr>
          <w:trHeight w:val="404"/>
          <w:jc w:val="center"/>
        </w:trPr>
        <w:tc>
          <w:tcPr>
            <w:tcW w:w="120" w:type="pct"/>
            <w:tcBorders>
              <w:top w:val="single" w:sz="4" w:space="0" w:color="auto"/>
              <w:left w:val="single" w:sz="4" w:space="0" w:color="auto"/>
              <w:bottom w:val="single" w:sz="4" w:space="0" w:color="auto"/>
              <w:right w:val="single" w:sz="4" w:space="0" w:color="auto"/>
            </w:tcBorders>
            <w:vAlign w:val="center"/>
          </w:tcPr>
          <w:p w14:paraId="65CB5C98"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lastRenderedPageBreak/>
              <w:t>5.</w:t>
            </w:r>
          </w:p>
        </w:tc>
        <w:tc>
          <w:tcPr>
            <w:tcW w:w="601" w:type="pct"/>
            <w:tcBorders>
              <w:top w:val="single" w:sz="4" w:space="0" w:color="auto"/>
              <w:left w:val="single" w:sz="4" w:space="0" w:color="auto"/>
              <w:bottom w:val="single" w:sz="4" w:space="0" w:color="auto"/>
              <w:right w:val="single" w:sz="4" w:space="0" w:color="auto"/>
            </w:tcBorders>
            <w:vAlign w:val="center"/>
          </w:tcPr>
          <w:p w14:paraId="45AC154D" w14:textId="77777777" w:rsidR="00BC369C" w:rsidRPr="009C19C5" w:rsidRDefault="00BC369C" w:rsidP="00694C70">
            <w:pPr>
              <w:spacing w:after="0" w:line="240" w:lineRule="auto"/>
              <w:jc w:val="center"/>
              <w:rPr>
                <w:rFonts w:ascii="Times New Roman" w:hAnsi="Times New Roman" w:cs="Times New Roman"/>
                <w:color w:val="1F497D"/>
                <w:sz w:val="20"/>
                <w:szCs w:val="20"/>
                <w:lang w:val="sr-Cyrl-RS"/>
              </w:rPr>
            </w:pPr>
          </w:p>
          <w:p w14:paraId="75B9FBE4" w14:textId="77777777" w:rsidR="00BC369C" w:rsidRPr="009C19C5" w:rsidRDefault="00BC369C" w:rsidP="00694C70">
            <w:pPr>
              <w:spacing w:after="0" w:line="240" w:lineRule="auto"/>
              <w:jc w:val="center"/>
              <w:rPr>
                <w:rFonts w:ascii="Times New Roman" w:hAnsi="Times New Roman" w:cs="Times New Roman"/>
                <w:color w:val="1F497D"/>
                <w:sz w:val="20"/>
                <w:szCs w:val="20"/>
                <w:lang w:val="sr-Cyrl-RS"/>
              </w:rPr>
            </w:pPr>
            <w:r w:rsidRPr="009C19C5">
              <w:rPr>
                <w:rFonts w:ascii="Times New Roman" w:hAnsi="Times New Roman" w:cs="Times New Roman"/>
                <w:sz w:val="20"/>
                <w:szCs w:val="20"/>
                <w:lang w:val="sr-Cyrl-RS"/>
              </w:rPr>
              <w:t>Циљане активности подизања свести за све заинтересоване стране/циљне групе идентификоване у Плану ангажовања заинтересованих страна</w:t>
            </w:r>
          </w:p>
        </w:tc>
        <w:tc>
          <w:tcPr>
            <w:tcW w:w="398" w:type="pct"/>
            <w:tcBorders>
              <w:top w:val="single" w:sz="4" w:space="0" w:color="auto"/>
              <w:left w:val="single" w:sz="4" w:space="0" w:color="auto"/>
              <w:bottom w:val="single" w:sz="4" w:space="0" w:color="auto"/>
              <w:right w:val="single" w:sz="4" w:space="0" w:color="auto"/>
            </w:tcBorders>
            <w:vAlign w:val="center"/>
          </w:tcPr>
          <w:p w14:paraId="7B01609F"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t>До 2030. године</w:t>
            </w:r>
          </w:p>
        </w:tc>
        <w:tc>
          <w:tcPr>
            <w:tcW w:w="534" w:type="pct"/>
            <w:tcBorders>
              <w:top w:val="single" w:sz="4" w:space="0" w:color="auto"/>
              <w:left w:val="single" w:sz="4" w:space="0" w:color="auto"/>
              <w:bottom w:val="single" w:sz="4" w:space="0" w:color="auto"/>
              <w:right w:val="single" w:sz="4" w:space="0" w:color="auto"/>
            </w:tcBorders>
            <w:vAlign w:val="center"/>
          </w:tcPr>
          <w:p w14:paraId="7EE4AB45"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color w:val="000000"/>
                <w:sz w:val="20"/>
                <w:szCs w:val="20"/>
                <w:lang w:val="sr-Cyrl-RS" w:eastAsia="en-GB"/>
              </w:rPr>
              <w:t>Министарство рударства и енергетике, Привредна комора Србије</w:t>
            </w:r>
          </w:p>
        </w:tc>
        <w:tc>
          <w:tcPr>
            <w:tcW w:w="393" w:type="pct"/>
            <w:tcBorders>
              <w:top w:val="single" w:sz="4" w:space="0" w:color="auto"/>
              <w:left w:val="single" w:sz="4" w:space="0" w:color="auto"/>
              <w:bottom w:val="single" w:sz="4" w:space="0" w:color="auto"/>
              <w:right w:val="single" w:sz="4" w:space="0" w:color="auto"/>
            </w:tcBorders>
            <w:vAlign w:val="center"/>
          </w:tcPr>
          <w:p w14:paraId="258B6B7B"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color w:val="000000"/>
                <w:sz w:val="20"/>
                <w:szCs w:val="20"/>
                <w:lang w:val="sr-Cyrl-RS" w:eastAsia="en-GB"/>
              </w:rPr>
              <w:t>450 хиљада евра годишње у прве три године, 150 хиљада евра годишње након тога (1,65 милиона евра до 2030)</w:t>
            </w:r>
          </w:p>
        </w:tc>
        <w:tc>
          <w:tcPr>
            <w:tcW w:w="526" w:type="pct"/>
            <w:tcBorders>
              <w:top w:val="single" w:sz="4" w:space="0" w:color="auto"/>
              <w:left w:val="single" w:sz="4" w:space="0" w:color="auto"/>
              <w:bottom w:val="single" w:sz="4" w:space="0" w:color="auto"/>
              <w:right w:val="single" w:sz="4" w:space="0" w:color="auto"/>
            </w:tcBorders>
            <w:vAlign w:val="center"/>
          </w:tcPr>
          <w:p w14:paraId="70A7196F" w14:textId="7C0CB639"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color w:val="000000"/>
                <w:sz w:val="20"/>
                <w:szCs w:val="20"/>
                <w:lang w:val="sr-Cyrl-RS" w:eastAsia="en-GB"/>
              </w:rPr>
              <w:t>Међународни донатори,</w:t>
            </w:r>
            <w:r w:rsidRPr="009C19C5">
              <w:rPr>
                <w:rFonts w:ascii="Times New Roman" w:hAnsi="Times New Roman" w:cs="Times New Roman"/>
                <w:sz w:val="20"/>
                <w:szCs w:val="20"/>
                <w:lang w:val="sr-Cyrl-RS" w:eastAsia="en-GB"/>
              </w:rPr>
              <w:t xml:space="preserve"> буџет Републике</w:t>
            </w:r>
            <w:r w:rsidRPr="009C19C5">
              <w:rPr>
                <w:rFonts w:ascii="Times New Roman" w:eastAsia="Times New Roman" w:hAnsi="Times New Roman" w:cs="Times New Roman"/>
                <w:kern w:val="0"/>
                <w:sz w:val="20"/>
                <w:szCs w:val="20"/>
                <w:lang w:val="sr-Cyrl-RS"/>
              </w:rPr>
              <w:t xml:space="preserve"> </w:t>
            </w:r>
            <w:r w:rsidRPr="009C19C5">
              <w:rPr>
                <w:rFonts w:ascii="Times New Roman" w:hAnsi="Times New Roman" w:cs="Times New Roman"/>
                <w:color w:val="000000"/>
                <w:sz w:val="20"/>
                <w:szCs w:val="20"/>
                <w:lang w:val="sr-Cyrl-RS" w:eastAsia="en-GB"/>
              </w:rPr>
              <w:t>и  други извори у складу са законом</w:t>
            </w:r>
          </w:p>
        </w:tc>
        <w:tc>
          <w:tcPr>
            <w:tcW w:w="445" w:type="pct"/>
            <w:tcBorders>
              <w:top w:val="single" w:sz="4" w:space="0" w:color="auto"/>
              <w:left w:val="single" w:sz="4" w:space="0" w:color="auto"/>
              <w:bottom w:val="single" w:sz="4" w:space="0" w:color="auto"/>
              <w:right w:val="single" w:sz="4" w:space="0" w:color="auto"/>
            </w:tcBorders>
            <w:vAlign w:val="center"/>
          </w:tcPr>
          <w:p w14:paraId="5587A9AA"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t>Национално с фокусом на погођене територије</w:t>
            </w:r>
          </w:p>
        </w:tc>
        <w:tc>
          <w:tcPr>
            <w:tcW w:w="700" w:type="pct"/>
            <w:tcBorders>
              <w:top w:val="single" w:sz="4" w:space="0" w:color="auto"/>
              <w:left w:val="single" w:sz="4" w:space="0" w:color="auto"/>
              <w:bottom w:val="single" w:sz="4" w:space="0" w:color="auto"/>
              <w:right w:val="single" w:sz="4" w:space="0" w:color="auto"/>
            </w:tcBorders>
            <w:vAlign w:val="center"/>
          </w:tcPr>
          <w:p w14:paraId="5084BFCA"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color w:val="000000"/>
                <w:sz w:val="20"/>
                <w:szCs w:val="20"/>
                <w:lang w:val="sr-Cyrl-RS" w:eastAsia="en-GB"/>
              </w:rPr>
              <w:t>Националне власти, локална и регионална тела, ЕПС АД, ЈП ПЕУ Ресавица, радници у ланцу вредности производње енергије из угља, шира јавност</w:t>
            </w:r>
          </w:p>
        </w:tc>
        <w:tc>
          <w:tcPr>
            <w:tcW w:w="715" w:type="pct"/>
            <w:tcBorders>
              <w:top w:val="single" w:sz="4" w:space="0" w:color="auto"/>
              <w:left w:val="single" w:sz="4" w:space="0" w:color="auto"/>
              <w:bottom w:val="single" w:sz="4" w:space="0" w:color="auto"/>
              <w:right w:val="single" w:sz="4" w:space="0" w:color="auto"/>
            </w:tcBorders>
            <w:vAlign w:val="center"/>
          </w:tcPr>
          <w:p w14:paraId="0FBE8AD8"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color w:val="000000"/>
                <w:sz w:val="20"/>
                <w:szCs w:val="20"/>
                <w:lang w:val="sr-Cyrl-RS" w:eastAsia="en-GB"/>
              </w:rPr>
              <w:t>Материјали за комуникацију израђени  посебно за сваку од заинтересованих страна</w:t>
            </w:r>
          </w:p>
        </w:tc>
        <w:tc>
          <w:tcPr>
            <w:tcW w:w="568" w:type="pct"/>
            <w:tcBorders>
              <w:top w:val="single" w:sz="4" w:space="0" w:color="auto"/>
              <w:left w:val="single" w:sz="4" w:space="0" w:color="auto"/>
              <w:bottom w:val="single" w:sz="4" w:space="0" w:color="auto"/>
              <w:right w:val="single" w:sz="4" w:space="0" w:color="auto"/>
            </w:tcBorders>
            <w:vAlign w:val="center"/>
          </w:tcPr>
          <w:p w14:paraId="1BE12782"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t>Влада  лакше и проактивније управља утицајима транзиције на зелену енергију</w:t>
            </w:r>
          </w:p>
          <w:p w14:paraId="27B5720E"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p>
          <w:p w14:paraId="76E55607"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t>Приоритет: Висок током припреме за декарбонизацију</w:t>
            </w:r>
          </w:p>
        </w:tc>
      </w:tr>
      <w:tr w:rsidR="00BC369C" w:rsidRPr="009C19C5" w14:paraId="28BC1756" w14:textId="77777777" w:rsidTr="00694C70">
        <w:trPr>
          <w:trHeight w:val="404"/>
          <w:jc w:val="center"/>
        </w:trPr>
        <w:tc>
          <w:tcPr>
            <w:tcW w:w="120" w:type="pct"/>
            <w:tcBorders>
              <w:top w:val="single" w:sz="4" w:space="0" w:color="auto"/>
              <w:left w:val="single" w:sz="4" w:space="0" w:color="auto"/>
              <w:bottom w:val="single" w:sz="4" w:space="0" w:color="auto"/>
              <w:right w:val="single" w:sz="4" w:space="0" w:color="auto"/>
            </w:tcBorders>
            <w:vAlign w:val="center"/>
          </w:tcPr>
          <w:p w14:paraId="5A0A6E2A"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t>6.</w:t>
            </w:r>
          </w:p>
        </w:tc>
        <w:tc>
          <w:tcPr>
            <w:tcW w:w="601" w:type="pct"/>
            <w:tcBorders>
              <w:top w:val="single" w:sz="4" w:space="0" w:color="auto"/>
              <w:left w:val="single" w:sz="4" w:space="0" w:color="auto"/>
              <w:bottom w:val="single" w:sz="4" w:space="0" w:color="auto"/>
              <w:right w:val="single" w:sz="4" w:space="0" w:color="auto"/>
            </w:tcBorders>
            <w:vAlign w:val="center"/>
          </w:tcPr>
          <w:p w14:paraId="5D312150" w14:textId="77777777" w:rsidR="00BC369C" w:rsidRPr="009C19C5" w:rsidRDefault="00BC369C" w:rsidP="00694C70">
            <w:pPr>
              <w:spacing w:after="0" w:line="240" w:lineRule="auto"/>
              <w:jc w:val="center"/>
              <w:rPr>
                <w:rFonts w:ascii="Times New Roman" w:hAnsi="Times New Roman" w:cs="Times New Roman"/>
                <w:color w:val="1F497D"/>
                <w:sz w:val="20"/>
                <w:szCs w:val="20"/>
                <w:lang w:val="sr-Cyrl-RS"/>
              </w:rPr>
            </w:pPr>
            <w:r w:rsidRPr="009C19C5">
              <w:rPr>
                <w:rFonts w:ascii="Times New Roman" w:hAnsi="Times New Roman" w:cs="Times New Roman"/>
                <w:color w:val="000000"/>
                <w:sz w:val="20"/>
                <w:szCs w:val="20"/>
                <w:lang w:val="sr-Cyrl-RS" w:eastAsia="en-GB"/>
              </w:rPr>
              <w:t>Национални стратешки план за зелене вештине</w:t>
            </w:r>
          </w:p>
        </w:tc>
        <w:tc>
          <w:tcPr>
            <w:tcW w:w="398" w:type="pct"/>
            <w:tcBorders>
              <w:top w:val="single" w:sz="4" w:space="0" w:color="auto"/>
              <w:left w:val="single" w:sz="4" w:space="0" w:color="auto"/>
              <w:bottom w:val="single" w:sz="4" w:space="0" w:color="auto"/>
              <w:right w:val="single" w:sz="4" w:space="0" w:color="auto"/>
            </w:tcBorders>
            <w:vAlign w:val="center"/>
          </w:tcPr>
          <w:p w14:paraId="40D7F505"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t>12 месеци</w:t>
            </w:r>
          </w:p>
        </w:tc>
        <w:tc>
          <w:tcPr>
            <w:tcW w:w="534" w:type="pct"/>
            <w:tcBorders>
              <w:top w:val="single" w:sz="4" w:space="0" w:color="auto"/>
              <w:left w:val="single" w:sz="4" w:space="0" w:color="auto"/>
              <w:bottom w:val="single" w:sz="4" w:space="0" w:color="auto"/>
              <w:right w:val="single" w:sz="4" w:space="0" w:color="auto"/>
            </w:tcBorders>
            <w:vAlign w:val="center"/>
          </w:tcPr>
          <w:p w14:paraId="37DF9D6E"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color w:val="000000"/>
                <w:sz w:val="20"/>
                <w:szCs w:val="20"/>
                <w:lang w:val="sr-Cyrl-RS" w:eastAsia="en-GB"/>
              </w:rPr>
              <w:t>Министарство просвете</w:t>
            </w:r>
          </w:p>
        </w:tc>
        <w:tc>
          <w:tcPr>
            <w:tcW w:w="393" w:type="pct"/>
            <w:tcBorders>
              <w:top w:val="single" w:sz="4" w:space="0" w:color="auto"/>
              <w:left w:val="single" w:sz="4" w:space="0" w:color="auto"/>
              <w:bottom w:val="single" w:sz="4" w:space="0" w:color="auto"/>
              <w:right w:val="single" w:sz="4" w:space="0" w:color="auto"/>
            </w:tcBorders>
            <w:vAlign w:val="center"/>
          </w:tcPr>
          <w:p w14:paraId="18A74BEC"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color w:val="000000"/>
                <w:sz w:val="20"/>
                <w:szCs w:val="20"/>
                <w:lang w:val="sr-Cyrl-RS" w:eastAsia="en-GB"/>
              </w:rPr>
              <w:t>200 хиљада евра</w:t>
            </w:r>
          </w:p>
        </w:tc>
        <w:tc>
          <w:tcPr>
            <w:tcW w:w="526" w:type="pct"/>
            <w:tcBorders>
              <w:top w:val="single" w:sz="4" w:space="0" w:color="auto"/>
              <w:left w:val="single" w:sz="4" w:space="0" w:color="auto"/>
              <w:bottom w:val="single" w:sz="4" w:space="0" w:color="auto"/>
              <w:right w:val="single" w:sz="4" w:space="0" w:color="auto"/>
            </w:tcBorders>
            <w:vAlign w:val="center"/>
          </w:tcPr>
          <w:p w14:paraId="651850BC" w14:textId="00CE23BD"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color w:val="000000"/>
                <w:sz w:val="20"/>
                <w:szCs w:val="20"/>
                <w:lang w:val="sr-Cyrl-RS" w:eastAsia="en-GB"/>
              </w:rPr>
              <w:t>Међународни донатори,</w:t>
            </w:r>
            <w:r w:rsidRPr="009C19C5">
              <w:rPr>
                <w:rFonts w:ascii="Times New Roman" w:hAnsi="Times New Roman" w:cs="Times New Roman"/>
                <w:sz w:val="20"/>
                <w:szCs w:val="20"/>
                <w:lang w:val="sr-Cyrl-RS" w:eastAsia="en-GB"/>
              </w:rPr>
              <w:t xml:space="preserve"> буџет Републике</w:t>
            </w:r>
            <w:r w:rsidRPr="009C19C5">
              <w:rPr>
                <w:rFonts w:ascii="Times New Roman" w:eastAsia="Times New Roman" w:hAnsi="Times New Roman" w:cs="Times New Roman"/>
                <w:kern w:val="0"/>
                <w:sz w:val="20"/>
                <w:szCs w:val="20"/>
                <w:lang w:val="sr-Cyrl-RS"/>
              </w:rPr>
              <w:t xml:space="preserve"> </w:t>
            </w:r>
            <w:r w:rsidRPr="009C19C5">
              <w:rPr>
                <w:rFonts w:ascii="Times New Roman" w:hAnsi="Times New Roman" w:cs="Times New Roman"/>
                <w:color w:val="000000"/>
                <w:sz w:val="20"/>
                <w:szCs w:val="20"/>
                <w:lang w:val="sr-Cyrl-RS" w:eastAsia="en-GB"/>
              </w:rPr>
              <w:t>и други извори у складу са законом</w:t>
            </w:r>
          </w:p>
        </w:tc>
        <w:tc>
          <w:tcPr>
            <w:tcW w:w="445" w:type="pct"/>
            <w:tcBorders>
              <w:top w:val="single" w:sz="4" w:space="0" w:color="auto"/>
              <w:left w:val="single" w:sz="4" w:space="0" w:color="auto"/>
              <w:bottom w:val="single" w:sz="4" w:space="0" w:color="auto"/>
              <w:right w:val="single" w:sz="4" w:space="0" w:color="auto"/>
            </w:tcBorders>
            <w:vAlign w:val="center"/>
          </w:tcPr>
          <w:p w14:paraId="70DE1862"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t>Национално</w:t>
            </w:r>
          </w:p>
        </w:tc>
        <w:tc>
          <w:tcPr>
            <w:tcW w:w="700" w:type="pct"/>
            <w:tcBorders>
              <w:top w:val="single" w:sz="4" w:space="0" w:color="auto"/>
              <w:left w:val="single" w:sz="4" w:space="0" w:color="auto"/>
              <w:bottom w:val="single" w:sz="4" w:space="0" w:color="auto"/>
              <w:right w:val="single" w:sz="4" w:space="0" w:color="auto"/>
            </w:tcBorders>
            <w:vAlign w:val="center"/>
          </w:tcPr>
          <w:p w14:paraId="135A4A83"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color w:val="000000"/>
                <w:sz w:val="20"/>
                <w:szCs w:val="20"/>
                <w:lang w:val="sr-Cyrl-RS" w:eastAsia="en-GB"/>
              </w:rPr>
              <w:t>Министарство просвете, Министарство за рад, запошљавање, борачка и социјална питања, Министарство заштите животне средине, Министарство рударства и енергетике</w:t>
            </w:r>
          </w:p>
        </w:tc>
        <w:tc>
          <w:tcPr>
            <w:tcW w:w="715" w:type="pct"/>
            <w:tcBorders>
              <w:top w:val="single" w:sz="4" w:space="0" w:color="auto"/>
              <w:left w:val="single" w:sz="4" w:space="0" w:color="auto"/>
              <w:bottom w:val="single" w:sz="4" w:space="0" w:color="auto"/>
              <w:right w:val="single" w:sz="4" w:space="0" w:color="auto"/>
            </w:tcBorders>
            <w:vAlign w:val="center"/>
          </w:tcPr>
          <w:p w14:paraId="09E92E14" w14:textId="77777777" w:rsidR="00BC369C" w:rsidRPr="009C19C5" w:rsidRDefault="00BC369C" w:rsidP="00694C70">
            <w:pPr>
              <w:tabs>
                <w:tab w:val="left" w:pos="181"/>
              </w:tabs>
              <w:spacing w:after="0" w:line="240" w:lineRule="auto"/>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t>•</w:t>
            </w:r>
            <w:r w:rsidRPr="009C19C5">
              <w:rPr>
                <w:rFonts w:ascii="Times New Roman" w:hAnsi="Times New Roman" w:cs="Times New Roman"/>
                <w:color w:val="000000"/>
                <w:sz w:val="20"/>
                <w:szCs w:val="20"/>
                <w:lang w:val="sr-Cyrl-RS" w:eastAsia="en-GB"/>
              </w:rPr>
              <w:tab/>
              <w:t>Програми образовања и обуке за научнике и младе људе који нису запослени, нису на школовању, са фокусом на најсавременије технологије.</w:t>
            </w:r>
          </w:p>
          <w:p w14:paraId="5199685E" w14:textId="77777777" w:rsidR="00BC369C" w:rsidRPr="009C19C5" w:rsidRDefault="00BC369C" w:rsidP="00694C70">
            <w:pPr>
              <w:tabs>
                <w:tab w:val="left" w:pos="181"/>
              </w:tabs>
              <w:spacing w:after="0" w:line="240" w:lineRule="auto"/>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t>•</w:t>
            </w:r>
            <w:r w:rsidRPr="009C19C5">
              <w:rPr>
                <w:rFonts w:ascii="Times New Roman" w:hAnsi="Times New Roman" w:cs="Times New Roman"/>
                <w:color w:val="000000"/>
                <w:sz w:val="20"/>
                <w:szCs w:val="20"/>
                <w:lang w:val="sr-Cyrl-RS" w:eastAsia="en-GB"/>
              </w:rPr>
              <w:tab/>
              <w:t>Центар компетенција за зелене вештине.</w:t>
            </w:r>
          </w:p>
          <w:p w14:paraId="0545B359" w14:textId="475E1EBD" w:rsidR="00BC369C" w:rsidRPr="009C19C5" w:rsidRDefault="00BC369C" w:rsidP="00694C70">
            <w:pPr>
              <w:tabs>
                <w:tab w:val="left" w:pos="181"/>
              </w:tabs>
              <w:spacing w:after="0" w:line="240" w:lineRule="auto"/>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t>•</w:t>
            </w:r>
            <w:r w:rsidRPr="009C19C5">
              <w:rPr>
                <w:rFonts w:ascii="Times New Roman" w:hAnsi="Times New Roman" w:cs="Times New Roman"/>
                <w:color w:val="000000"/>
                <w:sz w:val="20"/>
                <w:szCs w:val="20"/>
                <w:lang w:val="sr-Cyrl-RS" w:eastAsia="en-GB"/>
              </w:rPr>
              <w:tab/>
              <w:t>Надоградња техничке школе/центра за стручно оспособљавање у складу са потребама тржишта (израда и имплементација нових наставних планова и програма)</w:t>
            </w:r>
          </w:p>
          <w:p w14:paraId="5DFDFE99" w14:textId="77777777" w:rsidR="00BC369C" w:rsidRPr="009C19C5" w:rsidRDefault="00BC369C" w:rsidP="00694C70">
            <w:pPr>
              <w:tabs>
                <w:tab w:val="left" w:pos="181"/>
              </w:tabs>
              <w:spacing w:after="0" w:line="240" w:lineRule="auto"/>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lastRenderedPageBreak/>
              <w:t>•</w:t>
            </w:r>
            <w:r w:rsidRPr="009C19C5">
              <w:rPr>
                <w:rFonts w:ascii="Times New Roman" w:hAnsi="Times New Roman" w:cs="Times New Roman"/>
                <w:color w:val="000000"/>
                <w:sz w:val="20"/>
                <w:szCs w:val="20"/>
                <w:lang w:val="sr-Cyrl-RS" w:eastAsia="en-GB"/>
              </w:rPr>
              <w:tab/>
              <w:t>Прилагођени програми за преквалификацију и усавршавање запослених у производним областима у складу са потражњом.</w:t>
            </w:r>
          </w:p>
          <w:p w14:paraId="741D264B" w14:textId="77777777" w:rsidR="00BC369C" w:rsidRPr="009C19C5" w:rsidRDefault="00BC369C" w:rsidP="00694C70">
            <w:pPr>
              <w:tabs>
                <w:tab w:val="left" w:pos="181"/>
              </w:tabs>
              <w:spacing w:after="0" w:line="240" w:lineRule="auto"/>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t>•</w:t>
            </w:r>
            <w:r w:rsidRPr="009C19C5">
              <w:rPr>
                <w:rFonts w:ascii="Times New Roman" w:hAnsi="Times New Roman" w:cs="Times New Roman"/>
                <w:color w:val="000000"/>
                <w:sz w:val="20"/>
                <w:szCs w:val="20"/>
                <w:lang w:val="sr-Cyrl-RS" w:eastAsia="en-GB"/>
              </w:rPr>
              <w:tab/>
              <w:t>Унапређење пружања информација о расположивим и пројектованим потребама за послом (усклађивање понуде радних места и потражње за радним местима).</w:t>
            </w:r>
          </w:p>
          <w:p w14:paraId="1D530EF9" w14:textId="77777777" w:rsidR="00BC369C" w:rsidRPr="009C19C5" w:rsidRDefault="00BC369C" w:rsidP="00BC369C">
            <w:pPr>
              <w:pStyle w:val="ListParagraph"/>
              <w:numPr>
                <w:ilvl w:val="0"/>
                <w:numId w:val="50"/>
              </w:numPr>
              <w:tabs>
                <w:tab w:val="left" w:pos="181"/>
              </w:tabs>
              <w:spacing w:after="0" w:line="240" w:lineRule="auto"/>
              <w:ind w:left="0" w:firstLine="0"/>
              <w:rPr>
                <w:rFonts w:ascii="Times New Roman" w:hAnsi="Times New Roman" w:cs="Times New Roman"/>
                <w:sz w:val="20"/>
                <w:szCs w:val="20"/>
                <w:lang w:val="sr-Cyrl-RS" w:eastAsia="el-GR"/>
              </w:rPr>
            </w:pPr>
            <w:r w:rsidRPr="009C19C5">
              <w:rPr>
                <w:rFonts w:ascii="Times New Roman" w:hAnsi="Times New Roman" w:cs="Times New Roman"/>
                <w:color w:val="000000"/>
                <w:sz w:val="20"/>
                <w:szCs w:val="20"/>
                <w:lang w:val="sr-Cyrl-RS" w:eastAsia="en-GB"/>
              </w:rPr>
              <w:t>Дигитална друштвена мрежа за повезивање радне снаге са екосистемом индустрије и пружаоцима обуке</w:t>
            </w:r>
          </w:p>
        </w:tc>
        <w:tc>
          <w:tcPr>
            <w:tcW w:w="568" w:type="pct"/>
            <w:tcBorders>
              <w:top w:val="single" w:sz="4" w:space="0" w:color="auto"/>
              <w:left w:val="single" w:sz="4" w:space="0" w:color="auto"/>
              <w:bottom w:val="single" w:sz="4" w:space="0" w:color="auto"/>
              <w:right w:val="single" w:sz="4" w:space="0" w:color="auto"/>
            </w:tcBorders>
            <w:vAlign w:val="center"/>
          </w:tcPr>
          <w:p w14:paraId="16722686"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lastRenderedPageBreak/>
              <w:t>Групе становништва и кључних актера ће подржати напоре Владе за праведну транзицију</w:t>
            </w:r>
          </w:p>
          <w:p w14:paraId="343CA1C5"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p>
          <w:p w14:paraId="1516DA29"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t>Приоритет: Висок током припреме за декарбонизацију</w:t>
            </w:r>
          </w:p>
        </w:tc>
      </w:tr>
      <w:tr w:rsidR="00BC369C" w:rsidRPr="009C19C5" w14:paraId="3229C20B" w14:textId="77777777" w:rsidTr="00694C70">
        <w:trPr>
          <w:trHeight w:val="447"/>
          <w:jc w:val="center"/>
        </w:trPr>
        <w:tc>
          <w:tcPr>
            <w:tcW w:w="120" w:type="pct"/>
            <w:tcBorders>
              <w:top w:val="single" w:sz="4" w:space="0" w:color="auto"/>
              <w:left w:val="single" w:sz="4" w:space="0" w:color="auto"/>
              <w:bottom w:val="single" w:sz="4" w:space="0" w:color="auto"/>
              <w:right w:val="single" w:sz="4" w:space="0" w:color="auto"/>
            </w:tcBorders>
            <w:vAlign w:val="center"/>
          </w:tcPr>
          <w:p w14:paraId="52D7F9CF"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t>7.</w:t>
            </w:r>
          </w:p>
        </w:tc>
        <w:tc>
          <w:tcPr>
            <w:tcW w:w="601" w:type="pct"/>
            <w:tcBorders>
              <w:top w:val="single" w:sz="4" w:space="0" w:color="auto"/>
              <w:left w:val="single" w:sz="4" w:space="0" w:color="auto"/>
              <w:bottom w:val="single" w:sz="4" w:space="0" w:color="auto"/>
              <w:right w:val="single" w:sz="4" w:space="0" w:color="auto"/>
            </w:tcBorders>
            <w:vAlign w:val="center"/>
          </w:tcPr>
          <w:p w14:paraId="4297638C"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bookmarkStart w:id="38" w:name="_Hlk202347172"/>
            <w:r w:rsidRPr="009C19C5">
              <w:rPr>
                <w:rFonts w:ascii="Times New Roman" w:hAnsi="Times New Roman" w:cs="Times New Roman"/>
                <w:color w:val="000000"/>
                <w:sz w:val="20"/>
                <w:szCs w:val="20"/>
                <w:lang w:val="sr-Cyrl-RS" w:eastAsia="en-GB"/>
              </w:rPr>
              <w:t xml:space="preserve">Истраживање алтернативних могућности и њихових ефеката на просторно планирање, коришћење и расподелу рехабилитованог земљишта, атрактивност и олакшавање приступа инвеститорима, учествовање у </w:t>
            </w:r>
            <w:r w:rsidRPr="009C19C5">
              <w:rPr>
                <w:rFonts w:ascii="Times New Roman" w:hAnsi="Times New Roman" w:cs="Times New Roman"/>
                <w:color w:val="000000"/>
                <w:sz w:val="20"/>
                <w:szCs w:val="20"/>
                <w:lang w:val="sr-Cyrl-RS" w:eastAsia="en-GB"/>
              </w:rPr>
              <w:lastRenderedPageBreak/>
              <w:t>шемама јавно-приватног партнерства и тендерским процедурама.</w:t>
            </w:r>
            <w:bookmarkEnd w:id="38"/>
          </w:p>
        </w:tc>
        <w:tc>
          <w:tcPr>
            <w:tcW w:w="398" w:type="pct"/>
            <w:tcBorders>
              <w:top w:val="single" w:sz="4" w:space="0" w:color="auto"/>
              <w:left w:val="single" w:sz="4" w:space="0" w:color="auto"/>
              <w:bottom w:val="single" w:sz="4" w:space="0" w:color="auto"/>
              <w:right w:val="single" w:sz="4" w:space="0" w:color="auto"/>
            </w:tcBorders>
            <w:vAlign w:val="center"/>
          </w:tcPr>
          <w:p w14:paraId="44D2DA89"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lastRenderedPageBreak/>
              <w:t>6 месеци</w:t>
            </w:r>
          </w:p>
        </w:tc>
        <w:tc>
          <w:tcPr>
            <w:tcW w:w="534" w:type="pct"/>
            <w:tcBorders>
              <w:top w:val="single" w:sz="4" w:space="0" w:color="auto"/>
              <w:left w:val="single" w:sz="4" w:space="0" w:color="auto"/>
              <w:bottom w:val="single" w:sz="4" w:space="0" w:color="auto"/>
              <w:right w:val="single" w:sz="4" w:space="0" w:color="auto"/>
            </w:tcBorders>
            <w:vAlign w:val="center"/>
          </w:tcPr>
          <w:p w14:paraId="68168A17"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t xml:space="preserve">Влада </w:t>
            </w:r>
          </w:p>
        </w:tc>
        <w:tc>
          <w:tcPr>
            <w:tcW w:w="393" w:type="pct"/>
            <w:tcBorders>
              <w:top w:val="single" w:sz="4" w:space="0" w:color="auto"/>
              <w:left w:val="single" w:sz="4" w:space="0" w:color="auto"/>
              <w:bottom w:val="single" w:sz="4" w:space="0" w:color="auto"/>
              <w:right w:val="single" w:sz="4" w:space="0" w:color="auto"/>
            </w:tcBorders>
            <w:vAlign w:val="center"/>
          </w:tcPr>
          <w:p w14:paraId="43BC89C5"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t>70 хиљада евра</w:t>
            </w:r>
          </w:p>
          <w:p w14:paraId="32FE163F"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t>Трошкови правне помоћи</w:t>
            </w:r>
          </w:p>
        </w:tc>
        <w:tc>
          <w:tcPr>
            <w:tcW w:w="526" w:type="pct"/>
            <w:tcBorders>
              <w:top w:val="single" w:sz="4" w:space="0" w:color="auto"/>
              <w:left w:val="single" w:sz="4" w:space="0" w:color="auto"/>
              <w:bottom w:val="single" w:sz="4" w:space="0" w:color="auto"/>
              <w:right w:val="single" w:sz="4" w:space="0" w:color="auto"/>
            </w:tcBorders>
            <w:vAlign w:val="center"/>
          </w:tcPr>
          <w:p w14:paraId="58A833E5"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r w:rsidRPr="009C19C5">
              <w:rPr>
                <w:rFonts w:ascii="Times New Roman" w:hAnsi="Times New Roman" w:cs="Times New Roman"/>
                <w:sz w:val="20"/>
                <w:szCs w:val="20"/>
                <w:lang w:val="sr-Cyrl-RS" w:eastAsia="en-GB"/>
              </w:rPr>
              <w:t>буџет Републике</w:t>
            </w:r>
            <w:r w:rsidRPr="009C19C5">
              <w:rPr>
                <w:rFonts w:ascii="Times New Roman" w:eastAsia="Times New Roman" w:hAnsi="Times New Roman" w:cs="Times New Roman"/>
                <w:kern w:val="0"/>
                <w:sz w:val="20"/>
                <w:szCs w:val="20"/>
                <w:lang w:val="sr-Cyrl-RS"/>
              </w:rPr>
              <w:t xml:space="preserve"> </w:t>
            </w:r>
            <w:r w:rsidRPr="009C19C5">
              <w:rPr>
                <w:rFonts w:ascii="Times New Roman" w:hAnsi="Times New Roman" w:cs="Times New Roman"/>
                <w:color w:val="000000"/>
                <w:sz w:val="20"/>
                <w:szCs w:val="20"/>
                <w:lang w:val="sr-Cyrl-RS" w:eastAsia="en-GB"/>
              </w:rPr>
              <w:t>и  други извори у складу са законом.</w:t>
            </w:r>
          </w:p>
        </w:tc>
        <w:tc>
          <w:tcPr>
            <w:tcW w:w="445" w:type="pct"/>
            <w:tcBorders>
              <w:top w:val="single" w:sz="4" w:space="0" w:color="auto"/>
              <w:left w:val="single" w:sz="4" w:space="0" w:color="auto"/>
              <w:bottom w:val="single" w:sz="4" w:space="0" w:color="auto"/>
              <w:right w:val="single" w:sz="4" w:space="0" w:color="auto"/>
            </w:tcBorders>
            <w:vAlign w:val="center"/>
          </w:tcPr>
          <w:p w14:paraId="47DBBD32"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t>Национално</w:t>
            </w:r>
          </w:p>
        </w:tc>
        <w:tc>
          <w:tcPr>
            <w:tcW w:w="700" w:type="pct"/>
            <w:tcBorders>
              <w:top w:val="single" w:sz="4" w:space="0" w:color="auto"/>
              <w:left w:val="single" w:sz="4" w:space="0" w:color="auto"/>
              <w:bottom w:val="single" w:sz="4" w:space="0" w:color="auto"/>
              <w:right w:val="single" w:sz="4" w:space="0" w:color="auto"/>
            </w:tcBorders>
            <w:vAlign w:val="center"/>
          </w:tcPr>
          <w:p w14:paraId="53F5FB4F"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t>Влада , ЕПС АД, ЈП ПЕУ Ресавица, локалне самоуправе којима припадају погођене територије</w:t>
            </w:r>
          </w:p>
        </w:tc>
        <w:tc>
          <w:tcPr>
            <w:tcW w:w="715" w:type="pct"/>
            <w:tcBorders>
              <w:top w:val="single" w:sz="4" w:space="0" w:color="auto"/>
              <w:left w:val="single" w:sz="4" w:space="0" w:color="auto"/>
              <w:bottom w:val="single" w:sz="4" w:space="0" w:color="auto"/>
              <w:right w:val="single" w:sz="4" w:space="0" w:color="auto"/>
            </w:tcBorders>
            <w:vAlign w:val="center"/>
          </w:tcPr>
          <w:p w14:paraId="1EB6DEDE"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t>Одлучивање о могућностима спровођења</w:t>
            </w:r>
          </w:p>
        </w:tc>
        <w:tc>
          <w:tcPr>
            <w:tcW w:w="568" w:type="pct"/>
            <w:tcBorders>
              <w:top w:val="single" w:sz="4" w:space="0" w:color="auto"/>
              <w:left w:val="single" w:sz="4" w:space="0" w:color="auto"/>
              <w:bottom w:val="single" w:sz="4" w:space="0" w:color="auto"/>
              <w:right w:val="single" w:sz="4" w:space="0" w:color="auto"/>
            </w:tcBorders>
            <w:vAlign w:val="center"/>
          </w:tcPr>
          <w:p w14:paraId="6890A3F7"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t xml:space="preserve">Одлучивање о начинима спровођења </w:t>
            </w:r>
          </w:p>
          <w:p w14:paraId="0FEF3936"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p>
          <w:p w14:paraId="67729778"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t>Приоритет: Средњи током припреме за декарбонизацију</w:t>
            </w:r>
          </w:p>
        </w:tc>
      </w:tr>
      <w:tr w:rsidR="00BC369C" w:rsidRPr="009C19C5" w14:paraId="1940B9CF" w14:textId="77777777" w:rsidTr="002354A3">
        <w:trPr>
          <w:trHeight w:val="766"/>
          <w:jc w:val="center"/>
        </w:trPr>
        <w:tc>
          <w:tcPr>
            <w:tcW w:w="72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05E59C" w14:textId="77777777" w:rsidR="00BC369C" w:rsidRPr="009C19C5" w:rsidRDefault="00BC369C" w:rsidP="00694C70">
            <w:pPr>
              <w:spacing w:after="0" w:line="240" w:lineRule="auto"/>
              <w:jc w:val="right"/>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t>Укупни трошкови припремних активности на националном нивоу</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14:paraId="08463B56"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p>
        </w:tc>
        <w:tc>
          <w:tcPr>
            <w:tcW w:w="534" w:type="pct"/>
            <w:tcBorders>
              <w:top w:val="single" w:sz="4" w:space="0" w:color="auto"/>
              <w:left w:val="single" w:sz="4" w:space="0" w:color="auto"/>
              <w:bottom w:val="single" w:sz="4" w:space="0" w:color="auto"/>
              <w:right w:val="single" w:sz="4" w:space="0" w:color="auto"/>
            </w:tcBorders>
            <w:shd w:val="clear" w:color="auto" w:fill="auto"/>
            <w:vAlign w:val="center"/>
          </w:tcPr>
          <w:p w14:paraId="095F056C"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p>
        </w:tc>
        <w:tc>
          <w:tcPr>
            <w:tcW w:w="393" w:type="pct"/>
            <w:tcBorders>
              <w:top w:val="single" w:sz="4" w:space="0" w:color="auto"/>
              <w:left w:val="single" w:sz="4" w:space="0" w:color="auto"/>
              <w:bottom w:val="single" w:sz="4" w:space="0" w:color="auto"/>
              <w:right w:val="single" w:sz="4" w:space="0" w:color="auto"/>
            </w:tcBorders>
            <w:shd w:val="clear" w:color="auto" w:fill="auto"/>
            <w:vAlign w:val="center"/>
          </w:tcPr>
          <w:p w14:paraId="1D5FB609"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t>2,6 милиона евра</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14:paraId="7BD73AC7"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14:paraId="0AF6D763"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14:paraId="3AB1A471"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tcPr>
          <w:p w14:paraId="4BFE54B9"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14:paraId="77051698" w14:textId="77777777" w:rsidR="00BC369C" w:rsidRPr="009C19C5" w:rsidRDefault="00BC369C" w:rsidP="00694C70">
            <w:pPr>
              <w:spacing w:after="0" w:line="240" w:lineRule="auto"/>
              <w:jc w:val="center"/>
              <w:rPr>
                <w:rFonts w:ascii="Times New Roman" w:hAnsi="Times New Roman" w:cs="Times New Roman"/>
                <w:color w:val="000000"/>
                <w:sz w:val="20"/>
                <w:szCs w:val="20"/>
                <w:lang w:val="sr-Cyrl-RS" w:eastAsia="en-GB"/>
              </w:rPr>
            </w:pPr>
          </w:p>
        </w:tc>
      </w:tr>
    </w:tbl>
    <w:p w14:paraId="1E622D9F" w14:textId="77777777" w:rsidR="00BC369C" w:rsidRPr="009C19C5" w:rsidRDefault="00BC369C" w:rsidP="00BE195F">
      <w:pPr>
        <w:pStyle w:val="Heading2"/>
        <w:rPr>
          <w:sz w:val="18"/>
          <w:szCs w:val="18"/>
        </w:rPr>
      </w:pPr>
      <w:bookmarkStart w:id="39" w:name="_Toc183082943"/>
      <w:r w:rsidRPr="009C19C5">
        <w:t>6.3. Краткорочне активности на локалном нивоу (Група A)</w:t>
      </w:r>
      <w:bookmarkEnd w:id="39"/>
    </w:p>
    <w:p w14:paraId="377CE748" w14:textId="77777777" w:rsidR="00BC369C" w:rsidRPr="009C19C5" w:rsidRDefault="00BC369C" w:rsidP="00BC369C">
      <w:pPr>
        <w:pStyle w:val="Caption"/>
        <w:keepNext/>
        <w:jc w:val="left"/>
        <w:rPr>
          <w:rFonts w:ascii="Times New Roman" w:hAnsi="Times New Roman" w:cs="Times New Roman"/>
          <w:i w:val="0"/>
          <w:iCs w:val="0"/>
          <w:color w:val="auto"/>
          <w:sz w:val="20"/>
          <w:szCs w:val="20"/>
          <w:lang w:val="sr-Cyrl-RS"/>
        </w:rPr>
      </w:pPr>
      <w:r w:rsidRPr="009C19C5">
        <w:rPr>
          <w:rFonts w:ascii="Times New Roman" w:hAnsi="Times New Roman" w:cs="Times New Roman"/>
          <w:i w:val="0"/>
          <w:iCs w:val="0"/>
          <w:color w:val="auto"/>
          <w:sz w:val="20"/>
          <w:szCs w:val="20"/>
          <w:lang w:val="sr-Cyrl-RS"/>
        </w:rPr>
        <w:t>Табела 12: Краткорочне активности на локалном нивоу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
        <w:gridCol w:w="1783"/>
        <w:gridCol w:w="1632"/>
        <w:gridCol w:w="1533"/>
        <w:gridCol w:w="1382"/>
        <w:gridCol w:w="1383"/>
        <w:gridCol w:w="1632"/>
        <w:gridCol w:w="1528"/>
        <w:gridCol w:w="1911"/>
        <w:gridCol w:w="1887"/>
      </w:tblGrid>
      <w:tr w:rsidR="00BC369C" w:rsidRPr="009C19C5" w14:paraId="5391063B" w14:textId="77777777" w:rsidTr="00694C70">
        <w:trPr>
          <w:trHeight w:val="404"/>
          <w:tblHeader/>
          <w:jc w:val="center"/>
        </w:trPr>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14:paraId="4DC189AD"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p>
        </w:tc>
        <w:tc>
          <w:tcPr>
            <w:tcW w:w="638" w:type="pct"/>
            <w:tcBorders>
              <w:top w:val="single" w:sz="4" w:space="0" w:color="auto"/>
              <w:left w:val="single" w:sz="4" w:space="0" w:color="auto"/>
              <w:bottom w:val="single" w:sz="4" w:space="0" w:color="auto"/>
              <w:right w:val="single" w:sz="4" w:space="0" w:color="auto"/>
            </w:tcBorders>
            <w:shd w:val="clear" w:color="auto" w:fill="auto"/>
            <w:vAlign w:val="center"/>
          </w:tcPr>
          <w:p w14:paraId="14CB877E"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sz w:val="20"/>
                <w:szCs w:val="20"/>
                <w:lang w:val="sr-Cyrl-RS" w:eastAsia="el-GR"/>
              </w:rPr>
              <w:t>Предмет акције</w:t>
            </w: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tcPr>
          <w:p w14:paraId="5F19B7DA"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sz w:val="20"/>
                <w:szCs w:val="20"/>
                <w:lang w:val="sr-Cyrl-RS" w:eastAsia="el-GR"/>
              </w:rPr>
              <w:t>Временски оквир</w:t>
            </w: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14:paraId="78AF002E"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sz w:val="20"/>
                <w:szCs w:val="20"/>
                <w:lang w:val="sr-Cyrl-RS" w:eastAsia="el-GR"/>
              </w:rPr>
              <w:t>Одговорна заинтересована страна</w:t>
            </w:r>
          </w:p>
        </w:tc>
        <w:tc>
          <w:tcPr>
            <w:tcW w:w="506" w:type="pct"/>
            <w:tcBorders>
              <w:top w:val="single" w:sz="4" w:space="0" w:color="auto"/>
              <w:left w:val="single" w:sz="4" w:space="0" w:color="auto"/>
              <w:bottom w:val="single" w:sz="4" w:space="0" w:color="auto"/>
              <w:right w:val="single" w:sz="4" w:space="0" w:color="auto"/>
            </w:tcBorders>
            <w:shd w:val="clear" w:color="auto" w:fill="auto"/>
            <w:vAlign w:val="center"/>
          </w:tcPr>
          <w:p w14:paraId="6CA6EAAE"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sz w:val="20"/>
                <w:szCs w:val="20"/>
                <w:lang w:val="sr-Cyrl-RS" w:eastAsia="el-GR"/>
              </w:rPr>
              <w:t>Процена трошкова</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5A860CB8"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sz w:val="20"/>
                <w:szCs w:val="20"/>
                <w:lang w:val="sr-Cyrl-RS" w:eastAsia="el-GR"/>
              </w:rPr>
              <w:t>Извори финансирања</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tcPr>
          <w:p w14:paraId="63A2E441"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sz w:val="20"/>
                <w:szCs w:val="20"/>
                <w:lang w:val="sr-Cyrl-RS" w:eastAsia="el-GR"/>
              </w:rPr>
              <w:t>Подручје</w:t>
            </w:r>
          </w:p>
        </w:tc>
        <w:tc>
          <w:tcPr>
            <w:tcW w:w="599" w:type="pct"/>
            <w:tcBorders>
              <w:top w:val="single" w:sz="4" w:space="0" w:color="auto"/>
              <w:left w:val="single" w:sz="4" w:space="0" w:color="auto"/>
              <w:bottom w:val="single" w:sz="4" w:space="0" w:color="auto"/>
              <w:right w:val="single" w:sz="4" w:space="0" w:color="auto"/>
            </w:tcBorders>
            <w:shd w:val="clear" w:color="auto" w:fill="auto"/>
            <w:vAlign w:val="center"/>
          </w:tcPr>
          <w:p w14:paraId="7B1B83A7"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sz w:val="20"/>
                <w:szCs w:val="20"/>
                <w:lang w:val="sr-Cyrl-RS" w:eastAsia="el-GR"/>
              </w:rPr>
              <w:t>Циљна група</w:t>
            </w:r>
          </w:p>
        </w:tc>
        <w:tc>
          <w:tcPr>
            <w:tcW w:w="552" w:type="pct"/>
            <w:tcBorders>
              <w:top w:val="single" w:sz="4" w:space="0" w:color="auto"/>
              <w:left w:val="single" w:sz="4" w:space="0" w:color="auto"/>
              <w:bottom w:val="single" w:sz="4" w:space="0" w:color="auto"/>
              <w:right w:val="single" w:sz="4" w:space="0" w:color="auto"/>
            </w:tcBorders>
            <w:shd w:val="clear" w:color="auto" w:fill="auto"/>
            <w:vAlign w:val="center"/>
          </w:tcPr>
          <w:p w14:paraId="6996890A"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sz w:val="20"/>
                <w:szCs w:val="20"/>
                <w:lang w:val="sr-Cyrl-RS" w:eastAsia="el-GR"/>
              </w:rPr>
              <w:t>Кључни показатељ учинка</w:t>
            </w:r>
          </w:p>
        </w:tc>
        <w:tc>
          <w:tcPr>
            <w:tcW w:w="672" w:type="pct"/>
            <w:tcBorders>
              <w:top w:val="single" w:sz="4" w:space="0" w:color="auto"/>
              <w:left w:val="single" w:sz="4" w:space="0" w:color="auto"/>
              <w:bottom w:val="single" w:sz="4" w:space="0" w:color="auto"/>
              <w:right w:val="single" w:sz="4" w:space="0" w:color="auto"/>
            </w:tcBorders>
            <w:shd w:val="clear" w:color="auto" w:fill="auto"/>
            <w:vAlign w:val="center"/>
          </w:tcPr>
          <w:p w14:paraId="4F1429B6"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sz w:val="20"/>
                <w:szCs w:val="20"/>
                <w:lang w:val="sr-Cyrl-RS" w:eastAsia="el-GR"/>
              </w:rPr>
              <w:t>Ефекат и приоритет</w:t>
            </w:r>
          </w:p>
        </w:tc>
      </w:tr>
      <w:tr w:rsidR="00BC369C" w:rsidRPr="009C19C5" w14:paraId="0DE20FFC" w14:textId="77777777" w:rsidTr="00694C70">
        <w:trPr>
          <w:trHeight w:val="503"/>
          <w:jc w:val="center"/>
        </w:trPr>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14:paraId="7DA8DA79"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p>
        </w:tc>
        <w:tc>
          <w:tcPr>
            <w:tcW w:w="4774"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51D25A61"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sz w:val="20"/>
                <w:szCs w:val="20"/>
                <w:lang w:val="sr-Cyrl-RS" w:eastAsia="el-GR"/>
              </w:rPr>
              <w:t>Локални ниво</w:t>
            </w:r>
          </w:p>
        </w:tc>
      </w:tr>
      <w:tr w:rsidR="00BC369C" w:rsidRPr="009C19C5" w14:paraId="2C9E1FBB" w14:textId="77777777" w:rsidTr="00694C70">
        <w:trPr>
          <w:trHeight w:val="1268"/>
          <w:jc w:val="center"/>
        </w:trPr>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14:paraId="348BFABC"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8.</w:t>
            </w:r>
          </w:p>
        </w:tc>
        <w:tc>
          <w:tcPr>
            <w:tcW w:w="638" w:type="pct"/>
            <w:tcBorders>
              <w:top w:val="single" w:sz="4" w:space="0" w:color="auto"/>
              <w:left w:val="single" w:sz="4" w:space="0" w:color="auto"/>
              <w:bottom w:val="single" w:sz="4" w:space="0" w:color="auto"/>
              <w:right w:val="single" w:sz="4" w:space="0" w:color="auto"/>
            </w:tcBorders>
            <w:shd w:val="clear" w:color="auto" w:fill="auto"/>
            <w:vAlign w:val="center"/>
          </w:tcPr>
          <w:p w14:paraId="791EBD02" w14:textId="0D1A2DA4"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rPr>
              <w:t xml:space="preserve">„Израда Анализе структуре запослених (потенцијалних вишкова) и потреба за запошљавањем на локалном тржишту рада” (уз могућност сагледавања могућих </w:t>
            </w:r>
            <w:r w:rsidRPr="009C19C5">
              <w:rPr>
                <w:rFonts w:ascii="Times New Roman" w:hAnsi="Times New Roman" w:cs="Times New Roman"/>
                <w:kern w:val="0"/>
                <w:sz w:val="20"/>
                <w:szCs w:val="20"/>
                <w:lang w:val="sr-Cyrl-RS"/>
              </w:rPr>
              <w:t>посебних мера за децу из погођених породица)</w:t>
            </w: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tcPr>
          <w:p w14:paraId="2B45F734" w14:textId="792B4C4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 xml:space="preserve">12 месеци (након усвајања Плана декарбонизације </w:t>
            </w:r>
            <w:r w:rsidRPr="009C19C5">
              <w:rPr>
                <w:rFonts w:ascii="Times New Roman" w:hAnsi="Times New Roman" w:cs="Times New Roman"/>
                <w:sz w:val="20"/>
                <w:szCs w:val="20"/>
                <w:lang w:val="sr-Cyrl-RS"/>
              </w:rPr>
              <w:t>ЕПС АД и транзиционог плана за поједине руднике у оквиру ЈП ПЕУ Ресавица</w:t>
            </w:r>
            <w:r w:rsidRPr="009C19C5">
              <w:rPr>
                <w:rFonts w:ascii="Times New Roman" w:hAnsi="Times New Roman" w:cs="Times New Roman"/>
                <w:sz w:val="20"/>
                <w:szCs w:val="20"/>
                <w:lang w:val="sr-Cyrl-RS" w:eastAsia="en-GB"/>
              </w:rPr>
              <w:t xml:space="preserve"> који садржи неопходне параметре за израду Анализе)</w:t>
            </w:r>
            <w:r w:rsidRPr="009C19C5">
              <w:rPr>
                <w:rFonts w:ascii="Times New Roman" w:hAnsi="Times New Roman" w:cs="Times New Roman"/>
                <w:bCs/>
                <w:color w:val="000000"/>
                <w:sz w:val="20"/>
                <w:szCs w:val="20"/>
                <w:lang w:val="sr-Cyrl-RS" w:eastAsia="sr-Latn-CS"/>
              </w:rPr>
              <w:t>”</w:t>
            </w: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14:paraId="36295AEF" w14:textId="53E89F1E"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rPr>
              <w:t xml:space="preserve">Министарство рударства и енергетике, Министарство за рад, запошљавање, борачка и социјална питања, Национална служба за запошљавање, Привредна комора Србије, Унија послодаваца Србије, јединице локалне </w:t>
            </w:r>
            <w:r w:rsidRPr="009C19C5">
              <w:rPr>
                <w:rFonts w:ascii="Times New Roman" w:hAnsi="Times New Roman" w:cs="Times New Roman"/>
                <w:sz w:val="20"/>
                <w:szCs w:val="20"/>
                <w:lang w:val="sr-Cyrl-RS"/>
              </w:rPr>
              <w:lastRenderedPageBreak/>
              <w:t>самоуправе, ЕПС АД</w:t>
            </w:r>
          </w:p>
        </w:tc>
        <w:tc>
          <w:tcPr>
            <w:tcW w:w="506" w:type="pct"/>
            <w:tcBorders>
              <w:top w:val="single" w:sz="4" w:space="0" w:color="auto"/>
              <w:left w:val="single" w:sz="4" w:space="0" w:color="auto"/>
              <w:bottom w:val="single" w:sz="4" w:space="0" w:color="auto"/>
              <w:right w:val="single" w:sz="4" w:space="0" w:color="auto"/>
            </w:tcBorders>
            <w:shd w:val="clear" w:color="auto" w:fill="auto"/>
            <w:vAlign w:val="center"/>
          </w:tcPr>
          <w:p w14:paraId="6B9262E1" w14:textId="4055AB25"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lastRenderedPageBreak/>
              <w:t>Није могуће дати процену трошкова, с обзиром да је иста условљена обимом и динамиком смањења, односно напуштања производње енергије засноване на угљу, утврђене Планом ЕПС АД</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69E84CB2" w14:textId="3193779E"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Међународне финансијске институције,, међународни донатори, у комбинацији са буџетом Републике</w:t>
            </w:r>
            <w:r w:rsidRPr="009C19C5">
              <w:rPr>
                <w:rFonts w:ascii="Times New Roman" w:eastAsia="Times New Roman" w:hAnsi="Times New Roman" w:cs="Times New Roman"/>
                <w:kern w:val="0"/>
                <w:sz w:val="20"/>
                <w:szCs w:val="20"/>
                <w:lang w:val="sr-Cyrl-RS"/>
              </w:rPr>
              <w:t xml:space="preserve"> </w:t>
            </w:r>
            <w:r w:rsidRPr="009C19C5">
              <w:rPr>
                <w:rFonts w:ascii="Times New Roman" w:hAnsi="Times New Roman" w:cs="Times New Roman"/>
                <w:color w:val="000000"/>
                <w:sz w:val="20"/>
                <w:szCs w:val="20"/>
                <w:lang w:val="sr-Cyrl-RS" w:eastAsia="en-GB"/>
              </w:rPr>
              <w:t>и другим извори у складу са законом.</w:t>
            </w:r>
            <w:r w:rsidRPr="009C19C5">
              <w:rPr>
                <w:rFonts w:ascii="Times New Roman" w:hAnsi="Times New Roman" w:cs="Times New Roman"/>
                <w:sz w:val="20"/>
                <w:szCs w:val="20"/>
                <w:lang w:val="sr-Cyrl-RS" w:eastAsia="en-GB"/>
              </w:rPr>
              <w:t xml:space="preserve"> за друге активне мере на тржишту рада</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tcPr>
          <w:p w14:paraId="0FD3255B" w14:textId="0160C5B0" w:rsidR="00BC369C" w:rsidRPr="009C19C5" w:rsidRDefault="00BC369C" w:rsidP="00694C70">
            <w:pPr>
              <w:spacing w:after="0"/>
              <w:rPr>
                <w:rFonts w:ascii="Times New Roman" w:hAnsi="Times New Roman" w:cs="Times New Roman"/>
                <w:sz w:val="20"/>
                <w:szCs w:val="20"/>
                <w:lang w:val="sr-Cyrl-RS"/>
              </w:rPr>
            </w:pPr>
            <w:r w:rsidRPr="009C19C5">
              <w:rPr>
                <w:rFonts w:ascii="Times New Roman" w:hAnsi="Times New Roman" w:cs="Times New Roman"/>
                <w:sz w:val="20"/>
                <w:szCs w:val="20"/>
                <w:lang w:val="sr-Cyrl-RS"/>
              </w:rPr>
              <w:t>Регионални и локални ниво, у складу са Планом декарбонизације ЕПС АД и транзиционим планом за поједине руднике у оквиру ЈП ПЕУ Ресавица</w:t>
            </w:r>
          </w:p>
          <w:p w14:paraId="324CBB9F"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p>
        </w:tc>
        <w:tc>
          <w:tcPr>
            <w:tcW w:w="599" w:type="pct"/>
            <w:tcBorders>
              <w:top w:val="single" w:sz="4" w:space="0" w:color="auto"/>
              <w:left w:val="single" w:sz="4" w:space="0" w:color="auto"/>
              <w:bottom w:val="single" w:sz="4" w:space="0" w:color="auto"/>
              <w:right w:val="single" w:sz="4" w:space="0" w:color="auto"/>
            </w:tcBorders>
            <w:shd w:val="clear" w:color="auto" w:fill="auto"/>
            <w:vAlign w:val="center"/>
          </w:tcPr>
          <w:p w14:paraId="44C69901" w14:textId="788CA9E1" w:rsidR="00BC369C" w:rsidRPr="009C19C5" w:rsidRDefault="00BC369C" w:rsidP="00694C70">
            <w:pPr>
              <w:spacing w:after="0"/>
              <w:rPr>
                <w:rFonts w:ascii="Times New Roman" w:hAnsi="Times New Roman" w:cs="Times New Roman"/>
                <w:sz w:val="20"/>
                <w:szCs w:val="20"/>
                <w:lang w:val="sr-Cyrl-RS"/>
              </w:rPr>
            </w:pPr>
            <w:r w:rsidRPr="009C19C5">
              <w:rPr>
                <w:rFonts w:ascii="Times New Roman" w:hAnsi="Times New Roman" w:cs="Times New Roman"/>
                <w:sz w:val="20"/>
                <w:szCs w:val="20"/>
                <w:lang w:val="sr-Cyrl-RS"/>
              </w:rPr>
              <w:t>Запослени у ЕПС АД и ЈП ПЕУ Ресавица, потенцијални вишкови запослених у области производње енергије засноване на угљу и послодавци на локалном нивоу који исказују потребу за запошљавањем</w:t>
            </w:r>
          </w:p>
          <w:p w14:paraId="11E897D4"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p>
        </w:tc>
        <w:tc>
          <w:tcPr>
            <w:tcW w:w="552" w:type="pct"/>
            <w:tcBorders>
              <w:top w:val="single" w:sz="4" w:space="0" w:color="auto"/>
              <w:left w:val="single" w:sz="4" w:space="0" w:color="auto"/>
              <w:bottom w:val="single" w:sz="4" w:space="0" w:color="auto"/>
              <w:right w:val="single" w:sz="4" w:space="0" w:color="auto"/>
            </w:tcBorders>
            <w:shd w:val="clear" w:color="auto" w:fill="auto"/>
            <w:vAlign w:val="center"/>
          </w:tcPr>
          <w:p w14:paraId="2315590A"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rPr>
              <w:t>Израђена Анализа</w:t>
            </w:r>
          </w:p>
        </w:tc>
        <w:tc>
          <w:tcPr>
            <w:tcW w:w="672" w:type="pct"/>
            <w:tcBorders>
              <w:top w:val="single" w:sz="4" w:space="0" w:color="auto"/>
              <w:left w:val="single" w:sz="4" w:space="0" w:color="auto"/>
              <w:bottom w:val="single" w:sz="4" w:space="0" w:color="auto"/>
              <w:right w:val="single" w:sz="4" w:space="0" w:color="auto"/>
            </w:tcBorders>
            <w:shd w:val="clear" w:color="auto" w:fill="auto"/>
            <w:vAlign w:val="center"/>
          </w:tcPr>
          <w:p w14:paraId="050590E1" w14:textId="77777777" w:rsidR="00BC369C" w:rsidRPr="009C19C5" w:rsidRDefault="00BC369C" w:rsidP="00694C70">
            <w:pPr>
              <w:spacing w:after="0"/>
              <w:rPr>
                <w:rFonts w:ascii="Times New Roman" w:hAnsi="Times New Roman" w:cs="Times New Roman"/>
                <w:sz w:val="20"/>
                <w:szCs w:val="20"/>
                <w:lang w:val="sr-Cyrl-RS"/>
              </w:rPr>
            </w:pPr>
            <w:r w:rsidRPr="009C19C5">
              <w:rPr>
                <w:rFonts w:ascii="Times New Roman" w:hAnsi="Times New Roman" w:cs="Times New Roman"/>
                <w:sz w:val="20"/>
                <w:szCs w:val="20"/>
                <w:lang w:val="sr-Cyrl-RS"/>
              </w:rPr>
              <w:t>Расположиви актуелни подаци и информације који представљају полазну основу за дефинисање мера из тачке 10.</w:t>
            </w:r>
          </w:p>
          <w:p w14:paraId="4193BCB6" w14:textId="77777777" w:rsidR="00BC369C" w:rsidRPr="009C19C5" w:rsidRDefault="00BC369C" w:rsidP="00694C70">
            <w:pPr>
              <w:spacing w:after="0"/>
              <w:rPr>
                <w:rFonts w:ascii="Times New Roman" w:hAnsi="Times New Roman" w:cs="Times New Roman"/>
                <w:sz w:val="20"/>
                <w:szCs w:val="20"/>
                <w:lang w:val="sr-Cyrl-RS"/>
              </w:rPr>
            </w:pPr>
          </w:p>
          <w:p w14:paraId="5BBB7C10" w14:textId="77777777" w:rsidR="00BC369C" w:rsidRPr="009C19C5" w:rsidRDefault="00BC369C" w:rsidP="00694C70">
            <w:pPr>
              <w:spacing w:after="0"/>
              <w:rPr>
                <w:rFonts w:ascii="Times New Roman" w:hAnsi="Times New Roman" w:cs="Times New Roman"/>
                <w:sz w:val="20"/>
                <w:szCs w:val="20"/>
                <w:lang w:val="sr-Cyrl-RS"/>
              </w:rPr>
            </w:pPr>
            <w:r w:rsidRPr="009C19C5">
              <w:rPr>
                <w:rFonts w:ascii="Times New Roman" w:hAnsi="Times New Roman" w:cs="Times New Roman"/>
                <w:sz w:val="20"/>
                <w:szCs w:val="20"/>
                <w:lang w:val="sr-Cyrl-RS"/>
              </w:rPr>
              <w:t>Висок приоритет</w:t>
            </w:r>
          </w:p>
          <w:p w14:paraId="42936BDF"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p>
        </w:tc>
      </w:tr>
      <w:tr w:rsidR="00BC369C" w:rsidRPr="009C19C5" w14:paraId="4CDEE9FA" w14:textId="77777777" w:rsidTr="00694C70">
        <w:trPr>
          <w:trHeight w:val="404"/>
          <w:jc w:val="center"/>
        </w:trPr>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14:paraId="49341AFB"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9.</w:t>
            </w:r>
          </w:p>
        </w:tc>
        <w:tc>
          <w:tcPr>
            <w:tcW w:w="638" w:type="pct"/>
            <w:tcBorders>
              <w:top w:val="single" w:sz="4" w:space="0" w:color="auto"/>
              <w:left w:val="single" w:sz="4" w:space="0" w:color="auto"/>
              <w:bottom w:val="single" w:sz="4" w:space="0" w:color="auto"/>
              <w:right w:val="single" w:sz="4" w:space="0" w:color="auto"/>
            </w:tcBorders>
            <w:shd w:val="clear" w:color="auto" w:fill="auto"/>
            <w:vAlign w:val="center"/>
          </w:tcPr>
          <w:p w14:paraId="6EFBE50D" w14:textId="77777777" w:rsidR="00BC369C" w:rsidRPr="009C19C5" w:rsidRDefault="00BC369C" w:rsidP="00694C70">
            <w:pPr>
              <w:spacing w:after="0"/>
              <w:rPr>
                <w:rFonts w:ascii="Times New Roman" w:hAnsi="Times New Roman" w:cs="Times New Roman"/>
                <w:sz w:val="20"/>
                <w:szCs w:val="20"/>
                <w:lang w:val="sr-Cyrl-RS"/>
              </w:rPr>
            </w:pPr>
            <w:r w:rsidRPr="009C19C5">
              <w:rPr>
                <w:rFonts w:ascii="Times New Roman" w:hAnsi="Times New Roman" w:cs="Times New Roman"/>
                <w:sz w:val="20"/>
                <w:szCs w:val="20"/>
                <w:lang w:val="sr-Cyrl-RS"/>
              </w:rPr>
              <w:t>Истраживање мера за реинтеграцију на тржиште рада вишкова запослених (на основу налаза Анализе из тачке 9.</w:t>
            </w:r>
          </w:p>
          <w:p w14:paraId="508F03B5"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tcPr>
          <w:p w14:paraId="198E0475"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sz w:val="20"/>
                <w:szCs w:val="20"/>
                <w:lang w:val="sr-Cyrl-RS" w:eastAsia="en-GB"/>
              </w:rPr>
              <w:t>24 месеца (након усвајања Плана декарбонизације ЕПС АД и транзиционог плана за поједине руднике у оквиру ЈП ПЕУ Ресавица који садржи неопходне параметре за израду Анализе)</w:t>
            </w:r>
            <w:r w:rsidRPr="009C19C5">
              <w:rPr>
                <w:rFonts w:ascii="Times New Roman" w:hAnsi="Times New Roman" w:cs="Times New Roman"/>
                <w:bCs/>
                <w:color w:val="000000"/>
                <w:sz w:val="20"/>
                <w:szCs w:val="20"/>
                <w:lang w:val="sr-Cyrl-RS" w:eastAsia="sr-Latn-CS"/>
              </w:rPr>
              <w:t>”</w:t>
            </w: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14:paraId="784DBDD7" w14:textId="26D117DC"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sz w:val="20"/>
                <w:szCs w:val="20"/>
                <w:lang w:val="sr-Cyrl-RS" w:eastAsia="en-GB"/>
              </w:rPr>
              <w:t>Министарство рударства и енергетике, Министарство за рад, запошљавање, борачка и социјална питања, Министарство просвете, Национална служба за запошљавање, социјални партнери</w:t>
            </w:r>
            <w:r w:rsidR="00205B76">
              <w:rPr>
                <w:rFonts w:ascii="Times New Roman" w:hAnsi="Times New Roman" w:cs="Times New Roman"/>
                <w:sz w:val="20"/>
                <w:szCs w:val="20"/>
                <w:lang w:val="sr-Cyrl-RS" w:eastAsia="en-GB"/>
              </w:rPr>
              <w:t>,</w:t>
            </w:r>
            <w:r w:rsidRPr="009C19C5">
              <w:rPr>
                <w:rFonts w:ascii="Times New Roman" w:hAnsi="Times New Roman" w:cs="Times New Roman"/>
                <w:sz w:val="20"/>
                <w:szCs w:val="20"/>
                <w:lang w:val="sr-Cyrl-RS" w:eastAsia="en-GB"/>
              </w:rPr>
              <w:t xml:space="preserve"> Привредна комора</w:t>
            </w:r>
            <w:r w:rsidR="00205B76">
              <w:rPr>
                <w:rFonts w:ascii="Times New Roman" w:hAnsi="Times New Roman" w:cs="Times New Roman"/>
                <w:sz w:val="20"/>
                <w:szCs w:val="20"/>
                <w:lang w:val="sr-Cyrl-RS" w:eastAsia="en-GB"/>
              </w:rPr>
              <w:t xml:space="preserve"> Србије</w:t>
            </w:r>
          </w:p>
        </w:tc>
        <w:tc>
          <w:tcPr>
            <w:tcW w:w="506" w:type="pct"/>
            <w:tcBorders>
              <w:top w:val="single" w:sz="4" w:space="0" w:color="auto"/>
              <w:left w:val="single" w:sz="4" w:space="0" w:color="auto"/>
              <w:bottom w:val="single" w:sz="4" w:space="0" w:color="auto"/>
              <w:right w:val="single" w:sz="4" w:space="0" w:color="auto"/>
            </w:tcBorders>
            <w:shd w:val="clear" w:color="auto" w:fill="auto"/>
            <w:vAlign w:val="center"/>
          </w:tcPr>
          <w:p w14:paraId="5978C9EE" w14:textId="726F43F7"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sz w:val="20"/>
                <w:szCs w:val="20"/>
                <w:lang w:val="sr-Cyrl-RS" w:eastAsia="en-GB"/>
              </w:rPr>
              <w:t>Није могуће дати процену трошкова, с обзиром да је иста условљена налазима Анализе из тачке 9</w:t>
            </w:r>
            <w:r w:rsidR="00E172A2">
              <w:rPr>
                <w:rFonts w:ascii="Times New Roman" w:hAnsi="Times New Roman" w:cs="Times New Roman"/>
                <w:sz w:val="20"/>
                <w:szCs w:val="20"/>
                <w:lang w:val="sr-Cyrl-RS" w:eastAsia="en-GB"/>
              </w:rPr>
              <w:t>.</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09E78DCD"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color w:val="000000"/>
                <w:sz w:val="20"/>
                <w:szCs w:val="20"/>
                <w:lang w:val="sr-Cyrl-RS" w:eastAsia="en-GB"/>
              </w:rPr>
              <w:t>Међународни донатори,</w:t>
            </w:r>
            <w:r w:rsidRPr="009C19C5">
              <w:rPr>
                <w:rFonts w:ascii="Times New Roman" w:hAnsi="Times New Roman" w:cs="Times New Roman"/>
                <w:sz w:val="20"/>
                <w:szCs w:val="20"/>
                <w:lang w:val="sr-Cyrl-RS" w:eastAsia="en-GB"/>
              </w:rPr>
              <w:t xml:space="preserve"> буџет Републике</w:t>
            </w:r>
            <w:r w:rsidRPr="009C19C5">
              <w:rPr>
                <w:rFonts w:ascii="Times New Roman" w:eastAsia="Times New Roman" w:hAnsi="Times New Roman" w:cs="Times New Roman"/>
                <w:kern w:val="0"/>
                <w:sz w:val="20"/>
                <w:szCs w:val="20"/>
                <w:lang w:val="sr-Cyrl-RS"/>
              </w:rPr>
              <w:t xml:space="preserve"> </w:t>
            </w:r>
            <w:r w:rsidRPr="009C19C5">
              <w:rPr>
                <w:rFonts w:ascii="Times New Roman" w:hAnsi="Times New Roman" w:cs="Times New Roman"/>
                <w:color w:val="000000"/>
                <w:sz w:val="20"/>
                <w:szCs w:val="20"/>
                <w:lang w:val="sr-Cyrl-RS" w:eastAsia="en-GB"/>
              </w:rPr>
              <w:t>и други извори у складу са законом.</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tcPr>
          <w:p w14:paraId="133798E3" w14:textId="47D0AAF1"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sz w:val="20"/>
                <w:szCs w:val="20"/>
                <w:lang w:val="sr-Cyrl-RS" w:eastAsia="en-GB"/>
              </w:rPr>
              <w:t>Регионални и локални ниво, у складу са Планом декарбонизације ЕПС АД. и транзиционим планом за поједине руднике у оквиру ЈП ПЕУ Ресавица</w:t>
            </w:r>
          </w:p>
        </w:tc>
        <w:tc>
          <w:tcPr>
            <w:tcW w:w="599" w:type="pct"/>
            <w:tcBorders>
              <w:top w:val="single" w:sz="4" w:space="0" w:color="auto"/>
              <w:left w:val="single" w:sz="4" w:space="0" w:color="auto"/>
              <w:bottom w:val="single" w:sz="4" w:space="0" w:color="auto"/>
              <w:right w:val="single" w:sz="4" w:space="0" w:color="auto"/>
            </w:tcBorders>
            <w:shd w:val="clear" w:color="auto" w:fill="auto"/>
            <w:vAlign w:val="center"/>
          </w:tcPr>
          <w:p w14:paraId="56F104C5" w14:textId="03CC1866"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sz w:val="20"/>
                <w:szCs w:val="20"/>
                <w:lang w:val="sr-Cyrl-RS"/>
              </w:rPr>
              <w:t>Запослени у ЕПС АД и ЈП ПЕУ Ресавица, потенцијални вишкови запослених у области производње енергије засноване на угљу и послодавци на локалном нивоу који исказују потребу за запошљавањем</w:t>
            </w:r>
          </w:p>
        </w:tc>
        <w:tc>
          <w:tcPr>
            <w:tcW w:w="552" w:type="pct"/>
            <w:tcBorders>
              <w:top w:val="single" w:sz="4" w:space="0" w:color="auto"/>
              <w:left w:val="single" w:sz="4" w:space="0" w:color="auto"/>
              <w:bottom w:val="single" w:sz="4" w:space="0" w:color="auto"/>
              <w:right w:val="single" w:sz="4" w:space="0" w:color="auto"/>
            </w:tcBorders>
            <w:shd w:val="clear" w:color="auto" w:fill="auto"/>
            <w:vAlign w:val="center"/>
          </w:tcPr>
          <w:p w14:paraId="7750DE44" w14:textId="3E8D263E" w:rsidR="00BC369C" w:rsidRPr="009C19C5" w:rsidRDefault="00BC369C" w:rsidP="00694C70">
            <w:pPr>
              <w:spacing w:after="0"/>
              <w:rPr>
                <w:rFonts w:ascii="Times New Roman" w:hAnsi="Times New Roman" w:cs="Times New Roman"/>
                <w:sz w:val="20"/>
                <w:szCs w:val="20"/>
                <w:lang w:val="sr-Cyrl-RS"/>
              </w:rPr>
            </w:pPr>
            <w:r w:rsidRPr="009C19C5">
              <w:rPr>
                <w:rFonts w:ascii="Times New Roman" w:hAnsi="Times New Roman" w:cs="Times New Roman"/>
                <w:sz w:val="20"/>
                <w:szCs w:val="20"/>
                <w:lang w:val="sr-Cyrl-RS"/>
              </w:rPr>
              <w:t>Број вишкова запослених из система ЕПС АД којима је унапређена запошљивост, подржано запошљавање код другог послодавца или покретање сопственог посла</w:t>
            </w:r>
          </w:p>
          <w:p w14:paraId="746BDBB3"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p>
        </w:tc>
        <w:tc>
          <w:tcPr>
            <w:tcW w:w="672" w:type="pct"/>
            <w:tcBorders>
              <w:top w:val="single" w:sz="4" w:space="0" w:color="auto"/>
              <w:left w:val="single" w:sz="4" w:space="0" w:color="auto"/>
              <w:bottom w:val="single" w:sz="4" w:space="0" w:color="auto"/>
              <w:right w:val="single" w:sz="4" w:space="0" w:color="auto"/>
            </w:tcBorders>
            <w:shd w:val="clear" w:color="auto" w:fill="auto"/>
            <w:vAlign w:val="center"/>
          </w:tcPr>
          <w:p w14:paraId="68D84BC0" w14:textId="7A64B04B"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rPr>
              <w:t>Превенција пасивизације на тржишту рада, дугорочне незапослености и зависности из система социјалне заштите кроз благовремену и одрживу реинтеграцију на тржиште рада</w:t>
            </w:r>
          </w:p>
        </w:tc>
      </w:tr>
      <w:tr w:rsidR="00BC369C" w:rsidRPr="009C19C5" w14:paraId="11583F79" w14:textId="77777777" w:rsidTr="00694C70">
        <w:trPr>
          <w:trHeight w:val="163"/>
          <w:jc w:val="center"/>
        </w:trPr>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14:paraId="1EC304DF"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10.</w:t>
            </w:r>
          </w:p>
        </w:tc>
        <w:tc>
          <w:tcPr>
            <w:tcW w:w="638" w:type="pct"/>
            <w:tcBorders>
              <w:top w:val="single" w:sz="4" w:space="0" w:color="auto"/>
              <w:left w:val="single" w:sz="4" w:space="0" w:color="auto"/>
              <w:bottom w:val="single" w:sz="4" w:space="0" w:color="auto"/>
              <w:right w:val="single" w:sz="4" w:space="0" w:color="auto"/>
            </w:tcBorders>
            <w:shd w:val="clear" w:color="auto" w:fill="auto"/>
            <w:vAlign w:val="center"/>
          </w:tcPr>
          <w:p w14:paraId="3A9EABD0"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Планови за прерасподелу радника унутар компанија у ланцу вредности производње енергије из угља</w:t>
            </w: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tcPr>
          <w:p w14:paraId="74322B5E"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 xml:space="preserve">24 месеца </w:t>
            </w: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14:paraId="43B6A910"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ЕПС АД / ЈП ПЕУ Ресавица</w:t>
            </w:r>
          </w:p>
        </w:tc>
        <w:tc>
          <w:tcPr>
            <w:tcW w:w="506" w:type="pct"/>
            <w:tcBorders>
              <w:top w:val="single" w:sz="4" w:space="0" w:color="auto"/>
              <w:left w:val="single" w:sz="4" w:space="0" w:color="auto"/>
              <w:bottom w:val="single" w:sz="4" w:space="0" w:color="auto"/>
              <w:right w:val="single" w:sz="4" w:space="0" w:color="auto"/>
            </w:tcBorders>
            <w:shd w:val="clear" w:color="auto" w:fill="auto"/>
            <w:vAlign w:val="center"/>
          </w:tcPr>
          <w:p w14:paraId="5180A4A7"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Н/A (без предвиђених додатних трошкова)</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4F396C57"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 xml:space="preserve">Сопствена средства ЕПС АД / ЈП ПЕУ Ресавица </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tcPr>
          <w:p w14:paraId="68FE1EFE"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Територијално, на локалном нивоу, у свим погођеним територијама</w:t>
            </w:r>
          </w:p>
        </w:tc>
        <w:tc>
          <w:tcPr>
            <w:tcW w:w="599" w:type="pct"/>
            <w:tcBorders>
              <w:top w:val="single" w:sz="4" w:space="0" w:color="auto"/>
              <w:left w:val="single" w:sz="4" w:space="0" w:color="auto"/>
              <w:bottom w:val="single" w:sz="4" w:space="0" w:color="auto"/>
              <w:right w:val="single" w:sz="4" w:space="0" w:color="auto"/>
            </w:tcBorders>
            <w:shd w:val="clear" w:color="auto" w:fill="auto"/>
            <w:vAlign w:val="center"/>
          </w:tcPr>
          <w:p w14:paraId="77F7EADC"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Запослени у ЕПС АД / ЈП ПЕУ Ресавица</w:t>
            </w:r>
          </w:p>
        </w:tc>
        <w:tc>
          <w:tcPr>
            <w:tcW w:w="552" w:type="pct"/>
            <w:tcBorders>
              <w:top w:val="single" w:sz="4" w:space="0" w:color="auto"/>
              <w:left w:val="single" w:sz="4" w:space="0" w:color="auto"/>
              <w:bottom w:val="single" w:sz="4" w:space="0" w:color="auto"/>
              <w:right w:val="single" w:sz="4" w:space="0" w:color="auto"/>
            </w:tcBorders>
            <w:shd w:val="clear" w:color="auto" w:fill="auto"/>
            <w:vAlign w:val="center"/>
          </w:tcPr>
          <w:p w14:paraId="7CF9EC09"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Планови за прерасподелу за сваку јединицу ЕПС АД и ЈП ПЕУ Ресавица која пролази кроз зелену транзицију / ЕПС АД и ЈП ПЕУ Ресавица</w:t>
            </w:r>
          </w:p>
          <w:p w14:paraId="1AE107B0"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p>
          <w:p w14:paraId="45F0AC80"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 xml:space="preserve">Број прерасподељених радника са спроведеном преквалификацијом и усавршавањем / </w:t>
            </w:r>
            <w:r w:rsidRPr="009C19C5">
              <w:rPr>
                <w:rFonts w:ascii="Times New Roman" w:hAnsi="Times New Roman" w:cs="Times New Roman"/>
                <w:sz w:val="20"/>
                <w:szCs w:val="20"/>
                <w:lang w:val="sr-Cyrl-RS" w:eastAsia="en-GB"/>
              </w:rPr>
              <w:lastRenderedPageBreak/>
              <w:t>ЕПС АД и  ЈП ПЕУ Ресавица</w:t>
            </w:r>
          </w:p>
          <w:p w14:paraId="3D1681DE"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p>
          <w:p w14:paraId="2380F38C"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Број прерасподељених радника без преквалификације и усавршавања / ЕПС АД и ЈП ПЕУ Ресавица</w:t>
            </w:r>
          </w:p>
        </w:tc>
        <w:tc>
          <w:tcPr>
            <w:tcW w:w="672" w:type="pct"/>
            <w:tcBorders>
              <w:top w:val="single" w:sz="4" w:space="0" w:color="auto"/>
              <w:left w:val="single" w:sz="4" w:space="0" w:color="auto"/>
              <w:bottom w:val="single" w:sz="4" w:space="0" w:color="auto"/>
              <w:right w:val="single" w:sz="4" w:space="0" w:color="auto"/>
            </w:tcBorders>
            <w:shd w:val="clear" w:color="auto" w:fill="auto"/>
            <w:vAlign w:val="center"/>
          </w:tcPr>
          <w:p w14:paraId="250C09CB"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lastRenderedPageBreak/>
              <w:t>Континуирана производња електричне енергије</w:t>
            </w:r>
          </w:p>
          <w:p w14:paraId="59E0729B"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 xml:space="preserve"> </w:t>
            </w:r>
          </w:p>
          <w:p w14:paraId="1299978D"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Локално задржана радна места</w:t>
            </w:r>
          </w:p>
          <w:p w14:paraId="2957BDA3"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p>
          <w:p w14:paraId="2612DFA5"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Обезбеђена територијална кохезија</w:t>
            </w:r>
          </w:p>
          <w:p w14:paraId="3D1A9715"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p>
          <w:p w14:paraId="4022C7D0"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 xml:space="preserve">Приоритет: Висок током ублажавања последица </w:t>
            </w:r>
            <w:r w:rsidRPr="009C19C5">
              <w:rPr>
                <w:rFonts w:ascii="Times New Roman" w:hAnsi="Times New Roman" w:cs="Times New Roman"/>
                <w:sz w:val="20"/>
                <w:szCs w:val="20"/>
                <w:lang w:val="sr-Cyrl-RS" w:eastAsia="en-GB"/>
              </w:rPr>
              <w:lastRenderedPageBreak/>
              <w:t>транзиције према плану</w:t>
            </w:r>
          </w:p>
        </w:tc>
      </w:tr>
      <w:tr w:rsidR="00BC369C" w:rsidRPr="009C19C5" w14:paraId="6E805F8C" w14:textId="77777777" w:rsidTr="00694C70">
        <w:trPr>
          <w:trHeight w:val="305"/>
          <w:jc w:val="center"/>
        </w:trPr>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14:paraId="0187AE52"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lastRenderedPageBreak/>
              <w:t>11.</w:t>
            </w:r>
          </w:p>
        </w:tc>
        <w:tc>
          <w:tcPr>
            <w:tcW w:w="638" w:type="pct"/>
            <w:tcBorders>
              <w:top w:val="single" w:sz="4" w:space="0" w:color="auto"/>
              <w:left w:val="single" w:sz="4" w:space="0" w:color="auto"/>
              <w:bottom w:val="single" w:sz="4" w:space="0" w:color="auto"/>
              <w:right w:val="single" w:sz="4" w:space="0" w:color="auto"/>
            </w:tcBorders>
            <w:shd w:val="clear" w:color="auto" w:fill="auto"/>
            <w:vAlign w:val="center"/>
          </w:tcPr>
          <w:p w14:paraId="4D373D74"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eastAsia="Times New Roman" w:hAnsi="Times New Roman" w:cs="Times New Roman"/>
                <w:kern w:val="0"/>
                <w:sz w:val="20"/>
                <w:szCs w:val="20"/>
                <w:lang w:val="sr-Cyrl-RS"/>
              </w:rPr>
              <w:t>Мастер план за руднике угља у циљу потенцијалне пренамене њихове делатности ради отварања нових радних места и сагледавање утицаја на локалну привреду, образовање и демографију</w:t>
            </w: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tcPr>
          <w:p w14:paraId="5B3D77C9"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18 месеци</w:t>
            </w: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14:paraId="60294DDB"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ЈП ПЕУ Ресавица, ЕПС АД</w:t>
            </w:r>
          </w:p>
        </w:tc>
        <w:tc>
          <w:tcPr>
            <w:tcW w:w="506" w:type="pct"/>
            <w:tcBorders>
              <w:top w:val="single" w:sz="4" w:space="0" w:color="auto"/>
              <w:left w:val="single" w:sz="4" w:space="0" w:color="auto"/>
              <w:bottom w:val="single" w:sz="4" w:space="0" w:color="auto"/>
              <w:right w:val="single" w:sz="4" w:space="0" w:color="auto"/>
            </w:tcBorders>
            <w:shd w:val="clear" w:color="auto" w:fill="auto"/>
            <w:vAlign w:val="center"/>
          </w:tcPr>
          <w:p w14:paraId="2B9CC3B8"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150 хиљада евра (ЈП ПЕУ Ресавица), ЕПС АД</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380D38AB"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Међународне финансијске институције, међународни донатори</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tcPr>
          <w:p w14:paraId="6E43D541"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Територијално, за погођене територије</w:t>
            </w:r>
          </w:p>
        </w:tc>
        <w:tc>
          <w:tcPr>
            <w:tcW w:w="599" w:type="pct"/>
            <w:tcBorders>
              <w:top w:val="single" w:sz="4" w:space="0" w:color="auto"/>
              <w:left w:val="single" w:sz="4" w:space="0" w:color="auto"/>
              <w:bottom w:val="single" w:sz="4" w:space="0" w:color="auto"/>
              <w:right w:val="single" w:sz="4" w:space="0" w:color="auto"/>
            </w:tcBorders>
            <w:shd w:val="clear" w:color="auto" w:fill="auto"/>
            <w:vAlign w:val="center"/>
          </w:tcPr>
          <w:p w14:paraId="3B591659"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ЈП ПЕУ Ресавица</w:t>
            </w:r>
          </w:p>
        </w:tc>
        <w:tc>
          <w:tcPr>
            <w:tcW w:w="552" w:type="pct"/>
            <w:tcBorders>
              <w:top w:val="single" w:sz="4" w:space="0" w:color="auto"/>
              <w:left w:val="single" w:sz="4" w:space="0" w:color="auto"/>
              <w:bottom w:val="single" w:sz="4" w:space="0" w:color="auto"/>
              <w:right w:val="single" w:sz="4" w:space="0" w:color="auto"/>
            </w:tcBorders>
            <w:shd w:val="clear" w:color="auto" w:fill="auto"/>
            <w:vAlign w:val="center"/>
          </w:tcPr>
          <w:p w14:paraId="63BB385C"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Планови за спровођење декарбонизације у складу са ИНЕКП Париским споразумом / затварање рудника и санација земљишта</w:t>
            </w:r>
          </w:p>
        </w:tc>
        <w:tc>
          <w:tcPr>
            <w:tcW w:w="672" w:type="pct"/>
            <w:tcBorders>
              <w:top w:val="single" w:sz="4" w:space="0" w:color="auto"/>
              <w:left w:val="single" w:sz="4" w:space="0" w:color="auto"/>
              <w:bottom w:val="single" w:sz="4" w:space="0" w:color="auto"/>
              <w:right w:val="single" w:sz="4" w:space="0" w:color="auto"/>
            </w:tcBorders>
            <w:shd w:val="clear" w:color="auto" w:fill="auto"/>
            <w:vAlign w:val="center"/>
          </w:tcPr>
          <w:p w14:paraId="206E0E12"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Декарбонизаија енергетског сектора</w:t>
            </w:r>
          </w:p>
          <w:p w14:paraId="391E8A8D"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p>
          <w:p w14:paraId="63B61E09"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 xml:space="preserve"> Радна снага ТЕ и рудника</w:t>
            </w:r>
          </w:p>
          <w:p w14:paraId="5CAB1ECD"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p>
          <w:p w14:paraId="2BC98F04"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Приоритет: Висок током ублажавања последица транзиције према плану</w:t>
            </w:r>
          </w:p>
        </w:tc>
      </w:tr>
      <w:tr w:rsidR="00BC369C" w:rsidRPr="009C19C5" w14:paraId="588DD2D7" w14:textId="77777777" w:rsidTr="00694C70">
        <w:trPr>
          <w:trHeight w:val="305"/>
          <w:jc w:val="center"/>
        </w:trPr>
        <w:tc>
          <w:tcPr>
            <w:tcW w:w="86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DE688F" w14:textId="77777777" w:rsidR="00BC369C" w:rsidRPr="009C19C5" w:rsidRDefault="00BC369C" w:rsidP="00694C70">
            <w:pPr>
              <w:spacing w:after="0" w:line="240" w:lineRule="auto"/>
              <w:jc w:val="right"/>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Укупни трошкови краткорочних активности на локалном нивоу (до краја 2030)</w:t>
            </w: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tcPr>
          <w:p w14:paraId="685E0299"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14:paraId="7996A0D0"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p>
        </w:tc>
        <w:tc>
          <w:tcPr>
            <w:tcW w:w="506" w:type="pct"/>
            <w:tcBorders>
              <w:top w:val="single" w:sz="4" w:space="0" w:color="auto"/>
              <w:left w:val="single" w:sz="4" w:space="0" w:color="auto"/>
              <w:bottom w:val="single" w:sz="4" w:space="0" w:color="auto"/>
              <w:right w:val="single" w:sz="4" w:space="0" w:color="auto"/>
            </w:tcBorders>
            <w:shd w:val="clear" w:color="auto" w:fill="auto"/>
            <w:vAlign w:val="center"/>
          </w:tcPr>
          <w:p w14:paraId="22A447B9"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150 хиљада евра</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136036F0"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tcPr>
          <w:p w14:paraId="6D284789"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p>
        </w:tc>
        <w:tc>
          <w:tcPr>
            <w:tcW w:w="599" w:type="pct"/>
            <w:tcBorders>
              <w:top w:val="single" w:sz="4" w:space="0" w:color="auto"/>
              <w:left w:val="single" w:sz="4" w:space="0" w:color="auto"/>
              <w:bottom w:val="single" w:sz="4" w:space="0" w:color="auto"/>
              <w:right w:val="single" w:sz="4" w:space="0" w:color="auto"/>
            </w:tcBorders>
            <w:shd w:val="clear" w:color="auto" w:fill="auto"/>
            <w:vAlign w:val="center"/>
          </w:tcPr>
          <w:p w14:paraId="3D4D555F"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p>
        </w:tc>
        <w:tc>
          <w:tcPr>
            <w:tcW w:w="552" w:type="pct"/>
            <w:tcBorders>
              <w:top w:val="single" w:sz="4" w:space="0" w:color="auto"/>
              <w:left w:val="single" w:sz="4" w:space="0" w:color="auto"/>
              <w:bottom w:val="single" w:sz="4" w:space="0" w:color="auto"/>
              <w:right w:val="single" w:sz="4" w:space="0" w:color="auto"/>
            </w:tcBorders>
            <w:shd w:val="clear" w:color="auto" w:fill="auto"/>
            <w:vAlign w:val="center"/>
          </w:tcPr>
          <w:p w14:paraId="5AD0E810"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p>
        </w:tc>
        <w:tc>
          <w:tcPr>
            <w:tcW w:w="672" w:type="pct"/>
            <w:tcBorders>
              <w:top w:val="single" w:sz="4" w:space="0" w:color="auto"/>
              <w:left w:val="single" w:sz="4" w:space="0" w:color="auto"/>
              <w:bottom w:val="single" w:sz="4" w:space="0" w:color="auto"/>
              <w:right w:val="single" w:sz="4" w:space="0" w:color="auto"/>
            </w:tcBorders>
            <w:shd w:val="clear" w:color="auto" w:fill="auto"/>
            <w:vAlign w:val="center"/>
          </w:tcPr>
          <w:p w14:paraId="1B63A3C1"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p>
        </w:tc>
      </w:tr>
    </w:tbl>
    <w:p w14:paraId="53DE76FE" w14:textId="77777777" w:rsidR="00BC369C" w:rsidRPr="009C19C5" w:rsidRDefault="00BC369C" w:rsidP="00BE195F">
      <w:pPr>
        <w:pStyle w:val="Heading2"/>
      </w:pPr>
      <w:bookmarkStart w:id="40" w:name="_Toc183082944"/>
    </w:p>
    <w:p w14:paraId="6BF5B97E" w14:textId="77777777" w:rsidR="00BC369C" w:rsidRPr="009C19C5" w:rsidRDefault="00BC369C" w:rsidP="00BE195F">
      <w:pPr>
        <w:pStyle w:val="Heading2"/>
      </w:pPr>
    </w:p>
    <w:p w14:paraId="5BAAB589" w14:textId="437AE0DD" w:rsidR="00BC369C" w:rsidRPr="009C19C5" w:rsidRDefault="00BC369C" w:rsidP="00BE195F">
      <w:pPr>
        <w:pStyle w:val="Heading2"/>
      </w:pPr>
    </w:p>
    <w:p w14:paraId="5C114CA9" w14:textId="588379A7" w:rsidR="00270C5F" w:rsidRPr="009C19C5" w:rsidRDefault="00270C5F" w:rsidP="00270C5F">
      <w:pPr>
        <w:rPr>
          <w:lang w:val="sr-Cyrl-RS" w:eastAsia="el-GR"/>
        </w:rPr>
      </w:pPr>
    </w:p>
    <w:p w14:paraId="46DEE518" w14:textId="77777777" w:rsidR="00270C5F" w:rsidRPr="009C19C5" w:rsidRDefault="00270C5F" w:rsidP="00270C5F">
      <w:pPr>
        <w:rPr>
          <w:lang w:val="sr-Cyrl-RS" w:eastAsia="el-GR"/>
        </w:rPr>
      </w:pPr>
    </w:p>
    <w:p w14:paraId="679F2B22" w14:textId="77777777" w:rsidR="00BC369C" w:rsidRPr="009C19C5" w:rsidRDefault="00BC369C" w:rsidP="00BE195F">
      <w:pPr>
        <w:pStyle w:val="Heading2"/>
      </w:pPr>
    </w:p>
    <w:p w14:paraId="1887D5E7" w14:textId="3A0E12CF" w:rsidR="00BC369C" w:rsidRPr="00E172A2" w:rsidRDefault="00BC369C" w:rsidP="00BE195F">
      <w:pPr>
        <w:pStyle w:val="Heading2"/>
      </w:pPr>
      <w:r w:rsidRPr="00E172A2">
        <w:lastRenderedPageBreak/>
        <w:t>6.4.</w:t>
      </w:r>
      <w:r w:rsidR="00AC38E9" w:rsidRPr="00E172A2">
        <w:t xml:space="preserve"> </w:t>
      </w:r>
      <w:r w:rsidRPr="00E172A2">
        <w:t>Припремне активности на локалном нивоу (Група Б)</w:t>
      </w:r>
      <w:bookmarkEnd w:id="40"/>
    </w:p>
    <w:p w14:paraId="786D3086" w14:textId="77777777" w:rsidR="00BC369C" w:rsidRPr="009C19C5" w:rsidRDefault="00BC369C" w:rsidP="00BC369C">
      <w:pPr>
        <w:pStyle w:val="Caption"/>
        <w:keepNext/>
        <w:spacing w:after="0" w:line="240" w:lineRule="auto"/>
        <w:jc w:val="left"/>
        <w:rPr>
          <w:rFonts w:ascii="Times New Roman" w:hAnsi="Times New Roman" w:cs="Times New Roman"/>
          <w:i w:val="0"/>
          <w:iCs w:val="0"/>
          <w:color w:val="auto"/>
          <w:sz w:val="20"/>
          <w:szCs w:val="20"/>
          <w:lang w:val="sr-Cyrl-RS"/>
        </w:rPr>
      </w:pPr>
      <w:r w:rsidRPr="009C19C5">
        <w:rPr>
          <w:rFonts w:ascii="Times New Roman" w:hAnsi="Times New Roman" w:cs="Times New Roman"/>
          <w:i w:val="0"/>
          <w:iCs w:val="0"/>
          <w:color w:val="auto"/>
          <w:sz w:val="20"/>
          <w:szCs w:val="20"/>
          <w:lang w:val="sr-Cyrl-RS"/>
        </w:rPr>
        <w:t>Табела 13: Припремне активности на локалном нивоу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
        <w:gridCol w:w="1987"/>
        <w:gridCol w:w="1166"/>
        <w:gridCol w:w="1579"/>
        <w:gridCol w:w="1362"/>
        <w:gridCol w:w="2026"/>
        <w:gridCol w:w="1564"/>
        <w:gridCol w:w="1366"/>
        <w:gridCol w:w="1616"/>
        <w:gridCol w:w="2069"/>
      </w:tblGrid>
      <w:tr w:rsidR="00BC369C" w:rsidRPr="009C19C5" w14:paraId="3E9C44F1" w14:textId="77777777" w:rsidTr="00694C70">
        <w:trPr>
          <w:trHeight w:val="404"/>
          <w:tblHeader/>
          <w:jc w:val="center"/>
        </w:trPr>
        <w:tc>
          <w:tcPr>
            <w:tcW w:w="153" w:type="pct"/>
            <w:tcBorders>
              <w:top w:val="single" w:sz="4" w:space="0" w:color="auto"/>
              <w:left w:val="single" w:sz="4" w:space="0" w:color="auto"/>
              <w:bottom w:val="single" w:sz="4" w:space="0" w:color="auto"/>
              <w:right w:val="single" w:sz="4" w:space="0" w:color="auto"/>
            </w:tcBorders>
            <w:shd w:val="clear" w:color="auto" w:fill="auto"/>
            <w:vAlign w:val="center"/>
          </w:tcPr>
          <w:p w14:paraId="0FEB717B"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p>
        </w:tc>
        <w:tc>
          <w:tcPr>
            <w:tcW w:w="668" w:type="pct"/>
            <w:tcBorders>
              <w:top w:val="single" w:sz="4" w:space="0" w:color="auto"/>
              <w:left w:val="single" w:sz="4" w:space="0" w:color="auto"/>
              <w:bottom w:val="single" w:sz="4" w:space="0" w:color="auto"/>
              <w:right w:val="single" w:sz="4" w:space="0" w:color="auto"/>
            </w:tcBorders>
            <w:shd w:val="clear" w:color="auto" w:fill="auto"/>
            <w:vAlign w:val="center"/>
          </w:tcPr>
          <w:p w14:paraId="566D2545"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sz w:val="20"/>
                <w:szCs w:val="20"/>
                <w:lang w:val="sr-Cyrl-RS" w:eastAsia="el-GR"/>
              </w:rPr>
              <w:t>Предмет акције</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14:paraId="343B9AA3"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sz w:val="20"/>
                <w:szCs w:val="20"/>
                <w:lang w:val="sr-Cyrl-RS" w:eastAsia="el-GR"/>
              </w:rPr>
              <w:t>Временски оквир</w:t>
            </w:r>
          </w:p>
        </w:tc>
        <w:tc>
          <w:tcPr>
            <w:tcW w:w="534" w:type="pct"/>
            <w:tcBorders>
              <w:top w:val="single" w:sz="4" w:space="0" w:color="auto"/>
              <w:left w:val="single" w:sz="4" w:space="0" w:color="auto"/>
              <w:bottom w:val="single" w:sz="4" w:space="0" w:color="auto"/>
              <w:right w:val="single" w:sz="4" w:space="0" w:color="auto"/>
            </w:tcBorders>
            <w:shd w:val="clear" w:color="auto" w:fill="auto"/>
            <w:vAlign w:val="center"/>
          </w:tcPr>
          <w:p w14:paraId="6DA83F7F"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sz w:val="20"/>
                <w:szCs w:val="20"/>
                <w:lang w:val="sr-Cyrl-RS" w:eastAsia="el-GR"/>
              </w:rPr>
              <w:t>Одговорна заинтересована страна</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14:paraId="6A98D4A2"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sz w:val="20"/>
                <w:szCs w:val="20"/>
                <w:lang w:val="sr-Cyrl-RS" w:eastAsia="el-GR"/>
              </w:rPr>
              <w:t>Процена трошкова</w:t>
            </w:r>
          </w:p>
        </w:tc>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04224178"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sz w:val="20"/>
                <w:szCs w:val="20"/>
                <w:lang w:val="sr-Cyrl-RS" w:eastAsia="el-GR"/>
              </w:rPr>
              <w:t>Извор финансирања</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14:paraId="31363A50"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sz w:val="20"/>
                <w:szCs w:val="20"/>
                <w:lang w:val="sr-Cyrl-RS" w:eastAsia="el-GR"/>
              </w:rPr>
              <w:t>Подручје</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0867DEDD"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sz w:val="20"/>
                <w:szCs w:val="20"/>
                <w:lang w:val="sr-Cyrl-RS" w:eastAsia="el-GR"/>
              </w:rPr>
              <w:t>Циљна група</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13DD88EC"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sz w:val="20"/>
                <w:szCs w:val="20"/>
                <w:lang w:val="sr-Cyrl-RS" w:eastAsia="el-GR"/>
              </w:rPr>
              <w:t>КПИ</w:t>
            </w:r>
          </w:p>
        </w:tc>
        <w:tc>
          <w:tcPr>
            <w:tcW w:w="706" w:type="pct"/>
            <w:tcBorders>
              <w:top w:val="single" w:sz="4" w:space="0" w:color="auto"/>
              <w:left w:val="single" w:sz="4" w:space="0" w:color="auto"/>
              <w:bottom w:val="single" w:sz="4" w:space="0" w:color="auto"/>
              <w:right w:val="single" w:sz="4" w:space="0" w:color="auto"/>
            </w:tcBorders>
            <w:shd w:val="clear" w:color="auto" w:fill="auto"/>
            <w:vAlign w:val="center"/>
          </w:tcPr>
          <w:p w14:paraId="34DA87E6"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sz w:val="20"/>
                <w:szCs w:val="20"/>
                <w:lang w:val="sr-Cyrl-RS" w:eastAsia="el-GR"/>
              </w:rPr>
              <w:t>Ефекат и приоритет</w:t>
            </w:r>
          </w:p>
        </w:tc>
      </w:tr>
      <w:tr w:rsidR="00BC369C" w:rsidRPr="009C19C5" w14:paraId="125AE21C" w14:textId="77777777" w:rsidTr="00694C70">
        <w:trPr>
          <w:trHeight w:val="203"/>
          <w:jc w:val="center"/>
        </w:trPr>
        <w:tc>
          <w:tcPr>
            <w:tcW w:w="153" w:type="pct"/>
            <w:tcBorders>
              <w:top w:val="single" w:sz="4" w:space="0" w:color="auto"/>
              <w:left w:val="single" w:sz="4" w:space="0" w:color="auto"/>
              <w:bottom w:val="single" w:sz="4" w:space="0" w:color="auto"/>
              <w:right w:val="single" w:sz="4" w:space="0" w:color="auto"/>
            </w:tcBorders>
            <w:shd w:val="clear" w:color="auto" w:fill="auto"/>
            <w:vAlign w:val="center"/>
          </w:tcPr>
          <w:p w14:paraId="0C0DA8D9"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p>
        </w:tc>
        <w:tc>
          <w:tcPr>
            <w:tcW w:w="4847"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03133167"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sz w:val="20"/>
                <w:szCs w:val="20"/>
                <w:lang w:val="sr-Cyrl-RS" w:eastAsia="el-GR"/>
              </w:rPr>
              <w:t>Локални ниво</w:t>
            </w:r>
          </w:p>
        </w:tc>
      </w:tr>
      <w:tr w:rsidR="00BC369C" w:rsidRPr="009C19C5" w14:paraId="336A55CC" w14:textId="77777777" w:rsidTr="00694C70">
        <w:trPr>
          <w:trHeight w:val="2287"/>
          <w:jc w:val="center"/>
        </w:trPr>
        <w:tc>
          <w:tcPr>
            <w:tcW w:w="153" w:type="pct"/>
            <w:tcBorders>
              <w:top w:val="single" w:sz="4" w:space="0" w:color="auto"/>
              <w:left w:val="single" w:sz="4" w:space="0" w:color="auto"/>
              <w:bottom w:val="single" w:sz="4" w:space="0" w:color="auto"/>
              <w:right w:val="single" w:sz="4" w:space="0" w:color="auto"/>
            </w:tcBorders>
            <w:shd w:val="clear" w:color="auto" w:fill="auto"/>
            <w:vAlign w:val="center"/>
          </w:tcPr>
          <w:p w14:paraId="43A10DA9"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12.</w:t>
            </w:r>
          </w:p>
        </w:tc>
        <w:tc>
          <w:tcPr>
            <w:tcW w:w="668" w:type="pct"/>
            <w:tcBorders>
              <w:top w:val="single" w:sz="4" w:space="0" w:color="auto"/>
              <w:left w:val="single" w:sz="4" w:space="0" w:color="auto"/>
              <w:bottom w:val="single" w:sz="4" w:space="0" w:color="auto"/>
              <w:right w:val="single" w:sz="4" w:space="0" w:color="auto"/>
            </w:tcBorders>
            <w:shd w:val="clear" w:color="auto" w:fill="auto"/>
            <w:vAlign w:val="center"/>
          </w:tcPr>
          <w:p w14:paraId="1495F3CC"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 xml:space="preserve">Локални планови развоја </w:t>
            </w:r>
            <w:r w:rsidRPr="009C19C5">
              <w:rPr>
                <w:rStyle w:val="cf01"/>
                <w:rFonts w:ascii="Times New Roman" w:hAnsi="Times New Roman" w:cs="Times New Roman"/>
                <w:sz w:val="20"/>
                <w:szCs w:val="20"/>
                <w:lang w:val="sr-Cyrl-RS"/>
              </w:rPr>
              <w:t xml:space="preserve">и </w:t>
            </w:r>
            <w:r w:rsidRPr="009C19C5">
              <w:rPr>
                <w:rFonts w:ascii="Times New Roman" w:hAnsi="Times New Roman" w:cs="Times New Roman"/>
                <w:sz w:val="20"/>
                <w:szCs w:val="20"/>
                <w:lang w:val="sr-Cyrl-RS" w:eastAsia="en-GB"/>
              </w:rPr>
              <w:t>привлачење директних инвестиција и улагања</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14:paraId="57B6A60F"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12 месеци</w:t>
            </w:r>
          </w:p>
        </w:tc>
        <w:tc>
          <w:tcPr>
            <w:tcW w:w="534" w:type="pct"/>
            <w:tcBorders>
              <w:top w:val="single" w:sz="4" w:space="0" w:color="auto"/>
              <w:left w:val="single" w:sz="4" w:space="0" w:color="auto"/>
              <w:bottom w:val="single" w:sz="4" w:space="0" w:color="auto"/>
              <w:right w:val="single" w:sz="4" w:space="0" w:color="auto"/>
            </w:tcBorders>
            <w:shd w:val="clear" w:color="auto" w:fill="auto"/>
            <w:vAlign w:val="center"/>
          </w:tcPr>
          <w:p w14:paraId="150D7C32"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Општине / Рeгионалне развојне агенције/ Развојни партнери</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14:paraId="41624F79"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560 хиљада евра</w:t>
            </w:r>
          </w:p>
        </w:tc>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738FAF78"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eastAsia="Times New Roman" w:hAnsi="Times New Roman" w:cs="Times New Roman"/>
                <w:kern w:val="0"/>
                <w:sz w:val="20"/>
                <w:szCs w:val="20"/>
                <w:lang w:val="sr-Cyrl-RS"/>
              </w:rPr>
              <w:t>Буџет локалне самоуправе</w:t>
            </w:r>
            <w:r w:rsidRPr="009C19C5">
              <w:rPr>
                <w:rFonts w:ascii="Times New Roman" w:hAnsi="Times New Roman" w:cs="Times New Roman"/>
                <w:sz w:val="20"/>
                <w:szCs w:val="20"/>
                <w:lang w:val="sr-Cyrl-RS" w:eastAsia="en-GB"/>
              </w:rPr>
              <w:t xml:space="preserve"> / међународни донатори</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14:paraId="6A4B789D"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Територијално на општинском нивоу, при чему приоритет имају општине Лазаревац, Костолац, Пожаревац, Деспотовац и Обреновац</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6C5F2022"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Локалне самоуправе</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1860B748"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Број активности у оквиру три стуба идентификована унутар сваког плана / Локалне самоуправе</w:t>
            </w:r>
          </w:p>
          <w:p w14:paraId="5164139B"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p>
          <w:p w14:paraId="075101F8"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Број консултација с локалним актерима за развој Локалног плана развоја / Општине</w:t>
            </w:r>
          </w:p>
        </w:tc>
        <w:tc>
          <w:tcPr>
            <w:tcW w:w="706" w:type="pct"/>
            <w:tcBorders>
              <w:top w:val="single" w:sz="4" w:space="0" w:color="auto"/>
              <w:left w:val="single" w:sz="4" w:space="0" w:color="auto"/>
              <w:bottom w:val="single" w:sz="4" w:space="0" w:color="auto"/>
              <w:right w:val="single" w:sz="4" w:space="0" w:color="auto"/>
            </w:tcBorders>
            <w:shd w:val="clear" w:color="auto" w:fill="auto"/>
            <w:vAlign w:val="center"/>
          </w:tcPr>
          <w:p w14:paraId="49C546B5"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Планирање за будуће инвестиције и активности на локалном нивоу је у складу са потребама праведне транзиције и локалне економске и социјалне кохезије</w:t>
            </w:r>
          </w:p>
          <w:p w14:paraId="30366FC3"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Приоритет: Висок током припрема за декарбонизацију</w:t>
            </w:r>
          </w:p>
        </w:tc>
      </w:tr>
      <w:tr w:rsidR="00BC369C" w:rsidRPr="009C19C5" w14:paraId="63F870AC" w14:textId="77777777" w:rsidTr="00694C70">
        <w:trPr>
          <w:trHeight w:val="1316"/>
          <w:jc w:val="center"/>
        </w:trPr>
        <w:tc>
          <w:tcPr>
            <w:tcW w:w="153" w:type="pct"/>
            <w:tcBorders>
              <w:top w:val="single" w:sz="4" w:space="0" w:color="auto"/>
              <w:left w:val="single" w:sz="4" w:space="0" w:color="auto"/>
              <w:bottom w:val="single" w:sz="4" w:space="0" w:color="auto"/>
              <w:right w:val="single" w:sz="4" w:space="0" w:color="auto"/>
            </w:tcBorders>
            <w:shd w:val="clear" w:color="auto" w:fill="auto"/>
            <w:vAlign w:val="center"/>
          </w:tcPr>
          <w:p w14:paraId="116A314E"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13.</w:t>
            </w:r>
          </w:p>
        </w:tc>
        <w:tc>
          <w:tcPr>
            <w:tcW w:w="668" w:type="pct"/>
            <w:tcBorders>
              <w:top w:val="single" w:sz="4" w:space="0" w:color="auto"/>
              <w:left w:val="single" w:sz="4" w:space="0" w:color="auto"/>
              <w:bottom w:val="single" w:sz="4" w:space="0" w:color="auto"/>
              <w:right w:val="single" w:sz="4" w:space="0" w:color="auto"/>
            </w:tcBorders>
            <w:shd w:val="clear" w:color="auto" w:fill="auto"/>
            <w:vAlign w:val="center"/>
          </w:tcPr>
          <w:p w14:paraId="31F227AC"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Програм за подстицај предузетништву и самозапошљавању</w:t>
            </w:r>
            <w:r w:rsidRPr="009C19C5">
              <w:rPr>
                <w:rFonts w:ascii="Times New Roman" w:hAnsi="Times New Roman" w:cs="Times New Roman"/>
                <w:bCs/>
                <w:sz w:val="20"/>
                <w:szCs w:val="20"/>
                <w:lang w:val="sr-Cyrl-RS" w:eastAsia="en-GB"/>
              </w:rPr>
              <w:t xml:space="preserve"> </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14:paraId="31E8BD03"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sz w:val="20"/>
                <w:szCs w:val="20"/>
                <w:lang w:val="sr-Cyrl-RS" w:eastAsia="en-GB"/>
              </w:rPr>
              <w:t xml:space="preserve">36 месеци </w:t>
            </w:r>
          </w:p>
        </w:tc>
        <w:tc>
          <w:tcPr>
            <w:tcW w:w="534" w:type="pct"/>
            <w:tcBorders>
              <w:top w:val="single" w:sz="4" w:space="0" w:color="auto"/>
              <w:left w:val="single" w:sz="4" w:space="0" w:color="auto"/>
              <w:bottom w:val="single" w:sz="4" w:space="0" w:color="auto"/>
              <w:right w:val="single" w:sz="4" w:space="0" w:color="auto"/>
            </w:tcBorders>
            <w:shd w:val="clear" w:color="auto" w:fill="auto"/>
            <w:vAlign w:val="center"/>
          </w:tcPr>
          <w:p w14:paraId="48A7F986"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sz w:val="20"/>
                <w:szCs w:val="20"/>
                <w:lang w:val="sr-Cyrl-RS" w:eastAsia="en-GB"/>
              </w:rPr>
              <w:t>Министарство привреде, Министарство рударства и енергетике</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14:paraId="6F1C76EC" w14:textId="6641B751"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sz w:val="20"/>
                <w:szCs w:val="20"/>
                <w:lang w:val="sr-Cyrl-RS" w:eastAsia="en-GB"/>
              </w:rPr>
              <w:t xml:space="preserve">12 милиона евра за предузетнике и </w:t>
            </w:r>
            <w:r w:rsidR="009A25DF">
              <w:rPr>
                <w:rFonts w:ascii="Times New Roman" w:hAnsi="Times New Roman" w:cs="Times New Roman"/>
                <w:sz w:val="20"/>
                <w:szCs w:val="20"/>
                <w:lang w:val="sr-Cyrl-RS" w:eastAsia="en-GB"/>
              </w:rPr>
              <w:t>мала и средња предузећа</w:t>
            </w:r>
            <w:r w:rsidRPr="009C19C5">
              <w:rPr>
                <w:rFonts w:ascii="Times New Roman" w:hAnsi="Times New Roman" w:cs="Times New Roman"/>
                <w:sz w:val="20"/>
                <w:szCs w:val="20"/>
                <w:lang w:val="sr-Cyrl-RS" w:eastAsia="en-GB"/>
              </w:rPr>
              <w:t xml:space="preserve"> Додатних 50 хиљада евра за планирање</w:t>
            </w:r>
          </w:p>
        </w:tc>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320B357E"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color w:val="000000"/>
                <w:sz w:val="20"/>
                <w:szCs w:val="20"/>
                <w:lang w:val="sr-Cyrl-RS" w:eastAsia="en-GB"/>
              </w:rPr>
              <w:t>Међународни донатори,</w:t>
            </w:r>
            <w:r w:rsidRPr="009C19C5">
              <w:rPr>
                <w:rFonts w:ascii="Times New Roman" w:hAnsi="Times New Roman" w:cs="Times New Roman"/>
                <w:sz w:val="20"/>
                <w:szCs w:val="20"/>
                <w:lang w:val="sr-Cyrl-RS" w:eastAsia="en-GB"/>
              </w:rPr>
              <w:t xml:space="preserve"> буџет Републике</w:t>
            </w:r>
            <w:r w:rsidRPr="009C19C5">
              <w:rPr>
                <w:rFonts w:ascii="Times New Roman" w:eastAsia="Times New Roman" w:hAnsi="Times New Roman" w:cs="Times New Roman"/>
                <w:kern w:val="0"/>
                <w:sz w:val="20"/>
                <w:szCs w:val="20"/>
                <w:lang w:val="sr-Cyrl-RS"/>
              </w:rPr>
              <w:t xml:space="preserve"> </w:t>
            </w:r>
            <w:r w:rsidRPr="009C19C5">
              <w:rPr>
                <w:rFonts w:ascii="Times New Roman" w:hAnsi="Times New Roman" w:cs="Times New Roman"/>
                <w:color w:val="000000"/>
                <w:sz w:val="20"/>
                <w:szCs w:val="20"/>
                <w:lang w:val="sr-Cyrl-RS" w:eastAsia="en-GB"/>
              </w:rPr>
              <w:t>и  други извори у складу са законом.</w:t>
            </w:r>
            <w:r w:rsidRPr="009C19C5" w:rsidDel="002532A3">
              <w:rPr>
                <w:rFonts w:ascii="Times New Roman" w:hAnsi="Times New Roman" w:cs="Times New Roman"/>
                <w:sz w:val="20"/>
                <w:szCs w:val="20"/>
                <w:lang w:val="sr-Cyrl-RS" w:eastAsia="en-GB"/>
              </w:rPr>
              <w:t xml:space="preserve"> </w:t>
            </w:r>
            <w:r w:rsidRPr="009C19C5">
              <w:rPr>
                <w:rFonts w:ascii="Times New Roman" w:hAnsi="Times New Roman" w:cs="Times New Roman"/>
                <w:sz w:val="20"/>
                <w:szCs w:val="20"/>
                <w:lang w:val="sr-Cyrl-RS" w:eastAsia="en-GB"/>
              </w:rPr>
              <w:t>/ Међународне финансијске институције</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14:paraId="7310030E"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sz w:val="20"/>
                <w:szCs w:val="20"/>
                <w:lang w:val="sr-Cyrl-RS" w:eastAsia="en-GB"/>
              </w:rPr>
              <w:t>Територијално, за све погођене територије</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48521996"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sz w:val="20"/>
                <w:szCs w:val="20"/>
                <w:lang w:val="sr-Cyrl-RS" w:eastAsia="en-GB"/>
              </w:rPr>
              <w:t>Бивши запослени у ланцу вредности економије засноване на угљу</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10AC5FBE" w14:textId="77777777" w:rsidR="00BC369C" w:rsidRPr="009C19C5" w:rsidRDefault="00BC369C" w:rsidP="00694C70">
            <w:pPr>
              <w:spacing w:after="0" w:line="240" w:lineRule="auto"/>
              <w:jc w:val="center"/>
              <w:rPr>
                <w:rFonts w:ascii="Times New Roman" w:hAnsi="Times New Roman" w:cs="Times New Roman"/>
                <w:sz w:val="20"/>
                <w:szCs w:val="20"/>
                <w:lang w:val="sr-Cyrl-RS" w:eastAsia="el-GR"/>
              </w:rPr>
            </w:pPr>
            <w:r w:rsidRPr="009C19C5">
              <w:rPr>
                <w:rFonts w:ascii="Times New Roman" w:hAnsi="Times New Roman" w:cs="Times New Roman"/>
                <w:sz w:val="20"/>
                <w:szCs w:val="20"/>
                <w:lang w:val="sr-Cyrl-RS" w:eastAsia="en-GB"/>
              </w:rPr>
              <w:t>Финансирање доступно предузетницима / Министарство привреде</w:t>
            </w:r>
          </w:p>
        </w:tc>
        <w:tc>
          <w:tcPr>
            <w:tcW w:w="706" w:type="pct"/>
            <w:tcBorders>
              <w:top w:val="single" w:sz="4" w:space="0" w:color="auto"/>
              <w:left w:val="single" w:sz="4" w:space="0" w:color="auto"/>
              <w:bottom w:val="single" w:sz="4" w:space="0" w:color="auto"/>
              <w:right w:val="single" w:sz="4" w:space="0" w:color="auto"/>
            </w:tcBorders>
            <w:shd w:val="clear" w:color="auto" w:fill="auto"/>
            <w:vAlign w:val="center"/>
          </w:tcPr>
          <w:p w14:paraId="3FE1C41B"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Диверзификација локалне привреде и стварање радних места на погођеним територијама</w:t>
            </w:r>
          </w:p>
          <w:p w14:paraId="532D0F9B"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p>
          <w:p w14:paraId="02BC984F"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Приоритет: Висок током припрема за декарбонизацију</w:t>
            </w:r>
          </w:p>
          <w:p w14:paraId="182BD0DD"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p>
        </w:tc>
      </w:tr>
      <w:tr w:rsidR="00BC369C" w:rsidRPr="009C19C5" w14:paraId="24FB7D9D" w14:textId="77777777" w:rsidTr="00694C70">
        <w:trPr>
          <w:trHeight w:val="235"/>
          <w:jc w:val="center"/>
        </w:trPr>
        <w:tc>
          <w:tcPr>
            <w:tcW w:w="153" w:type="pct"/>
            <w:tcBorders>
              <w:top w:val="single" w:sz="4" w:space="0" w:color="auto"/>
              <w:left w:val="single" w:sz="4" w:space="0" w:color="auto"/>
              <w:bottom w:val="single" w:sz="4" w:space="0" w:color="auto"/>
              <w:right w:val="single" w:sz="4" w:space="0" w:color="auto"/>
            </w:tcBorders>
            <w:shd w:val="clear" w:color="auto" w:fill="auto"/>
            <w:vAlign w:val="center"/>
          </w:tcPr>
          <w:p w14:paraId="4D0764C7"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14.</w:t>
            </w:r>
          </w:p>
        </w:tc>
        <w:tc>
          <w:tcPr>
            <w:tcW w:w="668" w:type="pct"/>
            <w:tcBorders>
              <w:top w:val="single" w:sz="4" w:space="0" w:color="auto"/>
              <w:left w:val="single" w:sz="4" w:space="0" w:color="auto"/>
              <w:bottom w:val="single" w:sz="4" w:space="0" w:color="auto"/>
              <w:right w:val="single" w:sz="4" w:space="0" w:color="auto"/>
            </w:tcBorders>
            <w:shd w:val="clear" w:color="auto" w:fill="auto"/>
            <w:vAlign w:val="center"/>
          </w:tcPr>
          <w:p w14:paraId="2FB20E85"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Унапређење привредне ифраструктуре у постојећим индустријским парковима</w:t>
            </w:r>
            <w:r w:rsidRPr="009C19C5">
              <w:rPr>
                <w:rFonts w:ascii="Times New Roman" w:hAnsi="Times New Roman" w:cs="Times New Roman"/>
                <w:bCs/>
                <w:sz w:val="20"/>
                <w:szCs w:val="20"/>
                <w:lang w:val="sr-Cyrl-RS" w:eastAsia="en-GB"/>
              </w:rPr>
              <w:t xml:space="preserve"> </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14:paraId="5CE3D131"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60 месеци</w:t>
            </w:r>
          </w:p>
        </w:tc>
        <w:tc>
          <w:tcPr>
            <w:tcW w:w="534" w:type="pct"/>
            <w:tcBorders>
              <w:top w:val="single" w:sz="4" w:space="0" w:color="auto"/>
              <w:left w:val="single" w:sz="4" w:space="0" w:color="auto"/>
              <w:bottom w:val="single" w:sz="4" w:space="0" w:color="auto"/>
              <w:right w:val="single" w:sz="4" w:space="0" w:color="auto"/>
            </w:tcBorders>
            <w:shd w:val="clear" w:color="auto" w:fill="auto"/>
            <w:vAlign w:val="center"/>
          </w:tcPr>
          <w:p w14:paraId="2ADD2C94"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Локалне самоуправе</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14:paraId="0203F333"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60 милиона евра и још 70 хиљада евра за планирање</w:t>
            </w:r>
          </w:p>
        </w:tc>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6C959F4D"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color w:val="000000"/>
                <w:sz w:val="20"/>
                <w:szCs w:val="20"/>
                <w:lang w:val="sr-Cyrl-RS" w:eastAsia="en-GB"/>
              </w:rPr>
              <w:t>Међународни донатори,</w:t>
            </w:r>
            <w:r w:rsidRPr="009C19C5">
              <w:rPr>
                <w:rFonts w:ascii="Times New Roman" w:hAnsi="Times New Roman" w:cs="Times New Roman"/>
                <w:sz w:val="20"/>
                <w:szCs w:val="20"/>
                <w:lang w:val="sr-Cyrl-RS" w:eastAsia="en-GB"/>
              </w:rPr>
              <w:t xml:space="preserve"> буџет Републике</w:t>
            </w:r>
            <w:r w:rsidRPr="009C19C5">
              <w:rPr>
                <w:rFonts w:ascii="Times New Roman" w:eastAsia="Times New Roman" w:hAnsi="Times New Roman" w:cs="Times New Roman"/>
                <w:kern w:val="0"/>
                <w:sz w:val="20"/>
                <w:szCs w:val="20"/>
                <w:lang w:val="sr-Cyrl-RS"/>
              </w:rPr>
              <w:t xml:space="preserve"> </w:t>
            </w:r>
            <w:r w:rsidRPr="009C19C5">
              <w:rPr>
                <w:rFonts w:ascii="Times New Roman" w:hAnsi="Times New Roman" w:cs="Times New Roman"/>
                <w:color w:val="000000"/>
                <w:sz w:val="20"/>
                <w:szCs w:val="20"/>
                <w:lang w:val="sr-Cyrl-RS" w:eastAsia="en-GB"/>
              </w:rPr>
              <w:t>и  други извори у складу са законом</w:t>
            </w:r>
            <w:r w:rsidRPr="009C19C5" w:rsidDel="002532A3">
              <w:rPr>
                <w:rFonts w:ascii="Times New Roman" w:hAnsi="Times New Roman" w:cs="Times New Roman"/>
                <w:sz w:val="20"/>
                <w:szCs w:val="20"/>
                <w:lang w:val="sr-Cyrl-RS" w:eastAsia="en-GB"/>
              </w:rPr>
              <w:t xml:space="preserve"> </w:t>
            </w:r>
            <w:r w:rsidRPr="009C19C5">
              <w:rPr>
                <w:rFonts w:ascii="Times New Roman" w:hAnsi="Times New Roman" w:cs="Times New Roman"/>
                <w:sz w:val="20"/>
                <w:szCs w:val="20"/>
                <w:lang w:val="sr-Cyrl-RS" w:eastAsia="en-GB"/>
              </w:rPr>
              <w:t>/ Међународне финансијске институције</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14:paraId="430D3A85"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Територијално, за све погођене територије</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6D8AE04C"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Општински индустријски паркови</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03CBB79A"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До пет подржаних индустријских паркова / Локалне самоуправе</w:t>
            </w:r>
          </w:p>
        </w:tc>
        <w:tc>
          <w:tcPr>
            <w:tcW w:w="706" w:type="pct"/>
            <w:tcBorders>
              <w:top w:val="single" w:sz="4" w:space="0" w:color="auto"/>
              <w:left w:val="single" w:sz="4" w:space="0" w:color="auto"/>
              <w:bottom w:val="single" w:sz="4" w:space="0" w:color="auto"/>
              <w:right w:val="single" w:sz="4" w:space="0" w:color="auto"/>
            </w:tcBorders>
            <w:shd w:val="clear" w:color="auto" w:fill="auto"/>
            <w:vAlign w:val="center"/>
          </w:tcPr>
          <w:p w14:paraId="394F4951"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Диверзификација локалне привреде и привлачење нових пословних јединица</w:t>
            </w:r>
          </w:p>
          <w:p w14:paraId="31BC6F02"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Приоритет: Висок током припрема за декарбонизацију</w:t>
            </w:r>
          </w:p>
        </w:tc>
      </w:tr>
      <w:tr w:rsidR="00BC369C" w:rsidRPr="009C19C5" w14:paraId="5965E0D8" w14:textId="77777777" w:rsidTr="00694C70">
        <w:trPr>
          <w:trHeight w:val="235"/>
          <w:jc w:val="center"/>
        </w:trPr>
        <w:tc>
          <w:tcPr>
            <w:tcW w:w="821" w:type="pct"/>
            <w:gridSpan w:val="2"/>
            <w:tcBorders>
              <w:top w:val="single" w:sz="4" w:space="0" w:color="auto"/>
              <w:left w:val="single" w:sz="4" w:space="0" w:color="auto"/>
              <w:bottom w:val="double" w:sz="4" w:space="0" w:color="auto"/>
              <w:right w:val="single" w:sz="4" w:space="0" w:color="auto"/>
            </w:tcBorders>
            <w:shd w:val="clear" w:color="auto" w:fill="auto"/>
            <w:vAlign w:val="center"/>
          </w:tcPr>
          <w:p w14:paraId="5F0EBA5D" w14:textId="77777777" w:rsidR="00BC369C" w:rsidRPr="009C19C5" w:rsidRDefault="00BC369C" w:rsidP="00694C70">
            <w:pPr>
              <w:spacing w:after="0" w:line="240" w:lineRule="auto"/>
              <w:jc w:val="right"/>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 xml:space="preserve">Укупни трошкови припремних активности </w:t>
            </w:r>
            <w:r w:rsidRPr="009C19C5">
              <w:rPr>
                <w:rFonts w:ascii="Times New Roman" w:hAnsi="Times New Roman" w:cs="Times New Roman"/>
                <w:sz w:val="20"/>
                <w:szCs w:val="20"/>
                <w:lang w:val="sr-Cyrl-RS" w:eastAsia="en-GB"/>
              </w:rPr>
              <w:lastRenderedPageBreak/>
              <w:t>на локалном нивоу (до 2030)</w:t>
            </w:r>
          </w:p>
        </w:tc>
        <w:tc>
          <w:tcPr>
            <w:tcW w:w="398" w:type="pct"/>
            <w:tcBorders>
              <w:top w:val="single" w:sz="4" w:space="0" w:color="auto"/>
              <w:left w:val="single" w:sz="4" w:space="0" w:color="auto"/>
              <w:bottom w:val="double" w:sz="4" w:space="0" w:color="auto"/>
              <w:right w:val="single" w:sz="4" w:space="0" w:color="auto"/>
            </w:tcBorders>
            <w:shd w:val="clear" w:color="auto" w:fill="auto"/>
            <w:vAlign w:val="center"/>
          </w:tcPr>
          <w:p w14:paraId="531062D1"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p>
        </w:tc>
        <w:tc>
          <w:tcPr>
            <w:tcW w:w="534" w:type="pct"/>
            <w:tcBorders>
              <w:top w:val="single" w:sz="4" w:space="0" w:color="auto"/>
              <w:left w:val="single" w:sz="4" w:space="0" w:color="auto"/>
              <w:bottom w:val="double" w:sz="4" w:space="0" w:color="auto"/>
              <w:right w:val="single" w:sz="4" w:space="0" w:color="auto"/>
            </w:tcBorders>
            <w:shd w:val="clear" w:color="auto" w:fill="auto"/>
            <w:vAlign w:val="center"/>
          </w:tcPr>
          <w:p w14:paraId="36ABCE62"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p>
        </w:tc>
        <w:tc>
          <w:tcPr>
            <w:tcW w:w="347" w:type="pct"/>
            <w:tcBorders>
              <w:top w:val="single" w:sz="4" w:space="0" w:color="auto"/>
              <w:left w:val="single" w:sz="4" w:space="0" w:color="auto"/>
              <w:bottom w:val="double" w:sz="4" w:space="0" w:color="auto"/>
              <w:right w:val="single" w:sz="4" w:space="0" w:color="auto"/>
            </w:tcBorders>
            <w:shd w:val="clear" w:color="auto" w:fill="auto"/>
            <w:vAlign w:val="center"/>
          </w:tcPr>
          <w:p w14:paraId="78195300"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72.830,00 милиона евра</w:t>
            </w:r>
          </w:p>
        </w:tc>
        <w:tc>
          <w:tcPr>
            <w:tcW w:w="681" w:type="pct"/>
            <w:tcBorders>
              <w:top w:val="single" w:sz="4" w:space="0" w:color="auto"/>
              <w:left w:val="single" w:sz="4" w:space="0" w:color="auto"/>
              <w:bottom w:val="double" w:sz="4" w:space="0" w:color="auto"/>
              <w:right w:val="single" w:sz="4" w:space="0" w:color="auto"/>
            </w:tcBorders>
            <w:shd w:val="clear" w:color="auto" w:fill="auto"/>
            <w:vAlign w:val="center"/>
          </w:tcPr>
          <w:p w14:paraId="7E921930"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p>
        </w:tc>
        <w:tc>
          <w:tcPr>
            <w:tcW w:w="529" w:type="pct"/>
            <w:tcBorders>
              <w:top w:val="single" w:sz="4" w:space="0" w:color="auto"/>
              <w:left w:val="single" w:sz="4" w:space="0" w:color="auto"/>
              <w:bottom w:val="double" w:sz="4" w:space="0" w:color="auto"/>
              <w:right w:val="single" w:sz="4" w:space="0" w:color="auto"/>
            </w:tcBorders>
            <w:shd w:val="clear" w:color="auto" w:fill="auto"/>
            <w:vAlign w:val="center"/>
          </w:tcPr>
          <w:p w14:paraId="45DD3FBF"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p>
        </w:tc>
        <w:tc>
          <w:tcPr>
            <w:tcW w:w="449" w:type="pct"/>
            <w:tcBorders>
              <w:top w:val="single" w:sz="4" w:space="0" w:color="auto"/>
              <w:left w:val="single" w:sz="4" w:space="0" w:color="auto"/>
              <w:bottom w:val="double" w:sz="4" w:space="0" w:color="auto"/>
              <w:right w:val="single" w:sz="4" w:space="0" w:color="auto"/>
            </w:tcBorders>
            <w:shd w:val="clear" w:color="auto" w:fill="auto"/>
            <w:vAlign w:val="center"/>
          </w:tcPr>
          <w:p w14:paraId="53E35F39"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p>
        </w:tc>
        <w:tc>
          <w:tcPr>
            <w:tcW w:w="535" w:type="pct"/>
            <w:tcBorders>
              <w:top w:val="single" w:sz="4" w:space="0" w:color="auto"/>
              <w:left w:val="single" w:sz="4" w:space="0" w:color="auto"/>
              <w:bottom w:val="double" w:sz="4" w:space="0" w:color="auto"/>
              <w:right w:val="single" w:sz="4" w:space="0" w:color="auto"/>
            </w:tcBorders>
            <w:shd w:val="clear" w:color="auto" w:fill="auto"/>
            <w:vAlign w:val="center"/>
          </w:tcPr>
          <w:p w14:paraId="54C8E991"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p>
        </w:tc>
        <w:tc>
          <w:tcPr>
            <w:tcW w:w="706" w:type="pct"/>
            <w:tcBorders>
              <w:top w:val="single" w:sz="4" w:space="0" w:color="auto"/>
              <w:left w:val="single" w:sz="4" w:space="0" w:color="auto"/>
              <w:bottom w:val="double" w:sz="4" w:space="0" w:color="auto"/>
              <w:right w:val="single" w:sz="4" w:space="0" w:color="auto"/>
            </w:tcBorders>
            <w:shd w:val="clear" w:color="auto" w:fill="auto"/>
            <w:vAlign w:val="center"/>
          </w:tcPr>
          <w:p w14:paraId="3AB5540A"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p>
        </w:tc>
      </w:tr>
      <w:tr w:rsidR="00BC369C" w:rsidRPr="009C19C5" w14:paraId="1B83A1BF" w14:textId="77777777" w:rsidTr="00694C70">
        <w:trPr>
          <w:trHeight w:val="235"/>
          <w:jc w:val="center"/>
        </w:trPr>
        <w:tc>
          <w:tcPr>
            <w:tcW w:w="821" w:type="pct"/>
            <w:gridSpan w:val="2"/>
            <w:tcBorders>
              <w:top w:val="double" w:sz="4" w:space="0" w:color="auto"/>
              <w:left w:val="single" w:sz="4" w:space="0" w:color="auto"/>
              <w:bottom w:val="double" w:sz="4" w:space="0" w:color="auto"/>
              <w:right w:val="single" w:sz="4" w:space="0" w:color="auto"/>
            </w:tcBorders>
            <w:shd w:val="clear" w:color="auto" w:fill="auto"/>
            <w:vAlign w:val="center"/>
          </w:tcPr>
          <w:p w14:paraId="346F96CF" w14:textId="77777777" w:rsidR="00BC369C" w:rsidRPr="009C19C5" w:rsidRDefault="00BC369C" w:rsidP="00694C70">
            <w:pPr>
              <w:spacing w:after="0" w:line="240" w:lineRule="auto"/>
              <w:jc w:val="right"/>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Укупни трошкови свих активности до 2030. (Група A и Група Б, на националном и локалном нивоу)</w:t>
            </w:r>
          </w:p>
        </w:tc>
        <w:tc>
          <w:tcPr>
            <w:tcW w:w="398" w:type="pct"/>
            <w:tcBorders>
              <w:top w:val="double" w:sz="4" w:space="0" w:color="auto"/>
              <w:left w:val="single" w:sz="4" w:space="0" w:color="auto"/>
              <w:bottom w:val="double" w:sz="4" w:space="0" w:color="auto"/>
              <w:right w:val="single" w:sz="4" w:space="0" w:color="auto"/>
            </w:tcBorders>
            <w:shd w:val="clear" w:color="auto" w:fill="auto"/>
            <w:vAlign w:val="center"/>
          </w:tcPr>
          <w:p w14:paraId="37F962F5"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p>
        </w:tc>
        <w:tc>
          <w:tcPr>
            <w:tcW w:w="534" w:type="pct"/>
            <w:tcBorders>
              <w:top w:val="double" w:sz="4" w:space="0" w:color="auto"/>
              <w:left w:val="single" w:sz="4" w:space="0" w:color="auto"/>
              <w:bottom w:val="double" w:sz="4" w:space="0" w:color="auto"/>
              <w:right w:val="single" w:sz="4" w:space="0" w:color="auto"/>
            </w:tcBorders>
            <w:shd w:val="clear" w:color="auto" w:fill="auto"/>
            <w:vAlign w:val="center"/>
          </w:tcPr>
          <w:p w14:paraId="75563016"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p>
        </w:tc>
        <w:tc>
          <w:tcPr>
            <w:tcW w:w="347" w:type="pct"/>
            <w:tcBorders>
              <w:top w:val="double" w:sz="4" w:space="0" w:color="auto"/>
              <w:left w:val="single" w:sz="4" w:space="0" w:color="auto"/>
              <w:bottom w:val="double" w:sz="4" w:space="0" w:color="auto"/>
              <w:right w:val="single" w:sz="4" w:space="0" w:color="auto"/>
            </w:tcBorders>
            <w:shd w:val="clear" w:color="auto" w:fill="auto"/>
            <w:vAlign w:val="center"/>
          </w:tcPr>
          <w:p w14:paraId="067FA917"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bCs/>
                <w:sz w:val="20"/>
                <w:szCs w:val="20"/>
                <w:lang w:val="sr-Cyrl-RS" w:eastAsia="en-GB"/>
              </w:rPr>
              <w:t>75.430,00</w:t>
            </w:r>
            <w:r w:rsidRPr="009C19C5">
              <w:rPr>
                <w:rFonts w:ascii="Times New Roman" w:hAnsi="Times New Roman" w:cs="Times New Roman"/>
                <w:sz w:val="20"/>
                <w:szCs w:val="20"/>
                <w:lang w:val="sr-Cyrl-RS" w:eastAsia="en-GB"/>
              </w:rPr>
              <w:t xml:space="preserve"> милиона евра</w:t>
            </w:r>
          </w:p>
        </w:tc>
        <w:tc>
          <w:tcPr>
            <w:tcW w:w="681" w:type="pct"/>
            <w:tcBorders>
              <w:top w:val="double" w:sz="4" w:space="0" w:color="auto"/>
              <w:left w:val="single" w:sz="4" w:space="0" w:color="auto"/>
              <w:bottom w:val="double" w:sz="4" w:space="0" w:color="auto"/>
              <w:right w:val="single" w:sz="4" w:space="0" w:color="auto"/>
            </w:tcBorders>
            <w:shd w:val="clear" w:color="auto" w:fill="auto"/>
            <w:vAlign w:val="center"/>
          </w:tcPr>
          <w:p w14:paraId="6A869CD0"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p>
        </w:tc>
        <w:tc>
          <w:tcPr>
            <w:tcW w:w="529" w:type="pct"/>
            <w:tcBorders>
              <w:top w:val="double" w:sz="4" w:space="0" w:color="auto"/>
              <w:left w:val="single" w:sz="4" w:space="0" w:color="auto"/>
              <w:bottom w:val="double" w:sz="4" w:space="0" w:color="auto"/>
              <w:right w:val="single" w:sz="4" w:space="0" w:color="auto"/>
            </w:tcBorders>
            <w:shd w:val="clear" w:color="auto" w:fill="auto"/>
            <w:vAlign w:val="center"/>
          </w:tcPr>
          <w:p w14:paraId="493AC003"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p>
        </w:tc>
        <w:tc>
          <w:tcPr>
            <w:tcW w:w="449" w:type="pct"/>
            <w:tcBorders>
              <w:top w:val="double" w:sz="4" w:space="0" w:color="auto"/>
              <w:left w:val="single" w:sz="4" w:space="0" w:color="auto"/>
              <w:bottom w:val="double" w:sz="4" w:space="0" w:color="auto"/>
              <w:right w:val="single" w:sz="4" w:space="0" w:color="auto"/>
            </w:tcBorders>
            <w:shd w:val="clear" w:color="auto" w:fill="auto"/>
            <w:vAlign w:val="center"/>
          </w:tcPr>
          <w:p w14:paraId="6DE514DE"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p>
        </w:tc>
        <w:tc>
          <w:tcPr>
            <w:tcW w:w="535" w:type="pct"/>
            <w:tcBorders>
              <w:top w:val="double" w:sz="4" w:space="0" w:color="auto"/>
              <w:left w:val="single" w:sz="4" w:space="0" w:color="auto"/>
              <w:bottom w:val="double" w:sz="4" w:space="0" w:color="auto"/>
              <w:right w:val="single" w:sz="4" w:space="0" w:color="auto"/>
            </w:tcBorders>
            <w:shd w:val="clear" w:color="auto" w:fill="auto"/>
            <w:vAlign w:val="center"/>
          </w:tcPr>
          <w:p w14:paraId="085E8A6E"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p>
        </w:tc>
        <w:tc>
          <w:tcPr>
            <w:tcW w:w="706" w:type="pct"/>
            <w:tcBorders>
              <w:top w:val="double" w:sz="4" w:space="0" w:color="auto"/>
              <w:left w:val="single" w:sz="4" w:space="0" w:color="auto"/>
              <w:bottom w:val="double" w:sz="4" w:space="0" w:color="auto"/>
              <w:right w:val="single" w:sz="4" w:space="0" w:color="auto"/>
            </w:tcBorders>
            <w:shd w:val="clear" w:color="auto" w:fill="auto"/>
            <w:vAlign w:val="center"/>
          </w:tcPr>
          <w:p w14:paraId="2DF14227" w14:textId="77777777" w:rsidR="00BC369C" w:rsidRPr="009C19C5" w:rsidRDefault="00BC369C" w:rsidP="00694C70">
            <w:pPr>
              <w:spacing w:after="0" w:line="240" w:lineRule="auto"/>
              <w:jc w:val="center"/>
              <w:rPr>
                <w:rFonts w:ascii="Times New Roman" w:hAnsi="Times New Roman" w:cs="Times New Roman"/>
                <w:sz w:val="20"/>
                <w:szCs w:val="20"/>
                <w:lang w:val="sr-Cyrl-RS" w:eastAsia="en-GB"/>
              </w:rPr>
            </w:pPr>
          </w:p>
        </w:tc>
      </w:tr>
    </w:tbl>
    <w:p w14:paraId="363548C8" w14:textId="77777777" w:rsidR="00BC369C" w:rsidRPr="00D26887" w:rsidRDefault="00BC369C" w:rsidP="00BE195F">
      <w:pPr>
        <w:pStyle w:val="Heading2"/>
      </w:pPr>
      <w:r w:rsidRPr="00D26887">
        <w:t>6.5. Динамика активности</w:t>
      </w:r>
    </w:p>
    <w:p w14:paraId="3535F3AE" w14:textId="77777777" w:rsidR="00BC369C" w:rsidRPr="00502FBC" w:rsidRDefault="00BC369C" w:rsidP="00BE195F">
      <w:pPr>
        <w:pStyle w:val="Heading2"/>
        <w:rPr>
          <w:i/>
          <w:iCs/>
        </w:rPr>
      </w:pPr>
      <w:r w:rsidRPr="00502FBC">
        <w:t>Табела 14: Временска динамика активности</w:t>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75"/>
        <w:gridCol w:w="1703"/>
        <w:gridCol w:w="1962"/>
      </w:tblGrid>
      <w:tr w:rsidR="00BC369C" w:rsidRPr="009C19C5" w14:paraId="65681A8B" w14:textId="77777777" w:rsidTr="00694C70">
        <w:trPr>
          <w:trHeight w:val="247"/>
          <w:tblHeader/>
        </w:trPr>
        <w:tc>
          <w:tcPr>
            <w:tcW w:w="11474" w:type="dxa"/>
            <w:shd w:val="clear" w:color="auto" w:fill="auto"/>
            <w:vAlign w:val="center"/>
          </w:tcPr>
          <w:p w14:paraId="71D21793" w14:textId="77777777" w:rsidR="00BC369C" w:rsidRPr="009C19C5" w:rsidRDefault="00BC369C" w:rsidP="00694C70">
            <w:pPr>
              <w:spacing w:after="0" w:line="240" w:lineRule="auto"/>
              <w:jc w:val="center"/>
              <w:rPr>
                <w:rFonts w:ascii="Times New Roman" w:eastAsia="Times New Roman" w:hAnsi="Times New Roman" w:cs="Times New Roman"/>
                <w:bCs/>
                <w:kern w:val="0"/>
                <w:sz w:val="20"/>
                <w:szCs w:val="20"/>
                <w:lang w:val="sr-Cyrl-RS" w:eastAsia="el-GR"/>
              </w:rPr>
            </w:pPr>
            <w:r w:rsidRPr="009C19C5">
              <w:rPr>
                <w:rFonts w:ascii="Times New Roman" w:eastAsia="Times New Roman" w:hAnsi="Times New Roman" w:cs="Times New Roman"/>
                <w:bCs/>
                <w:kern w:val="0"/>
                <w:sz w:val="20"/>
                <w:szCs w:val="20"/>
                <w:lang w:val="sr-Cyrl-RS" w:eastAsia="el-GR"/>
              </w:rPr>
              <w:t>Предмет акције</w:t>
            </w:r>
          </w:p>
        </w:tc>
        <w:tc>
          <w:tcPr>
            <w:tcW w:w="1703" w:type="dxa"/>
            <w:shd w:val="clear" w:color="auto" w:fill="auto"/>
            <w:noWrap/>
            <w:vAlign w:val="center"/>
          </w:tcPr>
          <w:p w14:paraId="23DF598A" w14:textId="77777777" w:rsidR="00BC369C" w:rsidRPr="009C19C5" w:rsidRDefault="00BC369C" w:rsidP="00694C70">
            <w:pPr>
              <w:spacing w:after="0" w:line="240" w:lineRule="auto"/>
              <w:jc w:val="center"/>
              <w:rPr>
                <w:rFonts w:ascii="Times New Roman" w:eastAsia="Times New Roman" w:hAnsi="Times New Roman" w:cs="Times New Roman"/>
                <w:bCs/>
                <w:kern w:val="0"/>
                <w:sz w:val="20"/>
                <w:szCs w:val="20"/>
                <w:lang w:val="sr-Cyrl-RS" w:eastAsia="el-GR"/>
              </w:rPr>
            </w:pPr>
            <w:r w:rsidRPr="009C19C5">
              <w:rPr>
                <w:rFonts w:ascii="Times New Roman" w:eastAsia="Times New Roman" w:hAnsi="Times New Roman" w:cs="Times New Roman"/>
                <w:bCs/>
                <w:kern w:val="0"/>
                <w:sz w:val="20"/>
                <w:szCs w:val="20"/>
                <w:lang w:val="sr-Cyrl-RS" w:eastAsia="el-GR"/>
              </w:rPr>
              <w:t>Датум почетка</w:t>
            </w:r>
          </w:p>
        </w:tc>
        <w:tc>
          <w:tcPr>
            <w:tcW w:w="1962" w:type="dxa"/>
            <w:shd w:val="clear" w:color="auto" w:fill="auto"/>
            <w:noWrap/>
            <w:vAlign w:val="center"/>
          </w:tcPr>
          <w:p w14:paraId="4A7AD5C7" w14:textId="77777777" w:rsidR="00BC369C" w:rsidRPr="009C19C5" w:rsidRDefault="00BC369C" w:rsidP="00694C70">
            <w:pPr>
              <w:spacing w:after="0" w:line="240" w:lineRule="auto"/>
              <w:jc w:val="center"/>
              <w:rPr>
                <w:rFonts w:ascii="Times New Roman" w:eastAsia="Times New Roman" w:hAnsi="Times New Roman" w:cs="Times New Roman"/>
                <w:bCs/>
                <w:kern w:val="0"/>
                <w:sz w:val="20"/>
                <w:szCs w:val="20"/>
                <w:lang w:val="sr-Cyrl-RS" w:eastAsia="el-GR"/>
              </w:rPr>
            </w:pPr>
            <w:r w:rsidRPr="009C19C5">
              <w:rPr>
                <w:rFonts w:ascii="Times New Roman" w:eastAsia="Times New Roman" w:hAnsi="Times New Roman" w:cs="Times New Roman"/>
                <w:bCs/>
                <w:kern w:val="0"/>
                <w:sz w:val="20"/>
                <w:szCs w:val="20"/>
                <w:lang w:val="sr-Cyrl-RS" w:eastAsia="el-GR"/>
              </w:rPr>
              <w:t>Датум завршетка</w:t>
            </w:r>
          </w:p>
        </w:tc>
      </w:tr>
      <w:tr w:rsidR="00BC369C" w:rsidRPr="009C19C5" w14:paraId="4F464C81" w14:textId="77777777" w:rsidTr="00694C70">
        <w:trPr>
          <w:trHeight w:val="342"/>
          <w:tblHeader/>
        </w:trPr>
        <w:tc>
          <w:tcPr>
            <w:tcW w:w="11474" w:type="dxa"/>
            <w:shd w:val="clear" w:color="auto" w:fill="auto"/>
            <w:vAlign w:val="center"/>
          </w:tcPr>
          <w:p w14:paraId="65CF2BDF" w14:textId="77777777" w:rsidR="00BC369C" w:rsidRPr="009C19C5" w:rsidRDefault="00BC369C" w:rsidP="00694C70">
            <w:pPr>
              <w:spacing w:after="0" w:line="240" w:lineRule="auto"/>
              <w:rPr>
                <w:rFonts w:ascii="Times New Roman" w:eastAsia="Times New Roman" w:hAnsi="Times New Roman" w:cs="Times New Roman"/>
                <w:kern w:val="0"/>
                <w:sz w:val="20"/>
                <w:szCs w:val="20"/>
                <w:lang w:val="sr-Cyrl-RS" w:eastAsia="el-GR"/>
              </w:rPr>
            </w:pPr>
            <w:r w:rsidRPr="009C19C5">
              <w:rPr>
                <w:rFonts w:ascii="Times New Roman" w:hAnsi="Times New Roman" w:cs="Times New Roman"/>
                <w:sz w:val="20"/>
                <w:szCs w:val="20"/>
                <w:lang w:val="sr-Cyrl-RS"/>
              </w:rPr>
              <w:t xml:space="preserve">Успостављање и операционализација управљања праведном транзицијом у Републици Србији </w:t>
            </w:r>
          </w:p>
        </w:tc>
        <w:tc>
          <w:tcPr>
            <w:tcW w:w="1703" w:type="dxa"/>
            <w:shd w:val="clear" w:color="auto" w:fill="auto"/>
            <w:noWrap/>
            <w:vAlign w:val="center"/>
          </w:tcPr>
          <w:p w14:paraId="57D300FF" w14:textId="77777777" w:rsidR="00BC369C" w:rsidRPr="009C19C5" w:rsidRDefault="00BC369C" w:rsidP="00694C70">
            <w:pPr>
              <w:spacing w:after="0" w:line="240" w:lineRule="auto"/>
              <w:jc w:val="center"/>
              <w:rPr>
                <w:rFonts w:ascii="Times New Roman" w:eastAsia="Times New Roman" w:hAnsi="Times New Roman" w:cs="Times New Roman"/>
                <w:kern w:val="0"/>
                <w:sz w:val="20"/>
                <w:szCs w:val="20"/>
                <w:lang w:val="sr-Cyrl-RS" w:eastAsia="el-GR"/>
              </w:rPr>
            </w:pPr>
            <w:r w:rsidRPr="009C19C5">
              <w:rPr>
                <w:rFonts w:ascii="Times New Roman" w:eastAsia="Times New Roman" w:hAnsi="Times New Roman" w:cs="Times New Roman"/>
                <w:kern w:val="0"/>
                <w:sz w:val="20"/>
                <w:szCs w:val="20"/>
                <w:lang w:val="sr-Cyrl-RS" w:eastAsia="el-GR"/>
              </w:rPr>
              <w:t>01/09/2025</w:t>
            </w:r>
          </w:p>
        </w:tc>
        <w:tc>
          <w:tcPr>
            <w:tcW w:w="1962" w:type="dxa"/>
            <w:shd w:val="clear" w:color="auto" w:fill="auto"/>
            <w:noWrap/>
            <w:vAlign w:val="center"/>
          </w:tcPr>
          <w:p w14:paraId="54DA218F" w14:textId="77777777" w:rsidR="00BC369C" w:rsidRPr="009C19C5" w:rsidRDefault="00BC369C" w:rsidP="00694C70">
            <w:pPr>
              <w:spacing w:after="0" w:line="240" w:lineRule="auto"/>
              <w:jc w:val="center"/>
              <w:rPr>
                <w:rFonts w:ascii="Times New Roman" w:eastAsia="Times New Roman" w:hAnsi="Times New Roman" w:cs="Times New Roman"/>
                <w:kern w:val="0"/>
                <w:sz w:val="20"/>
                <w:szCs w:val="20"/>
                <w:lang w:val="sr-Cyrl-RS" w:eastAsia="el-GR"/>
              </w:rPr>
            </w:pPr>
            <w:r w:rsidRPr="009C19C5">
              <w:rPr>
                <w:rFonts w:ascii="Times New Roman" w:eastAsia="Times New Roman" w:hAnsi="Times New Roman" w:cs="Times New Roman"/>
                <w:kern w:val="0"/>
                <w:sz w:val="20"/>
                <w:szCs w:val="20"/>
                <w:lang w:val="sr-Cyrl-RS" w:eastAsia="el-GR"/>
              </w:rPr>
              <w:t>28/02/2026</w:t>
            </w:r>
          </w:p>
        </w:tc>
      </w:tr>
      <w:tr w:rsidR="00BC369C" w:rsidRPr="009C19C5" w14:paraId="3756649F" w14:textId="77777777" w:rsidTr="00694C70">
        <w:trPr>
          <w:trHeight w:val="308"/>
          <w:tblHeader/>
        </w:trPr>
        <w:tc>
          <w:tcPr>
            <w:tcW w:w="11474" w:type="dxa"/>
            <w:shd w:val="clear" w:color="auto" w:fill="auto"/>
            <w:vAlign w:val="center"/>
          </w:tcPr>
          <w:p w14:paraId="56F1DDBC" w14:textId="77777777" w:rsidR="00BC369C" w:rsidRPr="009C19C5" w:rsidRDefault="00BC369C" w:rsidP="00694C70">
            <w:pPr>
              <w:spacing w:after="0" w:line="240" w:lineRule="auto"/>
              <w:rPr>
                <w:rFonts w:ascii="Times New Roman" w:eastAsia="Times New Roman" w:hAnsi="Times New Roman" w:cs="Times New Roman"/>
                <w:kern w:val="0"/>
                <w:sz w:val="20"/>
                <w:szCs w:val="20"/>
                <w:lang w:val="sr-Cyrl-RS" w:eastAsia="el-GR"/>
              </w:rPr>
            </w:pPr>
            <w:r w:rsidRPr="009C19C5">
              <w:rPr>
                <w:rFonts w:ascii="Times New Roman" w:hAnsi="Times New Roman" w:cs="Times New Roman"/>
                <w:sz w:val="20"/>
                <w:szCs w:val="20"/>
                <w:lang w:val="sr-Cyrl-RS"/>
              </w:rPr>
              <w:t>Успостављање механизама за финансирање праведне транзиције са системом за управљање</w:t>
            </w:r>
          </w:p>
        </w:tc>
        <w:tc>
          <w:tcPr>
            <w:tcW w:w="1703" w:type="dxa"/>
            <w:shd w:val="clear" w:color="auto" w:fill="auto"/>
            <w:noWrap/>
            <w:vAlign w:val="center"/>
          </w:tcPr>
          <w:p w14:paraId="17D44C37" w14:textId="77777777" w:rsidR="00BC369C" w:rsidRPr="009C19C5" w:rsidRDefault="00BC369C" w:rsidP="00694C70">
            <w:pPr>
              <w:spacing w:after="0" w:line="240" w:lineRule="auto"/>
              <w:jc w:val="center"/>
              <w:rPr>
                <w:rFonts w:ascii="Times New Roman" w:eastAsia="Times New Roman" w:hAnsi="Times New Roman" w:cs="Times New Roman"/>
                <w:kern w:val="0"/>
                <w:sz w:val="20"/>
                <w:szCs w:val="20"/>
                <w:lang w:val="sr-Cyrl-RS" w:eastAsia="el-GR"/>
              </w:rPr>
            </w:pPr>
            <w:r w:rsidRPr="009C19C5">
              <w:rPr>
                <w:rFonts w:ascii="Times New Roman" w:eastAsia="Times New Roman" w:hAnsi="Times New Roman" w:cs="Times New Roman"/>
                <w:kern w:val="0"/>
                <w:sz w:val="20"/>
                <w:szCs w:val="20"/>
                <w:lang w:val="sr-Cyrl-RS" w:eastAsia="el-GR"/>
              </w:rPr>
              <w:t>01/09/2025</w:t>
            </w:r>
          </w:p>
        </w:tc>
        <w:tc>
          <w:tcPr>
            <w:tcW w:w="1962" w:type="dxa"/>
            <w:shd w:val="clear" w:color="auto" w:fill="auto"/>
            <w:noWrap/>
            <w:vAlign w:val="center"/>
          </w:tcPr>
          <w:p w14:paraId="467CA86E" w14:textId="77777777" w:rsidR="00BC369C" w:rsidRPr="009C19C5" w:rsidRDefault="00BC369C" w:rsidP="00694C70">
            <w:pPr>
              <w:spacing w:after="0" w:line="240" w:lineRule="auto"/>
              <w:jc w:val="center"/>
              <w:rPr>
                <w:rFonts w:ascii="Times New Roman" w:eastAsia="Times New Roman" w:hAnsi="Times New Roman" w:cs="Times New Roman"/>
                <w:kern w:val="0"/>
                <w:sz w:val="20"/>
                <w:szCs w:val="20"/>
                <w:lang w:val="sr-Cyrl-RS" w:eastAsia="el-GR"/>
              </w:rPr>
            </w:pPr>
            <w:r w:rsidRPr="009C19C5">
              <w:rPr>
                <w:rFonts w:ascii="Times New Roman" w:eastAsia="Times New Roman" w:hAnsi="Times New Roman" w:cs="Times New Roman"/>
                <w:kern w:val="0"/>
                <w:sz w:val="20"/>
                <w:szCs w:val="20"/>
                <w:lang w:val="sr-Cyrl-RS" w:eastAsia="el-GR"/>
              </w:rPr>
              <w:t>31/12/2026</w:t>
            </w:r>
          </w:p>
        </w:tc>
      </w:tr>
      <w:tr w:rsidR="00BC369C" w:rsidRPr="009C19C5" w14:paraId="40E0ECA4" w14:textId="77777777" w:rsidTr="00694C70">
        <w:trPr>
          <w:trHeight w:val="300"/>
          <w:tblHeader/>
        </w:trPr>
        <w:tc>
          <w:tcPr>
            <w:tcW w:w="11474" w:type="dxa"/>
            <w:shd w:val="clear" w:color="auto" w:fill="auto"/>
            <w:vAlign w:val="center"/>
          </w:tcPr>
          <w:p w14:paraId="085EE761" w14:textId="77777777" w:rsidR="00BC369C" w:rsidRPr="009C19C5" w:rsidRDefault="00BC369C" w:rsidP="00694C70">
            <w:pPr>
              <w:spacing w:after="0" w:line="240" w:lineRule="auto"/>
              <w:rPr>
                <w:rFonts w:ascii="Times New Roman" w:eastAsia="Times New Roman" w:hAnsi="Times New Roman" w:cs="Times New Roman"/>
                <w:kern w:val="0"/>
                <w:sz w:val="20"/>
                <w:szCs w:val="20"/>
                <w:lang w:val="sr-Cyrl-RS" w:eastAsia="el-GR"/>
              </w:rPr>
            </w:pPr>
            <w:r w:rsidRPr="009C19C5">
              <w:rPr>
                <w:rFonts w:ascii="Times New Roman" w:hAnsi="Times New Roman" w:cs="Times New Roman"/>
                <w:sz w:val="20"/>
                <w:szCs w:val="20"/>
                <w:lang w:val="sr-Cyrl-RS"/>
              </w:rPr>
              <w:t xml:space="preserve">Ажурирање законодавства, како би се укључили одговарајући механизми управљања и оквир за праћење и усвојио и спровео ППЕТ. </w:t>
            </w:r>
          </w:p>
        </w:tc>
        <w:tc>
          <w:tcPr>
            <w:tcW w:w="1703" w:type="dxa"/>
            <w:shd w:val="clear" w:color="auto" w:fill="auto"/>
            <w:noWrap/>
            <w:vAlign w:val="center"/>
          </w:tcPr>
          <w:p w14:paraId="3BDF2FE2" w14:textId="77777777" w:rsidR="00BC369C" w:rsidRPr="009C19C5" w:rsidRDefault="00BC369C" w:rsidP="00694C70">
            <w:pPr>
              <w:spacing w:after="0" w:line="240" w:lineRule="auto"/>
              <w:jc w:val="center"/>
              <w:rPr>
                <w:rFonts w:ascii="Times New Roman" w:eastAsia="Times New Roman" w:hAnsi="Times New Roman" w:cs="Times New Roman"/>
                <w:kern w:val="0"/>
                <w:sz w:val="20"/>
                <w:szCs w:val="20"/>
                <w:lang w:val="sr-Cyrl-RS" w:eastAsia="el-GR"/>
              </w:rPr>
            </w:pPr>
            <w:r w:rsidRPr="009C19C5">
              <w:rPr>
                <w:rFonts w:ascii="Times New Roman" w:eastAsia="Times New Roman" w:hAnsi="Times New Roman" w:cs="Times New Roman"/>
                <w:kern w:val="0"/>
                <w:sz w:val="20"/>
                <w:szCs w:val="20"/>
                <w:lang w:val="sr-Cyrl-RS" w:eastAsia="el-GR"/>
              </w:rPr>
              <w:t>01/09/2025</w:t>
            </w:r>
          </w:p>
        </w:tc>
        <w:tc>
          <w:tcPr>
            <w:tcW w:w="1962" w:type="dxa"/>
            <w:shd w:val="clear" w:color="auto" w:fill="auto"/>
            <w:noWrap/>
            <w:vAlign w:val="center"/>
          </w:tcPr>
          <w:p w14:paraId="7C3CBB0D" w14:textId="77777777" w:rsidR="00BC369C" w:rsidRPr="009C19C5" w:rsidRDefault="00BC369C" w:rsidP="00694C70">
            <w:pPr>
              <w:spacing w:after="0" w:line="240" w:lineRule="auto"/>
              <w:jc w:val="center"/>
              <w:rPr>
                <w:rFonts w:ascii="Times New Roman" w:eastAsia="Times New Roman" w:hAnsi="Times New Roman" w:cs="Times New Roman"/>
                <w:kern w:val="0"/>
                <w:sz w:val="20"/>
                <w:szCs w:val="20"/>
                <w:lang w:val="sr-Cyrl-RS" w:eastAsia="el-GR"/>
              </w:rPr>
            </w:pPr>
            <w:r w:rsidRPr="009C19C5">
              <w:rPr>
                <w:rFonts w:ascii="Times New Roman" w:eastAsia="Times New Roman" w:hAnsi="Times New Roman" w:cs="Times New Roman"/>
                <w:kern w:val="0"/>
                <w:sz w:val="20"/>
                <w:szCs w:val="20"/>
                <w:lang w:val="sr-Cyrl-RS" w:eastAsia="el-GR"/>
              </w:rPr>
              <w:t>31/08/2026</w:t>
            </w:r>
          </w:p>
        </w:tc>
      </w:tr>
      <w:tr w:rsidR="00BC369C" w:rsidRPr="009C19C5" w14:paraId="39640A5C" w14:textId="77777777" w:rsidTr="00694C70">
        <w:trPr>
          <w:trHeight w:val="237"/>
          <w:tblHeader/>
        </w:trPr>
        <w:tc>
          <w:tcPr>
            <w:tcW w:w="11474" w:type="dxa"/>
            <w:shd w:val="clear" w:color="auto" w:fill="auto"/>
            <w:vAlign w:val="center"/>
          </w:tcPr>
          <w:p w14:paraId="0FE3206E" w14:textId="77777777" w:rsidR="00BC369C" w:rsidRPr="009C19C5" w:rsidRDefault="00BC369C" w:rsidP="00694C70">
            <w:pPr>
              <w:spacing w:after="0" w:line="240" w:lineRule="auto"/>
              <w:rPr>
                <w:rFonts w:ascii="Times New Roman" w:eastAsia="Times New Roman" w:hAnsi="Times New Roman" w:cs="Times New Roman"/>
                <w:color w:val="000000"/>
                <w:kern w:val="0"/>
                <w:sz w:val="20"/>
                <w:szCs w:val="20"/>
                <w:lang w:val="sr-Cyrl-RS" w:eastAsia="el-GR"/>
              </w:rPr>
            </w:pPr>
            <w:r w:rsidRPr="009C19C5">
              <w:rPr>
                <w:rFonts w:ascii="Times New Roman" w:hAnsi="Times New Roman" w:cs="Times New Roman"/>
                <w:sz w:val="20"/>
                <w:szCs w:val="20"/>
                <w:lang w:val="sr-Cyrl-RS"/>
              </w:rPr>
              <w:t>Укључивање праведне транзиције у стратешка и планска документа</w:t>
            </w:r>
          </w:p>
        </w:tc>
        <w:tc>
          <w:tcPr>
            <w:tcW w:w="1703" w:type="dxa"/>
            <w:shd w:val="clear" w:color="auto" w:fill="auto"/>
            <w:noWrap/>
            <w:vAlign w:val="center"/>
          </w:tcPr>
          <w:p w14:paraId="175FCF11" w14:textId="77777777" w:rsidR="00BC369C" w:rsidRPr="009C19C5" w:rsidRDefault="00BC369C" w:rsidP="00694C70">
            <w:pPr>
              <w:spacing w:after="0" w:line="240" w:lineRule="auto"/>
              <w:jc w:val="center"/>
              <w:rPr>
                <w:rFonts w:ascii="Times New Roman" w:eastAsia="Times New Roman" w:hAnsi="Times New Roman" w:cs="Times New Roman"/>
                <w:color w:val="000000"/>
                <w:kern w:val="0"/>
                <w:sz w:val="20"/>
                <w:szCs w:val="20"/>
                <w:lang w:val="sr-Cyrl-RS" w:eastAsia="el-GR"/>
              </w:rPr>
            </w:pPr>
            <w:r w:rsidRPr="009C19C5">
              <w:rPr>
                <w:rFonts w:ascii="Times New Roman" w:eastAsia="Times New Roman" w:hAnsi="Times New Roman" w:cs="Times New Roman"/>
                <w:color w:val="000000"/>
                <w:kern w:val="0"/>
                <w:sz w:val="20"/>
                <w:szCs w:val="20"/>
                <w:lang w:val="sr-Cyrl-RS" w:eastAsia="el-GR"/>
              </w:rPr>
              <w:t>01/09/2025</w:t>
            </w:r>
          </w:p>
        </w:tc>
        <w:tc>
          <w:tcPr>
            <w:tcW w:w="1962" w:type="dxa"/>
            <w:shd w:val="clear" w:color="auto" w:fill="auto"/>
            <w:noWrap/>
            <w:vAlign w:val="center"/>
          </w:tcPr>
          <w:p w14:paraId="51976E01" w14:textId="77777777" w:rsidR="00BC369C" w:rsidRPr="009C19C5" w:rsidRDefault="00BC369C" w:rsidP="00694C70">
            <w:pPr>
              <w:spacing w:after="0" w:line="240" w:lineRule="auto"/>
              <w:jc w:val="center"/>
              <w:rPr>
                <w:rFonts w:ascii="Times New Roman" w:eastAsia="Times New Roman" w:hAnsi="Times New Roman" w:cs="Times New Roman"/>
                <w:color w:val="000000"/>
                <w:kern w:val="0"/>
                <w:sz w:val="20"/>
                <w:szCs w:val="20"/>
                <w:lang w:val="sr-Cyrl-RS" w:eastAsia="el-GR"/>
              </w:rPr>
            </w:pPr>
            <w:r w:rsidRPr="009C19C5">
              <w:rPr>
                <w:rFonts w:ascii="Times New Roman" w:eastAsia="Times New Roman" w:hAnsi="Times New Roman" w:cs="Times New Roman"/>
                <w:color w:val="000000"/>
                <w:kern w:val="0"/>
                <w:sz w:val="20"/>
                <w:szCs w:val="20"/>
                <w:lang w:val="sr-Cyrl-RS" w:eastAsia="el-GR"/>
              </w:rPr>
              <w:t>31/12/2027</w:t>
            </w:r>
          </w:p>
        </w:tc>
      </w:tr>
      <w:tr w:rsidR="00BC369C" w:rsidRPr="009C19C5" w14:paraId="6A818969" w14:textId="77777777" w:rsidTr="00694C70">
        <w:trPr>
          <w:trHeight w:val="522"/>
          <w:tblHeader/>
        </w:trPr>
        <w:tc>
          <w:tcPr>
            <w:tcW w:w="11474" w:type="dxa"/>
            <w:shd w:val="clear" w:color="auto" w:fill="auto"/>
            <w:vAlign w:val="center"/>
          </w:tcPr>
          <w:p w14:paraId="4DEE37C6" w14:textId="77777777" w:rsidR="00BC369C" w:rsidRPr="009C19C5" w:rsidRDefault="00BC369C" w:rsidP="00694C70">
            <w:pPr>
              <w:spacing w:after="0" w:line="240" w:lineRule="auto"/>
              <w:rPr>
                <w:rFonts w:ascii="Times New Roman" w:eastAsia="Times New Roman" w:hAnsi="Times New Roman" w:cs="Times New Roman"/>
                <w:color w:val="000000"/>
                <w:kern w:val="0"/>
                <w:sz w:val="20"/>
                <w:szCs w:val="20"/>
                <w:lang w:val="sr-Cyrl-RS" w:eastAsia="el-GR"/>
              </w:rPr>
            </w:pPr>
            <w:r w:rsidRPr="009C19C5">
              <w:rPr>
                <w:rFonts w:ascii="Times New Roman" w:hAnsi="Times New Roman" w:cs="Times New Roman"/>
                <w:sz w:val="20"/>
                <w:szCs w:val="20"/>
                <w:lang w:val="sr-Cyrl-RS"/>
              </w:rPr>
              <w:t>Циљане активности подизања свести усмерене ка свим заинтересованим странама/циљним групама идентификованим у Плану ангажовања заинтересованих страна</w:t>
            </w:r>
          </w:p>
        </w:tc>
        <w:tc>
          <w:tcPr>
            <w:tcW w:w="1703" w:type="dxa"/>
            <w:shd w:val="clear" w:color="auto" w:fill="auto"/>
            <w:noWrap/>
            <w:vAlign w:val="center"/>
          </w:tcPr>
          <w:p w14:paraId="46DE844A" w14:textId="77777777" w:rsidR="00BC369C" w:rsidRPr="009C19C5" w:rsidRDefault="00BC369C" w:rsidP="00694C70">
            <w:pPr>
              <w:spacing w:after="0" w:line="240" w:lineRule="auto"/>
              <w:jc w:val="center"/>
              <w:rPr>
                <w:rFonts w:ascii="Times New Roman" w:eastAsia="Times New Roman" w:hAnsi="Times New Roman" w:cs="Times New Roman"/>
                <w:color w:val="000000"/>
                <w:kern w:val="0"/>
                <w:sz w:val="20"/>
                <w:szCs w:val="20"/>
                <w:lang w:val="sr-Cyrl-RS" w:eastAsia="el-GR"/>
              </w:rPr>
            </w:pPr>
            <w:r w:rsidRPr="009C19C5">
              <w:rPr>
                <w:rFonts w:ascii="Times New Roman" w:eastAsia="Times New Roman" w:hAnsi="Times New Roman" w:cs="Times New Roman"/>
                <w:color w:val="000000"/>
                <w:kern w:val="0"/>
                <w:sz w:val="20"/>
                <w:szCs w:val="20"/>
                <w:lang w:val="sr-Cyrl-RS" w:eastAsia="el-GR"/>
              </w:rPr>
              <w:t>01/09/2025</w:t>
            </w:r>
          </w:p>
        </w:tc>
        <w:tc>
          <w:tcPr>
            <w:tcW w:w="1962" w:type="dxa"/>
            <w:shd w:val="clear" w:color="auto" w:fill="auto"/>
            <w:noWrap/>
            <w:vAlign w:val="center"/>
          </w:tcPr>
          <w:p w14:paraId="6185F129" w14:textId="77777777" w:rsidR="00BC369C" w:rsidRPr="009C19C5" w:rsidRDefault="00BC369C" w:rsidP="00694C70">
            <w:pPr>
              <w:spacing w:after="0" w:line="240" w:lineRule="auto"/>
              <w:jc w:val="center"/>
              <w:rPr>
                <w:rFonts w:ascii="Times New Roman" w:eastAsia="Times New Roman" w:hAnsi="Times New Roman" w:cs="Times New Roman"/>
                <w:color w:val="000000"/>
                <w:kern w:val="0"/>
                <w:sz w:val="20"/>
                <w:szCs w:val="20"/>
                <w:lang w:val="sr-Cyrl-RS" w:eastAsia="el-GR"/>
              </w:rPr>
            </w:pPr>
            <w:r w:rsidRPr="009C19C5">
              <w:rPr>
                <w:rFonts w:ascii="Times New Roman" w:eastAsia="Times New Roman" w:hAnsi="Times New Roman" w:cs="Times New Roman"/>
                <w:color w:val="000000"/>
                <w:kern w:val="0"/>
                <w:sz w:val="20"/>
                <w:szCs w:val="20"/>
                <w:lang w:val="sr-Cyrl-RS" w:eastAsia="el-GR"/>
              </w:rPr>
              <w:t>31/12/2030</w:t>
            </w:r>
          </w:p>
        </w:tc>
      </w:tr>
      <w:tr w:rsidR="00BC369C" w:rsidRPr="009C19C5" w14:paraId="5B55F2BE" w14:textId="77777777" w:rsidTr="00694C70">
        <w:trPr>
          <w:trHeight w:val="300"/>
          <w:tblHeader/>
        </w:trPr>
        <w:tc>
          <w:tcPr>
            <w:tcW w:w="11474" w:type="dxa"/>
            <w:shd w:val="clear" w:color="auto" w:fill="auto"/>
            <w:vAlign w:val="center"/>
          </w:tcPr>
          <w:p w14:paraId="068160FB" w14:textId="77777777" w:rsidR="00BC369C" w:rsidRPr="009C19C5" w:rsidRDefault="00BC369C" w:rsidP="00694C70">
            <w:pPr>
              <w:spacing w:after="0" w:line="240" w:lineRule="auto"/>
              <w:rPr>
                <w:rFonts w:ascii="Times New Roman" w:eastAsia="Times New Roman" w:hAnsi="Times New Roman" w:cs="Times New Roman"/>
                <w:color w:val="000000"/>
                <w:kern w:val="0"/>
                <w:sz w:val="20"/>
                <w:szCs w:val="20"/>
                <w:lang w:val="sr-Cyrl-RS" w:eastAsia="el-GR"/>
              </w:rPr>
            </w:pPr>
            <w:r w:rsidRPr="009C19C5">
              <w:rPr>
                <w:rFonts w:ascii="Times New Roman" w:hAnsi="Times New Roman" w:cs="Times New Roman"/>
                <w:sz w:val="20"/>
                <w:szCs w:val="20"/>
                <w:lang w:val="sr-Cyrl-RS"/>
              </w:rPr>
              <w:t>Национални стратешки план за зелене вештине</w:t>
            </w:r>
          </w:p>
        </w:tc>
        <w:tc>
          <w:tcPr>
            <w:tcW w:w="1703" w:type="dxa"/>
            <w:shd w:val="clear" w:color="auto" w:fill="auto"/>
            <w:noWrap/>
            <w:vAlign w:val="center"/>
          </w:tcPr>
          <w:p w14:paraId="2C723CE0" w14:textId="77777777" w:rsidR="00BC369C" w:rsidRPr="009C19C5" w:rsidRDefault="00BC369C" w:rsidP="00694C70">
            <w:pPr>
              <w:spacing w:after="0" w:line="240" w:lineRule="auto"/>
              <w:jc w:val="center"/>
              <w:rPr>
                <w:rFonts w:ascii="Times New Roman" w:eastAsia="Times New Roman" w:hAnsi="Times New Roman" w:cs="Times New Roman"/>
                <w:color w:val="000000"/>
                <w:kern w:val="0"/>
                <w:sz w:val="20"/>
                <w:szCs w:val="20"/>
                <w:lang w:val="sr-Cyrl-RS" w:eastAsia="el-GR"/>
              </w:rPr>
            </w:pPr>
            <w:r w:rsidRPr="009C19C5">
              <w:rPr>
                <w:rFonts w:ascii="Times New Roman" w:eastAsia="Times New Roman" w:hAnsi="Times New Roman" w:cs="Times New Roman"/>
                <w:color w:val="000000"/>
                <w:kern w:val="0"/>
                <w:sz w:val="20"/>
                <w:szCs w:val="20"/>
                <w:lang w:val="sr-Cyrl-RS" w:eastAsia="el-GR"/>
              </w:rPr>
              <w:t>01/01/2026</w:t>
            </w:r>
          </w:p>
        </w:tc>
        <w:tc>
          <w:tcPr>
            <w:tcW w:w="1962" w:type="dxa"/>
            <w:shd w:val="clear" w:color="auto" w:fill="auto"/>
            <w:noWrap/>
            <w:vAlign w:val="center"/>
          </w:tcPr>
          <w:p w14:paraId="35961FFD" w14:textId="77777777" w:rsidR="00BC369C" w:rsidRPr="009C19C5" w:rsidRDefault="00BC369C" w:rsidP="00694C70">
            <w:pPr>
              <w:spacing w:after="0" w:line="240" w:lineRule="auto"/>
              <w:jc w:val="center"/>
              <w:rPr>
                <w:rFonts w:ascii="Times New Roman" w:eastAsia="Times New Roman" w:hAnsi="Times New Roman" w:cs="Times New Roman"/>
                <w:color w:val="000000"/>
                <w:kern w:val="0"/>
                <w:sz w:val="20"/>
                <w:szCs w:val="20"/>
                <w:lang w:val="sr-Cyrl-RS" w:eastAsia="el-GR"/>
              </w:rPr>
            </w:pPr>
            <w:r w:rsidRPr="009C19C5">
              <w:rPr>
                <w:rFonts w:ascii="Times New Roman" w:eastAsia="Times New Roman" w:hAnsi="Times New Roman" w:cs="Times New Roman"/>
                <w:color w:val="000000"/>
                <w:kern w:val="0"/>
                <w:sz w:val="20"/>
                <w:szCs w:val="20"/>
                <w:lang w:val="sr-Cyrl-RS" w:eastAsia="el-GR"/>
              </w:rPr>
              <w:t>31/12/2027</w:t>
            </w:r>
          </w:p>
        </w:tc>
      </w:tr>
      <w:tr w:rsidR="00BC369C" w:rsidRPr="009C19C5" w14:paraId="1C8671EE" w14:textId="77777777" w:rsidTr="00694C70">
        <w:trPr>
          <w:trHeight w:val="698"/>
          <w:tblHeader/>
        </w:trPr>
        <w:tc>
          <w:tcPr>
            <w:tcW w:w="11474" w:type="dxa"/>
            <w:shd w:val="clear" w:color="auto" w:fill="auto"/>
            <w:vAlign w:val="center"/>
          </w:tcPr>
          <w:p w14:paraId="0B4E47F5" w14:textId="77777777" w:rsidR="00BC369C" w:rsidRPr="009C19C5" w:rsidRDefault="00BC369C" w:rsidP="00694C70">
            <w:pPr>
              <w:spacing w:after="0" w:line="240" w:lineRule="auto"/>
              <w:rPr>
                <w:rFonts w:ascii="Times New Roman" w:eastAsia="Times New Roman" w:hAnsi="Times New Roman" w:cs="Times New Roman"/>
                <w:color w:val="000000"/>
                <w:kern w:val="0"/>
                <w:sz w:val="20"/>
                <w:szCs w:val="20"/>
                <w:lang w:val="sr-Cyrl-RS" w:eastAsia="el-GR"/>
              </w:rPr>
            </w:pPr>
            <w:r w:rsidRPr="009C19C5">
              <w:rPr>
                <w:rFonts w:ascii="Times New Roman" w:hAnsi="Times New Roman" w:cs="Times New Roman"/>
                <w:sz w:val="20"/>
                <w:szCs w:val="20"/>
                <w:lang w:val="sr-Cyrl-RS"/>
              </w:rPr>
              <w:t>Истраживање алтернативних опција и њихових утицаја у погледу просторног планирања, коришћења и расподеле рехабилитованог земљишта, привлачења и олакшавања приступа инвеститорима, учешћа у шемама јавно-приватног партнерства и тендерским процедурама</w:t>
            </w:r>
          </w:p>
        </w:tc>
        <w:tc>
          <w:tcPr>
            <w:tcW w:w="1703" w:type="dxa"/>
            <w:shd w:val="clear" w:color="auto" w:fill="auto"/>
            <w:noWrap/>
            <w:vAlign w:val="center"/>
          </w:tcPr>
          <w:p w14:paraId="552B28D1" w14:textId="77777777" w:rsidR="00BC369C" w:rsidRPr="009C19C5" w:rsidRDefault="00BC369C" w:rsidP="00694C70">
            <w:pPr>
              <w:spacing w:after="0" w:line="240" w:lineRule="auto"/>
              <w:jc w:val="center"/>
              <w:rPr>
                <w:rFonts w:ascii="Times New Roman" w:eastAsia="Times New Roman" w:hAnsi="Times New Roman" w:cs="Times New Roman"/>
                <w:color w:val="000000"/>
                <w:kern w:val="0"/>
                <w:sz w:val="20"/>
                <w:szCs w:val="20"/>
                <w:lang w:val="sr-Cyrl-RS" w:eastAsia="el-GR"/>
              </w:rPr>
            </w:pPr>
            <w:r w:rsidRPr="009C19C5">
              <w:rPr>
                <w:rFonts w:ascii="Times New Roman" w:eastAsia="Times New Roman" w:hAnsi="Times New Roman" w:cs="Times New Roman"/>
                <w:color w:val="000000"/>
                <w:kern w:val="0"/>
                <w:sz w:val="20"/>
                <w:szCs w:val="20"/>
                <w:lang w:val="sr-Cyrl-RS" w:eastAsia="el-GR"/>
              </w:rPr>
              <w:t>01/09/2025</w:t>
            </w:r>
          </w:p>
        </w:tc>
        <w:tc>
          <w:tcPr>
            <w:tcW w:w="1962" w:type="dxa"/>
            <w:shd w:val="clear" w:color="auto" w:fill="auto"/>
            <w:noWrap/>
            <w:vAlign w:val="center"/>
          </w:tcPr>
          <w:p w14:paraId="73C9B735" w14:textId="77777777" w:rsidR="00BC369C" w:rsidRPr="009C19C5" w:rsidRDefault="00BC369C" w:rsidP="00694C70">
            <w:pPr>
              <w:spacing w:after="0" w:line="240" w:lineRule="auto"/>
              <w:jc w:val="center"/>
              <w:rPr>
                <w:rFonts w:ascii="Times New Roman" w:eastAsia="Times New Roman" w:hAnsi="Times New Roman" w:cs="Times New Roman"/>
                <w:color w:val="000000"/>
                <w:kern w:val="0"/>
                <w:sz w:val="20"/>
                <w:szCs w:val="20"/>
                <w:lang w:val="sr-Cyrl-RS" w:eastAsia="el-GR"/>
              </w:rPr>
            </w:pPr>
            <w:r w:rsidRPr="009C19C5">
              <w:rPr>
                <w:rFonts w:ascii="Times New Roman" w:eastAsia="Times New Roman" w:hAnsi="Times New Roman" w:cs="Times New Roman"/>
                <w:color w:val="000000"/>
                <w:kern w:val="0"/>
                <w:sz w:val="20"/>
                <w:szCs w:val="20"/>
                <w:lang w:val="sr-Cyrl-RS" w:eastAsia="el-GR"/>
              </w:rPr>
              <w:t>30/06/2026</w:t>
            </w:r>
          </w:p>
        </w:tc>
      </w:tr>
      <w:tr w:rsidR="00BC369C" w:rsidRPr="009C19C5" w14:paraId="24B916E6" w14:textId="77777777" w:rsidTr="00694C70">
        <w:trPr>
          <w:trHeight w:val="534"/>
          <w:tblHeader/>
        </w:trPr>
        <w:tc>
          <w:tcPr>
            <w:tcW w:w="11474" w:type="dxa"/>
            <w:shd w:val="clear" w:color="auto" w:fill="auto"/>
            <w:vAlign w:val="center"/>
          </w:tcPr>
          <w:p w14:paraId="6CCD6CBC" w14:textId="77777777" w:rsidR="00BC369C" w:rsidRPr="009C19C5" w:rsidRDefault="00BC369C" w:rsidP="00694C70">
            <w:pPr>
              <w:spacing w:after="0" w:line="240" w:lineRule="auto"/>
              <w:rPr>
                <w:rFonts w:ascii="Times New Roman" w:eastAsia="Times New Roman" w:hAnsi="Times New Roman" w:cs="Times New Roman"/>
                <w:color w:val="000000"/>
                <w:kern w:val="0"/>
                <w:sz w:val="20"/>
                <w:szCs w:val="20"/>
                <w:lang w:val="sr-Cyrl-RS" w:eastAsia="el-GR"/>
              </w:rPr>
            </w:pPr>
            <w:r w:rsidRPr="009C19C5">
              <w:rPr>
                <w:rFonts w:ascii="Times New Roman" w:hAnsi="Times New Roman" w:cs="Times New Roman"/>
                <w:sz w:val="20"/>
                <w:szCs w:val="20"/>
                <w:lang w:val="sr-Cyrl-RS"/>
              </w:rPr>
              <w:t xml:space="preserve">Израда Анализе структуре запослених (потенцијалних вишкова) и потреба за запошљавањем на локалном тржишту рада (уз могућност сагледавања могућих </w:t>
            </w:r>
            <w:r w:rsidRPr="009C19C5">
              <w:rPr>
                <w:rFonts w:ascii="Times New Roman" w:hAnsi="Times New Roman" w:cs="Times New Roman"/>
                <w:kern w:val="0"/>
                <w:sz w:val="20"/>
                <w:szCs w:val="20"/>
                <w:lang w:val="sr-Cyrl-RS"/>
              </w:rPr>
              <w:t>посебних мера за децу из погођених породица)</w:t>
            </w:r>
          </w:p>
        </w:tc>
        <w:tc>
          <w:tcPr>
            <w:tcW w:w="1703" w:type="dxa"/>
            <w:shd w:val="clear" w:color="auto" w:fill="auto"/>
            <w:noWrap/>
            <w:vAlign w:val="center"/>
          </w:tcPr>
          <w:p w14:paraId="1FD147C2" w14:textId="77777777" w:rsidR="00BC369C" w:rsidRPr="009C19C5" w:rsidRDefault="00BC369C" w:rsidP="00694C70">
            <w:pPr>
              <w:spacing w:after="0" w:line="240" w:lineRule="auto"/>
              <w:jc w:val="center"/>
              <w:rPr>
                <w:rFonts w:ascii="Times New Roman" w:eastAsia="Times New Roman" w:hAnsi="Times New Roman" w:cs="Times New Roman"/>
                <w:color w:val="000000"/>
                <w:kern w:val="0"/>
                <w:sz w:val="20"/>
                <w:szCs w:val="20"/>
                <w:lang w:val="sr-Cyrl-RS" w:eastAsia="el-GR"/>
              </w:rPr>
            </w:pPr>
            <w:r w:rsidRPr="009C19C5">
              <w:rPr>
                <w:rFonts w:ascii="Times New Roman" w:eastAsia="Times New Roman" w:hAnsi="Times New Roman" w:cs="Times New Roman"/>
                <w:color w:val="000000"/>
                <w:kern w:val="0"/>
                <w:sz w:val="20"/>
                <w:szCs w:val="20"/>
                <w:lang w:val="sr-Cyrl-RS" w:eastAsia="el-GR"/>
              </w:rPr>
              <w:t>01/01/2027</w:t>
            </w:r>
          </w:p>
        </w:tc>
        <w:tc>
          <w:tcPr>
            <w:tcW w:w="1962" w:type="dxa"/>
            <w:shd w:val="clear" w:color="auto" w:fill="auto"/>
            <w:noWrap/>
            <w:vAlign w:val="center"/>
          </w:tcPr>
          <w:p w14:paraId="3ABAA0D6" w14:textId="77777777" w:rsidR="00BC369C" w:rsidRPr="009C19C5" w:rsidRDefault="00BC369C" w:rsidP="00694C70">
            <w:pPr>
              <w:spacing w:after="0" w:line="240" w:lineRule="auto"/>
              <w:jc w:val="center"/>
              <w:rPr>
                <w:rFonts w:ascii="Times New Roman" w:eastAsia="Times New Roman" w:hAnsi="Times New Roman" w:cs="Times New Roman"/>
                <w:color w:val="000000"/>
                <w:kern w:val="0"/>
                <w:sz w:val="20"/>
                <w:szCs w:val="20"/>
                <w:lang w:val="sr-Cyrl-RS" w:eastAsia="el-GR"/>
              </w:rPr>
            </w:pPr>
            <w:r w:rsidRPr="009C19C5">
              <w:rPr>
                <w:rFonts w:ascii="Times New Roman" w:eastAsia="Times New Roman" w:hAnsi="Times New Roman" w:cs="Times New Roman"/>
                <w:color w:val="000000"/>
                <w:kern w:val="0"/>
                <w:sz w:val="20"/>
                <w:szCs w:val="20"/>
                <w:lang w:val="sr-Cyrl-RS" w:eastAsia="el-GR"/>
              </w:rPr>
              <w:t>01/01/2029</w:t>
            </w:r>
          </w:p>
        </w:tc>
      </w:tr>
      <w:tr w:rsidR="00BC369C" w:rsidRPr="009C19C5" w14:paraId="2D0EBF10" w14:textId="77777777" w:rsidTr="00694C70">
        <w:trPr>
          <w:trHeight w:val="492"/>
          <w:tblHeader/>
        </w:trPr>
        <w:tc>
          <w:tcPr>
            <w:tcW w:w="11474" w:type="dxa"/>
            <w:shd w:val="clear" w:color="auto" w:fill="auto"/>
            <w:vAlign w:val="center"/>
          </w:tcPr>
          <w:p w14:paraId="6BB03145" w14:textId="77777777" w:rsidR="00BC369C" w:rsidRPr="009C19C5" w:rsidRDefault="00BC369C" w:rsidP="00694C70">
            <w:pPr>
              <w:spacing w:after="0" w:line="240" w:lineRule="auto"/>
              <w:rPr>
                <w:rFonts w:ascii="Times New Roman" w:eastAsia="Times New Roman" w:hAnsi="Times New Roman" w:cs="Times New Roman"/>
                <w:color w:val="000000"/>
                <w:kern w:val="0"/>
                <w:sz w:val="20"/>
                <w:szCs w:val="20"/>
                <w:lang w:val="sr-Cyrl-RS" w:eastAsia="el-GR"/>
              </w:rPr>
            </w:pPr>
            <w:r w:rsidRPr="009C19C5">
              <w:rPr>
                <w:rFonts w:ascii="Times New Roman" w:hAnsi="Times New Roman" w:cs="Times New Roman"/>
                <w:sz w:val="20"/>
                <w:szCs w:val="20"/>
                <w:lang w:val="sr-Cyrl-RS"/>
              </w:rPr>
              <w:t>Истраживање мера за реинтеграцију на тржиште рада вишкова запослених, на основу налаза Анализе структуре запослених (потенцијалних вишкова) и потреба за запошљавањем на локалном тржишту рада</w:t>
            </w:r>
          </w:p>
        </w:tc>
        <w:tc>
          <w:tcPr>
            <w:tcW w:w="1703" w:type="dxa"/>
            <w:shd w:val="clear" w:color="auto" w:fill="auto"/>
            <w:noWrap/>
            <w:vAlign w:val="center"/>
          </w:tcPr>
          <w:p w14:paraId="615F1B5A" w14:textId="77777777" w:rsidR="00BC369C" w:rsidRPr="009C19C5" w:rsidRDefault="00BC369C" w:rsidP="00694C70">
            <w:pPr>
              <w:spacing w:after="0" w:line="240" w:lineRule="auto"/>
              <w:jc w:val="center"/>
              <w:rPr>
                <w:rFonts w:ascii="Times New Roman" w:eastAsia="Times New Roman" w:hAnsi="Times New Roman" w:cs="Times New Roman"/>
                <w:color w:val="000000"/>
                <w:kern w:val="0"/>
                <w:sz w:val="20"/>
                <w:szCs w:val="20"/>
                <w:lang w:val="sr-Cyrl-RS" w:eastAsia="el-GR"/>
              </w:rPr>
            </w:pPr>
            <w:r w:rsidRPr="009C19C5">
              <w:rPr>
                <w:rFonts w:ascii="Times New Roman" w:eastAsia="Times New Roman" w:hAnsi="Times New Roman" w:cs="Times New Roman"/>
                <w:color w:val="000000"/>
                <w:kern w:val="0"/>
                <w:sz w:val="20"/>
                <w:szCs w:val="20"/>
                <w:lang w:val="sr-Cyrl-RS" w:eastAsia="el-GR"/>
              </w:rPr>
              <w:t>01/01/2028</w:t>
            </w:r>
          </w:p>
        </w:tc>
        <w:tc>
          <w:tcPr>
            <w:tcW w:w="1962" w:type="dxa"/>
            <w:shd w:val="clear" w:color="auto" w:fill="auto"/>
            <w:noWrap/>
            <w:vAlign w:val="center"/>
          </w:tcPr>
          <w:p w14:paraId="18A92C21" w14:textId="77777777" w:rsidR="00BC369C" w:rsidRPr="009C19C5" w:rsidRDefault="00BC369C" w:rsidP="00694C70">
            <w:pPr>
              <w:spacing w:after="0" w:line="240" w:lineRule="auto"/>
              <w:jc w:val="center"/>
              <w:rPr>
                <w:rFonts w:ascii="Times New Roman" w:eastAsia="Times New Roman" w:hAnsi="Times New Roman" w:cs="Times New Roman"/>
                <w:color w:val="000000"/>
                <w:kern w:val="0"/>
                <w:sz w:val="20"/>
                <w:szCs w:val="20"/>
                <w:lang w:val="sr-Cyrl-RS" w:eastAsia="el-GR"/>
              </w:rPr>
            </w:pPr>
            <w:r w:rsidRPr="009C19C5">
              <w:rPr>
                <w:rFonts w:ascii="Times New Roman" w:eastAsia="Times New Roman" w:hAnsi="Times New Roman" w:cs="Times New Roman"/>
                <w:color w:val="000000"/>
                <w:kern w:val="0"/>
                <w:sz w:val="20"/>
                <w:szCs w:val="20"/>
                <w:lang w:val="sr-Cyrl-RS" w:eastAsia="el-GR"/>
              </w:rPr>
              <w:t>01/01/2030</w:t>
            </w:r>
          </w:p>
        </w:tc>
      </w:tr>
      <w:tr w:rsidR="00BC369C" w:rsidRPr="009C19C5" w14:paraId="18C950AE" w14:textId="77777777" w:rsidTr="00694C70">
        <w:trPr>
          <w:trHeight w:val="325"/>
          <w:tblHeader/>
        </w:trPr>
        <w:tc>
          <w:tcPr>
            <w:tcW w:w="11474" w:type="dxa"/>
            <w:shd w:val="clear" w:color="auto" w:fill="auto"/>
            <w:vAlign w:val="center"/>
          </w:tcPr>
          <w:p w14:paraId="29C490D2" w14:textId="77777777" w:rsidR="00BC369C" w:rsidRPr="009C19C5" w:rsidRDefault="00BC369C" w:rsidP="00694C70">
            <w:pPr>
              <w:spacing w:after="0" w:line="240" w:lineRule="auto"/>
              <w:rPr>
                <w:rFonts w:ascii="Times New Roman" w:eastAsia="Times New Roman" w:hAnsi="Times New Roman" w:cs="Times New Roman"/>
                <w:color w:val="000000"/>
                <w:kern w:val="0"/>
                <w:sz w:val="20"/>
                <w:szCs w:val="20"/>
                <w:lang w:val="sr-Cyrl-RS" w:eastAsia="el-GR"/>
              </w:rPr>
            </w:pPr>
            <w:r w:rsidRPr="009C19C5">
              <w:rPr>
                <w:rFonts w:ascii="Times New Roman" w:hAnsi="Times New Roman" w:cs="Times New Roman"/>
                <w:sz w:val="20"/>
                <w:szCs w:val="20"/>
                <w:lang w:val="sr-Cyrl-RS"/>
              </w:rPr>
              <w:t>План прерасподеле за раднике у компанијама у ланцу вредности производње енергије из угља</w:t>
            </w:r>
          </w:p>
        </w:tc>
        <w:tc>
          <w:tcPr>
            <w:tcW w:w="1703" w:type="dxa"/>
            <w:shd w:val="clear" w:color="auto" w:fill="auto"/>
            <w:noWrap/>
            <w:vAlign w:val="center"/>
          </w:tcPr>
          <w:p w14:paraId="74F4911E" w14:textId="4EFD0DDA" w:rsidR="00BC369C" w:rsidRPr="009C19C5" w:rsidRDefault="00BC369C" w:rsidP="00694C70">
            <w:pPr>
              <w:spacing w:after="0" w:line="240" w:lineRule="auto"/>
              <w:jc w:val="center"/>
              <w:rPr>
                <w:rFonts w:ascii="Times New Roman" w:eastAsia="Times New Roman" w:hAnsi="Times New Roman" w:cs="Times New Roman"/>
                <w:color w:val="000000"/>
                <w:kern w:val="0"/>
                <w:sz w:val="20"/>
                <w:szCs w:val="20"/>
                <w:lang w:val="sr-Cyrl-RS" w:eastAsia="el-GR"/>
              </w:rPr>
            </w:pPr>
            <w:r w:rsidRPr="009C19C5">
              <w:rPr>
                <w:rFonts w:ascii="Times New Roman" w:eastAsia="Times New Roman" w:hAnsi="Times New Roman" w:cs="Times New Roman"/>
                <w:color w:val="000000"/>
                <w:kern w:val="0"/>
                <w:sz w:val="20"/>
                <w:szCs w:val="20"/>
                <w:lang w:val="sr-Cyrl-RS" w:eastAsia="el-GR"/>
              </w:rPr>
              <w:t>01/</w:t>
            </w:r>
            <w:r w:rsidR="00E4418D">
              <w:rPr>
                <w:rFonts w:ascii="Times New Roman" w:eastAsia="Times New Roman" w:hAnsi="Times New Roman" w:cs="Times New Roman"/>
                <w:color w:val="000000"/>
                <w:kern w:val="0"/>
                <w:sz w:val="20"/>
                <w:szCs w:val="20"/>
                <w:lang w:val="en-US" w:eastAsia="el-GR"/>
              </w:rPr>
              <w:t>0</w:t>
            </w:r>
            <w:r w:rsidRPr="009C19C5">
              <w:rPr>
                <w:rFonts w:ascii="Times New Roman" w:eastAsia="Times New Roman" w:hAnsi="Times New Roman" w:cs="Times New Roman"/>
                <w:color w:val="000000"/>
                <w:kern w:val="0"/>
                <w:sz w:val="20"/>
                <w:szCs w:val="20"/>
                <w:lang w:val="sr-Cyrl-RS" w:eastAsia="el-GR"/>
              </w:rPr>
              <w:t>9/2025</w:t>
            </w:r>
          </w:p>
        </w:tc>
        <w:tc>
          <w:tcPr>
            <w:tcW w:w="1962" w:type="dxa"/>
            <w:shd w:val="clear" w:color="auto" w:fill="auto"/>
            <w:noWrap/>
            <w:vAlign w:val="center"/>
          </w:tcPr>
          <w:p w14:paraId="65701B04" w14:textId="77777777" w:rsidR="00BC369C" w:rsidRPr="009C19C5" w:rsidRDefault="00BC369C" w:rsidP="00694C70">
            <w:pPr>
              <w:spacing w:after="0" w:line="240" w:lineRule="auto"/>
              <w:jc w:val="center"/>
              <w:rPr>
                <w:rFonts w:ascii="Times New Roman" w:eastAsia="Times New Roman" w:hAnsi="Times New Roman" w:cs="Times New Roman"/>
                <w:color w:val="000000"/>
                <w:kern w:val="0"/>
                <w:sz w:val="20"/>
                <w:szCs w:val="20"/>
                <w:lang w:val="sr-Cyrl-RS" w:eastAsia="el-GR"/>
              </w:rPr>
            </w:pPr>
            <w:r w:rsidRPr="009C19C5">
              <w:rPr>
                <w:rFonts w:ascii="Times New Roman" w:eastAsia="Times New Roman" w:hAnsi="Times New Roman" w:cs="Times New Roman"/>
                <w:color w:val="000000"/>
                <w:kern w:val="0"/>
                <w:sz w:val="20"/>
                <w:szCs w:val="20"/>
                <w:lang w:val="sr-Cyrl-RS" w:eastAsia="el-GR"/>
              </w:rPr>
              <w:t>31/03/2027</w:t>
            </w:r>
          </w:p>
        </w:tc>
      </w:tr>
      <w:tr w:rsidR="00BC369C" w:rsidRPr="009C19C5" w14:paraId="45D401A5" w14:textId="77777777" w:rsidTr="00694C70">
        <w:trPr>
          <w:trHeight w:val="503"/>
          <w:tblHeader/>
        </w:trPr>
        <w:tc>
          <w:tcPr>
            <w:tcW w:w="11474" w:type="dxa"/>
            <w:shd w:val="clear" w:color="auto" w:fill="auto"/>
            <w:vAlign w:val="center"/>
          </w:tcPr>
          <w:p w14:paraId="7E28F015" w14:textId="77777777" w:rsidR="00BC369C" w:rsidRPr="009C19C5" w:rsidRDefault="00BC369C" w:rsidP="00694C70">
            <w:pPr>
              <w:spacing w:after="0" w:line="240" w:lineRule="auto"/>
              <w:rPr>
                <w:rFonts w:ascii="Times New Roman" w:eastAsia="Times New Roman" w:hAnsi="Times New Roman" w:cs="Times New Roman"/>
                <w:color w:val="000000"/>
                <w:kern w:val="0"/>
                <w:sz w:val="20"/>
                <w:szCs w:val="20"/>
                <w:lang w:val="sr-Cyrl-RS" w:eastAsia="el-GR"/>
              </w:rPr>
            </w:pPr>
            <w:r w:rsidRPr="009C19C5">
              <w:rPr>
                <w:rFonts w:ascii="Times New Roman" w:eastAsia="Times New Roman" w:hAnsi="Times New Roman" w:cs="Times New Roman"/>
                <w:kern w:val="0"/>
                <w:sz w:val="20"/>
                <w:szCs w:val="20"/>
                <w:lang w:val="sr-Cyrl-RS"/>
              </w:rPr>
              <w:t>Мастер план за руднике угља у циљу потенцијалне пренамене њихове делатности ради отварања нових радних места и сагледавање утицаја на локалну привреду, образовање и демографију</w:t>
            </w:r>
          </w:p>
        </w:tc>
        <w:tc>
          <w:tcPr>
            <w:tcW w:w="1703" w:type="dxa"/>
            <w:shd w:val="clear" w:color="auto" w:fill="auto"/>
            <w:noWrap/>
            <w:vAlign w:val="center"/>
          </w:tcPr>
          <w:p w14:paraId="038F63C6" w14:textId="77777777" w:rsidR="00BC369C" w:rsidRPr="009C19C5" w:rsidRDefault="00BC369C" w:rsidP="00694C70">
            <w:pPr>
              <w:spacing w:after="0" w:line="240" w:lineRule="auto"/>
              <w:jc w:val="center"/>
              <w:rPr>
                <w:rFonts w:ascii="Times New Roman" w:eastAsia="Times New Roman" w:hAnsi="Times New Roman" w:cs="Times New Roman"/>
                <w:color w:val="000000"/>
                <w:kern w:val="0"/>
                <w:sz w:val="20"/>
                <w:szCs w:val="20"/>
                <w:lang w:val="sr-Cyrl-RS" w:eastAsia="el-GR"/>
              </w:rPr>
            </w:pPr>
            <w:r w:rsidRPr="009C19C5">
              <w:rPr>
                <w:rFonts w:ascii="Times New Roman" w:eastAsia="Times New Roman" w:hAnsi="Times New Roman" w:cs="Times New Roman"/>
                <w:color w:val="000000"/>
                <w:kern w:val="0"/>
                <w:sz w:val="20"/>
                <w:szCs w:val="20"/>
                <w:lang w:val="sr-Cyrl-RS" w:eastAsia="el-GR"/>
              </w:rPr>
              <w:t>01/09/2025</w:t>
            </w:r>
          </w:p>
        </w:tc>
        <w:tc>
          <w:tcPr>
            <w:tcW w:w="1962" w:type="dxa"/>
            <w:shd w:val="clear" w:color="auto" w:fill="auto"/>
            <w:noWrap/>
            <w:vAlign w:val="center"/>
          </w:tcPr>
          <w:p w14:paraId="2EF34613" w14:textId="77777777" w:rsidR="00BC369C" w:rsidRPr="009C19C5" w:rsidRDefault="00BC369C" w:rsidP="00694C70">
            <w:pPr>
              <w:spacing w:after="0" w:line="240" w:lineRule="auto"/>
              <w:jc w:val="center"/>
              <w:rPr>
                <w:rFonts w:ascii="Times New Roman" w:eastAsia="Times New Roman" w:hAnsi="Times New Roman" w:cs="Times New Roman"/>
                <w:color w:val="000000"/>
                <w:kern w:val="0"/>
                <w:sz w:val="20"/>
                <w:szCs w:val="20"/>
                <w:lang w:val="sr-Cyrl-RS" w:eastAsia="el-GR"/>
              </w:rPr>
            </w:pPr>
            <w:r w:rsidRPr="009C19C5">
              <w:rPr>
                <w:rFonts w:ascii="Times New Roman" w:eastAsia="Times New Roman" w:hAnsi="Times New Roman" w:cs="Times New Roman"/>
                <w:color w:val="000000"/>
                <w:kern w:val="0"/>
                <w:sz w:val="20"/>
                <w:szCs w:val="20"/>
                <w:lang w:val="sr-Cyrl-RS" w:eastAsia="el-GR"/>
              </w:rPr>
              <w:t>30/06/2027</w:t>
            </w:r>
          </w:p>
        </w:tc>
      </w:tr>
      <w:tr w:rsidR="00BC369C" w:rsidRPr="009C19C5" w14:paraId="03B8196D" w14:textId="77777777" w:rsidTr="00694C70">
        <w:trPr>
          <w:trHeight w:val="329"/>
          <w:tblHeader/>
        </w:trPr>
        <w:tc>
          <w:tcPr>
            <w:tcW w:w="11474" w:type="dxa"/>
            <w:shd w:val="clear" w:color="auto" w:fill="auto"/>
            <w:vAlign w:val="center"/>
          </w:tcPr>
          <w:p w14:paraId="7150005D" w14:textId="77777777" w:rsidR="00BC369C" w:rsidRPr="009C19C5" w:rsidRDefault="00BC369C" w:rsidP="00694C70">
            <w:pPr>
              <w:spacing w:after="0" w:line="240" w:lineRule="auto"/>
              <w:rPr>
                <w:rFonts w:ascii="Times New Roman" w:eastAsia="Times New Roman" w:hAnsi="Times New Roman" w:cs="Times New Roman"/>
                <w:color w:val="000000"/>
                <w:kern w:val="0"/>
                <w:sz w:val="20"/>
                <w:szCs w:val="20"/>
                <w:lang w:val="sr-Cyrl-RS" w:eastAsia="el-GR"/>
              </w:rPr>
            </w:pPr>
            <w:r w:rsidRPr="009C19C5">
              <w:rPr>
                <w:rFonts w:ascii="Times New Roman" w:hAnsi="Times New Roman" w:cs="Times New Roman"/>
                <w:sz w:val="20"/>
                <w:szCs w:val="20"/>
                <w:lang w:val="sr-Cyrl-RS"/>
              </w:rPr>
              <w:t>Локални планови развоја и привлачење директних инвестиција и улагања</w:t>
            </w:r>
          </w:p>
        </w:tc>
        <w:tc>
          <w:tcPr>
            <w:tcW w:w="1703" w:type="dxa"/>
            <w:shd w:val="clear" w:color="auto" w:fill="auto"/>
            <w:noWrap/>
            <w:vAlign w:val="center"/>
          </w:tcPr>
          <w:p w14:paraId="252ADF6E" w14:textId="77777777" w:rsidR="00BC369C" w:rsidRPr="009C19C5" w:rsidRDefault="00BC369C" w:rsidP="00694C70">
            <w:pPr>
              <w:spacing w:after="0" w:line="240" w:lineRule="auto"/>
              <w:jc w:val="center"/>
              <w:rPr>
                <w:rFonts w:ascii="Times New Roman" w:eastAsia="Times New Roman" w:hAnsi="Times New Roman" w:cs="Times New Roman"/>
                <w:color w:val="000000"/>
                <w:kern w:val="0"/>
                <w:sz w:val="20"/>
                <w:szCs w:val="20"/>
                <w:lang w:val="sr-Cyrl-RS" w:eastAsia="el-GR"/>
              </w:rPr>
            </w:pPr>
            <w:r w:rsidRPr="009C19C5">
              <w:rPr>
                <w:rFonts w:ascii="Times New Roman" w:eastAsia="Times New Roman" w:hAnsi="Times New Roman" w:cs="Times New Roman"/>
                <w:color w:val="000000"/>
                <w:kern w:val="0"/>
                <w:sz w:val="20"/>
                <w:szCs w:val="20"/>
                <w:lang w:val="sr-Cyrl-RS" w:eastAsia="el-GR"/>
              </w:rPr>
              <w:t>01/01/2026</w:t>
            </w:r>
          </w:p>
        </w:tc>
        <w:tc>
          <w:tcPr>
            <w:tcW w:w="1962" w:type="dxa"/>
            <w:shd w:val="clear" w:color="auto" w:fill="auto"/>
            <w:noWrap/>
            <w:vAlign w:val="center"/>
          </w:tcPr>
          <w:p w14:paraId="78CA4B4F" w14:textId="77777777" w:rsidR="00BC369C" w:rsidRPr="009C19C5" w:rsidRDefault="00BC369C" w:rsidP="00694C70">
            <w:pPr>
              <w:spacing w:after="0" w:line="240" w:lineRule="auto"/>
              <w:jc w:val="center"/>
              <w:rPr>
                <w:rFonts w:ascii="Times New Roman" w:eastAsia="Times New Roman" w:hAnsi="Times New Roman" w:cs="Times New Roman"/>
                <w:color w:val="000000"/>
                <w:kern w:val="0"/>
                <w:sz w:val="20"/>
                <w:szCs w:val="20"/>
                <w:lang w:val="sr-Cyrl-RS" w:eastAsia="el-GR"/>
              </w:rPr>
            </w:pPr>
            <w:r w:rsidRPr="009C19C5">
              <w:rPr>
                <w:rFonts w:ascii="Times New Roman" w:eastAsia="Times New Roman" w:hAnsi="Times New Roman" w:cs="Times New Roman"/>
                <w:color w:val="000000"/>
                <w:kern w:val="0"/>
                <w:sz w:val="20"/>
                <w:szCs w:val="20"/>
                <w:lang w:val="sr-Cyrl-RS" w:eastAsia="el-GR"/>
              </w:rPr>
              <w:t>31/12/2026</w:t>
            </w:r>
          </w:p>
        </w:tc>
      </w:tr>
      <w:tr w:rsidR="00BC369C" w:rsidRPr="009C19C5" w14:paraId="50EE4C09" w14:textId="77777777" w:rsidTr="00694C70">
        <w:trPr>
          <w:trHeight w:val="224"/>
          <w:tblHeader/>
        </w:trPr>
        <w:tc>
          <w:tcPr>
            <w:tcW w:w="11474" w:type="dxa"/>
            <w:shd w:val="clear" w:color="auto" w:fill="auto"/>
            <w:vAlign w:val="center"/>
          </w:tcPr>
          <w:p w14:paraId="48B42AA9" w14:textId="77777777" w:rsidR="00BC369C" w:rsidRPr="009C19C5" w:rsidRDefault="00BC369C" w:rsidP="00694C70">
            <w:pPr>
              <w:spacing w:after="0" w:line="240" w:lineRule="auto"/>
              <w:rPr>
                <w:rFonts w:ascii="Times New Roman" w:eastAsia="Times New Roman" w:hAnsi="Times New Roman" w:cs="Times New Roman"/>
                <w:color w:val="000000"/>
                <w:kern w:val="0"/>
                <w:sz w:val="20"/>
                <w:szCs w:val="20"/>
                <w:lang w:val="sr-Cyrl-RS" w:eastAsia="el-GR"/>
              </w:rPr>
            </w:pPr>
            <w:r w:rsidRPr="009C19C5">
              <w:rPr>
                <w:rFonts w:ascii="Times New Roman" w:hAnsi="Times New Roman" w:cs="Times New Roman"/>
                <w:sz w:val="20"/>
                <w:szCs w:val="20"/>
                <w:lang w:val="sr-Cyrl-RS"/>
              </w:rPr>
              <w:t>Програм подстицаја за предузетништво и самозапошљавање</w:t>
            </w:r>
          </w:p>
        </w:tc>
        <w:tc>
          <w:tcPr>
            <w:tcW w:w="1703" w:type="dxa"/>
            <w:shd w:val="clear" w:color="auto" w:fill="auto"/>
            <w:noWrap/>
            <w:vAlign w:val="center"/>
          </w:tcPr>
          <w:p w14:paraId="42D57AD9" w14:textId="77777777" w:rsidR="00BC369C" w:rsidRPr="009C19C5" w:rsidRDefault="00BC369C" w:rsidP="00694C70">
            <w:pPr>
              <w:spacing w:after="0" w:line="240" w:lineRule="auto"/>
              <w:jc w:val="center"/>
              <w:rPr>
                <w:rFonts w:ascii="Times New Roman" w:eastAsia="Times New Roman" w:hAnsi="Times New Roman" w:cs="Times New Roman"/>
                <w:color w:val="000000"/>
                <w:kern w:val="0"/>
                <w:sz w:val="20"/>
                <w:szCs w:val="20"/>
                <w:lang w:val="sr-Cyrl-RS" w:eastAsia="el-GR"/>
              </w:rPr>
            </w:pPr>
            <w:r w:rsidRPr="009C19C5">
              <w:rPr>
                <w:rFonts w:ascii="Times New Roman" w:eastAsia="Times New Roman" w:hAnsi="Times New Roman" w:cs="Times New Roman"/>
                <w:color w:val="000000"/>
                <w:kern w:val="0"/>
                <w:sz w:val="20"/>
                <w:szCs w:val="20"/>
                <w:lang w:val="sr-Cyrl-RS" w:eastAsia="el-GR"/>
              </w:rPr>
              <w:t>01/01/2027</w:t>
            </w:r>
          </w:p>
        </w:tc>
        <w:tc>
          <w:tcPr>
            <w:tcW w:w="1962" w:type="dxa"/>
            <w:shd w:val="clear" w:color="auto" w:fill="auto"/>
            <w:noWrap/>
            <w:vAlign w:val="center"/>
          </w:tcPr>
          <w:p w14:paraId="12D6AE6D" w14:textId="77777777" w:rsidR="00BC369C" w:rsidRPr="009C19C5" w:rsidRDefault="00BC369C" w:rsidP="00694C70">
            <w:pPr>
              <w:spacing w:after="0" w:line="240" w:lineRule="auto"/>
              <w:jc w:val="center"/>
              <w:rPr>
                <w:rFonts w:ascii="Times New Roman" w:eastAsia="Times New Roman" w:hAnsi="Times New Roman" w:cs="Times New Roman"/>
                <w:color w:val="000000"/>
                <w:kern w:val="0"/>
                <w:sz w:val="20"/>
                <w:szCs w:val="20"/>
                <w:lang w:val="sr-Cyrl-RS" w:eastAsia="el-GR"/>
              </w:rPr>
            </w:pPr>
            <w:r w:rsidRPr="009C19C5">
              <w:rPr>
                <w:rFonts w:ascii="Times New Roman" w:eastAsia="Times New Roman" w:hAnsi="Times New Roman" w:cs="Times New Roman"/>
                <w:color w:val="000000"/>
                <w:kern w:val="0"/>
                <w:sz w:val="20"/>
                <w:szCs w:val="20"/>
                <w:lang w:val="sr-Cyrl-RS" w:eastAsia="el-GR"/>
              </w:rPr>
              <w:t>31/12/2029</w:t>
            </w:r>
          </w:p>
        </w:tc>
      </w:tr>
      <w:tr w:rsidR="00BC369C" w:rsidRPr="009C19C5" w14:paraId="3CC7FD0C" w14:textId="77777777" w:rsidTr="00694C70">
        <w:trPr>
          <w:trHeight w:val="249"/>
          <w:tblHeader/>
        </w:trPr>
        <w:tc>
          <w:tcPr>
            <w:tcW w:w="11474" w:type="dxa"/>
            <w:shd w:val="clear" w:color="auto" w:fill="auto"/>
            <w:vAlign w:val="center"/>
          </w:tcPr>
          <w:p w14:paraId="60E7D733" w14:textId="77777777" w:rsidR="00BC369C" w:rsidRPr="009C19C5" w:rsidRDefault="00BC369C" w:rsidP="00694C70">
            <w:pPr>
              <w:spacing w:after="0" w:line="240" w:lineRule="auto"/>
              <w:rPr>
                <w:rFonts w:ascii="Times New Roman" w:eastAsia="Times New Roman" w:hAnsi="Times New Roman" w:cs="Times New Roman"/>
                <w:color w:val="000000"/>
                <w:kern w:val="0"/>
                <w:sz w:val="20"/>
                <w:szCs w:val="20"/>
                <w:lang w:val="sr-Cyrl-RS" w:eastAsia="el-GR"/>
              </w:rPr>
            </w:pPr>
            <w:r w:rsidRPr="009C19C5">
              <w:rPr>
                <w:rFonts w:ascii="Times New Roman" w:hAnsi="Times New Roman" w:cs="Times New Roman"/>
                <w:sz w:val="20"/>
                <w:szCs w:val="20"/>
                <w:lang w:val="sr-Cyrl-RS"/>
              </w:rPr>
              <w:t>Унапређење пословне инфраструктуре у постојећим индустријским парковима</w:t>
            </w:r>
          </w:p>
        </w:tc>
        <w:tc>
          <w:tcPr>
            <w:tcW w:w="1703" w:type="dxa"/>
            <w:shd w:val="clear" w:color="auto" w:fill="auto"/>
            <w:noWrap/>
            <w:vAlign w:val="center"/>
          </w:tcPr>
          <w:p w14:paraId="3937A8E1" w14:textId="77777777" w:rsidR="00BC369C" w:rsidRPr="009C19C5" w:rsidRDefault="00BC369C" w:rsidP="00694C70">
            <w:pPr>
              <w:spacing w:after="0" w:line="240" w:lineRule="auto"/>
              <w:jc w:val="center"/>
              <w:rPr>
                <w:rFonts w:ascii="Times New Roman" w:eastAsia="Times New Roman" w:hAnsi="Times New Roman" w:cs="Times New Roman"/>
                <w:color w:val="000000"/>
                <w:kern w:val="0"/>
                <w:sz w:val="20"/>
                <w:szCs w:val="20"/>
                <w:lang w:val="sr-Cyrl-RS" w:eastAsia="el-GR"/>
              </w:rPr>
            </w:pPr>
            <w:r w:rsidRPr="009C19C5">
              <w:rPr>
                <w:rFonts w:ascii="Times New Roman" w:eastAsia="Times New Roman" w:hAnsi="Times New Roman" w:cs="Times New Roman"/>
                <w:color w:val="000000"/>
                <w:kern w:val="0"/>
                <w:sz w:val="20"/>
                <w:szCs w:val="20"/>
                <w:lang w:val="sr-Cyrl-RS" w:eastAsia="el-GR"/>
              </w:rPr>
              <w:t>01/01/2026</w:t>
            </w:r>
          </w:p>
        </w:tc>
        <w:tc>
          <w:tcPr>
            <w:tcW w:w="1962" w:type="dxa"/>
            <w:shd w:val="clear" w:color="auto" w:fill="auto"/>
            <w:noWrap/>
            <w:vAlign w:val="center"/>
          </w:tcPr>
          <w:p w14:paraId="2756820D" w14:textId="77777777" w:rsidR="00BC369C" w:rsidRPr="009C19C5" w:rsidRDefault="00BC369C" w:rsidP="00694C70">
            <w:pPr>
              <w:spacing w:after="0" w:line="240" w:lineRule="auto"/>
              <w:jc w:val="center"/>
              <w:rPr>
                <w:rFonts w:ascii="Times New Roman" w:eastAsia="Times New Roman" w:hAnsi="Times New Roman" w:cs="Times New Roman"/>
                <w:color w:val="000000"/>
                <w:kern w:val="0"/>
                <w:sz w:val="20"/>
                <w:szCs w:val="20"/>
                <w:lang w:val="sr-Cyrl-RS" w:eastAsia="el-GR"/>
              </w:rPr>
            </w:pPr>
            <w:r w:rsidRPr="009C19C5">
              <w:rPr>
                <w:rFonts w:ascii="Times New Roman" w:eastAsia="Times New Roman" w:hAnsi="Times New Roman" w:cs="Times New Roman"/>
                <w:color w:val="000000"/>
                <w:kern w:val="0"/>
                <w:sz w:val="20"/>
                <w:szCs w:val="20"/>
                <w:lang w:val="sr-Cyrl-RS" w:eastAsia="el-GR"/>
              </w:rPr>
              <w:t>31/12/2030</w:t>
            </w:r>
          </w:p>
        </w:tc>
      </w:tr>
    </w:tbl>
    <w:p w14:paraId="5F438468" w14:textId="77777777" w:rsidR="00BC369C" w:rsidRPr="009C19C5" w:rsidRDefault="00BC369C" w:rsidP="00BC369C">
      <w:pPr>
        <w:tabs>
          <w:tab w:val="left" w:pos="2592"/>
        </w:tabs>
        <w:rPr>
          <w:rFonts w:ascii="Times New Roman" w:hAnsi="Times New Roman" w:cs="Times New Roman"/>
          <w:lang w:val="sr-Cyrl-RS" w:eastAsia="el-GR"/>
        </w:rPr>
        <w:sectPr w:rsidR="00BC369C" w:rsidRPr="009C19C5" w:rsidSect="00AC38E9">
          <w:headerReference w:type="even" r:id="rId17"/>
          <w:headerReference w:type="default" r:id="rId18"/>
          <w:footerReference w:type="even" r:id="rId19"/>
          <w:pgSz w:w="16838" w:h="11906" w:orient="landscape"/>
          <w:pgMar w:top="720" w:right="720" w:bottom="720" w:left="907" w:header="709" w:footer="709" w:gutter="0"/>
          <w:pgNumType w:start="21"/>
          <w:cols w:space="708"/>
          <w:docGrid w:linePitch="360"/>
        </w:sectPr>
      </w:pPr>
    </w:p>
    <w:p w14:paraId="64EF7838" w14:textId="77777777" w:rsidR="00AB6F97" w:rsidRPr="009C19C5" w:rsidRDefault="00721128" w:rsidP="00AB6F97">
      <w:pPr>
        <w:pStyle w:val="BodyText"/>
        <w:spacing w:line="240" w:lineRule="auto"/>
        <w:ind w:firstLine="720"/>
        <w:jc w:val="center"/>
        <w:rPr>
          <w:rFonts w:ascii="Times New Roman" w:hAnsi="Times New Roman" w:cs="Times New Roman"/>
          <w:sz w:val="24"/>
          <w:szCs w:val="24"/>
          <w:lang w:val="sr-Cyrl-RS"/>
        </w:rPr>
      </w:pPr>
      <w:r w:rsidRPr="009C19C5">
        <w:rPr>
          <w:rFonts w:ascii="Times New Roman" w:hAnsi="Times New Roman" w:cs="Times New Roman"/>
          <w:sz w:val="24"/>
          <w:szCs w:val="24"/>
          <w:lang w:val="sr-Cyrl-RS"/>
        </w:rPr>
        <w:lastRenderedPageBreak/>
        <w:t>7.</w:t>
      </w:r>
      <w:r w:rsidR="00F23FC4" w:rsidRPr="009C19C5">
        <w:rPr>
          <w:rFonts w:ascii="Times New Roman" w:hAnsi="Times New Roman" w:cs="Times New Roman"/>
          <w:sz w:val="24"/>
          <w:szCs w:val="24"/>
          <w:lang w:val="sr-Cyrl-RS"/>
        </w:rPr>
        <w:t xml:space="preserve"> </w:t>
      </w:r>
      <w:r w:rsidR="000A0E4E" w:rsidRPr="009C19C5">
        <w:rPr>
          <w:rFonts w:ascii="Times New Roman" w:hAnsi="Times New Roman" w:cs="Times New Roman"/>
          <w:sz w:val="24"/>
          <w:szCs w:val="24"/>
          <w:lang w:val="sr-Cyrl-RS"/>
        </w:rPr>
        <w:t>У</w:t>
      </w:r>
      <w:r w:rsidR="001A632B" w:rsidRPr="009C19C5">
        <w:rPr>
          <w:rFonts w:ascii="Times New Roman" w:hAnsi="Times New Roman" w:cs="Times New Roman"/>
          <w:sz w:val="24"/>
          <w:szCs w:val="24"/>
          <w:lang w:val="sr-Cyrl-RS"/>
        </w:rPr>
        <w:t>ПРАВЉАЊЕ</w:t>
      </w:r>
    </w:p>
    <w:p w14:paraId="171F4C78" w14:textId="0E0B5CB0" w:rsidR="00F276BC" w:rsidRPr="009C19C5" w:rsidRDefault="00023E2C" w:rsidP="00AB6F97">
      <w:pPr>
        <w:pStyle w:val="BodyText"/>
        <w:spacing w:line="240" w:lineRule="auto"/>
        <w:ind w:firstLine="720"/>
        <w:jc w:val="center"/>
        <w:rPr>
          <w:rFonts w:ascii="Times New Roman" w:hAnsi="Times New Roman" w:cs="Times New Roman"/>
          <w:sz w:val="24"/>
          <w:szCs w:val="24"/>
          <w:lang w:val="sr-Cyrl-RS"/>
        </w:rPr>
      </w:pPr>
      <w:r w:rsidRPr="009C19C5">
        <w:rPr>
          <w:rFonts w:ascii="Times New Roman" w:hAnsi="Times New Roman" w:cs="Times New Roman"/>
          <w:sz w:val="24"/>
          <w:szCs w:val="24"/>
          <w:lang w:val="sr-Cyrl-RS"/>
        </w:rPr>
        <w:t>7.1.</w:t>
      </w:r>
      <w:r w:rsidR="00AB6F97" w:rsidRPr="009C19C5">
        <w:rPr>
          <w:rFonts w:ascii="Times New Roman" w:hAnsi="Times New Roman" w:cs="Times New Roman"/>
          <w:sz w:val="24"/>
          <w:szCs w:val="24"/>
          <w:lang w:val="sr-Cyrl-RS"/>
        </w:rPr>
        <w:t xml:space="preserve"> </w:t>
      </w:r>
      <w:r w:rsidR="000A0E4E" w:rsidRPr="009C19C5">
        <w:rPr>
          <w:rFonts w:ascii="Times New Roman" w:hAnsi="Times New Roman" w:cs="Times New Roman"/>
          <w:sz w:val="24"/>
          <w:szCs w:val="24"/>
          <w:lang w:val="sr-Cyrl-RS"/>
        </w:rPr>
        <w:t>Структура управљања праведном транзицијом</w:t>
      </w:r>
    </w:p>
    <w:p w14:paraId="26C5600D" w14:textId="1E20A8C0" w:rsidR="00F276BC" w:rsidRPr="009C19C5" w:rsidRDefault="00DA07EE" w:rsidP="008E0498">
      <w:pPr>
        <w:spacing w:after="0" w:line="240" w:lineRule="auto"/>
        <w:ind w:firstLine="720"/>
        <w:jc w:val="both"/>
        <w:rPr>
          <w:rFonts w:ascii="Times New Roman" w:hAnsi="Times New Roman" w:cs="Times New Roman"/>
          <w:bCs/>
          <w:sz w:val="24"/>
          <w:szCs w:val="24"/>
          <w:lang w:val="sr-Cyrl-RS"/>
        </w:rPr>
      </w:pPr>
      <w:r w:rsidRPr="009C19C5">
        <w:rPr>
          <w:rFonts w:ascii="Times New Roman" w:hAnsi="Times New Roman" w:cs="Times New Roman"/>
          <w:sz w:val="24"/>
          <w:szCs w:val="24"/>
          <w:lang w:val="sr-Cyrl-RS"/>
        </w:rPr>
        <w:t xml:space="preserve">Неопходно је </w:t>
      </w:r>
      <w:r w:rsidR="000A0E4E" w:rsidRPr="009C19C5">
        <w:rPr>
          <w:rFonts w:ascii="Times New Roman" w:hAnsi="Times New Roman" w:cs="Times New Roman"/>
          <w:bCs/>
          <w:sz w:val="24"/>
          <w:szCs w:val="24"/>
          <w:lang w:val="sr-Cyrl-RS"/>
        </w:rPr>
        <w:t>успостављање одговарајућег управног оквира</w:t>
      </w:r>
      <w:r w:rsidR="000A0E4E" w:rsidRPr="009C19C5">
        <w:rPr>
          <w:rFonts w:ascii="Times New Roman" w:hAnsi="Times New Roman" w:cs="Times New Roman"/>
          <w:sz w:val="24"/>
          <w:szCs w:val="24"/>
          <w:lang w:val="sr-Cyrl-RS"/>
        </w:rPr>
        <w:t>, кој</w:t>
      </w:r>
      <w:r w:rsidR="00D460A4">
        <w:rPr>
          <w:rFonts w:ascii="Times New Roman" w:hAnsi="Times New Roman" w:cs="Times New Roman"/>
          <w:sz w:val="24"/>
          <w:szCs w:val="24"/>
          <w:lang w:val="sr-Cyrl-RS"/>
        </w:rPr>
        <w:t>и</w:t>
      </w:r>
      <w:r w:rsidR="000A0E4E" w:rsidRPr="009C19C5">
        <w:rPr>
          <w:rFonts w:ascii="Times New Roman" w:hAnsi="Times New Roman" w:cs="Times New Roman"/>
          <w:sz w:val="24"/>
          <w:szCs w:val="24"/>
          <w:lang w:val="sr-Cyrl-RS"/>
        </w:rPr>
        <w:t xml:space="preserve"> ће временом довести до </w:t>
      </w:r>
      <w:r w:rsidR="00F01B2F" w:rsidRPr="009C19C5">
        <w:rPr>
          <w:rFonts w:ascii="Times New Roman" w:hAnsi="Times New Roman" w:cs="Times New Roman"/>
          <w:sz w:val="24"/>
          <w:szCs w:val="24"/>
          <w:lang w:val="sr-Cyrl-RS"/>
        </w:rPr>
        <w:t xml:space="preserve">унапређења и спровођења политика  </w:t>
      </w:r>
      <w:r w:rsidR="000A0E4E" w:rsidRPr="009C19C5">
        <w:rPr>
          <w:rFonts w:ascii="Times New Roman" w:hAnsi="Times New Roman" w:cs="Times New Roman"/>
          <w:sz w:val="24"/>
          <w:szCs w:val="24"/>
          <w:lang w:val="sr-Cyrl-RS"/>
        </w:rPr>
        <w:t>праведн</w:t>
      </w:r>
      <w:r w:rsidR="00F01B2F" w:rsidRPr="009C19C5">
        <w:rPr>
          <w:rFonts w:ascii="Times New Roman" w:hAnsi="Times New Roman" w:cs="Times New Roman"/>
          <w:sz w:val="24"/>
          <w:szCs w:val="24"/>
          <w:lang w:val="sr-Cyrl-RS"/>
        </w:rPr>
        <w:t>е</w:t>
      </w:r>
      <w:r w:rsidR="000A0E4E" w:rsidRPr="009C19C5">
        <w:rPr>
          <w:rFonts w:ascii="Times New Roman" w:hAnsi="Times New Roman" w:cs="Times New Roman"/>
          <w:sz w:val="24"/>
          <w:szCs w:val="24"/>
          <w:lang w:val="sr-Cyrl-RS"/>
        </w:rPr>
        <w:t xml:space="preserve"> транзициј</w:t>
      </w:r>
      <w:r w:rsidR="00F01B2F" w:rsidRPr="009C19C5">
        <w:rPr>
          <w:rFonts w:ascii="Times New Roman" w:hAnsi="Times New Roman" w:cs="Times New Roman"/>
          <w:sz w:val="24"/>
          <w:szCs w:val="24"/>
          <w:lang w:val="sr-Cyrl-RS"/>
        </w:rPr>
        <w:t>е</w:t>
      </w:r>
      <w:r w:rsidR="000A0E4E" w:rsidRPr="009C19C5">
        <w:rPr>
          <w:rFonts w:ascii="Times New Roman" w:hAnsi="Times New Roman" w:cs="Times New Roman"/>
          <w:sz w:val="24"/>
          <w:szCs w:val="24"/>
          <w:lang w:val="sr-Cyrl-RS"/>
        </w:rPr>
        <w:t xml:space="preserve"> у консултацији са свим заинтересованим странама, као и следећом стратегијом укључивања заинтересованих страна:</w:t>
      </w:r>
    </w:p>
    <w:p w14:paraId="7D029EFF" w14:textId="2E151EFC" w:rsidR="00F276BC" w:rsidRPr="009C19C5" w:rsidRDefault="000A0E4E" w:rsidP="008D7F6B">
      <w:pPr>
        <w:pStyle w:val="ListParagraph"/>
        <w:numPr>
          <w:ilvl w:val="0"/>
          <w:numId w:val="16"/>
        </w:numPr>
        <w:autoSpaceDE w:val="0"/>
        <w:autoSpaceDN w:val="0"/>
        <w:adjustRightInd w:val="0"/>
        <w:spacing w:after="0" w:line="240" w:lineRule="auto"/>
        <w:ind w:left="0" w:firstLine="360"/>
        <w:jc w:val="both"/>
        <w:rPr>
          <w:rFonts w:ascii="Times New Roman" w:hAnsi="Times New Roman" w:cs="Times New Roman"/>
          <w:sz w:val="24"/>
          <w:szCs w:val="24"/>
          <w:lang w:val="sr-Cyrl-RS"/>
        </w:rPr>
      </w:pPr>
      <w:bookmarkStart w:id="41" w:name="_Hlk202347594"/>
      <w:r w:rsidRPr="009C19C5">
        <w:rPr>
          <w:rFonts w:ascii="Times New Roman" w:hAnsi="Times New Roman" w:cs="Times New Roman"/>
          <w:sz w:val="24"/>
          <w:szCs w:val="24"/>
          <w:lang w:val="sr-Cyrl-RS"/>
        </w:rPr>
        <w:t xml:space="preserve">Успоставити </w:t>
      </w:r>
      <w:r w:rsidRPr="009C19C5">
        <w:rPr>
          <w:rFonts w:ascii="Times New Roman" w:hAnsi="Times New Roman" w:cs="Times New Roman"/>
          <w:bCs/>
          <w:sz w:val="24"/>
          <w:szCs w:val="24"/>
          <w:lang w:val="sr-Cyrl-RS"/>
        </w:rPr>
        <w:t xml:space="preserve">међуминистарски владин комитет </w:t>
      </w:r>
      <w:r w:rsidRPr="009C19C5">
        <w:rPr>
          <w:rFonts w:ascii="Times New Roman" w:hAnsi="Times New Roman" w:cs="Times New Roman"/>
          <w:sz w:val="24"/>
          <w:szCs w:val="24"/>
          <w:lang w:val="sr-Cyrl-RS"/>
        </w:rPr>
        <w:t xml:space="preserve">за координацију, спровођење и праћење свих активности потребних </w:t>
      </w:r>
      <w:bookmarkStart w:id="42" w:name="_Hlk201307730"/>
      <w:r w:rsidRPr="009C19C5">
        <w:rPr>
          <w:rFonts w:ascii="Times New Roman" w:hAnsi="Times New Roman" w:cs="Times New Roman"/>
          <w:sz w:val="24"/>
          <w:szCs w:val="24"/>
          <w:lang w:val="sr-Cyrl-RS"/>
        </w:rPr>
        <w:t xml:space="preserve">за </w:t>
      </w:r>
      <w:r w:rsidR="00C904D5" w:rsidRPr="009C19C5">
        <w:rPr>
          <w:rFonts w:ascii="Times New Roman" w:hAnsi="Times New Roman" w:cs="Times New Roman"/>
          <w:sz w:val="24"/>
          <w:szCs w:val="24"/>
          <w:lang w:val="sr-Cyrl-RS"/>
        </w:rPr>
        <w:t>реализацију политика и мера у области</w:t>
      </w:r>
      <w:r w:rsidRPr="009C19C5">
        <w:rPr>
          <w:rFonts w:ascii="Times New Roman" w:hAnsi="Times New Roman" w:cs="Times New Roman"/>
          <w:sz w:val="24"/>
          <w:szCs w:val="24"/>
          <w:lang w:val="sr-Cyrl-RS"/>
        </w:rPr>
        <w:t xml:space="preserve"> праведне транзиције</w:t>
      </w:r>
      <w:bookmarkEnd w:id="42"/>
      <w:r w:rsidRPr="009C19C5">
        <w:rPr>
          <w:rFonts w:ascii="Times New Roman" w:hAnsi="Times New Roman" w:cs="Times New Roman"/>
          <w:sz w:val="24"/>
          <w:szCs w:val="24"/>
          <w:lang w:val="sr-Cyrl-RS"/>
        </w:rPr>
        <w:t xml:space="preserve">. Предложени учесници </w:t>
      </w:r>
      <w:r w:rsidR="009E1707" w:rsidRPr="009C19C5">
        <w:rPr>
          <w:rFonts w:ascii="Times New Roman" w:hAnsi="Times New Roman" w:cs="Times New Roman"/>
          <w:sz w:val="24"/>
          <w:szCs w:val="24"/>
          <w:lang w:val="sr-Cyrl-RS"/>
        </w:rPr>
        <w:t xml:space="preserve">овог тела </w:t>
      </w:r>
      <w:r w:rsidRPr="009C19C5">
        <w:rPr>
          <w:rFonts w:ascii="Times New Roman" w:hAnsi="Times New Roman" w:cs="Times New Roman"/>
          <w:sz w:val="24"/>
          <w:szCs w:val="24"/>
          <w:lang w:val="sr-Cyrl-RS"/>
        </w:rPr>
        <w:t>су Министарство рударства и енергетике, Министарство финансија,</w:t>
      </w:r>
      <w:r w:rsidR="00B748B7" w:rsidRPr="009C19C5">
        <w:rPr>
          <w:rFonts w:ascii="Times New Roman" w:hAnsi="Times New Roman" w:cs="Times New Roman"/>
          <w:sz w:val="24"/>
          <w:szCs w:val="24"/>
          <w:lang w:val="sr-Cyrl-RS"/>
        </w:rPr>
        <w:t xml:space="preserve"> </w:t>
      </w:r>
      <w:r w:rsidR="00C904D5" w:rsidRPr="009C19C5">
        <w:rPr>
          <w:rFonts w:ascii="Times New Roman" w:hAnsi="Times New Roman" w:cs="Times New Roman"/>
          <w:sz w:val="24"/>
          <w:szCs w:val="24"/>
          <w:lang w:val="sr-Cyrl-RS"/>
        </w:rPr>
        <w:t>Министарство просвете,</w:t>
      </w:r>
      <w:r w:rsidRPr="009C19C5">
        <w:rPr>
          <w:rFonts w:ascii="Times New Roman" w:hAnsi="Times New Roman" w:cs="Times New Roman"/>
          <w:sz w:val="24"/>
          <w:szCs w:val="24"/>
          <w:lang w:val="sr-Cyrl-RS"/>
        </w:rPr>
        <w:t xml:space="preserve"> Министарство </w:t>
      </w:r>
      <w:r w:rsidR="009E1707" w:rsidRPr="009C19C5">
        <w:rPr>
          <w:rFonts w:ascii="Times New Roman" w:hAnsi="Times New Roman" w:cs="Times New Roman"/>
          <w:sz w:val="24"/>
          <w:szCs w:val="24"/>
          <w:lang w:val="sr-Cyrl-RS"/>
        </w:rPr>
        <w:t>привреде</w:t>
      </w:r>
      <w:r w:rsidRPr="009C19C5">
        <w:rPr>
          <w:rFonts w:ascii="Times New Roman" w:hAnsi="Times New Roman" w:cs="Times New Roman"/>
          <w:sz w:val="24"/>
          <w:szCs w:val="24"/>
          <w:lang w:val="sr-Cyrl-RS"/>
        </w:rPr>
        <w:t xml:space="preserve">, Министарство грађевинарства, саобраћаја и инфраструктуре, Министарство пољопривреде, шумарства и водопривреде и Министарство за рад, запошљавање, борачка и социјална питања. Остала министарства и агенције </w:t>
      </w:r>
      <w:r w:rsidR="009E1707" w:rsidRPr="009C19C5">
        <w:rPr>
          <w:rFonts w:ascii="Times New Roman" w:hAnsi="Times New Roman" w:cs="Times New Roman"/>
          <w:sz w:val="24"/>
          <w:szCs w:val="24"/>
          <w:lang w:val="sr-Cyrl-RS"/>
        </w:rPr>
        <w:t xml:space="preserve">могу </w:t>
      </w:r>
      <w:r w:rsidRPr="009C19C5">
        <w:rPr>
          <w:rFonts w:ascii="Times New Roman" w:hAnsi="Times New Roman" w:cs="Times New Roman"/>
          <w:sz w:val="24"/>
          <w:szCs w:val="24"/>
          <w:lang w:val="sr-Cyrl-RS"/>
        </w:rPr>
        <w:t>да буду укључена по потреби у било ком тренутку.</w:t>
      </w:r>
    </w:p>
    <w:bookmarkEnd w:id="41"/>
    <w:p w14:paraId="689A9964" w14:textId="16398332" w:rsidR="00F276BC" w:rsidRPr="009C19C5" w:rsidRDefault="000A0E4E" w:rsidP="008D7F6B">
      <w:pPr>
        <w:pStyle w:val="ListParagraph"/>
        <w:numPr>
          <w:ilvl w:val="0"/>
          <w:numId w:val="16"/>
        </w:numPr>
        <w:autoSpaceDE w:val="0"/>
        <w:autoSpaceDN w:val="0"/>
        <w:adjustRightInd w:val="0"/>
        <w:spacing w:after="0" w:line="240" w:lineRule="auto"/>
        <w:ind w:left="0" w:firstLine="36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Основати Ј</w:t>
      </w:r>
      <w:r w:rsidRPr="009C19C5">
        <w:rPr>
          <w:rFonts w:ascii="Times New Roman" w:hAnsi="Times New Roman" w:cs="Times New Roman"/>
          <w:bCs/>
          <w:sz w:val="24"/>
          <w:szCs w:val="24"/>
          <w:lang w:val="sr-Cyrl-RS"/>
        </w:rPr>
        <w:t>единицу за праведну транзицију</w:t>
      </w:r>
      <w:r w:rsidRPr="009C19C5">
        <w:rPr>
          <w:rFonts w:ascii="Times New Roman" w:hAnsi="Times New Roman" w:cs="Times New Roman"/>
          <w:sz w:val="24"/>
          <w:szCs w:val="24"/>
          <w:lang w:val="sr-Cyrl-RS"/>
        </w:rPr>
        <w:t xml:space="preserve"> у оквиру Министарства рударства и енергетике, која би била одговорна за предлагање, координацију и помоћ у изради свих неопходних закона и регулаторних одлука, и сходно томе измене постојећег законодавства у директној надлежности Министарства рударства и енергетике, према потребама </w:t>
      </w:r>
      <w:r w:rsidR="009E1707" w:rsidRPr="009C19C5">
        <w:rPr>
          <w:rFonts w:ascii="Times New Roman" w:hAnsi="Times New Roman" w:cs="Times New Roman"/>
          <w:sz w:val="24"/>
          <w:szCs w:val="24"/>
          <w:lang w:val="sr-Cyrl-RS"/>
        </w:rPr>
        <w:t xml:space="preserve">спровођења </w:t>
      </w:r>
      <w:r w:rsidRPr="009C19C5">
        <w:rPr>
          <w:rFonts w:ascii="Times New Roman" w:hAnsi="Times New Roman" w:cs="Times New Roman"/>
          <w:sz w:val="24"/>
          <w:szCs w:val="24"/>
          <w:lang w:val="sr-Cyrl-RS"/>
        </w:rPr>
        <w:t xml:space="preserve">плана за </w:t>
      </w:r>
      <w:r w:rsidR="009E1707" w:rsidRPr="009C19C5">
        <w:rPr>
          <w:rFonts w:ascii="Times New Roman" w:hAnsi="Times New Roman" w:cs="Times New Roman"/>
          <w:sz w:val="24"/>
          <w:szCs w:val="24"/>
          <w:lang w:val="sr-Cyrl-RS"/>
        </w:rPr>
        <w:t>праведну транзицију</w:t>
      </w:r>
      <w:r w:rsidRPr="009C19C5">
        <w:rPr>
          <w:rFonts w:ascii="Times New Roman" w:hAnsi="Times New Roman" w:cs="Times New Roman"/>
          <w:sz w:val="24"/>
          <w:szCs w:val="24"/>
          <w:lang w:val="sr-Cyrl-RS"/>
        </w:rPr>
        <w:t xml:space="preserve">. </w:t>
      </w:r>
    </w:p>
    <w:p w14:paraId="0DFB7BCE" w14:textId="25B23AF9" w:rsidR="00F276BC" w:rsidRPr="009C19C5" w:rsidRDefault="000A0E4E" w:rsidP="008D7F6B">
      <w:pPr>
        <w:pStyle w:val="ListParagraph"/>
        <w:numPr>
          <w:ilvl w:val="0"/>
          <w:numId w:val="16"/>
        </w:numPr>
        <w:autoSpaceDE w:val="0"/>
        <w:autoSpaceDN w:val="0"/>
        <w:adjustRightInd w:val="0"/>
        <w:spacing w:after="0" w:line="240" w:lineRule="auto"/>
        <w:ind w:left="0" w:firstLine="36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 xml:space="preserve">Јединица за </w:t>
      </w:r>
      <w:r w:rsidR="009E1707" w:rsidRPr="009C19C5">
        <w:rPr>
          <w:rFonts w:ascii="Times New Roman" w:hAnsi="Times New Roman" w:cs="Times New Roman"/>
          <w:sz w:val="24"/>
          <w:szCs w:val="24"/>
          <w:lang w:val="sr-Cyrl-RS"/>
        </w:rPr>
        <w:t xml:space="preserve">праведну транзицију </w:t>
      </w:r>
      <w:r w:rsidRPr="009C19C5">
        <w:rPr>
          <w:rFonts w:ascii="Times New Roman" w:hAnsi="Times New Roman" w:cs="Times New Roman"/>
          <w:sz w:val="24"/>
          <w:szCs w:val="24"/>
          <w:lang w:val="sr-Cyrl-RS"/>
        </w:rPr>
        <w:t xml:space="preserve">ће такође радити са Министарством финансија, </w:t>
      </w:r>
      <w:r w:rsidR="00A7582E" w:rsidRPr="009C19C5">
        <w:rPr>
          <w:rFonts w:ascii="Times New Roman" w:hAnsi="Times New Roman" w:cs="Times New Roman"/>
          <w:sz w:val="24"/>
          <w:szCs w:val="24"/>
          <w:lang w:val="sr-Cyrl-RS"/>
        </w:rPr>
        <w:t>ЕПС АД</w:t>
      </w:r>
      <w:r w:rsidRPr="009C19C5">
        <w:rPr>
          <w:rFonts w:ascii="Times New Roman" w:hAnsi="Times New Roman" w:cs="Times New Roman"/>
          <w:sz w:val="24"/>
          <w:szCs w:val="24"/>
          <w:lang w:val="sr-Cyrl-RS"/>
        </w:rPr>
        <w:t xml:space="preserve">, </w:t>
      </w:r>
      <w:r w:rsidR="009E1707" w:rsidRPr="009C19C5">
        <w:rPr>
          <w:rFonts w:ascii="Times New Roman" w:hAnsi="Times New Roman" w:cs="Times New Roman"/>
          <w:sz w:val="24"/>
          <w:szCs w:val="24"/>
          <w:lang w:val="sr-Cyrl-RS"/>
        </w:rPr>
        <w:t xml:space="preserve">ЈП </w:t>
      </w:r>
      <w:r w:rsidRPr="009C19C5">
        <w:rPr>
          <w:rFonts w:ascii="Times New Roman" w:hAnsi="Times New Roman" w:cs="Times New Roman"/>
          <w:sz w:val="24"/>
          <w:szCs w:val="24"/>
          <w:lang w:val="sr-Cyrl-RS"/>
        </w:rPr>
        <w:t xml:space="preserve">ПЕУ Ресавица и другим релевантним заинтересованим странама на истраживању опција за коришћење и доделу земљишта </w:t>
      </w:r>
      <w:r w:rsidR="009E1707" w:rsidRPr="009C19C5">
        <w:rPr>
          <w:rFonts w:ascii="Times New Roman" w:hAnsi="Times New Roman" w:cs="Times New Roman"/>
          <w:sz w:val="24"/>
          <w:szCs w:val="24"/>
          <w:lang w:val="sr-Cyrl-RS"/>
        </w:rPr>
        <w:t xml:space="preserve">некадашњих </w:t>
      </w:r>
      <w:r w:rsidRPr="009C19C5">
        <w:rPr>
          <w:rFonts w:ascii="Times New Roman" w:hAnsi="Times New Roman" w:cs="Times New Roman"/>
          <w:sz w:val="24"/>
          <w:szCs w:val="24"/>
          <w:lang w:val="sr-Cyrl-RS"/>
        </w:rPr>
        <w:t xml:space="preserve">рудника и локација електрана (укључујући и посебне прописе о зонирању земљишта и урбанистичком планирању). Јединица би такође могла да истражи следећи корак у олакшавању инвестиционих планова и пројеката у областима </w:t>
      </w:r>
      <w:r w:rsidR="00AC0A79" w:rsidRPr="009C19C5">
        <w:rPr>
          <w:rFonts w:ascii="Times New Roman" w:hAnsi="Times New Roman" w:cs="Times New Roman"/>
          <w:sz w:val="24"/>
          <w:szCs w:val="24"/>
          <w:lang w:val="sr-Cyrl-RS"/>
        </w:rPr>
        <w:t>праведне транзиције</w:t>
      </w:r>
      <w:r w:rsidRPr="009C19C5">
        <w:rPr>
          <w:rFonts w:ascii="Times New Roman" w:hAnsi="Times New Roman" w:cs="Times New Roman"/>
          <w:sz w:val="24"/>
          <w:szCs w:val="24"/>
          <w:lang w:val="sr-Cyrl-RS"/>
        </w:rPr>
        <w:t xml:space="preserve">. Јединица треба да прати, евалуира и извештава </w:t>
      </w:r>
      <w:r w:rsidR="00AC0A79" w:rsidRPr="009C19C5">
        <w:rPr>
          <w:rFonts w:ascii="Times New Roman" w:hAnsi="Times New Roman" w:cs="Times New Roman"/>
          <w:sz w:val="24"/>
          <w:szCs w:val="24"/>
          <w:lang w:val="sr-Cyrl-RS"/>
        </w:rPr>
        <w:t xml:space="preserve">међуминистарски комитет Владе </w:t>
      </w:r>
      <w:r w:rsidRPr="009C19C5">
        <w:rPr>
          <w:rFonts w:ascii="Times New Roman" w:hAnsi="Times New Roman" w:cs="Times New Roman"/>
          <w:sz w:val="24"/>
          <w:szCs w:val="24"/>
          <w:lang w:val="sr-Cyrl-RS"/>
        </w:rPr>
        <w:t xml:space="preserve">о процесу имплементације и помаже у </w:t>
      </w:r>
      <w:r w:rsidR="00AC0A79" w:rsidRPr="009C19C5">
        <w:rPr>
          <w:rFonts w:ascii="Times New Roman" w:hAnsi="Times New Roman" w:cs="Times New Roman"/>
          <w:sz w:val="24"/>
          <w:szCs w:val="24"/>
          <w:lang w:val="sr-Cyrl-RS"/>
        </w:rPr>
        <w:t xml:space="preserve">отклањању </w:t>
      </w:r>
      <w:r w:rsidRPr="009C19C5">
        <w:rPr>
          <w:rFonts w:ascii="Times New Roman" w:hAnsi="Times New Roman" w:cs="Times New Roman"/>
          <w:sz w:val="24"/>
          <w:szCs w:val="24"/>
          <w:lang w:val="sr-Cyrl-RS"/>
        </w:rPr>
        <w:t xml:space="preserve">препрека </w:t>
      </w:r>
      <w:r w:rsidR="00AC0A79" w:rsidRPr="009C19C5">
        <w:rPr>
          <w:rFonts w:ascii="Times New Roman" w:hAnsi="Times New Roman" w:cs="Times New Roman"/>
          <w:sz w:val="24"/>
          <w:szCs w:val="24"/>
          <w:lang w:val="sr-Cyrl-RS"/>
        </w:rPr>
        <w:t xml:space="preserve">у </w:t>
      </w:r>
      <w:r w:rsidRPr="009C19C5">
        <w:rPr>
          <w:rFonts w:ascii="Times New Roman" w:hAnsi="Times New Roman" w:cs="Times New Roman"/>
          <w:sz w:val="24"/>
          <w:szCs w:val="24"/>
          <w:lang w:val="sr-Cyrl-RS"/>
        </w:rPr>
        <w:t>имплементацији.</w:t>
      </w:r>
    </w:p>
    <w:p w14:paraId="03C94596" w14:textId="73D4733F" w:rsidR="00F276BC" w:rsidRPr="009C19C5" w:rsidRDefault="000A0E4E" w:rsidP="008D7F6B">
      <w:pPr>
        <w:pStyle w:val="ListParagraph"/>
        <w:numPr>
          <w:ilvl w:val="0"/>
          <w:numId w:val="16"/>
        </w:numPr>
        <w:autoSpaceDE w:val="0"/>
        <w:autoSpaceDN w:val="0"/>
        <w:adjustRightInd w:val="0"/>
        <w:spacing w:after="0" w:line="240" w:lineRule="auto"/>
        <w:ind w:left="0" w:firstLine="36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 xml:space="preserve">Успоставити </w:t>
      </w:r>
      <w:r w:rsidRPr="009C19C5">
        <w:rPr>
          <w:rFonts w:ascii="Times New Roman" w:hAnsi="Times New Roman" w:cs="Times New Roman"/>
          <w:bCs/>
          <w:sz w:val="24"/>
          <w:szCs w:val="24"/>
          <w:lang w:val="sr-Cyrl-RS"/>
        </w:rPr>
        <w:t>Радне групе</w:t>
      </w:r>
      <w:r w:rsidRPr="009C19C5">
        <w:rPr>
          <w:rFonts w:ascii="Times New Roman" w:hAnsi="Times New Roman" w:cs="Times New Roman"/>
          <w:sz w:val="24"/>
          <w:szCs w:val="24"/>
          <w:lang w:val="sr-Cyrl-RS"/>
        </w:rPr>
        <w:t xml:space="preserve"> уз учешће министарстава, </w:t>
      </w:r>
      <w:r w:rsidR="00AC0A79" w:rsidRPr="009C19C5">
        <w:rPr>
          <w:rFonts w:ascii="Times New Roman" w:hAnsi="Times New Roman" w:cs="Times New Roman"/>
          <w:sz w:val="24"/>
          <w:szCs w:val="24"/>
          <w:lang w:val="sr-Cyrl-RS"/>
        </w:rPr>
        <w:t xml:space="preserve">општина и председника општина </w:t>
      </w:r>
      <w:r w:rsidRPr="009C19C5">
        <w:rPr>
          <w:rFonts w:ascii="Times New Roman" w:hAnsi="Times New Roman" w:cs="Times New Roman"/>
          <w:sz w:val="24"/>
          <w:szCs w:val="24"/>
          <w:lang w:val="sr-Cyrl-RS"/>
        </w:rPr>
        <w:t xml:space="preserve">и, </w:t>
      </w:r>
      <w:r w:rsidR="00A7582E" w:rsidRPr="009C19C5">
        <w:rPr>
          <w:rFonts w:ascii="Times New Roman" w:hAnsi="Times New Roman" w:cs="Times New Roman"/>
          <w:sz w:val="24"/>
          <w:szCs w:val="24"/>
          <w:lang w:val="sr-Cyrl-RS"/>
        </w:rPr>
        <w:t>ЕПС АД</w:t>
      </w:r>
      <w:r w:rsidRPr="009C19C5">
        <w:rPr>
          <w:rFonts w:ascii="Times New Roman" w:hAnsi="Times New Roman" w:cs="Times New Roman"/>
          <w:sz w:val="24"/>
          <w:szCs w:val="24"/>
          <w:lang w:val="sr-Cyrl-RS"/>
        </w:rPr>
        <w:t xml:space="preserve"> и других релевантних актера. Радне групе би могле бити успостављене како би се подстакло ангажовање заинтересованих страна у специфичним областима, укључујући преквалификацију, развој вештина за зелену економију и економску диверзификацију у погођеним подручјима. Радне групе може подржати Јединица за праведну транзицију Министарства рударства и енергетике.</w:t>
      </w:r>
    </w:p>
    <w:p w14:paraId="5B7F445D" w14:textId="68064CCF" w:rsidR="00F276BC" w:rsidRPr="009C19C5" w:rsidRDefault="000A0E4E" w:rsidP="008D7F6B">
      <w:pPr>
        <w:pStyle w:val="ListParagraph"/>
        <w:numPr>
          <w:ilvl w:val="0"/>
          <w:numId w:val="16"/>
        </w:numPr>
        <w:autoSpaceDE w:val="0"/>
        <w:autoSpaceDN w:val="0"/>
        <w:adjustRightInd w:val="0"/>
        <w:spacing w:after="0" w:line="240" w:lineRule="auto"/>
        <w:ind w:left="0" w:firstLine="360"/>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 xml:space="preserve">Подршка обезбеђена преко </w:t>
      </w:r>
      <w:r w:rsidR="00927BF2" w:rsidRPr="009C19C5">
        <w:rPr>
          <w:rFonts w:ascii="Times New Roman" w:hAnsi="Times New Roman" w:cs="Times New Roman"/>
          <w:bCs/>
          <w:sz w:val="24"/>
          <w:szCs w:val="24"/>
          <w:lang w:val="sr-Cyrl-RS"/>
        </w:rPr>
        <w:t>механизама за фина</w:t>
      </w:r>
      <w:r w:rsidR="00633041" w:rsidRPr="009C19C5">
        <w:rPr>
          <w:rFonts w:ascii="Times New Roman" w:hAnsi="Times New Roman" w:cs="Times New Roman"/>
          <w:bCs/>
          <w:sz w:val="24"/>
          <w:szCs w:val="24"/>
          <w:lang w:val="sr-Cyrl-RS"/>
        </w:rPr>
        <w:t>н</w:t>
      </w:r>
      <w:r w:rsidR="00927BF2" w:rsidRPr="009C19C5">
        <w:rPr>
          <w:rFonts w:ascii="Times New Roman" w:hAnsi="Times New Roman" w:cs="Times New Roman"/>
          <w:bCs/>
          <w:sz w:val="24"/>
          <w:szCs w:val="24"/>
          <w:lang w:val="sr-Cyrl-RS"/>
        </w:rPr>
        <w:t>сирање</w:t>
      </w:r>
      <w:r w:rsidRPr="009C19C5">
        <w:rPr>
          <w:rFonts w:ascii="Times New Roman" w:hAnsi="Times New Roman" w:cs="Times New Roman"/>
          <w:bCs/>
          <w:sz w:val="24"/>
          <w:szCs w:val="24"/>
          <w:lang w:val="sr-Cyrl-RS"/>
        </w:rPr>
        <w:t xml:space="preserve"> праведн</w:t>
      </w:r>
      <w:r w:rsidR="00927BF2" w:rsidRPr="009C19C5">
        <w:rPr>
          <w:rFonts w:ascii="Times New Roman" w:hAnsi="Times New Roman" w:cs="Times New Roman"/>
          <w:bCs/>
          <w:sz w:val="24"/>
          <w:szCs w:val="24"/>
          <w:lang w:val="sr-Cyrl-RS"/>
        </w:rPr>
        <w:t>е</w:t>
      </w:r>
      <w:r w:rsidRPr="009C19C5">
        <w:rPr>
          <w:rFonts w:ascii="Times New Roman" w:hAnsi="Times New Roman" w:cs="Times New Roman"/>
          <w:bCs/>
          <w:sz w:val="24"/>
          <w:szCs w:val="24"/>
          <w:lang w:val="sr-Cyrl-RS"/>
        </w:rPr>
        <w:t xml:space="preserve"> транзициј</w:t>
      </w:r>
      <w:r w:rsidR="00927BF2" w:rsidRPr="009C19C5">
        <w:rPr>
          <w:rFonts w:ascii="Times New Roman" w:hAnsi="Times New Roman" w:cs="Times New Roman"/>
          <w:bCs/>
          <w:sz w:val="24"/>
          <w:szCs w:val="24"/>
          <w:lang w:val="sr-Cyrl-RS"/>
        </w:rPr>
        <w:t>е</w:t>
      </w:r>
      <w:r w:rsidRPr="009C19C5">
        <w:rPr>
          <w:rFonts w:ascii="Times New Roman" w:hAnsi="Times New Roman" w:cs="Times New Roman"/>
          <w:bCs/>
          <w:sz w:val="24"/>
          <w:szCs w:val="24"/>
          <w:lang w:val="sr-Cyrl-RS"/>
        </w:rPr>
        <w:t xml:space="preserve"> </w:t>
      </w:r>
      <w:r w:rsidRPr="009C19C5">
        <w:rPr>
          <w:rFonts w:ascii="Times New Roman" w:hAnsi="Times New Roman" w:cs="Times New Roman"/>
          <w:sz w:val="24"/>
          <w:szCs w:val="24"/>
          <w:lang w:val="sr-Cyrl-RS"/>
        </w:rPr>
        <w:t xml:space="preserve">фокусира се на економску диверзификацију територија </w:t>
      </w:r>
      <w:r w:rsidR="00517ACC" w:rsidRPr="009C19C5">
        <w:rPr>
          <w:rFonts w:ascii="Times New Roman" w:hAnsi="Times New Roman" w:cs="Times New Roman"/>
          <w:sz w:val="24"/>
          <w:szCs w:val="24"/>
          <w:lang w:val="sr-Cyrl-RS"/>
        </w:rPr>
        <w:t xml:space="preserve">које су највише </w:t>
      </w:r>
      <w:r w:rsidRPr="009C19C5">
        <w:rPr>
          <w:rFonts w:ascii="Times New Roman" w:hAnsi="Times New Roman" w:cs="Times New Roman"/>
          <w:sz w:val="24"/>
          <w:szCs w:val="24"/>
          <w:lang w:val="sr-Cyrl-RS"/>
        </w:rPr>
        <w:t>погођен</w:t>
      </w:r>
      <w:r w:rsidR="00517ACC" w:rsidRPr="009C19C5">
        <w:rPr>
          <w:rFonts w:ascii="Times New Roman" w:hAnsi="Times New Roman" w:cs="Times New Roman"/>
          <w:sz w:val="24"/>
          <w:szCs w:val="24"/>
          <w:lang w:val="sr-Cyrl-RS"/>
        </w:rPr>
        <w:t>е</w:t>
      </w:r>
      <w:r w:rsidRPr="009C19C5">
        <w:rPr>
          <w:rFonts w:ascii="Times New Roman" w:hAnsi="Times New Roman" w:cs="Times New Roman"/>
          <w:sz w:val="24"/>
          <w:szCs w:val="24"/>
          <w:lang w:val="sr-Cyrl-RS"/>
        </w:rPr>
        <w:t xml:space="preserve"> климатск</w:t>
      </w:r>
      <w:r w:rsidR="00517ACC" w:rsidRPr="009C19C5">
        <w:rPr>
          <w:rFonts w:ascii="Times New Roman" w:hAnsi="Times New Roman" w:cs="Times New Roman"/>
          <w:sz w:val="24"/>
          <w:szCs w:val="24"/>
          <w:lang w:val="sr-Cyrl-RS"/>
        </w:rPr>
        <w:t>ом</w:t>
      </w:r>
      <w:r w:rsidRPr="009C19C5">
        <w:rPr>
          <w:rFonts w:ascii="Times New Roman" w:hAnsi="Times New Roman" w:cs="Times New Roman"/>
          <w:sz w:val="24"/>
          <w:szCs w:val="24"/>
          <w:lang w:val="sr-Cyrl-RS"/>
        </w:rPr>
        <w:t xml:space="preserve"> транзициј</w:t>
      </w:r>
      <w:r w:rsidR="00517ACC" w:rsidRPr="009C19C5">
        <w:rPr>
          <w:rFonts w:ascii="Times New Roman" w:hAnsi="Times New Roman" w:cs="Times New Roman"/>
          <w:sz w:val="24"/>
          <w:szCs w:val="24"/>
          <w:lang w:val="sr-Cyrl-RS"/>
        </w:rPr>
        <w:t>ом,</w:t>
      </w:r>
      <w:r w:rsidRPr="009C19C5">
        <w:rPr>
          <w:rFonts w:ascii="Times New Roman" w:hAnsi="Times New Roman" w:cs="Times New Roman"/>
          <w:sz w:val="24"/>
          <w:szCs w:val="24"/>
          <w:lang w:val="sr-Cyrl-RS"/>
        </w:rPr>
        <w:t xml:space="preserve"> као и на преквалификацију и активно укључивање њихових </w:t>
      </w:r>
      <w:r w:rsidR="00517ACC" w:rsidRPr="009C19C5">
        <w:rPr>
          <w:rFonts w:ascii="Times New Roman" w:hAnsi="Times New Roman" w:cs="Times New Roman"/>
          <w:sz w:val="24"/>
          <w:szCs w:val="24"/>
          <w:lang w:val="sr-Cyrl-RS"/>
        </w:rPr>
        <w:t xml:space="preserve">запослених </w:t>
      </w:r>
      <w:r w:rsidRPr="009C19C5">
        <w:rPr>
          <w:rFonts w:ascii="Times New Roman" w:hAnsi="Times New Roman" w:cs="Times New Roman"/>
          <w:sz w:val="24"/>
          <w:szCs w:val="24"/>
          <w:lang w:val="sr-Cyrl-RS"/>
        </w:rPr>
        <w:t xml:space="preserve">и </w:t>
      </w:r>
      <w:r w:rsidR="00517ACC" w:rsidRPr="009C19C5">
        <w:rPr>
          <w:rFonts w:ascii="Times New Roman" w:hAnsi="Times New Roman" w:cs="Times New Roman"/>
          <w:sz w:val="24"/>
          <w:szCs w:val="24"/>
          <w:lang w:val="sr-Cyrl-RS"/>
        </w:rPr>
        <w:t xml:space="preserve">особа </w:t>
      </w:r>
      <w:r w:rsidRPr="009C19C5">
        <w:rPr>
          <w:rFonts w:ascii="Times New Roman" w:hAnsi="Times New Roman" w:cs="Times New Roman"/>
          <w:sz w:val="24"/>
          <w:szCs w:val="24"/>
          <w:lang w:val="sr-Cyrl-RS"/>
        </w:rPr>
        <w:t>у потрази за послом. Одговорност се преузима на нивоу централне управе, локалних власти и укључених тела.</w:t>
      </w:r>
    </w:p>
    <w:p w14:paraId="3C6E7874" w14:textId="78FFD53E" w:rsidR="00F276BC" w:rsidRPr="009C19C5" w:rsidRDefault="00F276BC" w:rsidP="00E1575A">
      <w:pPr>
        <w:keepNext/>
        <w:autoSpaceDE w:val="0"/>
        <w:autoSpaceDN w:val="0"/>
        <w:adjustRightInd w:val="0"/>
        <w:spacing w:before="120" w:after="120" w:line="276" w:lineRule="auto"/>
        <w:ind w:firstLine="360"/>
        <w:jc w:val="center"/>
        <w:rPr>
          <w:rFonts w:ascii="Times New Roman" w:hAnsi="Times New Roman" w:cs="Times New Roman"/>
          <w:lang w:val="sr-Cyrl-RS"/>
        </w:rPr>
      </w:pPr>
    </w:p>
    <w:p w14:paraId="7CB9C50A" w14:textId="5E4F7602" w:rsidR="00F276BC" w:rsidRPr="009C19C5" w:rsidRDefault="00721128" w:rsidP="00D863B1">
      <w:pPr>
        <w:pStyle w:val="Heading1"/>
        <w:rPr>
          <w:lang w:val="sr-Cyrl-RS"/>
        </w:rPr>
      </w:pPr>
      <w:bookmarkStart w:id="43" w:name="_Toc183082949"/>
      <w:r w:rsidRPr="009C19C5">
        <w:rPr>
          <w:lang w:val="sr-Cyrl-RS"/>
        </w:rPr>
        <w:t>7.2.</w:t>
      </w:r>
      <w:r w:rsidR="000A0E4E" w:rsidRPr="009C19C5">
        <w:rPr>
          <w:lang w:val="sr-Cyrl-RS"/>
        </w:rPr>
        <w:t xml:space="preserve"> </w:t>
      </w:r>
      <w:bookmarkEnd w:id="43"/>
      <w:r w:rsidR="00835F3D" w:rsidRPr="009C19C5">
        <w:rPr>
          <w:lang w:val="sr-Cyrl-RS"/>
        </w:rPr>
        <w:t>П</w:t>
      </w:r>
      <w:r w:rsidR="000A0E4E" w:rsidRPr="009C19C5">
        <w:rPr>
          <w:lang w:val="sr-Cyrl-RS"/>
        </w:rPr>
        <w:t>отреб</w:t>
      </w:r>
      <w:r w:rsidR="00835F3D" w:rsidRPr="009C19C5">
        <w:rPr>
          <w:lang w:val="sr-Cyrl-RS"/>
        </w:rPr>
        <w:t>на средства и могућности</w:t>
      </w:r>
      <w:r w:rsidR="000A0E4E" w:rsidRPr="009C19C5">
        <w:rPr>
          <w:lang w:val="sr-Cyrl-RS"/>
        </w:rPr>
        <w:t xml:space="preserve"> финансира</w:t>
      </w:r>
      <w:r w:rsidR="00835F3D" w:rsidRPr="009C19C5">
        <w:rPr>
          <w:lang w:val="sr-Cyrl-RS"/>
        </w:rPr>
        <w:t>ња</w:t>
      </w:r>
    </w:p>
    <w:p w14:paraId="7DC911BB" w14:textId="61C71315" w:rsidR="00F276BC" w:rsidRPr="009C19C5" w:rsidRDefault="000A0E4E" w:rsidP="00534A78">
      <w:pPr>
        <w:spacing w:after="0" w:line="240" w:lineRule="auto"/>
        <w:ind w:firstLine="720"/>
        <w:jc w:val="both"/>
        <w:rPr>
          <w:rFonts w:ascii="Times New Roman" w:eastAsia="Times New Roman" w:hAnsi="Times New Roman" w:cs="Times New Roman"/>
          <w:sz w:val="24"/>
          <w:szCs w:val="24"/>
          <w:lang w:val="sr-Cyrl-RS" w:eastAsia="el-GR"/>
        </w:rPr>
      </w:pPr>
      <w:r w:rsidRPr="009C19C5">
        <w:rPr>
          <w:rFonts w:ascii="Times New Roman" w:eastAsia="Times New Roman" w:hAnsi="Times New Roman" w:cs="Times New Roman"/>
          <w:sz w:val="24"/>
          <w:szCs w:val="24"/>
          <w:lang w:val="sr-Cyrl-RS" w:eastAsia="el-GR"/>
        </w:rPr>
        <w:t>Иницијатива Е</w:t>
      </w:r>
      <w:r w:rsidR="003D6B13" w:rsidRPr="009C19C5">
        <w:rPr>
          <w:rFonts w:ascii="Times New Roman" w:eastAsia="Times New Roman" w:hAnsi="Times New Roman" w:cs="Times New Roman"/>
          <w:sz w:val="24"/>
          <w:szCs w:val="24"/>
          <w:lang w:val="sr-Cyrl-RS" w:eastAsia="el-GR"/>
        </w:rPr>
        <w:t xml:space="preserve">вропске </w:t>
      </w:r>
      <w:r w:rsidR="001D444A" w:rsidRPr="009C19C5">
        <w:rPr>
          <w:rFonts w:ascii="Times New Roman" w:eastAsia="Times New Roman" w:hAnsi="Times New Roman" w:cs="Times New Roman"/>
          <w:sz w:val="24"/>
          <w:szCs w:val="24"/>
          <w:lang w:val="sr-Cyrl-RS" w:eastAsia="el-GR"/>
        </w:rPr>
        <w:t>у</w:t>
      </w:r>
      <w:r w:rsidR="003D6B13" w:rsidRPr="009C19C5">
        <w:rPr>
          <w:rFonts w:ascii="Times New Roman" w:eastAsia="Times New Roman" w:hAnsi="Times New Roman" w:cs="Times New Roman"/>
          <w:sz w:val="24"/>
          <w:szCs w:val="24"/>
          <w:lang w:val="sr-Cyrl-RS" w:eastAsia="el-GR"/>
        </w:rPr>
        <w:t>није</w:t>
      </w:r>
      <w:r w:rsidRPr="009C19C5">
        <w:rPr>
          <w:rFonts w:ascii="Times New Roman" w:eastAsia="Times New Roman" w:hAnsi="Times New Roman" w:cs="Times New Roman"/>
          <w:sz w:val="24"/>
          <w:szCs w:val="24"/>
          <w:lang w:val="sr-Cyrl-RS" w:eastAsia="el-GR"/>
        </w:rPr>
        <w:t xml:space="preserve"> за регионе угља у транзицији на Западном Балкану и у Украјини покренута је у децембру 2020. године и има за циљ да помогне земљама, укључујући </w:t>
      </w:r>
      <w:r w:rsidR="007D4593" w:rsidRPr="009C19C5">
        <w:rPr>
          <w:rFonts w:ascii="Times New Roman" w:eastAsia="Times New Roman" w:hAnsi="Times New Roman" w:cs="Times New Roman"/>
          <w:sz w:val="24"/>
          <w:szCs w:val="24"/>
          <w:lang w:val="sr-Cyrl-RS" w:eastAsia="el-GR"/>
        </w:rPr>
        <w:t xml:space="preserve">Републику </w:t>
      </w:r>
      <w:r w:rsidRPr="009C19C5">
        <w:rPr>
          <w:rFonts w:ascii="Times New Roman" w:eastAsia="Times New Roman" w:hAnsi="Times New Roman" w:cs="Times New Roman"/>
          <w:sz w:val="24"/>
          <w:szCs w:val="24"/>
          <w:lang w:val="sr-Cyrl-RS" w:eastAsia="el-GR"/>
        </w:rPr>
        <w:t>Србију, и регионима да с</w:t>
      </w:r>
      <w:r w:rsidR="00B525CB" w:rsidRPr="009C19C5">
        <w:rPr>
          <w:rFonts w:ascii="Times New Roman" w:eastAsia="Times New Roman" w:hAnsi="Times New Roman" w:cs="Times New Roman"/>
          <w:sz w:val="24"/>
          <w:szCs w:val="24"/>
          <w:lang w:val="sr-Cyrl-RS" w:eastAsia="el-GR"/>
        </w:rPr>
        <w:t xml:space="preserve">мање употребу </w:t>
      </w:r>
      <w:r w:rsidRPr="009C19C5">
        <w:rPr>
          <w:rFonts w:ascii="Times New Roman" w:eastAsia="Times New Roman" w:hAnsi="Times New Roman" w:cs="Times New Roman"/>
          <w:sz w:val="24"/>
          <w:szCs w:val="24"/>
          <w:lang w:val="sr-Cyrl-RS" w:eastAsia="el-GR"/>
        </w:rPr>
        <w:t xml:space="preserve">угља </w:t>
      </w:r>
      <w:r w:rsidR="00B525CB" w:rsidRPr="009C19C5">
        <w:rPr>
          <w:rFonts w:ascii="Times New Roman" w:eastAsia="Times New Roman" w:hAnsi="Times New Roman" w:cs="Times New Roman"/>
          <w:sz w:val="24"/>
          <w:szCs w:val="24"/>
          <w:lang w:val="sr-Cyrl-RS" w:eastAsia="el-GR"/>
        </w:rPr>
        <w:t xml:space="preserve">и у правцу </w:t>
      </w:r>
      <w:r w:rsidRPr="009C19C5">
        <w:rPr>
          <w:rFonts w:ascii="Times New Roman" w:eastAsia="Times New Roman" w:hAnsi="Times New Roman" w:cs="Times New Roman"/>
          <w:sz w:val="24"/>
          <w:szCs w:val="24"/>
          <w:lang w:val="sr-Cyrl-RS" w:eastAsia="el-GR"/>
        </w:rPr>
        <w:t>економиј</w:t>
      </w:r>
      <w:r w:rsidR="00B525CB" w:rsidRPr="009C19C5">
        <w:rPr>
          <w:rFonts w:ascii="Times New Roman" w:eastAsia="Times New Roman" w:hAnsi="Times New Roman" w:cs="Times New Roman"/>
          <w:sz w:val="24"/>
          <w:szCs w:val="24"/>
          <w:lang w:val="sr-Cyrl-RS" w:eastAsia="el-GR"/>
        </w:rPr>
        <w:t xml:space="preserve">е </w:t>
      </w:r>
      <w:r w:rsidRPr="009C19C5">
        <w:rPr>
          <w:rFonts w:ascii="Times New Roman" w:eastAsia="Times New Roman" w:hAnsi="Times New Roman" w:cs="Times New Roman"/>
          <w:sz w:val="24"/>
          <w:szCs w:val="24"/>
          <w:lang w:val="sr-Cyrl-RS" w:eastAsia="el-GR"/>
        </w:rPr>
        <w:t>без угљеника.</w:t>
      </w:r>
    </w:p>
    <w:p w14:paraId="731A9987" w14:textId="6DD304CA" w:rsidR="00F276BC" w:rsidRPr="009C19C5" w:rsidRDefault="000A0E4E" w:rsidP="00534A78">
      <w:pPr>
        <w:spacing w:after="0" w:line="240" w:lineRule="auto"/>
        <w:ind w:firstLine="720"/>
        <w:jc w:val="both"/>
        <w:rPr>
          <w:rFonts w:ascii="Times New Roman" w:eastAsia="Times New Roman" w:hAnsi="Times New Roman" w:cs="Times New Roman"/>
          <w:kern w:val="0"/>
          <w:sz w:val="24"/>
          <w:szCs w:val="24"/>
          <w:lang w:val="sr-Cyrl-RS" w:eastAsia="el-GR"/>
          <w14:ligatures w14:val="none"/>
        </w:rPr>
      </w:pPr>
      <w:r w:rsidRPr="009C19C5">
        <w:rPr>
          <w:rFonts w:ascii="Times New Roman" w:eastAsia="Times New Roman" w:hAnsi="Times New Roman" w:cs="Times New Roman"/>
          <w:kern w:val="0"/>
          <w:sz w:val="24"/>
          <w:szCs w:val="24"/>
          <w:lang w:val="sr-Cyrl-RS" w:eastAsia="el-GR"/>
          <w14:ligatures w14:val="none"/>
        </w:rPr>
        <w:t>Финансирање се предвиђа кроз мешавину јавних инвестиција, стратешких партнерстава и међународних механизама финансирања. Очекује се да ће Зелена агенда Е</w:t>
      </w:r>
      <w:r w:rsidR="003D6B13" w:rsidRPr="009C19C5">
        <w:rPr>
          <w:rFonts w:ascii="Times New Roman" w:eastAsia="Times New Roman" w:hAnsi="Times New Roman" w:cs="Times New Roman"/>
          <w:kern w:val="0"/>
          <w:sz w:val="24"/>
          <w:szCs w:val="24"/>
          <w:lang w:val="sr-Cyrl-RS" w:eastAsia="el-GR"/>
          <w14:ligatures w14:val="none"/>
        </w:rPr>
        <w:t xml:space="preserve">вропске </w:t>
      </w:r>
      <w:r w:rsidR="001D444A" w:rsidRPr="009C19C5">
        <w:rPr>
          <w:rFonts w:ascii="Times New Roman" w:eastAsia="Times New Roman" w:hAnsi="Times New Roman" w:cs="Times New Roman"/>
          <w:kern w:val="0"/>
          <w:sz w:val="24"/>
          <w:szCs w:val="24"/>
          <w:lang w:val="sr-Cyrl-RS" w:eastAsia="el-GR"/>
          <w14:ligatures w14:val="none"/>
        </w:rPr>
        <w:t>у</w:t>
      </w:r>
      <w:r w:rsidR="003D6B13" w:rsidRPr="009C19C5">
        <w:rPr>
          <w:rFonts w:ascii="Times New Roman" w:eastAsia="Times New Roman" w:hAnsi="Times New Roman" w:cs="Times New Roman"/>
          <w:kern w:val="0"/>
          <w:sz w:val="24"/>
          <w:szCs w:val="24"/>
          <w:lang w:val="sr-Cyrl-RS" w:eastAsia="el-GR"/>
          <w14:ligatures w14:val="none"/>
        </w:rPr>
        <w:t>није</w:t>
      </w:r>
      <w:r w:rsidRPr="009C19C5">
        <w:rPr>
          <w:rFonts w:ascii="Times New Roman" w:eastAsia="Times New Roman" w:hAnsi="Times New Roman" w:cs="Times New Roman"/>
          <w:kern w:val="0"/>
          <w:sz w:val="24"/>
          <w:szCs w:val="24"/>
          <w:lang w:val="sr-Cyrl-RS" w:eastAsia="el-GR"/>
          <w14:ligatures w14:val="none"/>
        </w:rPr>
        <w:t xml:space="preserve"> за </w:t>
      </w:r>
      <w:r w:rsidR="00B525CB" w:rsidRPr="009C19C5">
        <w:rPr>
          <w:rFonts w:ascii="Times New Roman" w:eastAsia="Times New Roman" w:hAnsi="Times New Roman" w:cs="Times New Roman"/>
          <w:kern w:val="0"/>
          <w:sz w:val="24"/>
          <w:szCs w:val="24"/>
          <w:lang w:val="sr-Cyrl-RS" w:eastAsia="el-GR"/>
          <w14:ligatures w14:val="none"/>
        </w:rPr>
        <w:t>З</w:t>
      </w:r>
      <w:r w:rsidRPr="009C19C5">
        <w:rPr>
          <w:rFonts w:ascii="Times New Roman" w:eastAsia="Times New Roman" w:hAnsi="Times New Roman" w:cs="Times New Roman"/>
          <w:kern w:val="0"/>
          <w:sz w:val="24"/>
          <w:szCs w:val="24"/>
          <w:lang w:val="sr-Cyrl-RS" w:eastAsia="el-GR"/>
          <w14:ligatures w14:val="none"/>
        </w:rPr>
        <w:t xml:space="preserve">ападни Балкан и потенцијални доприноси међународних развојних банака и приватних инвеститора играти значајну улогу. </w:t>
      </w:r>
      <w:r w:rsidR="0006193A" w:rsidRPr="009C19C5">
        <w:rPr>
          <w:rFonts w:ascii="Times New Roman" w:eastAsia="Times New Roman" w:hAnsi="Times New Roman" w:cs="Times New Roman"/>
          <w:kern w:val="0"/>
          <w:sz w:val="24"/>
          <w:szCs w:val="24"/>
          <w:lang w:val="sr-Cyrl-RS" w:eastAsia="el-GR"/>
          <w14:ligatures w14:val="none"/>
        </w:rPr>
        <w:t xml:space="preserve">Република </w:t>
      </w:r>
      <w:r w:rsidRPr="009C19C5">
        <w:rPr>
          <w:rFonts w:ascii="Times New Roman" w:eastAsia="Times New Roman" w:hAnsi="Times New Roman" w:cs="Times New Roman"/>
          <w:kern w:val="0"/>
          <w:sz w:val="24"/>
          <w:szCs w:val="24"/>
          <w:lang w:val="sr-Cyrl-RS" w:eastAsia="el-GR"/>
          <w14:ligatures w14:val="none"/>
        </w:rPr>
        <w:t>Србија активно тражи партнерства како би поделила финансијски терет и убрзала имплементацију пројеката, посебно за велике пројекте обновљивих извора енергије. Поред тога, треба узети у обзир и предузећа са блокираним рачунима, која представљају значајан удео српске привреде и могла би бити озбиљно погођена предложеним реформама.</w:t>
      </w:r>
    </w:p>
    <w:p w14:paraId="7BF5FF93" w14:textId="77777777" w:rsidR="008421CF" w:rsidRPr="009C19C5" w:rsidRDefault="000A0E4E" w:rsidP="00534A78">
      <w:pPr>
        <w:pStyle w:val="BodyText"/>
        <w:spacing w:after="0" w:line="240" w:lineRule="auto"/>
        <w:ind w:firstLine="720"/>
        <w:rPr>
          <w:rFonts w:ascii="Times New Roman" w:hAnsi="Times New Roman" w:cs="Times New Roman"/>
          <w:sz w:val="24"/>
          <w:szCs w:val="24"/>
          <w:lang w:val="sr-Cyrl-RS"/>
        </w:rPr>
      </w:pPr>
      <w:bookmarkStart w:id="44" w:name="_Toc167401100"/>
      <w:bookmarkStart w:id="45" w:name="_Toc167960691"/>
      <w:bookmarkStart w:id="46" w:name="_Toc167989228"/>
      <w:bookmarkStart w:id="47" w:name="_Toc167989775"/>
      <w:bookmarkStart w:id="48" w:name="_Toc171534953"/>
      <w:bookmarkStart w:id="49" w:name="_Toc171600418"/>
      <w:bookmarkStart w:id="50" w:name="_Toc167988906"/>
      <w:bookmarkEnd w:id="44"/>
      <w:bookmarkEnd w:id="45"/>
      <w:bookmarkEnd w:id="46"/>
      <w:bookmarkEnd w:id="47"/>
      <w:bookmarkEnd w:id="48"/>
      <w:bookmarkEnd w:id="49"/>
      <w:bookmarkEnd w:id="50"/>
      <w:r w:rsidRPr="009C19C5">
        <w:rPr>
          <w:rFonts w:ascii="Times New Roman" w:hAnsi="Times New Roman" w:cs="Times New Roman"/>
          <w:sz w:val="24"/>
          <w:szCs w:val="24"/>
          <w:lang w:val="sr-Cyrl-RS"/>
        </w:rPr>
        <w:t>Имајући у виду искуства суседних земаља, идентификовано је неколико потенцијалних инвеститора који би могли да обезбеде финансирање и под</w:t>
      </w:r>
      <w:r w:rsidR="000661DE" w:rsidRPr="009C19C5">
        <w:rPr>
          <w:rFonts w:ascii="Times New Roman" w:hAnsi="Times New Roman" w:cs="Times New Roman"/>
          <w:sz w:val="24"/>
          <w:szCs w:val="24"/>
          <w:lang w:val="sr-Cyrl-RS"/>
        </w:rPr>
        <w:t>р</w:t>
      </w:r>
      <w:r w:rsidRPr="009C19C5">
        <w:rPr>
          <w:rFonts w:ascii="Times New Roman" w:hAnsi="Times New Roman" w:cs="Times New Roman"/>
          <w:sz w:val="24"/>
          <w:szCs w:val="24"/>
          <w:lang w:val="sr-Cyrl-RS"/>
        </w:rPr>
        <w:t>шку у примени пројеката транзиције у блиској и скорој будућности, на следеће начине:</w:t>
      </w:r>
    </w:p>
    <w:p w14:paraId="5E80CBF9" w14:textId="6B56CCA6" w:rsidR="00F276BC" w:rsidRPr="009C19C5" w:rsidRDefault="000A0E4E" w:rsidP="00534A78">
      <w:pPr>
        <w:pStyle w:val="BodyText"/>
        <w:spacing w:after="0" w:line="240" w:lineRule="auto"/>
        <w:ind w:firstLine="720"/>
        <w:rPr>
          <w:rFonts w:ascii="Times New Roman" w:hAnsi="Times New Roman" w:cs="Times New Roman"/>
          <w:sz w:val="24"/>
          <w:szCs w:val="24"/>
          <w:lang w:val="sr-Cyrl-RS"/>
        </w:rPr>
      </w:pPr>
      <w:r w:rsidRPr="009C19C5">
        <w:rPr>
          <w:rFonts w:ascii="Times New Roman" w:hAnsi="Times New Roman" w:cs="Times New Roman"/>
          <w:sz w:val="24"/>
          <w:szCs w:val="24"/>
          <w:lang w:val="sr-Cyrl-RS"/>
        </w:rPr>
        <w:t xml:space="preserve"> </w:t>
      </w:r>
    </w:p>
    <w:p w14:paraId="0E1DFA15" w14:textId="2519F0A2" w:rsidR="00F276BC" w:rsidRPr="009C19C5" w:rsidRDefault="000A0E4E" w:rsidP="002F78E8">
      <w:pPr>
        <w:pStyle w:val="Caption"/>
        <w:keepNext/>
        <w:spacing w:after="0" w:line="240" w:lineRule="auto"/>
        <w:jc w:val="both"/>
        <w:rPr>
          <w:rFonts w:ascii="Times New Roman" w:hAnsi="Times New Roman" w:cs="Times New Roman"/>
          <w:i w:val="0"/>
          <w:iCs w:val="0"/>
          <w:color w:val="auto"/>
          <w:sz w:val="20"/>
          <w:szCs w:val="20"/>
          <w:lang w:val="sr-Cyrl-RS"/>
        </w:rPr>
      </w:pPr>
      <w:r w:rsidRPr="009C19C5">
        <w:rPr>
          <w:rFonts w:ascii="Times New Roman" w:hAnsi="Times New Roman" w:cs="Times New Roman"/>
          <w:i w:val="0"/>
          <w:iCs w:val="0"/>
          <w:color w:val="auto"/>
          <w:sz w:val="20"/>
          <w:szCs w:val="20"/>
          <w:lang w:val="sr-Cyrl-RS"/>
        </w:rPr>
        <w:lastRenderedPageBreak/>
        <w:t>Табела 1</w:t>
      </w:r>
      <w:r w:rsidR="00D56599" w:rsidRPr="009C19C5">
        <w:rPr>
          <w:rFonts w:ascii="Times New Roman" w:hAnsi="Times New Roman" w:cs="Times New Roman"/>
          <w:i w:val="0"/>
          <w:iCs w:val="0"/>
          <w:color w:val="auto"/>
          <w:sz w:val="20"/>
          <w:szCs w:val="20"/>
          <w:lang w:val="sr-Cyrl-RS"/>
        </w:rPr>
        <w:t>5</w:t>
      </w:r>
      <w:r w:rsidRPr="009C19C5">
        <w:rPr>
          <w:rFonts w:ascii="Times New Roman" w:hAnsi="Times New Roman" w:cs="Times New Roman"/>
          <w:i w:val="0"/>
          <w:iCs w:val="0"/>
          <w:color w:val="auto"/>
          <w:sz w:val="20"/>
          <w:szCs w:val="20"/>
          <w:lang w:val="sr-Cyrl-RS"/>
        </w:rPr>
        <w:t>: Списак потенцијалних донатора и потенцијалних извора финансија</w:t>
      </w:r>
      <w:r w:rsidR="000661DE" w:rsidRPr="009C19C5">
        <w:rPr>
          <w:rFonts w:ascii="Times New Roman" w:hAnsi="Times New Roman" w:cs="Times New Roman"/>
          <w:i w:val="0"/>
          <w:iCs w:val="0"/>
          <w:color w:val="auto"/>
          <w:sz w:val="20"/>
          <w:szCs w:val="20"/>
          <w:lang w:val="sr-Cyrl-RS"/>
        </w:rPr>
        <w:t xml:space="preserve"> </w:t>
      </w:r>
      <w:r w:rsidRPr="009C19C5">
        <w:rPr>
          <w:rFonts w:ascii="Times New Roman" w:hAnsi="Times New Roman" w:cs="Times New Roman"/>
          <w:i w:val="0"/>
          <w:iCs w:val="0"/>
          <w:color w:val="auto"/>
          <w:sz w:val="20"/>
          <w:szCs w:val="20"/>
          <w:lang w:val="sr-Cyrl-RS"/>
        </w:rPr>
        <w:t>(укључујући зајмове)</w:t>
      </w:r>
    </w:p>
    <w:tbl>
      <w:tblPr>
        <w:tblStyle w:val="TableGrid"/>
        <w:tblW w:w="5000" w:type="pct"/>
        <w:jc w:val="center"/>
        <w:tblLook w:val="04A0" w:firstRow="1" w:lastRow="0" w:firstColumn="1" w:lastColumn="0" w:noHBand="0" w:noVBand="1"/>
      </w:tblPr>
      <w:tblGrid>
        <w:gridCol w:w="2251"/>
        <w:gridCol w:w="1548"/>
        <w:gridCol w:w="1610"/>
        <w:gridCol w:w="2397"/>
        <w:gridCol w:w="2654"/>
      </w:tblGrid>
      <w:tr w:rsidR="00F276BC" w:rsidRPr="009C19C5" w14:paraId="50F0B36A" w14:textId="77777777" w:rsidTr="001A632B">
        <w:trPr>
          <w:trHeight w:val="300"/>
          <w:tblHeader/>
          <w:jc w:val="center"/>
        </w:trPr>
        <w:tc>
          <w:tcPr>
            <w:tcW w:w="1082" w:type="pct"/>
            <w:shd w:val="clear" w:color="auto" w:fill="auto"/>
            <w:vAlign w:val="center"/>
          </w:tcPr>
          <w:p w14:paraId="2F0FBD50" w14:textId="77777777" w:rsidR="00F276BC" w:rsidRPr="009C19C5" w:rsidRDefault="000A0E4E">
            <w:pPr>
              <w:spacing w:after="0" w:line="240" w:lineRule="auto"/>
              <w:jc w:val="center"/>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Партнер</w:t>
            </w:r>
          </w:p>
        </w:tc>
        <w:tc>
          <w:tcPr>
            <w:tcW w:w="746" w:type="pct"/>
            <w:shd w:val="clear" w:color="auto" w:fill="auto"/>
            <w:vAlign w:val="center"/>
          </w:tcPr>
          <w:p w14:paraId="09DE7D0F" w14:textId="77777777" w:rsidR="00F276BC" w:rsidRPr="009C19C5" w:rsidRDefault="000A0E4E">
            <w:pPr>
              <w:spacing w:after="0" w:line="240" w:lineRule="auto"/>
              <w:jc w:val="center"/>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Тип финансирања</w:t>
            </w:r>
          </w:p>
        </w:tc>
        <w:tc>
          <w:tcPr>
            <w:tcW w:w="745" w:type="pct"/>
            <w:shd w:val="clear" w:color="auto" w:fill="auto"/>
            <w:vAlign w:val="center"/>
          </w:tcPr>
          <w:p w14:paraId="37705781" w14:textId="63790785" w:rsidR="00F276BC" w:rsidRPr="009C19C5" w:rsidRDefault="00927BF2">
            <w:pPr>
              <w:spacing w:after="0" w:line="240" w:lineRule="auto"/>
              <w:jc w:val="center"/>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Финансијска средства</w:t>
            </w:r>
          </w:p>
        </w:tc>
        <w:tc>
          <w:tcPr>
            <w:tcW w:w="1152" w:type="pct"/>
            <w:shd w:val="clear" w:color="auto" w:fill="auto"/>
            <w:vAlign w:val="center"/>
          </w:tcPr>
          <w:p w14:paraId="6BD9CC66" w14:textId="02B60B84" w:rsidR="00F276BC" w:rsidRPr="009C19C5" w:rsidRDefault="00294102">
            <w:pPr>
              <w:spacing w:after="0" w:line="240" w:lineRule="auto"/>
              <w:jc w:val="center"/>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 xml:space="preserve">Област на коју се фокусира </w:t>
            </w:r>
          </w:p>
        </w:tc>
        <w:tc>
          <w:tcPr>
            <w:tcW w:w="1275" w:type="pct"/>
            <w:shd w:val="clear" w:color="auto" w:fill="auto"/>
          </w:tcPr>
          <w:p w14:paraId="1D834B69" w14:textId="77777777" w:rsidR="00F276BC" w:rsidRPr="009C19C5" w:rsidRDefault="000A0E4E">
            <w:pPr>
              <w:spacing w:after="0" w:line="240" w:lineRule="auto"/>
              <w:jc w:val="center"/>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Индикативни пројекти</w:t>
            </w:r>
          </w:p>
        </w:tc>
      </w:tr>
      <w:tr w:rsidR="00F276BC" w:rsidRPr="009C19C5" w14:paraId="4DFCCC87" w14:textId="77777777">
        <w:trPr>
          <w:trHeight w:val="300"/>
          <w:jc w:val="center"/>
        </w:trPr>
        <w:tc>
          <w:tcPr>
            <w:tcW w:w="1082" w:type="pct"/>
            <w:vAlign w:val="center"/>
          </w:tcPr>
          <w:p w14:paraId="3D1FD328" w14:textId="0F16E98B" w:rsidR="00F276BC" w:rsidRPr="009C19C5" w:rsidRDefault="000A0E4E">
            <w:pPr>
              <w:spacing w:after="0" w:line="240" w:lineRule="auto"/>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 xml:space="preserve">Европска </w:t>
            </w:r>
            <w:r w:rsidR="00C904D5" w:rsidRPr="009C19C5">
              <w:rPr>
                <w:rFonts w:ascii="Times New Roman" w:eastAsia="Times New Roman" w:hAnsi="Times New Roman" w:cs="Times New Roman"/>
                <w:kern w:val="0"/>
                <w:sz w:val="20"/>
                <w:szCs w:val="20"/>
                <w:lang w:val="sr-Cyrl-RS"/>
                <w14:ligatures w14:val="none"/>
              </w:rPr>
              <w:t>у</w:t>
            </w:r>
            <w:r w:rsidRPr="009C19C5">
              <w:rPr>
                <w:rFonts w:ascii="Times New Roman" w:eastAsia="Times New Roman" w:hAnsi="Times New Roman" w:cs="Times New Roman"/>
                <w:kern w:val="0"/>
                <w:sz w:val="20"/>
                <w:szCs w:val="20"/>
                <w:lang w:val="sr-Cyrl-RS"/>
                <w14:ligatures w14:val="none"/>
              </w:rPr>
              <w:t>нија (ЕУ)</w:t>
            </w:r>
          </w:p>
        </w:tc>
        <w:tc>
          <w:tcPr>
            <w:tcW w:w="746" w:type="pct"/>
            <w:vAlign w:val="center"/>
          </w:tcPr>
          <w:p w14:paraId="08F483B8" w14:textId="1CE47962" w:rsidR="00F276BC" w:rsidRPr="009C19C5" w:rsidRDefault="000661DE">
            <w:pPr>
              <w:spacing w:after="0" w:line="240" w:lineRule="auto"/>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Донације</w:t>
            </w:r>
            <w:r w:rsidR="000A0E4E" w:rsidRPr="009C19C5">
              <w:rPr>
                <w:rFonts w:ascii="Times New Roman" w:eastAsia="Times New Roman" w:hAnsi="Times New Roman" w:cs="Times New Roman"/>
                <w:kern w:val="0"/>
                <w:sz w:val="20"/>
                <w:szCs w:val="20"/>
                <w:lang w:val="sr-Cyrl-RS"/>
                <w14:ligatures w14:val="none"/>
              </w:rPr>
              <w:t>, зајмови</w:t>
            </w:r>
          </w:p>
        </w:tc>
        <w:tc>
          <w:tcPr>
            <w:tcW w:w="745" w:type="pct"/>
            <w:vAlign w:val="center"/>
          </w:tcPr>
          <w:p w14:paraId="276DE9AF" w14:textId="04116173" w:rsidR="00F276BC" w:rsidRPr="009C19C5" w:rsidRDefault="000A0E4E">
            <w:pPr>
              <w:spacing w:after="0" w:line="240" w:lineRule="auto"/>
              <w:jc w:val="center"/>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2 милијарде</w:t>
            </w:r>
            <w:r w:rsidR="000661DE" w:rsidRPr="009C19C5">
              <w:rPr>
                <w:rFonts w:ascii="Times New Roman" w:eastAsia="Times New Roman" w:hAnsi="Times New Roman" w:cs="Times New Roman"/>
                <w:kern w:val="0"/>
                <w:sz w:val="20"/>
                <w:szCs w:val="20"/>
                <w:lang w:val="sr-Cyrl-RS"/>
                <w14:ligatures w14:val="none"/>
              </w:rPr>
              <w:t xml:space="preserve"> евра</w:t>
            </w:r>
            <w:r w:rsidRPr="009C19C5">
              <w:rPr>
                <w:rStyle w:val="FootnoteReference"/>
                <w:rFonts w:ascii="Times New Roman" w:eastAsia="Times New Roman" w:hAnsi="Times New Roman" w:cs="Times New Roman"/>
                <w:kern w:val="0"/>
                <w:sz w:val="20"/>
                <w:szCs w:val="20"/>
                <w:lang w:val="sr-Cyrl-RS"/>
                <w14:ligatures w14:val="none"/>
              </w:rPr>
              <w:footnoteReference w:id="7"/>
            </w:r>
          </w:p>
        </w:tc>
        <w:tc>
          <w:tcPr>
            <w:tcW w:w="1152" w:type="pct"/>
            <w:vAlign w:val="center"/>
          </w:tcPr>
          <w:p w14:paraId="3EAAAF1F" w14:textId="29D42FC7" w:rsidR="00F276BC" w:rsidRPr="009C19C5" w:rsidRDefault="000A0E4E">
            <w:pPr>
              <w:spacing w:after="0" w:line="240" w:lineRule="auto"/>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Одрживост, енергетска ефикасност, обновљиви извори енергије, повезив</w:t>
            </w:r>
            <w:r w:rsidR="000661DE" w:rsidRPr="009C19C5">
              <w:rPr>
                <w:rFonts w:ascii="Times New Roman" w:eastAsia="Times New Roman" w:hAnsi="Times New Roman" w:cs="Times New Roman"/>
                <w:kern w:val="0"/>
                <w:sz w:val="20"/>
                <w:szCs w:val="20"/>
                <w:lang w:val="sr-Cyrl-RS"/>
                <w14:ligatures w14:val="none"/>
              </w:rPr>
              <w:t>ање</w:t>
            </w:r>
            <w:r w:rsidRPr="009C19C5">
              <w:rPr>
                <w:rFonts w:ascii="Times New Roman" w:eastAsia="Times New Roman" w:hAnsi="Times New Roman" w:cs="Times New Roman"/>
                <w:kern w:val="0"/>
                <w:sz w:val="20"/>
                <w:szCs w:val="20"/>
                <w:lang w:val="sr-Cyrl-RS"/>
                <w14:ligatures w14:val="none"/>
              </w:rPr>
              <w:t>, одржива инфраструктура</w:t>
            </w:r>
          </w:p>
        </w:tc>
        <w:tc>
          <w:tcPr>
            <w:tcW w:w="1275" w:type="pct"/>
          </w:tcPr>
          <w:p w14:paraId="350D1C38" w14:textId="0A7A9A67" w:rsidR="00F276BC" w:rsidRPr="009C19C5" w:rsidRDefault="000A0E4E">
            <w:pPr>
              <w:spacing w:after="0" w:line="240" w:lineRule="auto"/>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 Belshi Solar Photovoltaic Power Plant (Албанија)</w:t>
            </w:r>
            <w:r w:rsidRPr="009C19C5">
              <w:rPr>
                <w:rFonts w:ascii="Times New Roman" w:eastAsia="Times New Roman" w:hAnsi="Times New Roman" w:cs="Times New Roman"/>
                <w:kern w:val="0"/>
                <w:sz w:val="20"/>
                <w:szCs w:val="20"/>
                <w:lang w:val="sr-Cyrl-RS"/>
                <w14:ligatures w14:val="none"/>
              </w:rPr>
              <w:br/>
              <w:t xml:space="preserve">Износ средстава: 9,6 милиона </w:t>
            </w:r>
            <w:r w:rsidR="000661DE" w:rsidRPr="009C19C5">
              <w:rPr>
                <w:rFonts w:ascii="Times New Roman" w:eastAsia="Times New Roman" w:hAnsi="Times New Roman" w:cs="Times New Roman"/>
                <w:kern w:val="0"/>
                <w:sz w:val="20"/>
                <w:szCs w:val="20"/>
                <w:lang w:val="sr-Cyrl-RS"/>
                <w14:ligatures w14:val="none"/>
              </w:rPr>
              <w:t xml:space="preserve">евра </w:t>
            </w:r>
            <w:r w:rsidRPr="009C19C5">
              <w:rPr>
                <w:rFonts w:ascii="Times New Roman" w:eastAsia="Times New Roman" w:hAnsi="Times New Roman" w:cs="Times New Roman"/>
                <w:kern w:val="0"/>
                <w:sz w:val="20"/>
                <w:szCs w:val="20"/>
                <w:lang w:val="sr-Cyrl-RS"/>
                <w14:ligatures w14:val="none"/>
              </w:rPr>
              <w:t>(</w:t>
            </w:r>
            <w:r w:rsidR="000661DE" w:rsidRPr="009C19C5">
              <w:rPr>
                <w:rFonts w:ascii="Times New Roman" w:eastAsia="Times New Roman" w:hAnsi="Times New Roman" w:cs="Times New Roman"/>
                <w:kern w:val="0"/>
                <w:sz w:val="20"/>
                <w:szCs w:val="20"/>
                <w:lang w:val="sr-Cyrl-RS"/>
                <w14:ligatures w14:val="none"/>
              </w:rPr>
              <w:t>с</w:t>
            </w:r>
            <w:r w:rsidRPr="009C19C5">
              <w:rPr>
                <w:rFonts w:ascii="Times New Roman" w:eastAsia="Times New Roman" w:hAnsi="Times New Roman" w:cs="Times New Roman"/>
                <w:kern w:val="0"/>
                <w:sz w:val="20"/>
                <w:szCs w:val="20"/>
                <w:lang w:val="sr-Cyrl-RS"/>
                <w14:ligatures w14:val="none"/>
              </w:rPr>
              <w:t>убвенција ЕУ)</w:t>
            </w:r>
          </w:p>
          <w:p w14:paraId="53004FA8" w14:textId="473CF1C8" w:rsidR="00F276BC" w:rsidRPr="009C19C5" w:rsidRDefault="000A0E4E">
            <w:pPr>
              <w:spacing w:after="0" w:line="240" w:lineRule="auto"/>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 Ветроелектрана Поклечани (Босна и Херцеговина)</w:t>
            </w:r>
            <w:r w:rsidRPr="009C19C5">
              <w:rPr>
                <w:rFonts w:ascii="Times New Roman" w:eastAsia="Times New Roman" w:hAnsi="Times New Roman" w:cs="Times New Roman"/>
                <w:kern w:val="0"/>
                <w:sz w:val="20"/>
                <w:szCs w:val="20"/>
                <w:lang w:val="sr-Cyrl-RS"/>
                <w14:ligatures w14:val="none"/>
              </w:rPr>
              <w:br/>
              <w:t xml:space="preserve">Износ средстава: 43,7 милиона </w:t>
            </w:r>
            <w:r w:rsidR="000661DE" w:rsidRPr="009C19C5">
              <w:rPr>
                <w:rFonts w:ascii="Times New Roman" w:eastAsia="Times New Roman" w:hAnsi="Times New Roman" w:cs="Times New Roman"/>
                <w:kern w:val="0"/>
                <w:sz w:val="20"/>
                <w:szCs w:val="20"/>
                <w:lang w:val="sr-Cyrl-RS"/>
                <w14:ligatures w14:val="none"/>
              </w:rPr>
              <w:t xml:space="preserve">евра </w:t>
            </w:r>
            <w:r w:rsidRPr="009C19C5">
              <w:rPr>
                <w:rFonts w:ascii="Times New Roman" w:eastAsia="Times New Roman" w:hAnsi="Times New Roman" w:cs="Times New Roman"/>
                <w:kern w:val="0"/>
                <w:sz w:val="20"/>
                <w:szCs w:val="20"/>
                <w:lang w:val="sr-Cyrl-RS"/>
                <w14:ligatures w14:val="none"/>
              </w:rPr>
              <w:t>(</w:t>
            </w:r>
            <w:r w:rsidR="000661DE" w:rsidRPr="009C19C5">
              <w:rPr>
                <w:rFonts w:ascii="Times New Roman" w:eastAsia="Times New Roman" w:hAnsi="Times New Roman" w:cs="Times New Roman"/>
                <w:kern w:val="0"/>
                <w:sz w:val="20"/>
                <w:szCs w:val="20"/>
                <w:lang w:val="sr-Cyrl-RS"/>
                <w14:ligatures w14:val="none"/>
              </w:rPr>
              <w:t>с</w:t>
            </w:r>
            <w:r w:rsidRPr="009C19C5">
              <w:rPr>
                <w:rFonts w:ascii="Times New Roman" w:eastAsia="Times New Roman" w:hAnsi="Times New Roman" w:cs="Times New Roman"/>
                <w:kern w:val="0"/>
                <w:sz w:val="20"/>
                <w:szCs w:val="20"/>
                <w:lang w:val="sr-Cyrl-RS"/>
                <w14:ligatures w14:val="none"/>
              </w:rPr>
              <w:t>убвенција ЕУ)</w:t>
            </w:r>
            <w:r w:rsidRPr="009C19C5">
              <w:rPr>
                <w:rStyle w:val="FootnoteReference"/>
                <w:rFonts w:ascii="Times New Roman" w:eastAsia="Times New Roman" w:hAnsi="Times New Roman" w:cs="Times New Roman"/>
                <w:kern w:val="0"/>
                <w:sz w:val="20"/>
                <w:szCs w:val="20"/>
                <w:lang w:val="sr-Cyrl-RS"/>
                <w14:ligatures w14:val="none"/>
              </w:rPr>
              <w:footnoteReference w:id="8"/>
            </w:r>
          </w:p>
        </w:tc>
      </w:tr>
      <w:tr w:rsidR="00F276BC" w:rsidRPr="009C19C5" w14:paraId="76547CE0" w14:textId="77777777">
        <w:trPr>
          <w:trHeight w:val="300"/>
          <w:jc w:val="center"/>
        </w:trPr>
        <w:tc>
          <w:tcPr>
            <w:tcW w:w="1082" w:type="pct"/>
            <w:vAlign w:val="center"/>
          </w:tcPr>
          <w:p w14:paraId="763F317A" w14:textId="77777777" w:rsidR="00F276BC" w:rsidRPr="009C19C5" w:rsidRDefault="000A0E4E">
            <w:pPr>
              <w:spacing w:after="0" w:line="240" w:lineRule="auto"/>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eastAsia="el-GR"/>
                <w14:ligatures w14:val="none"/>
              </w:rPr>
              <w:t>Европска банка за обнову и развој (ЕБРД)</w:t>
            </w:r>
          </w:p>
        </w:tc>
        <w:tc>
          <w:tcPr>
            <w:tcW w:w="746" w:type="pct"/>
            <w:vAlign w:val="center"/>
          </w:tcPr>
          <w:p w14:paraId="715A1EBC" w14:textId="081471DB" w:rsidR="00F276BC" w:rsidRPr="009C19C5" w:rsidRDefault="000A0E4E">
            <w:pPr>
              <w:spacing w:after="0" w:line="240" w:lineRule="auto"/>
              <w:rPr>
                <w:rFonts w:ascii="Times New Roman" w:eastAsia="Times New Roman" w:hAnsi="Times New Roman" w:cs="Times New Roman"/>
                <w:kern w:val="0"/>
                <w:sz w:val="20"/>
                <w:szCs w:val="20"/>
                <w:lang w:val="sr-Cyrl-RS" w:eastAsia="el-GR"/>
                <w14:ligatures w14:val="none"/>
              </w:rPr>
            </w:pPr>
            <w:r w:rsidRPr="009C19C5">
              <w:rPr>
                <w:rFonts w:ascii="Times New Roman" w:eastAsia="Times New Roman" w:hAnsi="Times New Roman" w:cs="Times New Roman"/>
                <w:kern w:val="0"/>
                <w:sz w:val="20"/>
                <w:szCs w:val="20"/>
                <w:lang w:val="sr-Cyrl-RS" w:eastAsia="el-GR"/>
                <w14:ligatures w14:val="none"/>
              </w:rPr>
              <w:t xml:space="preserve">Зајмови, улагања у капитал, техничка сарадња, </w:t>
            </w:r>
            <w:r w:rsidR="000661DE" w:rsidRPr="009C19C5">
              <w:rPr>
                <w:rFonts w:ascii="Times New Roman" w:eastAsia="Times New Roman" w:hAnsi="Times New Roman" w:cs="Times New Roman"/>
                <w:kern w:val="0"/>
                <w:sz w:val="20"/>
                <w:szCs w:val="20"/>
                <w:lang w:val="sr-Cyrl-RS" w:eastAsia="el-GR"/>
                <w14:ligatures w14:val="none"/>
              </w:rPr>
              <w:t>донације</w:t>
            </w:r>
          </w:p>
        </w:tc>
        <w:tc>
          <w:tcPr>
            <w:tcW w:w="745" w:type="pct"/>
            <w:vAlign w:val="center"/>
          </w:tcPr>
          <w:p w14:paraId="295A1799" w14:textId="7349CA37" w:rsidR="00F276BC" w:rsidRPr="009C19C5" w:rsidRDefault="000A0E4E">
            <w:pPr>
              <w:spacing w:after="0" w:line="240" w:lineRule="auto"/>
              <w:jc w:val="center"/>
              <w:rPr>
                <w:rFonts w:ascii="Times New Roman" w:eastAsia="Times New Roman" w:hAnsi="Times New Roman" w:cs="Times New Roman"/>
                <w:kern w:val="0"/>
                <w:sz w:val="20"/>
                <w:szCs w:val="20"/>
                <w:lang w:val="sr-Cyrl-RS" w:eastAsia="el-GR"/>
                <w14:ligatures w14:val="none"/>
              </w:rPr>
            </w:pPr>
            <w:r w:rsidRPr="009C19C5">
              <w:rPr>
                <w:rFonts w:ascii="Times New Roman" w:eastAsia="Times New Roman" w:hAnsi="Times New Roman" w:cs="Times New Roman"/>
                <w:kern w:val="0"/>
                <w:sz w:val="20"/>
                <w:szCs w:val="20"/>
                <w:lang w:val="sr-Cyrl-RS" w:eastAsia="el-GR"/>
                <w14:ligatures w14:val="none"/>
              </w:rPr>
              <w:t>Улагање ЕБРД у одржив</w:t>
            </w:r>
            <w:r w:rsidR="000661DE" w:rsidRPr="009C19C5">
              <w:rPr>
                <w:rFonts w:ascii="Times New Roman" w:eastAsia="Times New Roman" w:hAnsi="Times New Roman" w:cs="Times New Roman"/>
                <w:kern w:val="0"/>
                <w:sz w:val="20"/>
                <w:szCs w:val="20"/>
                <w:lang w:val="sr-Cyrl-RS" w:eastAsia="el-GR"/>
                <w14:ligatures w14:val="none"/>
              </w:rPr>
              <w:t>у</w:t>
            </w:r>
            <w:r w:rsidRPr="009C19C5">
              <w:rPr>
                <w:rFonts w:ascii="Times New Roman" w:eastAsia="Times New Roman" w:hAnsi="Times New Roman" w:cs="Times New Roman"/>
                <w:kern w:val="0"/>
                <w:sz w:val="20"/>
                <w:szCs w:val="20"/>
                <w:lang w:val="sr-Cyrl-RS" w:eastAsia="el-GR"/>
                <w14:ligatures w14:val="none"/>
              </w:rPr>
              <w:t xml:space="preserve"> инфраструктур</w:t>
            </w:r>
            <w:r w:rsidR="000661DE" w:rsidRPr="009C19C5">
              <w:rPr>
                <w:rFonts w:ascii="Times New Roman" w:eastAsia="Times New Roman" w:hAnsi="Times New Roman" w:cs="Times New Roman"/>
                <w:kern w:val="0"/>
                <w:sz w:val="20"/>
                <w:szCs w:val="20"/>
                <w:lang w:val="sr-Cyrl-RS" w:eastAsia="el-GR"/>
                <w14:ligatures w14:val="none"/>
              </w:rPr>
              <w:t>у</w:t>
            </w:r>
            <w:r w:rsidRPr="009C19C5">
              <w:rPr>
                <w:rFonts w:ascii="Times New Roman" w:eastAsia="Times New Roman" w:hAnsi="Times New Roman" w:cs="Times New Roman"/>
                <w:kern w:val="0"/>
                <w:sz w:val="20"/>
                <w:szCs w:val="20"/>
                <w:lang w:val="sr-Cyrl-RS" w:eastAsia="el-GR"/>
                <w14:ligatures w14:val="none"/>
              </w:rPr>
              <w:t xml:space="preserve"> у </w:t>
            </w:r>
            <w:r w:rsidR="007D4593" w:rsidRPr="009C19C5">
              <w:rPr>
                <w:rFonts w:ascii="Times New Roman" w:hAnsi="Times New Roman" w:cs="Times New Roman"/>
                <w:sz w:val="20"/>
                <w:szCs w:val="20"/>
                <w:lang w:val="sr-Cyrl-RS"/>
              </w:rPr>
              <w:t>Републици</w:t>
            </w:r>
            <w:r w:rsidR="007D4593" w:rsidRPr="009C19C5">
              <w:rPr>
                <w:rFonts w:ascii="Times New Roman" w:eastAsia="Times New Roman" w:hAnsi="Times New Roman" w:cs="Times New Roman"/>
                <w:kern w:val="0"/>
                <w:sz w:val="20"/>
                <w:szCs w:val="20"/>
                <w:lang w:val="sr-Cyrl-RS" w:eastAsia="el-GR"/>
                <w14:ligatures w14:val="none"/>
              </w:rPr>
              <w:t xml:space="preserve"> </w:t>
            </w:r>
            <w:r w:rsidRPr="009C19C5">
              <w:rPr>
                <w:rFonts w:ascii="Times New Roman" w:eastAsia="Times New Roman" w:hAnsi="Times New Roman" w:cs="Times New Roman"/>
                <w:kern w:val="0"/>
                <w:sz w:val="20"/>
                <w:szCs w:val="20"/>
                <w:lang w:val="sr-Cyrl-RS" w:eastAsia="el-GR"/>
                <w14:ligatures w14:val="none"/>
              </w:rPr>
              <w:t xml:space="preserve">Србији </w:t>
            </w:r>
            <w:r w:rsidR="000661DE" w:rsidRPr="009C19C5">
              <w:rPr>
                <w:rFonts w:ascii="Times New Roman" w:eastAsia="Times New Roman" w:hAnsi="Times New Roman" w:cs="Times New Roman"/>
                <w:kern w:val="0"/>
                <w:sz w:val="20"/>
                <w:szCs w:val="20"/>
                <w:lang w:val="sr-Cyrl-RS" w:eastAsia="el-GR"/>
                <w14:ligatures w14:val="none"/>
              </w:rPr>
              <w:t xml:space="preserve">у </w:t>
            </w:r>
            <w:r w:rsidRPr="009C19C5">
              <w:rPr>
                <w:rFonts w:ascii="Times New Roman" w:eastAsia="Times New Roman" w:hAnsi="Times New Roman" w:cs="Times New Roman"/>
                <w:kern w:val="0"/>
                <w:sz w:val="20"/>
                <w:szCs w:val="20"/>
                <w:lang w:val="sr-Cyrl-RS" w:eastAsia="el-GR"/>
                <w14:ligatures w14:val="none"/>
              </w:rPr>
              <w:t>2023.</w:t>
            </w:r>
            <w:r w:rsidR="006177A9" w:rsidRPr="009C19C5">
              <w:rPr>
                <w:rFonts w:ascii="Times New Roman" w:eastAsia="Times New Roman" w:hAnsi="Times New Roman" w:cs="Times New Roman"/>
                <w:kern w:val="0"/>
                <w:sz w:val="20"/>
                <w:szCs w:val="20"/>
                <w:lang w:val="sr-Cyrl-RS" w:eastAsia="el-GR"/>
                <w14:ligatures w14:val="none"/>
              </w:rPr>
              <w:t xml:space="preserve"> години</w:t>
            </w:r>
            <w:r w:rsidRPr="009C19C5">
              <w:rPr>
                <w:rFonts w:ascii="Times New Roman" w:eastAsia="Times New Roman" w:hAnsi="Times New Roman" w:cs="Times New Roman"/>
                <w:kern w:val="0"/>
                <w:sz w:val="20"/>
                <w:szCs w:val="20"/>
                <w:lang w:val="sr-Cyrl-RS" w:eastAsia="el-GR"/>
                <w14:ligatures w14:val="none"/>
              </w:rPr>
              <w:t xml:space="preserve"> </w:t>
            </w:r>
            <w:r w:rsidR="000661DE" w:rsidRPr="009C19C5">
              <w:rPr>
                <w:rFonts w:ascii="Times New Roman" w:eastAsia="Times New Roman" w:hAnsi="Times New Roman" w:cs="Times New Roman"/>
                <w:kern w:val="0"/>
                <w:sz w:val="20"/>
                <w:szCs w:val="20"/>
                <w:lang w:val="sr-Cyrl-RS" w:eastAsia="el-GR"/>
                <w14:ligatures w14:val="none"/>
              </w:rPr>
              <w:t xml:space="preserve">износило </w:t>
            </w:r>
            <w:r w:rsidRPr="009C19C5">
              <w:rPr>
                <w:rFonts w:ascii="Times New Roman" w:eastAsia="Times New Roman" w:hAnsi="Times New Roman" w:cs="Times New Roman"/>
                <w:kern w:val="0"/>
                <w:sz w:val="20"/>
                <w:szCs w:val="20"/>
                <w:lang w:val="sr-Cyrl-RS" w:eastAsia="el-GR"/>
                <w14:ligatures w14:val="none"/>
              </w:rPr>
              <w:t xml:space="preserve">је </w:t>
            </w:r>
            <w:r w:rsidR="000661DE" w:rsidRPr="009C19C5">
              <w:rPr>
                <w:rFonts w:ascii="Times New Roman" w:eastAsia="Times New Roman" w:hAnsi="Times New Roman" w:cs="Times New Roman"/>
                <w:kern w:val="0"/>
                <w:sz w:val="20"/>
                <w:szCs w:val="20"/>
                <w:lang w:val="sr-Cyrl-RS" w:eastAsia="el-GR"/>
                <w14:ligatures w14:val="none"/>
              </w:rPr>
              <w:t xml:space="preserve">око </w:t>
            </w:r>
            <w:r w:rsidRPr="009C19C5">
              <w:rPr>
                <w:rFonts w:ascii="Times New Roman" w:eastAsia="Times New Roman" w:hAnsi="Times New Roman" w:cs="Times New Roman"/>
                <w:kern w:val="0"/>
                <w:sz w:val="20"/>
                <w:szCs w:val="20"/>
                <w:lang w:val="sr-Cyrl-RS"/>
                <w14:ligatures w14:val="none"/>
              </w:rPr>
              <w:t>400 милиона</w:t>
            </w:r>
            <w:r w:rsidR="000661DE" w:rsidRPr="009C19C5">
              <w:rPr>
                <w:rFonts w:ascii="Times New Roman" w:eastAsia="Times New Roman" w:hAnsi="Times New Roman" w:cs="Times New Roman"/>
                <w:kern w:val="0"/>
                <w:sz w:val="20"/>
                <w:szCs w:val="20"/>
                <w:lang w:val="sr-Cyrl-RS"/>
                <w14:ligatures w14:val="none"/>
              </w:rPr>
              <w:t xml:space="preserve"> евра</w:t>
            </w:r>
            <w:r w:rsidRPr="009C19C5">
              <w:rPr>
                <w:rStyle w:val="FootnoteReference"/>
                <w:rFonts w:ascii="Times New Roman" w:eastAsia="Times New Roman" w:hAnsi="Times New Roman" w:cs="Times New Roman"/>
                <w:kern w:val="0"/>
                <w:sz w:val="20"/>
                <w:szCs w:val="20"/>
                <w:lang w:val="sr-Cyrl-RS" w:eastAsia="el-GR"/>
                <w14:ligatures w14:val="none"/>
              </w:rPr>
              <w:footnoteReference w:id="9"/>
            </w:r>
          </w:p>
        </w:tc>
        <w:tc>
          <w:tcPr>
            <w:tcW w:w="1152" w:type="pct"/>
            <w:vAlign w:val="center"/>
          </w:tcPr>
          <w:p w14:paraId="00480175" w14:textId="77777777" w:rsidR="00F276BC" w:rsidRPr="009C19C5" w:rsidRDefault="000A0E4E">
            <w:pPr>
              <w:spacing w:after="0" w:line="240" w:lineRule="auto"/>
              <w:rPr>
                <w:rFonts w:ascii="Times New Roman" w:eastAsia="Times New Roman" w:hAnsi="Times New Roman" w:cs="Times New Roman"/>
                <w:kern w:val="0"/>
                <w:sz w:val="20"/>
                <w:szCs w:val="20"/>
                <w:lang w:val="sr-Cyrl-RS" w:eastAsia="el-GR"/>
                <w14:ligatures w14:val="none"/>
              </w:rPr>
            </w:pPr>
            <w:r w:rsidRPr="009C19C5">
              <w:rPr>
                <w:rFonts w:ascii="Times New Roman" w:eastAsia="Times New Roman" w:hAnsi="Times New Roman" w:cs="Times New Roman"/>
                <w:kern w:val="0"/>
                <w:sz w:val="20"/>
                <w:szCs w:val="20"/>
                <w:lang w:val="sr-Cyrl-RS" w:eastAsia="el-GR"/>
                <w14:ligatures w14:val="none"/>
              </w:rPr>
              <w:t>Обновљиви извори енергије, енергетска ефикасност, одржива инфраструктура, зелена економија</w:t>
            </w:r>
          </w:p>
        </w:tc>
        <w:tc>
          <w:tcPr>
            <w:tcW w:w="1275" w:type="pct"/>
          </w:tcPr>
          <w:p w14:paraId="656C93CF" w14:textId="283F008B" w:rsidR="00F276BC" w:rsidRPr="009C19C5" w:rsidRDefault="000A0E4E">
            <w:pPr>
              <w:spacing w:after="0" w:line="240" w:lineRule="auto"/>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 xml:space="preserve">• </w:t>
            </w:r>
            <w:r w:rsidR="000661DE" w:rsidRPr="009C19C5">
              <w:rPr>
                <w:rFonts w:ascii="Times New Roman" w:eastAsia="Times New Roman" w:hAnsi="Times New Roman" w:cs="Times New Roman"/>
                <w:kern w:val="0"/>
                <w:sz w:val="20"/>
                <w:szCs w:val="20"/>
                <w:lang w:val="sr-Cyrl-RS"/>
                <w14:ligatures w14:val="none"/>
              </w:rPr>
              <w:t>Оквир за ф</w:t>
            </w:r>
            <w:r w:rsidRPr="009C19C5">
              <w:rPr>
                <w:rFonts w:ascii="Times New Roman" w:eastAsia="Times New Roman" w:hAnsi="Times New Roman" w:cs="Times New Roman"/>
                <w:kern w:val="0"/>
                <w:sz w:val="20"/>
                <w:szCs w:val="20"/>
                <w:lang w:val="sr-Cyrl-RS"/>
                <w14:ligatures w14:val="none"/>
              </w:rPr>
              <w:t xml:space="preserve">инансирање </w:t>
            </w:r>
            <w:r w:rsidR="000661DE" w:rsidRPr="009C19C5">
              <w:rPr>
                <w:rFonts w:ascii="Times New Roman" w:eastAsia="Times New Roman" w:hAnsi="Times New Roman" w:cs="Times New Roman"/>
                <w:kern w:val="0"/>
                <w:sz w:val="20"/>
                <w:szCs w:val="20"/>
                <w:lang w:val="sr-Cyrl-RS"/>
                <w14:ligatures w14:val="none"/>
              </w:rPr>
              <w:t>з</w:t>
            </w:r>
            <w:r w:rsidRPr="009C19C5">
              <w:rPr>
                <w:rFonts w:ascii="Times New Roman" w:eastAsia="Times New Roman" w:hAnsi="Times New Roman" w:cs="Times New Roman"/>
                <w:kern w:val="0"/>
                <w:sz w:val="20"/>
                <w:szCs w:val="20"/>
                <w:lang w:val="sr-Cyrl-RS"/>
                <w14:ligatures w14:val="none"/>
              </w:rPr>
              <w:t xml:space="preserve">елене економије </w:t>
            </w:r>
            <w:r w:rsidR="000661DE" w:rsidRPr="009C19C5">
              <w:rPr>
                <w:rFonts w:ascii="Times New Roman" w:eastAsia="Times New Roman" w:hAnsi="Times New Roman" w:cs="Times New Roman"/>
                <w:kern w:val="0"/>
                <w:sz w:val="20"/>
                <w:szCs w:val="20"/>
                <w:lang w:val="sr-Cyrl-RS"/>
                <w14:ligatures w14:val="none"/>
              </w:rPr>
              <w:t>З</w:t>
            </w:r>
            <w:r w:rsidRPr="009C19C5">
              <w:rPr>
                <w:rFonts w:ascii="Times New Roman" w:eastAsia="Times New Roman" w:hAnsi="Times New Roman" w:cs="Times New Roman"/>
                <w:kern w:val="0"/>
                <w:sz w:val="20"/>
                <w:szCs w:val="20"/>
                <w:lang w:val="sr-Cyrl-RS"/>
                <w14:ligatures w14:val="none"/>
              </w:rPr>
              <w:t>ападног Балкана</w:t>
            </w:r>
            <w:r w:rsidR="000661DE" w:rsidRPr="009C19C5">
              <w:rPr>
                <w:rFonts w:ascii="Times New Roman" w:eastAsia="Times New Roman" w:hAnsi="Times New Roman" w:cs="Times New Roman"/>
                <w:kern w:val="0"/>
                <w:sz w:val="20"/>
                <w:szCs w:val="20"/>
                <w:lang w:val="sr-Cyrl-RS"/>
                <w14:ligatures w14:val="none"/>
              </w:rPr>
              <w:t xml:space="preserve"> III</w:t>
            </w:r>
            <w:r w:rsidRPr="009C19C5">
              <w:rPr>
                <w:rFonts w:ascii="Times New Roman" w:eastAsia="Times New Roman" w:hAnsi="Times New Roman" w:cs="Times New Roman"/>
                <w:kern w:val="0"/>
                <w:sz w:val="20"/>
                <w:szCs w:val="20"/>
                <w:lang w:val="sr-Cyrl-RS"/>
                <w14:ligatures w14:val="none"/>
              </w:rPr>
              <w:t xml:space="preserve">:: До 170 милиона </w:t>
            </w:r>
            <w:r w:rsidR="000661DE" w:rsidRPr="009C19C5">
              <w:rPr>
                <w:rFonts w:ascii="Times New Roman" w:eastAsia="Times New Roman" w:hAnsi="Times New Roman" w:cs="Times New Roman"/>
                <w:kern w:val="0"/>
                <w:sz w:val="20"/>
                <w:szCs w:val="20"/>
                <w:lang w:val="sr-Cyrl-RS"/>
                <w14:ligatures w14:val="none"/>
              </w:rPr>
              <w:t xml:space="preserve">евра </w:t>
            </w:r>
            <w:r w:rsidRPr="009C19C5">
              <w:rPr>
                <w:rFonts w:ascii="Times New Roman" w:eastAsia="Times New Roman" w:hAnsi="Times New Roman" w:cs="Times New Roman"/>
                <w:kern w:val="0"/>
                <w:sz w:val="20"/>
                <w:szCs w:val="20"/>
                <w:lang w:val="sr-Cyrl-RS"/>
                <w14:ligatures w14:val="none"/>
              </w:rPr>
              <w:t>за зелене инвестиције у Албанији, Босни и Херцеговини, Косову</w:t>
            </w:r>
            <w:r w:rsidR="00711558" w:rsidRPr="009C19C5">
              <w:rPr>
                <w:rStyle w:val="FootnoteReference"/>
                <w:rFonts w:ascii="Times New Roman" w:eastAsia="Times New Roman" w:hAnsi="Times New Roman"/>
                <w:kern w:val="0"/>
                <w:sz w:val="20"/>
                <w:szCs w:val="20"/>
                <w:lang w:val="sr-Cyrl-RS"/>
                <w14:ligatures w14:val="none"/>
              </w:rPr>
              <w:footnoteReference w:customMarkFollows="1" w:id="10"/>
              <w:t>*</w:t>
            </w:r>
            <w:r w:rsidRPr="009C19C5">
              <w:rPr>
                <w:rFonts w:ascii="Times New Roman" w:eastAsia="Times New Roman" w:hAnsi="Times New Roman" w:cs="Times New Roman"/>
                <w:kern w:val="0"/>
                <w:sz w:val="20"/>
                <w:szCs w:val="20"/>
                <w:lang w:val="sr-Cyrl-RS"/>
                <w14:ligatures w14:val="none"/>
              </w:rPr>
              <w:t xml:space="preserve">, Црној Гори, Северној Македонији и </w:t>
            </w:r>
            <w:r w:rsidR="007D4593" w:rsidRPr="009C19C5">
              <w:rPr>
                <w:rFonts w:ascii="Times New Roman" w:hAnsi="Times New Roman" w:cs="Times New Roman"/>
                <w:sz w:val="20"/>
                <w:szCs w:val="20"/>
                <w:lang w:val="sr-Cyrl-RS"/>
              </w:rPr>
              <w:t>Републици</w:t>
            </w:r>
            <w:r w:rsidR="007D4593" w:rsidRPr="009C19C5">
              <w:rPr>
                <w:rFonts w:ascii="Times New Roman" w:eastAsia="Times New Roman" w:hAnsi="Times New Roman" w:cs="Times New Roman"/>
                <w:kern w:val="0"/>
                <w:sz w:val="20"/>
                <w:szCs w:val="20"/>
                <w:lang w:val="sr-Cyrl-RS"/>
                <w14:ligatures w14:val="none"/>
              </w:rPr>
              <w:t xml:space="preserve"> </w:t>
            </w:r>
            <w:r w:rsidRPr="009C19C5">
              <w:rPr>
                <w:rFonts w:ascii="Times New Roman" w:eastAsia="Times New Roman" w:hAnsi="Times New Roman" w:cs="Times New Roman"/>
                <w:kern w:val="0"/>
                <w:sz w:val="20"/>
                <w:szCs w:val="20"/>
                <w:lang w:val="sr-Cyrl-RS"/>
                <w14:ligatures w14:val="none"/>
              </w:rPr>
              <w:t>Србији, уз подршку техничке сарадње и подстицаја</w:t>
            </w:r>
            <w:r w:rsidRPr="009C19C5">
              <w:rPr>
                <w:rStyle w:val="FootnoteReference"/>
                <w:rFonts w:ascii="Times New Roman" w:eastAsia="Times New Roman" w:hAnsi="Times New Roman" w:cs="Times New Roman"/>
                <w:kern w:val="0"/>
                <w:sz w:val="20"/>
                <w:szCs w:val="20"/>
                <w:lang w:val="sr-Cyrl-RS"/>
                <w14:ligatures w14:val="none"/>
              </w:rPr>
              <w:footnoteReference w:id="11"/>
            </w:r>
            <w:r w:rsidRPr="009C19C5">
              <w:rPr>
                <w:rFonts w:ascii="Times New Roman" w:eastAsia="Times New Roman" w:hAnsi="Times New Roman" w:cs="Times New Roman"/>
                <w:kern w:val="0"/>
                <w:sz w:val="20"/>
                <w:szCs w:val="20"/>
                <w:lang w:val="sr-Cyrl-RS"/>
                <w14:ligatures w14:val="none"/>
              </w:rPr>
              <w:t>.</w:t>
            </w:r>
          </w:p>
          <w:p w14:paraId="116F4FC9" w14:textId="7D808C7B" w:rsidR="00F276BC" w:rsidRPr="009C19C5" w:rsidRDefault="000A0E4E">
            <w:pPr>
              <w:spacing w:after="0" w:line="240" w:lineRule="auto"/>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eastAsia="el-GR"/>
                <w14:ligatures w14:val="none"/>
              </w:rPr>
              <w:t>• Осломеј 1 Соларна ПВ електрана</w:t>
            </w:r>
            <w:r w:rsidRPr="009C19C5">
              <w:rPr>
                <w:rFonts w:ascii="Times New Roman" w:eastAsia="Times New Roman" w:hAnsi="Times New Roman" w:cs="Times New Roman"/>
                <w:kern w:val="0"/>
                <w:sz w:val="20"/>
                <w:szCs w:val="20"/>
                <w:lang w:val="sr-Cyrl-RS" w:eastAsia="el-GR"/>
                <w14:ligatures w14:val="none"/>
              </w:rPr>
              <w:br/>
            </w:r>
            <w:r w:rsidR="000661DE" w:rsidRPr="009C19C5">
              <w:rPr>
                <w:rFonts w:ascii="Times New Roman" w:eastAsia="Times New Roman" w:hAnsi="Times New Roman" w:cs="Times New Roman"/>
                <w:kern w:val="0"/>
                <w:sz w:val="20"/>
                <w:szCs w:val="20"/>
                <w:lang w:val="sr-Cyrl-RS" w:eastAsia="el-GR"/>
                <w14:ligatures w14:val="none"/>
              </w:rPr>
              <w:t xml:space="preserve">зајам </w:t>
            </w:r>
            <w:r w:rsidRPr="009C19C5">
              <w:rPr>
                <w:rFonts w:ascii="Times New Roman" w:eastAsia="Times New Roman" w:hAnsi="Times New Roman" w:cs="Times New Roman"/>
                <w:kern w:val="0"/>
                <w:sz w:val="20"/>
                <w:szCs w:val="20"/>
                <w:lang w:val="sr-Cyrl-RS" w:eastAsia="el-GR"/>
                <w14:ligatures w14:val="none"/>
              </w:rPr>
              <w:t>ЕБРД: 5,9 милиона</w:t>
            </w:r>
            <w:r w:rsidR="000661DE" w:rsidRPr="009C19C5">
              <w:rPr>
                <w:rFonts w:ascii="Times New Roman" w:eastAsia="Times New Roman" w:hAnsi="Times New Roman" w:cs="Times New Roman"/>
                <w:kern w:val="0"/>
                <w:sz w:val="20"/>
                <w:szCs w:val="20"/>
                <w:lang w:val="sr-Cyrl-RS" w:eastAsia="el-GR"/>
                <w14:ligatures w14:val="none"/>
              </w:rPr>
              <w:t xml:space="preserve"> евра</w:t>
            </w:r>
            <w:r w:rsidRPr="009C19C5">
              <w:rPr>
                <w:rStyle w:val="FootnoteReference"/>
                <w:rFonts w:ascii="Times New Roman" w:eastAsia="Times New Roman" w:hAnsi="Times New Roman" w:cs="Times New Roman"/>
                <w:kern w:val="0"/>
                <w:sz w:val="20"/>
                <w:szCs w:val="20"/>
                <w:lang w:val="sr-Cyrl-RS" w:eastAsia="el-GR"/>
                <w14:ligatures w14:val="none"/>
              </w:rPr>
              <w:footnoteReference w:id="12"/>
            </w:r>
          </w:p>
        </w:tc>
      </w:tr>
      <w:tr w:rsidR="00F276BC" w:rsidRPr="009C19C5" w14:paraId="31D4C741" w14:textId="77777777">
        <w:trPr>
          <w:trHeight w:val="300"/>
          <w:jc w:val="center"/>
        </w:trPr>
        <w:tc>
          <w:tcPr>
            <w:tcW w:w="1082" w:type="pct"/>
            <w:vAlign w:val="center"/>
          </w:tcPr>
          <w:p w14:paraId="224799AF" w14:textId="77777777" w:rsidR="00F276BC" w:rsidRPr="009C19C5" w:rsidRDefault="000A0E4E">
            <w:pPr>
              <w:spacing w:after="0" w:line="240" w:lineRule="auto"/>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Светска банка (СБ)</w:t>
            </w:r>
          </w:p>
        </w:tc>
        <w:tc>
          <w:tcPr>
            <w:tcW w:w="746" w:type="pct"/>
            <w:vAlign w:val="center"/>
          </w:tcPr>
          <w:p w14:paraId="2FDF8F3D" w14:textId="479A517B" w:rsidR="00F276BC" w:rsidRPr="009C19C5" w:rsidRDefault="000A0E4E">
            <w:pPr>
              <w:spacing w:after="0" w:line="240" w:lineRule="auto"/>
              <w:rPr>
                <w:rFonts w:ascii="Times New Roman" w:eastAsia="Times New Roman" w:hAnsi="Times New Roman" w:cs="Times New Roman"/>
                <w:kern w:val="0"/>
                <w:sz w:val="20"/>
                <w:szCs w:val="20"/>
                <w:lang w:val="sr-Cyrl-RS" w:eastAsia="el-GR"/>
                <w14:ligatures w14:val="none"/>
              </w:rPr>
            </w:pPr>
            <w:r w:rsidRPr="009C19C5">
              <w:rPr>
                <w:rFonts w:ascii="Times New Roman" w:eastAsia="Times New Roman" w:hAnsi="Times New Roman" w:cs="Times New Roman"/>
                <w:kern w:val="0"/>
                <w:sz w:val="20"/>
                <w:szCs w:val="20"/>
                <w:lang w:val="sr-Cyrl-RS" w:eastAsia="el-GR"/>
                <w14:ligatures w14:val="none"/>
              </w:rPr>
              <w:t xml:space="preserve">Зајмови, </w:t>
            </w:r>
            <w:r w:rsidR="000661DE" w:rsidRPr="009C19C5">
              <w:rPr>
                <w:rFonts w:ascii="Times New Roman" w:eastAsia="Times New Roman" w:hAnsi="Times New Roman" w:cs="Times New Roman"/>
                <w:kern w:val="0"/>
                <w:sz w:val="20"/>
                <w:szCs w:val="20"/>
                <w:lang w:val="sr-Cyrl-RS" w:eastAsia="el-GR"/>
                <w14:ligatures w14:val="none"/>
              </w:rPr>
              <w:t>донације</w:t>
            </w:r>
          </w:p>
        </w:tc>
        <w:tc>
          <w:tcPr>
            <w:tcW w:w="745" w:type="pct"/>
            <w:vAlign w:val="center"/>
          </w:tcPr>
          <w:p w14:paraId="2E86E7A2" w14:textId="0634ACD6" w:rsidR="00F276BC" w:rsidRPr="009C19C5" w:rsidRDefault="000A0E4E">
            <w:pPr>
              <w:spacing w:after="0" w:line="240" w:lineRule="auto"/>
              <w:jc w:val="center"/>
              <w:rPr>
                <w:rFonts w:ascii="Times New Roman" w:eastAsia="Times New Roman" w:hAnsi="Times New Roman" w:cs="Times New Roman"/>
                <w:kern w:val="0"/>
                <w:sz w:val="20"/>
                <w:szCs w:val="20"/>
                <w:lang w:val="sr-Cyrl-RS" w:eastAsia="el-GR"/>
                <w14:ligatures w14:val="none"/>
              </w:rPr>
            </w:pPr>
            <w:r w:rsidRPr="009C19C5">
              <w:rPr>
                <w:rFonts w:ascii="Times New Roman" w:eastAsia="Times New Roman" w:hAnsi="Times New Roman" w:cs="Times New Roman"/>
                <w:kern w:val="0"/>
                <w:sz w:val="20"/>
                <w:szCs w:val="20"/>
                <w:lang w:val="sr-Cyrl-RS" w:eastAsia="el-GR"/>
                <w14:ligatures w14:val="none"/>
              </w:rPr>
              <w:t>400 милиона</w:t>
            </w:r>
            <w:r w:rsidR="000661DE" w:rsidRPr="009C19C5">
              <w:rPr>
                <w:rFonts w:ascii="Times New Roman" w:eastAsia="Times New Roman" w:hAnsi="Times New Roman" w:cs="Times New Roman"/>
                <w:kern w:val="0"/>
                <w:sz w:val="20"/>
                <w:szCs w:val="20"/>
                <w:lang w:val="sr-Cyrl-RS" w:eastAsia="el-GR"/>
                <w14:ligatures w14:val="none"/>
              </w:rPr>
              <w:t xml:space="preserve"> долара</w:t>
            </w:r>
            <w:r w:rsidRPr="009C19C5">
              <w:rPr>
                <w:rStyle w:val="FootnoteReference"/>
                <w:rFonts w:ascii="Times New Roman" w:eastAsia="Times New Roman" w:hAnsi="Times New Roman" w:cs="Times New Roman"/>
                <w:kern w:val="0"/>
                <w:sz w:val="20"/>
                <w:szCs w:val="20"/>
                <w:lang w:val="sr-Cyrl-RS" w:eastAsia="el-GR"/>
                <w14:ligatures w14:val="none"/>
              </w:rPr>
              <w:footnoteReference w:id="13"/>
            </w:r>
          </w:p>
        </w:tc>
        <w:tc>
          <w:tcPr>
            <w:tcW w:w="1152" w:type="pct"/>
            <w:vAlign w:val="center"/>
          </w:tcPr>
          <w:p w14:paraId="08710ED7" w14:textId="09E31FB3" w:rsidR="00F276BC" w:rsidRPr="009C19C5" w:rsidRDefault="000661DE">
            <w:pPr>
              <w:spacing w:after="0" w:line="240" w:lineRule="auto"/>
              <w:rPr>
                <w:rFonts w:ascii="Times New Roman" w:eastAsia="Times New Roman" w:hAnsi="Times New Roman" w:cs="Times New Roman"/>
                <w:kern w:val="0"/>
                <w:sz w:val="20"/>
                <w:szCs w:val="20"/>
                <w:lang w:val="sr-Cyrl-RS" w:eastAsia="el-GR"/>
                <w14:ligatures w14:val="none"/>
              </w:rPr>
            </w:pPr>
            <w:r w:rsidRPr="009C19C5">
              <w:rPr>
                <w:rFonts w:ascii="Times New Roman" w:eastAsia="Times New Roman" w:hAnsi="Times New Roman" w:cs="Times New Roman"/>
                <w:kern w:val="0"/>
                <w:sz w:val="20"/>
                <w:szCs w:val="20"/>
                <w:lang w:val="sr-Cyrl-RS" w:eastAsia="el-GR"/>
                <w14:ligatures w14:val="none"/>
              </w:rPr>
              <w:t>Ублажавање климатских промена, енергетска ефикасност</w:t>
            </w:r>
          </w:p>
        </w:tc>
        <w:tc>
          <w:tcPr>
            <w:tcW w:w="1275" w:type="pct"/>
          </w:tcPr>
          <w:p w14:paraId="39AF04E9" w14:textId="52F4CC29" w:rsidR="000661DE" w:rsidRPr="009C19C5" w:rsidRDefault="000A0E4E">
            <w:pPr>
              <w:spacing w:after="0" w:line="240" w:lineRule="auto"/>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 xml:space="preserve">• </w:t>
            </w:r>
            <w:r w:rsidR="000661DE" w:rsidRPr="009C19C5">
              <w:rPr>
                <w:rFonts w:ascii="Times New Roman" w:eastAsia="Times New Roman" w:hAnsi="Times New Roman" w:cs="Times New Roman"/>
                <w:kern w:val="0"/>
                <w:sz w:val="20"/>
                <w:szCs w:val="20"/>
                <w:lang w:val="sr-Cyrl-RS"/>
                <w14:ligatures w14:val="none"/>
              </w:rPr>
              <w:t>Пројекат декарбонизације е</w:t>
            </w:r>
            <w:r w:rsidRPr="009C19C5">
              <w:rPr>
                <w:rFonts w:ascii="Times New Roman" w:eastAsia="Times New Roman" w:hAnsi="Times New Roman" w:cs="Times New Roman"/>
                <w:kern w:val="0"/>
                <w:sz w:val="20"/>
                <w:szCs w:val="20"/>
                <w:lang w:val="sr-Cyrl-RS"/>
                <w14:ligatures w14:val="none"/>
              </w:rPr>
              <w:t>нергетск</w:t>
            </w:r>
            <w:r w:rsidR="000661DE" w:rsidRPr="009C19C5">
              <w:rPr>
                <w:rFonts w:ascii="Times New Roman" w:eastAsia="Times New Roman" w:hAnsi="Times New Roman" w:cs="Times New Roman"/>
                <w:kern w:val="0"/>
                <w:sz w:val="20"/>
                <w:szCs w:val="20"/>
                <w:lang w:val="sr-Cyrl-RS"/>
                <w14:ligatures w14:val="none"/>
              </w:rPr>
              <w:t>ог</w:t>
            </w:r>
            <w:r w:rsidRPr="009C19C5">
              <w:rPr>
                <w:rFonts w:ascii="Times New Roman" w:eastAsia="Times New Roman" w:hAnsi="Times New Roman" w:cs="Times New Roman"/>
                <w:kern w:val="0"/>
                <w:sz w:val="20"/>
                <w:szCs w:val="20"/>
                <w:lang w:val="sr-Cyrl-RS"/>
                <w14:ligatures w14:val="none"/>
              </w:rPr>
              <w:t xml:space="preserve"> сектор</w:t>
            </w:r>
            <w:r w:rsidR="000661DE" w:rsidRPr="009C19C5">
              <w:rPr>
                <w:rFonts w:ascii="Times New Roman" w:eastAsia="Times New Roman" w:hAnsi="Times New Roman" w:cs="Times New Roman"/>
                <w:kern w:val="0"/>
                <w:sz w:val="20"/>
                <w:szCs w:val="20"/>
                <w:lang w:val="sr-Cyrl-RS"/>
                <w14:ligatures w14:val="none"/>
              </w:rPr>
              <w:t>а</w:t>
            </w:r>
            <w:r w:rsidR="00FA289C" w:rsidRPr="009C19C5">
              <w:rPr>
                <w:rFonts w:ascii="Times New Roman" w:eastAsia="Times New Roman" w:hAnsi="Times New Roman" w:cs="Times New Roman"/>
                <w:kern w:val="0"/>
                <w:sz w:val="20"/>
                <w:szCs w:val="20"/>
                <w:lang w:val="sr-Cyrl-RS"/>
                <w14:ligatures w14:val="none"/>
              </w:rPr>
              <w:t xml:space="preserve"> Црне Г</w:t>
            </w:r>
            <w:r w:rsidRPr="009C19C5">
              <w:rPr>
                <w:rFonts w:ascii="Times New Roman" w:eastAsia="Times New Roman" w:hAnsi="Times New Roman" w:cs="Times New Roman"/>
                <w:kern w:val="0"/>
                <w:sz w:val="20"/>
                <w:szCs w:val="20"/>
                <w:lang w:val="sr-Cyrl-RS"/>
                <w14:ligatures w14:val="none"/>
              </w:rPr>
              <w:t xml:space="preserve">оре </w:t>
            </w:r>
          </w:p>
          <w:p w14:paraId="7453118A" w14:textId="094BDFF6" w:rsidR="00F276BC" w:rsidRPr="009C19C5" w:rsidRDefault="000A0E4E">
            <w:pPr>
              <w:spacing w:after="0" w:line="240" w:lineRule="auto"/>
              <w:rPr>
                <w:rFonts w:ascii="Times New Roman" w:eastAsia="Times New Roman" w:hAnsi="Times New Roman" w:cs="Times New Roman"/>
                <w:kern w:val="0"/>
                <w:sz w:val="20"/>
                <w:szCs w:val="20"/>
                <w:lang w:val="sr-Cyrl-RS" w:eastAsia="el-GR"/>
                <w14:ligatures w14:val="none"/>
              </w:rPr>
            </w:pPr>
            <w:r w:rsidRPr="009C19C5">
              <w:rPr>
                <w:rFonts w:ascii="Times New Roman" w:eastAsia="Times New Roman" w:hAnsi="Times New Roman" w:cs="Times New Roman"/>
                <w:kern w:val="0"/>
                <w:sz w:val="20"/>
                <w:szCs w:val="20"/>
                <w:lang w:val="sr-Cyrl-RS"/>
                <w14:ligatures w14:val="none"/>
              </w:rPr>
              <w:t>Износ средстава: 34,3 милиона</w:t>
            </w:r>
            <w:r w:rsidR="000661DE" w:rsidRPr="009C19C5">
              <w:rPr>
                <w:rFonts w:ascii="Times New Roman" w:eastAsia="Times New Roman" w:hAnsi="Times New Roman" w:cs="Times New Roman"/>
                <w:kern w:val="0"/>
                <w:sz w:val="20"/>
                <w:szCs w:val="20"/>
                <w:lang w:val="sr-Cyrl-RS"/>
                <w14:ligatures w14:val="none"/>
              </w:rPr>
              <w:t xml:space="preserve"> евра</w:t>
            </w:r>
          </w:p>
        </w:tc>
      </w:tr>
      <w:tr w:rsidR="00F276BC" w:rsidRPr="009C19C5" w14:paraId="5473D70C" w14:textId="77777777">
        <w:trPr>
          <w:trHeight w:val="300"/>
          <w:jc w:val="center"/>
        </w:trPr>
        <w:tc>
          <w:tcPr>
            <w:tcW w:w="1082" w:type="pct"/>
            <w:vAlign w:val="center"/>
          </w:tcPr>
          <w:p w14:paraId="4AECE6A6" w14:textId="77777777" w:rsidR="00F276BC" w:rsidRPr="009C19C5" w:rsidRDefault="000A0E4E">
            <w:pPr>
              <w:spacing w:after="0" w:line="240" w:lineRule="auto"/>
              <w:rPr>
                <w:rFonts w:ascii="Times New Roman" w:eastAsia="Times New Roman" w:hAnsi="Times New Roman" w:cs="Times New Roman"/>
                <w:kern w:val="0"/>
                <w:sz w:val="20"/>
                <w:szCs w:val="20"/>
                <w:lang w:val="sr-Cyrl-RS" w:eastAsia="el-GR"/>
                <w14:ligatures w14:val="none"/>
              </w:rPr>
            </w:pPr>
            <w:r w:rsidRPr="009C19C5">
              <w:rPr>
                <w:rFonts w:ascii="Times New Roman" w:eastAsia="Times New Roman" w:hAnsi="Times New Roman" w:cs="Times New Roman"/>
                <w:kern w:val="0"/>
                <w:sz w:val="20"/>
                <w:szCs w:val="20"/>
                <w:lang w:val="sr-Cyrl-RS" w:eastAsia="el-GR"/>
                <w14:ligatures w14:val="none"/>
              </w:rPr>
              <w:t>Програм Уједињених Нација за развој (УНДП)</w:t>
            </w:r>
          </w:p>
        </w:tc>
        <w:tc>
          <w:tcPr>
            <w:tcW w:w="746" w:type="pct"/>
            <w:vAlign w:val="center"/>
          </w:tcPr>
          <w:p w14:paraId="7D594691" w14:textId="3EDB9C16" w:rsidR="00F276BC" w:rsidRPr="009C19C5" w:rsidRDefault="000661DE">
            <w:pPr>
              <w:spacing w:after="0" w:line="240" w:lineRule="auto"/>
              <w:rPr>
                <w:rFonts w:ascii="Times New Roman" w:eastAsia="Times New Roman" w:hAnsi="Times New Roman" w:cs="Times New Roman"/>
                <w:kern w:val="0"/>
                <w:sz w:val="20"/>
                <w:szCs w:val="20"/>
                <w:lang w:val="sr-Cyrl-RS" w:eastAsia="el-GR"/>
                <w14:ligatures w14:val="none"/>
              </w:rPr>
            </w:pPr>
            <w:r w:rsidRPr="009C19C5">
              <w:rPr>
                <w:rFonts w:ascii="Times New Roman" w:eastAsia="Times New Roman" w:hAnsi="Times New Roman" w:cs="Times New Roman"/>
                <w:kern w:val="0"/>
                <w:sz w:val="20"/>
                <w:szCs w:val="20"/>
                <w:lang w:val="sr-Cyrl-RS" w:eastAsia="el-GR"/>
                <w14:ligatures w14:val="none"/>
              </w:rPr>
              <w:t>Донације</w:t>
            </w:r>
            <w:r w:rsidR="000A0E4E" w:rsidRPr="009C19C5">
              <w:rPr>
                <w:rFonts w:ascii="Times New Roman" w:eastAsia="Times New Roman" w:hAnsi="Times New Roman" w:cs="Times New Roman"/>
                <w:kern w:val="0"/>
                <w:sz w:val="20"/>
                <w:szCs w:val="20"/>
                <w:lang w:val="sr-Cyrl-RS" w:eastAsia="el-GR"/>
                <w14:ligatures w14:val="none"/>
              </w:rPr>
              <w:t>, техничка подршка</w:t>
            </w:r>
          </w:p>
        </w:tc>
        <w:tc>
          <w:tcPr>
            <w:tcW w:w="745" w:type="pct"/>
            <w:vAlign w:val="center"/>
          </w:tcPr>
          <w:p w14:paraId="64F527D4" w14:textId="09FFC8EB" w:rsidR="00F276BC" w:rsidRPr="009C19C5" w:rsidRDefault="000A0E4E">
            <w:pPr>
              <w:spacing w:after="0" w:line="240" w:lineRule="auto"/>
              <w:jc w:val="center"/>
              <w:rPr>
                <w:rFonts w:ascii="Times New Roman" w:eastAsia="Times New Roman" w:hAnsi="Times New Roman" w:cs="Times New Roman"/>
                <w:kern w:val="0"/>
                <w:sz w:val="20"/>
                <w:szCs w:val="20"/>
                <w:lang w:val="sr-Cyrl-RS" w:eastAsia="el-GR"/>
                <w14:ligatures w14:val="none"/>
              </w:rPr>
            </w:pPr>
            <w:r w:rsidRPr="009C19C5">
              <w:rPr>
                <w:rFonts w:ascii="Times New Roman" w:eastAsia="Times New Roman" w:hAnsi="Times New Roman" w:cs="Times New Roman"/>
                <w:kern w:val="0"/>
                <w:sz w:val="20"/>
                <w:szCs w:val="20"/>
                <w:lang w:val="sr-Cyrl-RS" w:eastAsia="el-GR"/>
                <w14:ligatures w14:val="none"/>
              </w:rPr>
              <w:t>8 милиона</w:t>
            </w:r>
            <w:r w:rsidR="000661DE" w:rsidRPr="009C19C5">
              <w:rPr>
                <w:rFonts w:ascii="Times New Roman" w:eastAsia="Times New Roman" w:hAnsi="Times New Roman" w:cs="Times New Roman"/>
                <w:kern w:val="0"/>
                <w:sz w:val="20"/>
                <w:szCs w:val="20"/>
                <w:lang w:val="sr-Cyrl-RS" w:eastAsia="el-GR"/>
                <w14:ligatures w14:val="none"/>
              </w:rPr>
              <w:t xml:space="preserve"> долара</w:t>
            </w:r>
            <w:r w:rsidRPr="009C19C5">
              <w:rPr>
                <w:rStyle w:val="FootnoteReference"/>
                <w:rFonts w:ascii="Times New Roman" w:eastAsia="Times New Roman" w:hAnsi="Times New Roman" w:cs="Times New Roman"/>
                <w:kern w:val="0"/>
                <w:sz w:val="20"/>
                <w:szCs w:val="20"/>
                <w:lang w:val="sr-Cyrl-RS" w:eastAsia="el-GR"/>
                <w14:ligatures w14:val="none"/>
              </w:rPr>
              <w:footnoteReference w:id="14"/>
            </w:r>
          </w:p>
        </w:tc>
        <w:tc>
          <w:tcPr>
            <w:tcW w:w="1152" w:type="pct"/>
            <w:vAlign w:val="center"/>
          </w:tcPr>
          <w:p w14:paraId="2C05D34C" w14:textId="34CB9971" w:rsidR="00F276BC" w:rsidRPr="009C19C5" w:rsidRDefault="000A0E4E">
            <w:pPr>
              <w:spacing w:after="0" w:line="240" w:lineRule="auto"/>
              <w:rPr>
                <w:rFonts w:ascii="Times New Roman" w:eastAsia="Times New Roman" w:hAnsi="Times New Roman" w:cs="Times New Roman"/>
                <w:kern w:val="0"/>
                <w:sz w:val="20"/>
                <w:szCs w:val="20"/>
                <w:lang w:val="sr-Cyrl-RS" w:eastAsia="el-GR"/>
                <w14:ligatures w14:val="none"/>
              </w:rPr>
            </w:pPr>
            <w:r w:rsidRPr="009C19C5">
              <w:rPr>
                <w:rFonts w:ascii="Times New Roman" w:eastAsia="Times New Roman" w:hAnsi="Times New Roman" w:cs="Times New Roman"/>
                <w:kern w:val="0"/>
                <w:sz w:val="20"/>
                <w:szCs w:val="20"/>
                <w:lang w:val="sr-Cyrl-RS" w:eastAsia="el-GR"/>
                <w14:ligatures w14:val="none"/>
              </w:rPr>
              <w:t xml:space="preserve">Одрживи развој, </w:t>
            </w:r>
            <w:r w:rsidR="000661DE" w:rsidRPr="009C19C5">
              <w:rPr>
                <w:rFonts w:ascii="Times New Roman" w:eastAsia="Times New Roman" w:hAnsi="Times New Roman" w:cs="Times New Roman"/>
                <w:kern w:val="0"/>
                <w:sz w:val="20"/>
                <w:szCs w:val="20"/>
                <w:lang w:val="sr-Cyrl-RS" w:eastAsia="el-GR"/>
                <w14:ligatures w14:val="none"/>
              </w:rPr>
              <w:t>к</w:t>
            </w:r>
            <w:r w:rsidRPr="009C19C5">
              <w:rPr>
                <w:rFonts w:ascii="Times New Roman" w:eastAsia="Times New Roman" w:hAnsi="Times New Roman" w:cs="Times New Roman"/>
                <w:kern w:val="0"/>
                <w:sz w:val="20"/>
                <w:szCs w:val="20"/>
                <w:lang w:val="sr-Cyrl-RS" w:eastAsia="el-GR"/>
                <w14:ligatures w14:val="none"/>
              </w:rPr>
              <w:t>лиматска отпорност</w:t>
            </w:r>
          </w:p>
        </w:tc>
        <w:tc>
          <w:tcPr>
            <w:tcW w:w="1275" w:type="pct"/>
          </w:tcPr>
          <w:p w14:paraId="7687D7EF" w14:textId="2AD4D3FA" w:rsidR="00F276BC" w:rsidRPr="009C19C5" w:rsidRDefault="000A0E4E">
            <w:pPr>
              <w:spacing w:after="0" w:line="240" w:lineRule="auto"/>
              <w:rPr>
                <w:rFonts w:ascii="Times New Roman" w:eastAsia="Times New Roman" w:hAnsi="Times New Roman" w:cs="Times New Roman"/>
                <w:kern w:val="0"/>
                <w:sz w:val="20"/>
                <w:szCs w:val="20"/>
                <w:lang w:val="sr-Cyrl-RS" w:eastAsia="el-GR"/>
                <w14:ligatures w14:val="none"/>
              </w:rPr>
            </w:pPr>
            <w:r w:rsidRPr="009C19C5">
              <w:rPr>
                <w:rFonts w:ascii="Times New Roman" w:eastAsia="Times New Roman" w:hAnsi="Times New Roman" w:cs="Times New Roman"/>
                <w:kern w:val="0"/>
                <w:sz w:val="20"/>
                <w:szCs w:val="20"/>
                <w:lang w:val="sr-Cyrl-RS" w:eastAsia="el-GR"/>
                <w14:ligatures w14:val="none"/>
              </w:rPr>
              <w:t xml:space="preserve">• </w:t>
            </w:r>
            <w:r w:rsidR="000661DE" w:rsidRPr="009C19C5">
              <w:rPr>
                <w:rFonts w:ascii="Times New Roman" w:eastAsia="Times New Roman" w:hAnsi="Times New Roman" w:cs="Times New Roman"/>
                <w:kern w:val="0"/>
                <w:sz w:val="20"/>
                <w:szCs w:val="20"/>
                <w:lang w:val="sr-Cyrl-RS" w:eastAsia="el-GR"/>
                <w14:ligatures w14:val="none"/>
              </w:rPr>
              <w:t>Оквир за ф</w:t>
            </w:r>
            <w:r w:rsidRPr="009C19C5">
              <w:rPr>
                <w:rFonts w:ascii="Times New Roman" w:eastAsia="Times New Roman" w:hAnsi="Times New Roman" w:cs="Times New Roman"/>
                <w:kern w:val="0"/>
                <w:sz w:val="20"/>
                <w:szCs w:val="20"/>
                <w:lang w:val="sr-Cyrl-RS" w:eastAsia="el-GR"/>
                <w14:ligatures w14:val="none"/>
              </w:rPr>
              <w:t>инансирање чист</w:t>
            </w:r>
            <w:r w:rsidR="000661DE" w:rsidRPr="009C19C5">
              <w:rPr>
                <w:rFonts w:ascii="Times New Roman" w:eastAsia="Times New Roman" w:hAnsi="Times New Roman" w:cs="Times New Roman"/>
                <w:kern w:val="0"/>
                <w:sz w:val="20"/>
                <w:szCs w:val="20"/>
                <w:lang w:val="sr-Cyrl-RS" w:eastAsia="el-GR"/>
                <w14:ligatures w14:val="none"/>
              </w:rPr>
              <w:t>е</w:t>
            </w:r>
            <w:r w:rsidRPr="009C19C5">
              <w:rPr>
                <w:rFonts w:ascii="Times New Roman" w:eastAsia="Times New Roman" w:hAnsi="Times New Roman" w:cs="Times New Roman"/>
                <w:kern w:val="0"/>
                <w:sz w:val="20"/>
                <w:szCs w:val="20"/>
                <w:lang w:val="sr-Cyrl-RS" w:eastAsia="el-GR"/>
                <w14:ligatures w14:val="none"/>
              </w:rPr>
              <w:t xml:space="preserve"> енергиј</w:t>
            </w:r>
            <w:r w:rsidR="000661DE" w:rsidRPr="009C19C5">
              <w:rPr>
                <w:rFonts w:ascii="Times New Roman" w:eastAsia="Times New Roman" w:hAnsi="Times New Roman" w:cs="Times New Roman"/>
                <w:kern w:val="0"/>
                <w:sz w:val="20"/>
                <w:szCs w:val="20"/>
                <w:lang w:val="sr-Cyrl-RS" w:eastAsia="el-GR"/>
                <w14:ligatures w14:val="none"/>
              </w:rPr>
              <w:t>е,</w:t>
            </w:r>
            <w:r w:rsidR="00A60CBC">
              <w:rPr>
                <w:rFonts w:ascii="Times New Roman" w:eastAsia="Times New Roman" w:hAnsi="Times New Roman" w:cs="Times New Roman"/>
                <w:kern w:val="0"/>
                <w:sz w:val="20"/>
                <w:szCs w:val="20"/>
                <w:lang w:val="sr-Cyrl-RS" w:eastAsia="el-GR"/>
                <w14:ligatures w14:val="none"/>
              </w:rPr>
              <w:t xml:space="preserve"> </w:t>
            </w:r>
            <w:r w:rsidRPr="009C19C5">
              <w:rPr>
                <w:rFonts w:ascii="Times New Roman" w:eastAsia="Times New Roman" w:hAnsi="Times New Roman" w:cs="Times New Roman"/>
                <w:kern w:val="0"/>
                <w:sz w:val="20"/>
                <w:szCs w:val="20"/>
                <w:lang w:val="sr-Cyrl-RS" w:eastAsia="el-GR"/>
                <w14:ligatures w14:val="none"/>
              </w:rPr>
              <w:t>уз подршку ЕУ</w:t>
            </w:r>
            <w:r w:rsidR="000661DE" w:rsidRPr="009C19C5">
              <w:rPr>
                <w:rFonts w:ascii="Times New Roman" w:eastAsia="Times New Roman" w:hAnsi="Times New Roman" w:cs="Times New Roman"/>
                <w:kern w:val="0"/>
                <w:sz w:val="20"/>
                <w:szCs w:val="20"/>
                <w:lang w:val="sr-Cyrl-RS" w:eastAsia="el-GR"/>
                <w14:ligatures w14:val="none"/>
              </w:rPr>
              <w:t xml:space="preserve">, </w:t>
            </w:r>
            <w:r w:rsidRPr="009C19C5">
              <w:rPr>
                <w:rFonts w:ascii="Times New Roman" w:eastAsia="Times New Roman" w:hAnsi="Times New Roman" w:cs="Times New Roman"/>
                <w:kern w:val="0"/>
                <w:sz w:val="20"/>
                <w:szCs w:val="20"/>
                <w:lang w:val="sr-Cyrl-RS" w:eastAsia="el-GR"/>
                <w14:ligatures w14:val="none"/>
              </w:rPr>
              <w:t>149 милиона</w:t>
            </w:r>
            <w:r w:rsidR="000661DE" w:rsidRPr="009C19C5">
              <w:rPr>
                <w:rFonts w:ascii="Times New Roman" w:eastAsia="Times New Roman" w:hAnsi="Times New Roman" w:cs="Times New Roman"/>
                <w:kern w:val="0"/>
                <w:sz w:val="20"/>
                <w:szCs w:val="20"/>
                <w:lang w:val="sr-Cyrl-RS" w:eastAsia="el-GR"/>
                <w14:ligatures w14:val="none"/>
              </w:rPr>
              <w:t xml:space="preserve"> евра</w:t>
            </w:r>
          </w:p>
        </w:tc>
      </w:tr>
      <w:tr w:rsidR="00F276BC" w:rsidRPr="009C19C5" w14:paraId="34EE2D8D" w14:textId="77777777">
        <w:trPr>
          <w:trHeight w:val="300"/>
          <w:jc w:val="center"/>
        </w:trPr>
        <w:tc>
          <w:tcPr>
            <w:tcW w:w="1082" w:type="pct"/>
            <w:vAlign w:val="center"/>
          </w:tcPr>
          <w:p w14:paraId="1EF9FF68" w14:textId="77777777" w:rsidR="00F276BC" w:rsidRPr="009C19C5" w:rsidRDefault="000A0E4E">
            <w:pPr>
              <w:spacing w:after="0" w:line="240" w:lineRule="auto"/>
              <w:rPr>
                <w:rFonts w:ascii="Times New Roman" w:eastAsia="Times New Roman" w:hAnsi="Times New Roman" w:cs="Times New Roman"/>
                <w:kern w:val="0"/>
                <w:sz w:val="20"/>
                <w:szCs w:val="20"/>
                <w:lang w:val="sr-Cyrl-RS" w:eastAsia="el-GR"/>
                <w14:ligatures w14:val="none"/>
              </w:rPr>
            </w:pPr>
            <w:r w:rsidRPr="009C19C5">
              <w:rPr>
                <w:rFonts w:ascii="Times New Roman" w:eastAsia="Times New Roman" w:hAnsi="Times New Roman" w:cs="Times New Roman"/>
                <w:kern w:val="0"/>
                <w:sz w:val="20"/>
                <w:szCs w:val="20"/>
                <w:lang w:val="sr-Cyrl-RS" w:eastAsia="el-GR"/>
                <w14:ligatures w14:val="none"/>
              </w:rPr>
              <w:t>Швајцарска агенција за развој и сарадњу (СДЦ)</w:t>
            </w:r>
          </w:p>
        </w:tc>
        <w:tc>
          <w:tcPr>
            <w:tcW w:w="746" w:type="pct"/>
            <w:vAlign w:val="center"/>
          </w:tcPr>
          <w:p w14:paraId="77C7F83E" w14:textId="4090B2E0" w:rsidR="00F276BC" w:rsidRPr="009C19C5" w:rsidRDefault="000661DE">
            <w:pPr>
              <w:spacing w:after="0" w:line="240" w:lineRule="auto"/>
              <w:rPr>
                <w:rFonts w:ascii="Times New Roman" w:eastAsia="Times New Roman" w:hAnsi="Times New Roman" w:cs="Times New Roman"/>
                <w:kern w:val="0"/>
                <w:sz w:val="20"/>
                <w:szCs w:val="20"/>
                <w:lang w:val="sr-Cyrl-RS" w:eastAsia="el-GR"/>
                <w14:ligatures w14:val="none"/>
              </w:rPr>
            </w:pPr>
            <w:r w:rsidRPr="009C19C5">
              <w:rPr>
                <w:rFonts w:ascii="Times New Roman" w:eastAsia="Times New Roman" w:hAnsi="Times New Roman" w:cs="Times New Roman"/>
                <w:kern w:val="0"/>
                <w:sz w:val="20"/>
                <w:szCs w:val="20"/>
                <w:lang w:val="sr-Cyrl-RS" w:eastAsia="el-GR"/>
                <w14:ligatures w14:val="none"/>
              </w:rPr>
              <w:t>Донације</w:t>
            </w:r>
            <w:r w:rsidR="000A0E4E" w:rsidRPr="009C19C5">
              <w:rPr>
                <w:rFonts w:ascii="Times New Roman" w:eastAsia="Times New Roman" w:hAnsi="Times New Roman" w:cs="Times New Roman"/>
                <w:kern w:val="0"/>
                <w:sz w:val="20"/>
                <w:szCs w:val="20"/>
                <w:lang w:val="sr-Cyrl-RS" w:eastAsia="el-GR"/>
                <w14:ligatures w14:val="none"/>
              </w:rPr>
              <w:t>, техничка подршка</w:t>
            </w:r>
          </w:p>
        </w:tc>
        <w:tc>
          <w:tcPr>
            <w:tcW w:w="745" w:type="pct"/>
            <w:vAlign w:val="center"/>
          </w:tcPr>
          <w:p w14:paraId="4D8B5CF5" w14:textId="0A2B0CD3" w:rsidR="00F276BC" w:rsidRPr="009C19C5" w:rsidRDefault="000A0E4E">
            <w:pPr>
              <w:spacing w:after="0" w:line="240" w:lineRule="auto"/>
              <w:jc w:val="center"/>
              <w:rPr>
                <w:rFonts w:ascii="Times New Roman" w:eastAsia="Times New Roman" w:hAnsi="Times New Roman" w:cs="Times New Roman"/>
                <w:kern w:val="0"/>
                <w:sz w:val="20"/>
                <w:szCs w:val="20"/>
                <w:lang w:val="sr-Cyrl-RS" w:eastAsia="el-GR"/>
                <w14:ligatures w14:val="none"/>
              </w:rPr>
            </w:pPr>
            <w:r w:rsidRPr="009C19C5">
              <w:rPr>
                <w:rFonts w:ascii="Times New Roman" w:eastAsia="Times New Roman" w:hAnsi="Times New Roman" w:cs="Times New Roman"/>
                <w:kern w:val="0"/>
                <w:sz w:val="20"/>
                <w:szCs w:val="20"/>
                <w:lang w:val="sr-Cyrl-RS" w:eastAsia="el-GR"/>
                <w14:ligatures w14:val="none"/>
              </w:rPr>
              <w:t>500 милиона</w:t>
            </w:r>
            <w:r w:rsidR="000661DE" w:rsidRPr="009C19C5">
              <w:rPr>
                <w:rFonts w:ascii="Times New Roman" w:eastAsia="Times New Roman" w:hAnsi="Times New Roman" w:cs="Times New Roman"/>
                <w:kern w:val="0"/>
                <w:sz w:val="20"/>
                <w:szCs w:val="20"/>
                <w:lang w:val="sr-Cyrl-RS" w:eastAsia="el-GR"/>
                <w14:ligatures w14:val="none"/>
              </w:rPr>
              <w:t xml:space="preserve"> долара</w:t>
            </w:r>
            <w:r w:rsidRPr="009C19C5">
              <w:rPr>
                <w:rStyle w:val="FootnoteReference"/>
                <w:rFonts w:ascii="Times New Roman" w:eastAsia="Times New Roman" w:hAnsi="Times New Roman" w:cs="Times New Roman"/>
                <w:kern w:val="0"/>
                <w:sz w:val="20"/>
                <w:szCs w:val="20"/>
                <w:lang w:val="sr-Cyrl-RS" w:eastAsia="el-GR"/>
                <w14:ligatures w14:val="none"/>
              </w:rPr>
              <w:footnoteReference w:id="15"/>
            </w:r>
          </w:p>
        </w:tc>
        <w:tc>
          <w:tcPr>
            <w:tcW w:w="1152" w:type="pct"/>
            <w:vAlign w:val="center"/>
          </w:tcPr>
          <w:p w14:paraId="7679F559" w14:textId="77777777" w:rsidR="00F276BC" w:rsidRPr="009C19C5" w:rsidRDefault="000A0E4E">
            <w:pPr>
              <w:spacing w:after="0" w:line="240" w:lineRule="auto"/>
              <w:rPr>
                <w:rFonts w:ascii="Times New Roman" w:eastAsia="Times New Roman" w:hAnsi="Times New Roman" w:cs="Times New Roman"/>
                <w:kern w:val="0"/>
                <w:sz w:val="20"/>
                <w:szCs w:val="20"/>
                <w:lang w:val="sr-Cyrl-RS" w:eastAsia="el-GR"/>
                <w14:ligatures w14:val="none"/>
              </w:rPr>
            </w:pPr>
            <w:r w:rsidRPr="009C19C5">
              <w:rPr>
                <w:rFonts w:ascii="Times New Roman" w:eastAsia="Times New Roman" w:hAnsi="Times New Roman" w:cs="Times New Roman"/>
                <w:kern w:val="0"/>
                <w:sz w:val="20"/>
                <w:szCs w:val="20"/>
                <w:lang w:val="sr-Cyrl-RS" w:eastAsia="el-GR"/>
                <w14:ligatures w14:val="none"/>
              </w:rPr>
              <w:t>Обновљиви извори енергије, енергетска ефикасност</w:t>
            </w:r>
          </w:p>
        </w:tc>
        <w:tc>
          <w:tcPr>
            <w:tcW w:w="1275" w:type="pct"/>
          </w:tcPr>
          <w:p w14:paraId="3FC64913" w14:textId="508986F7" w:rsidR="00F276BC" w:rsidRPr="009C19C5" w:rsidRDefault="000A0E4E">
            <w:pPr>
              <w:spacing w:after="0" w:line="240" w:lineRule="auto"/>
              <w:rPr>
                <w:rFonts w:ascii="Times New Roman" w:eastAsia="Times New Roman" w:hAnsi="Times New Roman" w:cs="Times New Roman"/>
                <w:kern w:val="0"/>
                <w:sz w:val="20"/>
                <w:szCs w:val="20"/>
                <w:lang w:val="sr-Cyrl-RS" w:eastAsia="el-GR"/>
                <w14:ligatures w14:val="none"/>
              </w:rPr>
            </w:pPr>
            <w:r w:rsidRPr="009C19C5">
              <w:rPr>
                <w:rFonts w:ascii="Times New Roman" w:eastAsia="Times New Roman" w:hAnsi="Times New Roman" w:cs="Times New Roman"/>
                <w:kern w:val="0"/>
                <w:sz w:val="20"/>
                <w:szCs w:val="20"/>
                <w:lang w:val="sr-Cyrl-RS"/>
                <w14:ligatures w14:val="none"/>
              </w:rPr>
              <w:t xml:space="preserve">• Отпорност на климатске промене и декарбонизација у оквиру Зелене агенде за </w:t>
            </w:r>
            <w:r w:rsidR="009E53EC" w:rsidRPr="009C19C5">
              <w:rPr>
                <w:rFonts w:ascii="Times New Roman" w:eastAsia="Times New Roman" w:hAnsi="Times New Roman" w:cs="Times New Roman"/>
                <w:kern w:val="0"/>
                <w:sz w:val="20"/>
                <w:szCs w:val="20"/>
                <w:lang w:val="sr-Cyrl-RS"/>
                <w14:ligatures w14:val="none"/>
              </w:rPr>
              <w:t>З</w:t>
            </w:r>
            <w:r w:rsidRPr="009C19C5">
              <w:rPr>
                <w:rFonts w:ascii="Times New Roman" w:eastAsia="Times New Roman" w:hAnsi="Times New Roman" w:cs="Times New Roman"/>
                <w:kern w:val="0"/>
                <w:sz w:val="20"/>
                <w:szCs w:val="20"/>
                <w:lang w:val="sr-Cyrl-RS"/>
                <w14:ligatures w14:val="none"/>
              </w:rPr>
              <w:t>ападни Балкан (95 милиона</w:t>
            </w:r>
            <w:r w:rsidR="009E53EC" w:rsidRPr="009C19C5">
              <w:rPr>
                <w:rFonts w:ascii="Times New Roman" w:eastAsia="Times New Roman" w:hAnsi="Times New Roman" w:cs="Times New Roman"/>
                <w:kern w:val="0"/>
                <w:sz w:val="20"/>
                <w:szCs w:val="20"/>
                <w:lang w:val="sr-Cyrl-RS"/>
                <w14:ligatures w14:val="none"/>
              </w:rPr>
              <w:t xml:space="preserve"> евра</w:t>
            </w:r>
            <w:r w:rsidRPr="009C19C5">
              <w:rPr>
                <w:rFonts w:ascii="Times New Roman" w:eastAsia="Times New Roman" w:hAnsi="Times New Roman" w:cs="Times New Roman"/>
                <w:kern w:val="0"/>
                <w:sz w:val="20"/>
                <w:szCs w:val="20"/>
                <w:lang w:val="sr-Cyrl-RS"/>
                <w14:ligatures w14:val="none"/>
              </w:rPr>
              <w:t>)</w:t>
            </w:r>
          </w:p>
        </w:tc>
      </w:tr>
      <w:tr w:rsidR="00F276BC" w:rsidRPr="009C19C5" w14:paraId="289AEE49" w14:textId="77777777">
        <w:trPr>
          <w:trHeight w:val="203"/>
          <w:jc w:val="center"/>
        </w:trPr>
        <w:tc>
          <w:tcPr>
            <w:tcW w:w="1082" w:type="pct"/>
            <w:vAlign w:val="center"/>
          </w:tcPr>
          <w:p w14:paraId="30565749" w14:textId="470B8846" w:rsidR="00F276BC" w:rsidRPr="009C19C5" w:rsidRDefault="000A0E4E">
            <w:pPr>
              <w:spacing w:after="0" w:line="240" w:lineRule="auto"/>
              <w:rPr>
                <w:rFonts w:ascii="Times New Roman" w:eastAsia="Times New Roman" w:hAnsi="Times New Roman" w:cs="Times New Roman"/>
                <w:kern w:val="0"/>
                <w:sz w:val="20"/>
                <w:szCs w:val="20"/>
                <w:lang w:val="sr-Cyrl-RS" w:eastAsia="el-GR"/>
                <w14:ligatures w14:val="none"/>
              </w:rPr>
            </w:pPr>
            <w:r w:rsidRPr="009C19C5">
              <w:rPr>
                <w:rFonts w:ascii="Times New Roman" w:eastAsia="Times New Roman" w:hAnsi="Times New Roman" w:cs="Times New Roman"/>
                <w:kern w:val="0"/>
                <w:sz w:val="20"/>
                <w:szCs w:val="20"/>
                <w:lang w:val="sr-Cyrl-RS" w:eastAsia="el-GR"/>
                <w14:ligatures w14:val="none"/>
              </w:rPr>
              <w:t>Фондациј</w:t>
            </w:r>
            <w:r w:rsidR="009E53EC" w:rsidRPr="009C19C5">
              <w:rPr>
                <w:rFonts w:ascii="Times New Roman" w:eastAsia="Times New Roman" w:hAnsi="Times New Roman" w:cs="Times New Roman"/>
                <w:kern w:val="0"/>
                <w:sz w:val="20"/>
                <w:szCs w:val="20"/>
                <w:lang w:val="sr-Cyrl-RS" w:eastAsia="el-GR"/>
                <w14:ligatures w14:val="none"/>
              </w:rPr>
              <w:t>а</w:t>
            </w:r>
            <w:r w:rsidRPr="009C19C5">
              <w:rPr>
                <w:rFonts w:ascii="Times New Roman" w:eastAsia="Times New Roman" w:hAnsi="Times New Roman" w:cs="Times New Roman"/>
                <w:kern w:val="0"/>
                <w:sz w:val="20"/>
                <w:szCs w:val="20"/>
                <w:lang w:val="sr-Cyrl-RS" w:eastAsia="el-GR"/>
                <w14:ligatures w14:val="none"/>
              </w:rPr>
              <w:t xml:space="preserve"> за отворено друштво (ОСФ)</w:t>
            </w:r>
          </w:p>
        </w:tc>
        <w:tc>
          <w:tcPr>
            <w:tcW w:w="746" w:type="pct"/>
            <w:vAlign w:val="center"/>
          </w:tcPr>
          <w:p w14:paraId="7B5F55EC" w14:textId="2077B767" w:rsidR="00F276BC" w:rsidRPr="009C19C5" w:rsidRDefault="000661DE">
            <w:pPr>
              <w:spacing w:after="0" w:line="240" w:lineRule="auto"/>
              <w:rPr>
                <w:rFonts w:ascii="Times New Roman" w:eastAsia="Times New Roman" w:hAnsi="Times New Roman" w:cs="Times New Roman"/>
                <w:kern w:val="0"/>
                <w:sz w:val="20"/>
                <w:szCs w:val="20"/>
                <w:lang w:val="sr-Cyrl-RS" w:eastAsia="el-GR"/>
                <w14:ligatures w14:val="none"/>
              </w:rPr>
            </w:pPr>
            <w:r w:rsidRPr="009C19C5">
              <w:rPr>
                <w:rFonts w:ascii="Times New Roman" w:eastAsia="Times New Roman" w:hAnsi="Times New Roman" w:cs="Times New Roman"/>
                <w:kern w:val="0"/>
                <w:sz w:val="20"/>
                <w:szCs w:val="20"/>
                <w:lang w:val="sr-Cyrl-RS"/>
                <w14:ligatures w14:val="none"/>
              </w:rPr>
              <w:t>Донације</w:t>
            </w:r>
          </w:p>
        </w:tc>
        <w:tc>
          <w:tcPr>
            <w:tcW w:w="745" w:type="pct"/>
            <w:shd w:val="clear" w:color="auto" w:fill="auto"/>
            <w:vAlign w:val="center"/>
          </w:tcPr>
          <w:p w14:paraId="137026BD" w14:textId="2BC3B952" w:rsidR="00F276BC" w:rsidRPr="009C19C5" w:rsidRDefault="000A0E4E">
            <w:pPr>
              <w:spacing w:after="0" w:line="240" w:lineRule="auto"/>
              <w:jc w:val="center"/>
              <w:rPr>
                <w:rFonts w:ascii="Times New Roman" w:eastAsia="Times New Roman" w:hAnsi="Times New Roman" w:cs="Times New Roman"/>
                <w:kern w:val="0"/>
                <w:sz w:val="20"/>
                <w:szCs w:val="20"/>
                <w:lang w:val="sr-Cyrl-RS" w:eastAsia="el-GR"/>
                <w14:ligatures w14:val="none"/>
              </w:rPr>
            </w:pPr>
            <w:r w:rsidRPr="009C19C5">
              <w:rPr>
                <w:rFonts w:ascii="Times New Roman" w:eastAsia="Times New Roman" w:hAnsi="Times New Roman" w:cs="Times New Roman"/>
                <w:kern w:val="0"/>
                <w:sz w:val="20"/>
                <w:szCs w:val="20"/>
                <w:lang w:val="sr-Cyrl-RS" w:eastAsia="el-GR"/>
                <w14:ligatures w14:val="none"/>
              </w:rPr>
              <w:t>20 милиона</w:t>
            </w:r>
            <w:r w:rsidR="009E53EC" w:rsidRPr="009C19C5">
              <w:rPr>
                <w:rFonts w:ascii="Times New Roman" w:eastAsia="Times New Roman" w:hAnsi="Times New Roman" w:cs="Times New Roman"/>
                <w:kern w:val="0"/>
                <w:sz w:val="20"/>
                <w:szCs w:val="20"/>
                <w:lang w:val="sr-Cyrl-RS" w:eastAsia="el-GR"/>
                <w14:ligatures w14:val="none"/>
              </w:rPr>
              <w:t xml:space="preserve"> евра</w:t>
            </w:r>
            <w:r w:rsidRPr="009C19C5">
              <w:rPr>
                <w:rStyle w:val="FootnoteReference"/>
                <w:rFonts w:ascii="Times New Roman" w:eastAsia="Times New Roman" w:hAnsi="Times New Roman" w:cs="Times New Roman"/>
                <w:kern w:val="0"/>
                <w:sz w:val="20"/>
                <w:szCs w:val="20"/>
                <w:lang w:val="sr-Cyrl-RS" w:eastAsia="el-GR"/>
                <w14:ligatures w14:val="none"/>
              </w:rPr>
              <w:footnoteReference w:id="16"/>
            </w:r>
          </w:p>
        </w:tc>
        <w:tc>
          <w:tcPr>
            <w:tcW w:w="1152" w:type="pct"/>
            <w:vAlign w:val="center"/>
          </w:tcPr>
          <w:p w14:paraId="508AD8A2" w14:textId="02227978" w:rsidR="00F276BC" w:rsidRPr="009C19C5" w:rsidRDefault="000A0E4E">
            <w:pPr>
              <w:spacing w:after="0" w:line="240" w:lineRule="auto"/>
              <w:rPr>
                <w:rFonts w:ascii="Times New Roman" w:eastAsia="Times New Roman" w:hAnsi="Times New Roman" w:cs="Times New Roman"/>
                <w:kern w:val="0"/>
                <w:sz w:val="20"/>
                <w:szCs w:val="20"/>
                <w:lang w:val="sr-Cyrl-RS" w:eastAsia="el-GR"/>
                <w14:ligatures w14:val="none"/>
              </w:rPr>
            </w:pPr>
            <w:r w:rsidRPr="009C19C5">
              <w:rPr>
                <w:rFonts w:ascii="Times New Roman" w:eastAsia="Times New Roman" w:hAnsi="Times New Roman" w:cs="Times New Roman"/>
                <w:kern w:val="0"/>
                <w:sz w:val="20"/>
                <w:szCs w:val="20"/>
                <w:lang w:val="sr-Cyrl-RS" w:eastAsia="el-GR"/>
                <w14:ligatures w14:val="none"/>
              </w:rPr>
              <w:t>Климатска пра</w:t>
            </w:r>
            <w:r w:rsidR="009A25DF">
              <w:rPr>
                <w:rFonts w:ascii="Times New Roman" w:eastAsia="Times New Roman" w:hAnsi="Times New Roman" w:cs="Times New Roman"/>
                <w:kern w:val="0"/>
                <w:sz w:val="20"/>
                <w:szCs w:val="20"/>
                <w:lang w:val="sr-Cyrl-RS" w:eastAsia="el-GR"/>
                <w14:ligatures w14:val="none"/>
              </w:rPr>
              <w:t>в</w:t>
            </w:r>
            <w:r w:rsidRPr="009C19C5">
              <w:rPr>
                <w:rFonts w:ascii="Times New Roman" w:eastAsia="Times New Roman" w:hAnsi="Times New Roman" w:cs="Times New Roman"/>
                <w:kern w:val="0"/>
                <w:sz w:val="20"/>
                <w:szCs w:val="20"/>
                <w:lang w:val="sr-Cyrl-RS" w:eastAsia="el-GR"/>
                <w14:ligatures w14:val="none"/>
              </w:rPr>
              <w:t>да, одрживи развој</w:t>
            </w:r>
          </w:p>
        </w:tc>
        <w:tc>
          <w:tcPr>
            <w:tcW w:w="1275" w:type="pct"/>
          </w:tcPr>
          <w:p w14:paraId="79A58CA0" w14:textId="77777777" w:rsidR="00F276BC" w:rsidRPr="009C19C5" w:rsidRDefault="000A0E4E">
            <w:pPr>
              <w:spacing w:after="0" w:line="240" w:lineRule="auto"/>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 Иницијатива за зелени економски развој:</w:t>
            </w:r>
          </w:p>
          <w:p w14:paraId="5F10C4CB" w14:textId="0EA93C89" w:rsidR="00F276BC" w:rsidRPr="009C19C5" w:rsidRDefault="000A0E4E">
            <w:pPr>
              <w:spacing w:after="0" w:line="240" w:lineRule="auto"/>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361.196,39</w:t>
            </w:r>
            <w:r w:rsidR="009E53EC" w:rsidRPr="009C19C5">
              <w:rPr>
                <w:rFonts w:ascii="Times New Roman" w:eastAsia="Times New Roman" w:hAnsi="Times New Roman" w:cs="Times New Roman"/>
                <w:kern w:val="0"/>
                <w:sz w:val="20"/>
                <w:szCs w:val="20"/>
                <w:lang w:val="sr-Cyrl-RS"/>
                <w14:ligatures w14:val="none"/>
              </w:rPr>
              <w:t xml:space="preserve"> евра</w:t>
            </w:r>
            <w:r w:rsidRPr="009C19C5">
              <w:rPr>
                <w:rStyle w:val="FootnoteReference"/>
                <w:rFonts w:ascii="Times New Roman" w:eastAsia="Times New Roman" w:hAnsi="Times New Roman" w:cs="Times New Roman"/>
                <w:kern w:val="0"/>
                <w:sz w:val="20"/>
                <w:szCs w:val="20"/>
                <w:lang w:val="sr-Cyrl-RS"/>
                <w14:ligatures w14:val="none"/>
              </w:rPr>
              <w:footnoteReference w:id="17"/>
            </w:r>
            <w:r w:rsidRPr="009C19C5">
              <w:rPr>
                <w:rFonts w:ascii="Times New Roman" w:eastAsia="Times New Roman" w:hAnsi="Times New Roman" w:cs="Times New Roman"/>
                <w:kern w:val="0"/>
                <w:sz w:val="20"/>
                <w:szCs w:val="20"/>
                <w:lang w:val="sr-Cyrl-RS"/>
                <w14:ligatures w14:val="none"/>
              </w:rPr>
              <w:t> </w:t>
            </w:r>
          </w:p>
          <w:p w14:paraId="215A8487" w14:textId="5DDB3C23" w:rsidR="00F276BC" w:rsidRPr="009C19C5" w:rsidRDefault="000A0E4E">
            <w:pPr>
              <w:spacing w:after="0" w:line="240" w:lineRule="auto"/>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 Инвестиције у Удружено климатско партнерство: 22.574,75</w:t>
            </w:r>
            <w:r w:rsidR="009E53EC" w:rsidRPr="009C19C5">
              <w:rPr>
                <w:rFonts w:ascii="Times New Roman" w:eastAsia="Times New Roman" w:hAnsi="Times New Roman" w:cs="Times New Roman"/>
                <w:kern w:val="0"/>
                <w:sz w:val="20"/>
                <w:szCs w:val="20"/>
                <w:lang w:val="sr-Cyrl-RS"/>
                <w14:ligatures w14:val="none"/>
              </w:rPr>
              <w:t xml:space="preserve"> евра</w:t>
            </w:r>
            <w:r w:rsidRPr="009C19C5">
              <w:rPr>
                <w:rStyle w:val="FootnoteReference"/>
                <w:rFonts w:ascii="Times New Roman" w:eastAsia="Times New Roman" w:hAnsi="Times New Roman" w:cs="Times New Roman"/>
                <w:kern w:val="0"/>
                <w:sz w:val="20"/>
                <w:szCs w:val="20"/>
                <w:lang w:val="sr-Cyrl-RS"/>
                <w14:ligatures w14:val="none"/>
              </w:rPr>
              <w:footnoteReference w:id="18"/>
            </w:r>
          </w:p>
        </w:tc>
      </w:tr>
      <w:tr w:rsidR="00F276BC" w:rsidRPr="009C19C5" w14:paraId="21D20F7C" w14:textId="77777777">
        <w:trPr>
          <w:trHeight w:val="300"/>
          <w:jc w:val="center"/>
        </w:trPr>
        <w:tc>
          <w:tcPr>
            <w:tcW w:w="1082" w:type="pct"/>
            <w:vAlign w:val="center"/>
          </w:tcPr>
          <w:p w14:paraId="5AB425AF" w14:textId="5E9633A8" w:rsidR="00F276BC" w:rsidRPr="009C19C5" w:rsidRDefault="009E53EC">
            <w:pPr>
              <w:spacing w:after="0" w:line="240" w:lineRule="auto"/>
              <w:rPr>
                <w:rFonts w:ascii="Times New Roman" w:eastAsia="Times New Roman" w:hAnsi="Times New Roman" w:cs="Times New Roman"/>
                <w:kern w:val="0"/>
                <w:sz w:val="20"/>
                <w:szCs w:val="20"/>
                <w:lang w:val="sr-Cyrl-RS" w:eastAsia="el-GR"/>
                <w14:ligatures w14:val="none"/>
              </w:rPr>
            </w:pPr>
            <w:r w:rsidRPr="009C19C5">
              <w:rPr>
                <w:rFonts w:ascii="Times New Roman" w:eastAsia="Times New Roman" w:hAnsi="Times New Roman" w:cs="Times New Roman"/>
                <w:kern w:val="0"/>
                <w:sz w:val="20"/>
                <w:szCs w:val="20"/>
                <w:lang w:val="sr-Cyrl-RS" w:eastAsia="el-GR"/>
                <w14:ligatures w14:val="none"/>
              </w:rPr>
              <w:lastRenderedPageBreak/>
              <w:t>Д</w:t>
            </w:r>
            <w:r w:rsidR="000A0E4E" w:rsidRPr="009C19C5">
              <w:rPr>
                <w:rFonts w:ascii="Times New Roman" w:eastAsia="Times New Roman" w:hAnsi="Times New Roman" w:cs="Times New Roman"/>
                <w:kern w:val="0"/>
                <w:sz w:val="20"/>
                <w:szCs w:val="20"/>
                <w:lang w:val="sr-Cyrl-RS" w:eastAsia="el-GR"/>
                <w14:ligatures w14:val="none"/>
              </w:rPr>
              <w:t>еч</w:t>
            </w:r>
            <w:r w:rsidRPr="009C19C5">
              <w:rPr>
                <w:rFonts w:ascii="Times New Roman" w:eastAsia="Times New Roman" w:hAnsi="Times New Roman" w:cs="Times New Roman"/>
                <w:kern w:val="0"/>
                <w:sz w:val="20"/>
                <w:szCs w:val="20"/>
                <w:lang w:val="sr-Cyrl-RS" w:eastAsia="el-GR"/>
                <w14:ligatures w14:val="none"/>
              </w:rPr>
              <w:t>и</w:t>
            </w:r>
            <w:r w:rsidR="000A0E4E" w:rsidRPr="009C19C5">
              <w:rPr>
                <w:rFonts w:ascii="Times New Roman" w:eastAsia="Times New Roman" w:hAnsi="Times New Roman" w:cs="Times New Roman"/>
                <w:kern w:val="0"/>
                <w:sz w:val="20"/>
                <w:szCs w:val="20"/>
                <w:lang w:val="sr-Cyrl-RS" w:eastAsia="el-GR"/>
                <w14:ligatures w14:val="none"/>
              </w:rPr>
              <w:t>ји фонд Уједињених нација (УНИЦЕФ)</w:t>
            </w:r>
          </w:p>
        </w:tc>
        <w:tc>
          <w:tcPr>
            <w:tcW w:w="746" w:type="pct"/>
            <w:vAlign w:val="center"/>
          </w:tcPr>
          <w:p w14:paraId="4C168922" w14:textId="43489A9C" w:rsidR="00F276BC" w:rsidRPr="009C19C5" w:rsidRDefault="009E53EC">
            <w:pPr>
              <w:spacing w:after="0" w:line="240" w:lineRule="auto"/>
              <w:rPr>
                <w:rFonts w:ascii="Times New Roman" w:eastAsia="Times New Roman" w:hAnsi="Times New Roman" w:cs="Times New Roman"/>
                <w:kern w:val="0"/>
                <w:sz w:val="20"/>
                <w:szCs w:val="20"/>
                <w:lang w:val="sr-Cyrl-RS" w:eastAsia="el-GR"/>
                <w14:ligatures w14:val="none"/>
              </w:rPr>
            </w:pPr>
            <w:r w:rsidRPr="009C19C5">
              <w:rPr>
                <w:rFonts w:ascii="Times New Roman" w:eastAsia="Times New Roman" w:hAnsi="Times New Roman" w:cs="Times New Roman"/>
                <w:kern w:val="0"/>
                <w:sz w:val="20"/>
                <w:szCs w:val="20"/>
                <w:lang w:val="sr-Cyrl-RS" w:eastAsia="el-GR"/>
                <w14:ligatures w14:val="none"/>
              </w:rPr>
              <w:t>Донације</w:t>
            </w:r>
            <w:r w:rsidR="000A0E4E" w:rsidRPr="009C19C5">
              <w:rPr>
                <w:rFonts w:ascii="Times New Roman" w:eastAsia="Times New Roman" w:hAnsi="Times New Roman" w:cs="Times New Roman"/>
                <w:kern w:val="0"/>
                <w:sz w:val="20"/>
                <w:szCs w:val="20"/>
                <w:lang w:val="sr-Cyrl-RS" w:eastAsia="el-GR"/>
                <w14:ligatures w14:val="none"/>
              </w:rPr>
              <w:t>, техничка подршка</w:t>
            </w:r>
          </w:p>
        </w:tc>
        <w:tc>
          <w:tcPr>
            <w:tcW w:w="745" w:type="pct"/>
            <w:shd w:val="clear" w:color="auto" w:fill="auto"/>
            <w:vAlign w:val="center"/>
          </w:tcPr>
          <w:p w14:paraId="1797C009" w14:textId="53601FB3" w:rsidR="00F276BC" w:rsidRPr="009C19C5" w:rsidRDefault="000A0E4E">
            <w:pPr>
              <w:spacing w:after="0" w:line="240" w:lineRule="auto"/>
              <w:jc w:val="center"/>
              <w:rPr>
                <w:rFonts w:ascii="Times New Roman" w:eastAsia="Times New Roman" w:hAnsi="Times New Roman" w:cs="Times New Roman"/>
                <w:kern w:val="0"/>
                <w:sz w:val="20"/>
                <w:szCs w:val="20"/>
                <w:highlight w:val="yellow"/>
                <w:lang w:val="sr-Cyrl-RS" w:eastAsia="el-GR"/>
                <w14:ligatures w14:val="none"/>
              </w:rPr>
            </w:pPr>
            <w:r w:rsidRPr="009C19C5">
              <w:rPr>
                <w:rFonts w:ascii="Times New Roman" w:eastAsia="Times New Roman" w:hAnsi="Times New Roman" w:cs="Times New Roman"/>
                <w:kern w:val="0"/>
                <w:sz w:val="20"/>
                <w:szCs w:val="20"/>
                <w:lang w:val="sr-Cyrl-RS" w:eastAsia="el-GR"/>
                <w14:ligatures w14:val="none"/>
              </w:rPr>
              <w:t>10 милиона</w:t>
            </w:r>
            <w:r w:rsidR="009E53EC" w:rsidRPr="009C19C5">
              <w:rPr>
                <w:rFonts w:ascii="Times New Roman" w:eastAsia="Times New Roman" w:hAnsi="Times New Roman" w:cs="Times New Roman"/>
                <w:kern w:val="0"/>
                <w:sz w:val="20"/>
                <w:szCs w:val="20"/>
                <w:lang w:val="sr-Cyrl-RS" w:eastAsia="el-GR"/>
                <w14:ligatures w14:val="none"/>
              </w:rPr>
              <w:t xml:space="preserve"> долара</w:t>
            </w:r>
            <w:r w:rsidRPr="009C19C5">
              <w:rPr>
                <w:rStyle w:val="FootnoteReference"/>
                <w:rFonts w:ascii="Times New Roman" w:eastAsia="Times New Roman" w:hAnsi="Times New Roman" w:cs="Times New Roman"/>
                <w:kern w:val="0"/>
                <w:sz w:val="20"/>
                <w:szCs w:val="20"/>
                <w:lang w:val="sr-Cyrl-RS" w:eastAsia="el-GR"/>
                <w14:ligatures w14:val="none"/>
              </w:rPr>
              <w:footnoteReference w:id="19"/>
            </w:r>
          </w:p>
        </w:tc>
        <w:tc>
          <w:tcPr>
            <w:tcW w:w="1152" w:type="pct"/>
            <w:vAlign w:val="center"/>
          </w:tcPr>
          <w:p w14:paraId="33AED537" w14:textId="0E2AC736" w:rsidR="00F276BC" w:rsidRPr="009C19C5" w:rsidRDefault="000A0E4E" w:rsidP="00AA66D7">
            <w:pPr>
              <w:spacing w:after="0" w:line="240" w:lineRule="auto"/>
              <w:rPr>
                <w:rFonts w:ascii="Times New Roman" w:eastAsia="Times New Roman" w:hAnsi="Times New Roman" w:cs="Times New Roman"/>
                <w:kern w:val="0"/>
                <w:sz w:val="20"/>
                <w:szCs w:val="20"/>
                <w:lang w:val="sr-Cyrl-RS" w:eastAsia="el-GR"/>
                <w14:ligatures w14:val="none"/>
              </w:rPr>
            </w:pPr>
            <w:r w:rsidRPr="009C19C5">
              <w:rPr>
                <w:rFonts w:ascii="Times New Roman" w:eastAsia="Times New Roman" w:hAnsi="Times New Roman" w:cs="Times New Roman"/>
                <w:kern w:val="0"/>
                <w:sz w:val="20"/>
                <w:szCs w:val="20"/>
                <w:lang w:val="sr-Cyrl-RS" w:eastAsia="el-GR"/>
                <w14:ligatures w14:val="none"/>
              </w:rPr>
              <w:t>Образовање о животној средини, одрживи развој</w:t>
            </w:r>
          </w:p>
        </w:tc>
        <w:tc>
          <w:tcPr>
            <w:tcW w:w="1275" w:type="pct"/>
          </w:tcPr>
          <w:p w14:paraId="046AEA4C" w14:textId="44D69D98" w:rsidR="009E53EC" w:rsidRPr="009C19C5" w:rsidRDefault="000A0E4E">
            <w:pPr>
              <w:spacing w:after="0" w:line="240" w:lineRule="auto"/>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 Глобални тематски фонд</w:t>
            </w:r>
            <w:r w:rsidR="00AA66D7" w:rsidRPr="009C19C5">
              <w:rPr>
                <w:rFonts w:ascii="Times New Roman" w:eastAsia="Times New Roman" w:hAnsi="Times New Roman" w:cs="Times New Roman"/>
                <w:kern w:val="0"/>
                <w:sz w:val="20"/>
                <w:szCs w:val="20"/>
                <w:lang w:val="sr-Cyrl-RS"/>
                <w14:ligatures w14:val="none"/>
              </w:rPr>
              <w:t xml:space="preserve"> УНИЦЕФ</w:t>
            </w:r>
            <w:r w:rsidRPr="009C19C5">
              <w:rPr>
                <w:rFonts w:ascii="Times New Roman" w:eastAsia="Times New Roman" w:hAnsi="Times New Roman" w:cs="Times New Roman"/>
                <w:kern w:val="0"/>
                <w:sz w:val="20"/>
                <w:szCs w:val="20"/>
                <w:lang w:val="sr-Cyrl-RS"/>
                <w14:ligatures w14:val="none"/>
              </w:rPr>
              <w:t xml:space="preserve"> за климу, животну средину, енергију и смањење ризика од катастрофе  </w:t>
            </w:r>
          </w:p>
          <w:p w14:paraId="55365E72" w14:textId="7797BF4C" w:rsidR="00F276BC" w:rsidRPr="009C19C5" w:rsidRDefault="000A0E4E">
            <w:pPr>
              <w:spacing w:after="0" w:line="240" w:lineRule="auto"/>
              <w:rPr>
                <w:rFonts w:ascii="Times New Roman" w:eastAsia="Times New Roman" w:hAnsi="Times New Roman" w:cs="Times New Roman"/>
                <w:kern w:val="0"/>
                <w:sz w:val="20"/>
                <w:szCs w:val="20"/>
                <w:lang w:val="sr-Cyrl-RS" w:eastAsia="el-GR"/>
                <w14:ligatures w14:val="none"/>
              </w:rPr>
            </w:pPr>
            <w:r w:rsidRPr="009C19C5">
              <w:rPr>
                <w:rFonts w:ascii="Times New Roman" w:eastAsia="Times New Roman" w:hAnsi="Times New Roman" w:cs="Times New Roman"/>
                <w:kern w:val="0"/>
                <w:sz w:val="20"/>
                <w:szCs w:val="20"/>
                <w:lang w:val="sr-Cyrl-RS"/>
                <w14:ligatures w14:val="none"/>
              </w:rPr>
              <w:t>Износ средстава: приближно 2,1 милиона</w:t>
            </w:r>
            <w:r w:rsidR="009E53EC" w:rsidRPr="009C19C5">
              <w:rPr>
                <w:rFonts w:ascii="Times New Roman" w:eastAsia="Times New Roman" w:hAnsi="Times New Roman" w:cs="Times New Roman"/>
                <w:kern w:val="0"/>
                <w:sz w:val="20"/>
                <w:szCs w:val="20"/>
                <w:lang w:val="sr-Cyrl-RS"/>
                <w14:ligatures w14:val="none"/>
              </w:rPr>
              <w:t xml:space="preserve"> евра</w:t>
            </w:r>
            <w:r w:rsidRPr="009C19C5">
              <w:rPr>
                <w:rFonts w:ascii="Times New Roman" w:eastAsia="Times New Roman" w:hAnsi="Times New Roman" w:cs="Times New Roman"/>
                <w:kern w:val="0"/>
                <w:sz w:val="20"/>
                <w:szCs w:val="20"/>
                <w:lang w:val="sr-Cyrl-RS"/>
                <w14:ligatures w14:val="none"/>
              </w:rPr>
              <w:t xml:space="preserve"> (2022-2023)</w:t>
            </w:r>
            <w:r w:rsidRPr="009C19C5">
              <w:rPr>
                <w:rFonts w:ascii="Times New Roman" w:eastAsia="Times New Roman" w:hAnsi="Times New Roman" w:cs="Times New Roman"/>
                <w:kern w:val="0"/>
                <w:sz w:val="20"/>
                <w:szCs w:val="20"/>
                <w:lang w:val="sr-Cyrl-RS"/>
                <w14:ligatures w14:val="none"/>
              </w:rPr>
              <w:br/>
            </w:r>
            <w:r w:rsidR="009E53EC" w:rsidRPr="009C19C5">
              <w:rPr>
                <w:rFonts w:ascii="Times New Roman" w:eastAsia="Times New Roman" w:hAnsi="Times New Roman" w:cs="Times New Roman"/>
                <w:kern w:val="0"/>
                <w:sz w:val="20"/>
                <w:szCs w:val="20"/>
                <w:lang w:val="sr-Cyrl-RS"/>
                <w14:ligatures w14:val="none"/>
              </w:rPr>
              <w:t xml:space="preserve">Главна </w:t>
            </w:r>
            <w:r w:rsidRPr="009C19C5">
              <w:rPr>
                <w:rFonts w:ascii="Times New Roman" w:eastAsia="Times New Roman" w:hAnsi="Times New Roman" w:cs="Times New Roman"/>
                <w:kern w:val="0"/>
                <w:sz w:val="20"/>
                <w:szCs w:val="20"/>
                <w:lang w:val="sr-Cyrl-RS"/>
                <w14:ligatures w14:val="none"/>
              </w:rPr>
              <w:t xml:space="preserve">подручја: </w:t>
            </w:r>
            <w:r w:rsidR="009E53EC" w:rsidRPr="009C19C5">
              <w:rPr>
                <w:rFonts w:ascii="Times New Roman" w:eastAsia="Times New Roman" w:hAnsi="Times New Roman" w:cs="Times New Roman"/>
                <w:kern w:val="0"/>
                <w:sz w:val="20"/>
                <w:szCs w:val="20"/>
                <w:lang w:val="sr-Cyrl-RS"/>
                <w14:ligatures w14:val="none"/>
              </w:rPr>
              <w:t>ј</w:t>
            </w:r>
            <w:r w:rsidRPr="009C19C5">
              <w:rPr>
                <w:rFonts w:ascii="Times New Roman" w:eastAsia="Times New Roman" w:hAnsi="Times New Roman" w:cs="Times New Roman"/>
                <w:kern w:val="0"/>
                <w:sz w:val="20"/>
                <w:szCs w:val="20"/>
                <w:lang w:val="sr-Cyrl-RS"/>
                <w14:ligatures w14:val="none"/>
              </w:rPr>
              <w:t>ачање система (45% трошкова), заг</w:t>
            </w:r>
            <w:r w:rsidR="009E53EC" w:rsidRPr="009C19C5">
              <w:rPr>
                <w:rFonts w:ascii="Times New Roman" w:eastAsia="Times New Roman" w:hAnsi="Times New Roman" w:cs="Times New Roman"/>
                <w:kern w:val="0"/>
                <w:sz w:val="20"/>
                <w:szCs w:val="20"/>
                <w:lang w:val="sr-Cyrl-RS"/>
                <w14:ligatures w14:val="none"/>
              </w:rPr>
              <w:t>овар</w:t>
            </w:r>
            <w:r w:rsidRPr="009C19C5">
              <w:rPr>
                <w:rFonts w:ascii="Times New Roman" w:eastAsia="Times New Roman" w:hAnsi="Times New Roman" w:cs="Times New Roman"/>
                <w:kern w:val="0"/>
                <w:sz w:val="20"/>
                <w:szCs w:val="20"/>
                <w:lang w:val="sr-Cyrl-RS"/>
                <w14:ligatures w14:val="none"/>
              </w:rPr>
              <w:t>ање и подизање свести о климатским проблемима.</w:t>
            </w:r>
            <w:r w:rsidRPr="009C19C5">
              <w:rPr>
                <w:rStyle w:val="FootnoteReference"/>
                <w:rFonts w:ascii="Times New Roman" w:eastAsia="Times New Roman" w:hAnsi="Times New Roman" w:cs="Times New Roman"/>
                <w:kern w:val="0"/>
                <w:sz w:val="20"/>
                <w:szCs w:val="20"/>
                <w:lang w:val="sr-Cyrl-RS"/>
                <w14:ligatures w14:val="none"/>
              </w:rPr>
              <w:footnoteReference w:id="20"/>
            </w:r>
          </w:p>
        </w:tc>
      </w:tr>
      <w:tr w:rsidR="00F276BC" w:rsidRPr="009C19C5" w14:paraId="6A698997" w14:textId="77777777">
        <w:trPr>
          <w:trHeight w:val="300"/>
          <w:jc w:val="center"/>
        </w:trPr>
        <w:tc>
          <w:tcPr>
            <w:tcW w:w="1082" w:type="pct"/>
            <w:vAlign w:val="center"/>
          </w:tcPr>
          <w:p w14:paraId="12A8DA3F" w14:textId="77777777" w:rsidR="00F276BC" w:rsidRPr="009C19C5" w:rsidRDefault="000A0E4E">
            <w:pPr>
              <w:spacing w:after="0" w:line="240" w:lineRule="auto"/>
              <w:rPr>
                <w:rFonts w:ascii="Times New Roman" w:eastAsia="Times New Roman" w:hAnsi="Times New Roman" w:cs="Times New Roman"/>
                <w:kern w:val="0"/>
                <w:sz w:val="20"/>
                <w:szCs w:val="20"/>
                <w:lang w:val="sr-Cyrl-RS" w:eastAsia="el-GR"/>
                <w14:ligatures w14:val="none"/>
              </w:rPr>
            </w:pPr>
            <w:r w:rsidRPr="009C19C5">
              <w:rPr>
                <w:rFonts w:ascii="Times New Roman" w:eastAsia="Times New Roman" w:hAnsi="Times New Roman" w:cs="Times New Roman"/>
                <w:kern w:val="0"/>
                <w:sz w:val="20"/>
                <w:szCs w:val="20"/>
                <w:lang w:val="sr-Cyrl-RS" w:eastAsia="el-GR"/>
                <w14:ligatures w14:val="none"/>
              </w:rPr>
              <w:t>Deutsche Gesellschaft für internacionale Zusammenarbeit (ГИЗ)</w:t>
            </w:r>
          </w:p>
        </w:tc>
        <w:tc>
          <w:tcPr>
            <w:tcW w:w="746" w:type="pct"/>
            <w:vAlign w:val="center"/>
          </w:tcPr>
          <w:p w14:paraId="72C96053" w14:textId="1392CB63" w:rsidR="00F276BC" w:rsidRPr="009C19C5" w:rsidRDefault="009E53EC">
            <w:pPr>
              <w:spacing w:after="0" w:line="240" w:lineRule="auto"/>
              <w:rPr>
                <w:rFonts w:ascii="Times New Roman" w:eastAsia="Times New Roman" w:hAnsi="Times New Roman" w:cs="Times New Roman"/>
                <w:kern w:val="0"/>
                <w:sz w:val="20"/>
                <w:szCs w:val="20"/>
                <w:lang w:val="sr-Cyrl-RS" w:eastAsia="el-GR"/>
                <w14:ligatures w14:val="none"/>
              </w:rPr>
            </w:pPr>
            <w:r w:rsidRPr="009C19C5">
              <w:rPr>
                <w:rFonts w:ascii="Times New Roman" w:eastAsia="Times New Roman" w:hAnsi="Times New Roman" w:cs="Times New Roman"/>
                <w:kern w:val="0"/>
                <w:sz w:val="20"/>
                <w:szCs w:val="20"/>
                <w:lang w:val="sr-Cyrl-RS" w:eastAsia="el-GR"/>
                <w14:ligatures w14:val="none"/>
              </w:rPr>
              <w:t>Донације</w:t>
            </w:r>
            <w:r w:rsidR="000A0E4E" w:rsidRPr="009C19C5">
              <w:rPr>
                <w:rFonts w:ascii="Times New Roman" w:eastAsia="Times New Roman" w:hAnsi="Times New Roman" w:cs="Times New Roman"/>
                <w:kern w:val="0"/>
                <w:sz w:val="20"/>
                <w:szCs w:val="20"/>
                <w:lang w:val="sr-Cyrl-RS" w:eastAsia="el-GR"/>
                <w14:ligatures w14:val="none"/>
              </w:rPr>
              <w:t>, Техничка подршка</w:t>
            </w:r>
          </w:p>
        </w:tc>
        <w:tc>
          <w:tcPr>
            <w:tcW w:w="745" w:type="pct"/>
            <w:vAlign w:val="center"/>
          </w:tcPr>
          <w:p w14:paraId="32814E42" w14:textId="01914359" w:rsidR="00F276BC" w:rsidRPr="009C19C5" w:rsidRDefault="000A0E4E">
            <w:pPr>
              <w:spacing w:after="0" w:line="240" w:lineRule="auto"/>
              <w:jc w:val="center"/>
              <w:rPr>
                <w:rFonts w:ascii="Times New Roman" w:eastAsia="Times New Roman" w:hAnsi="Times New Roman" w:cs="Times New Roman"/>
                <w:kern w:val="0"/>
                <w:sz w:val="20"/>
                <w:szCs w:val="20"/>
                <w:lang w:val="sr-Cyrl-RS" w:eastAsia="el-GR"/>
                <w14:ligatures w14:val="none"/>
              </w:rPr>
            </w:pPr>
            <w:r w:rsidRPr="009C19C5">
              <w:rPr>
                <w:rFonts w:ascii="Times New Roman" w:eastAsia="Times New Roman" w:hAnsi="Times New Roman" w:cs="Times New Roman"/>
                <w:kern w:val="0"/>
                <w:sz w:val="20"/>
                <w:szCs w:val="20"/>
                <w:lang w:val="sr-Cyrl-RS" w:eastAsia="el-GR"/>
                <w14:ligatures w14:val="none"/>
              </w:rPr>
              <w:t>300 милиона</w:t>
            </w:r>
            <w:r w:rsidR="009E53EC" w:rsidRPr="009C19C5">
              <w:rPr>
                <w:rFonts w:ascii="Times New Roman" w:eastAsia="Times New Roman" w:hAnsi="Times New Roman" w:cs="Times New Roman"/>
                <w:kern w:val="0"/>
                <w:sz w:val="20"/>
                <w:szCs w:val="20"/>
                <w:lang w:val="sr-Cyrl-RS" w:eastAsia="el-GR"/>
                <w14:ligatures w14:val="none"/>
              </w:rPr>
              <w:t xml:space="preserve"> евра</w:t>
            </w:r>
            <w:r w:rsidRPr="009C19C5">
              <w:rPr>
                <w:rStyle w:val="FootnoteReference"/>
                <w:rFonts w:ascii="Times New Roman" w:eastAsia="Times New Roman" w:hAnsi="Times New Roman" w:cs="Times New Roman"/>
                <w:kern w:val="0"/>
                <w:sz w:val="20"/>
                <w:szCs w:val="20"/>
                <w:lang w:val="sr-Cyrl-RS" w:eastAsia="el-GR"/>
                <w14:ligatures w14:val="none"/>
              </w:rPr>
              <w:footnoteReference w:id="21"/>
            </w:r>
          </w:p>
        </w:tc>
        <w:tc>
          <w:tcPr>
            <w:tcW w:w="1152" w:type="pct"/>
            <w:vAlign w:val="center"/>
          </w:tcPr>
          <w:p w14:paraId="25A4086E" w14:textId="4DFC1657" w:rsidR="00F276BC" w:rsidRPr="009C19C5" w:rsidRDefault="000A0E4E" w:rsidP="00AA66D7">
            <w:pPr>
              <w:spacing w:after="0" w:line="240" w:lineRule="auto"/>
              <w:rPr>
                <w:rFonts w:ascii="Times New Roman" w:eastAsia="Times New Roman" w:hAnsi="Times New Roman" w:cs="Times New Roman"/>
                <w:kern w:val="0"/>
                <w:sz w:val="20"/>
                <w:szCs w:val="20"/>
                <w:lang w:val="sr-Cyrl-RS" w:eastAsia="el-GR"/>
                <w14:ligatures w14:val="none"/>
              </w:rPr>
            </w:pPr>
            <w:r w:rsidRPr="009C19C5">
              <w:rPr>
                <w:rFonts w:ascii="Times New Roman" w:eastAsia="Times New Roman" w:hAnsi="Times New Roman" w:cs="Times New Roman"/>
                <w:kern w:val="0"/>
                <w:sz w:val="20"/>
                <w:szCs w:val="20"/>
                <w:lang w:val="sr-Cyrl-RS" w:eastAsia="el-GR"/>
                <w14:ligatures w14:val="none"/>
              </w:rPr>
              <w:t>Одрживи развој, Климатске промене, Обновљиви извори енергије</w:t>
            </w:r>
          </w:p>
        </w:tc>
        <w:tc>
          <w:tcPr>
            <w:tcW w:w="1275" w:type="pct"/>
          </w:tcPr>
          <w:p w14:paraId="20E41E42" w14:textId="53ACCFE0" w:rsidR="00F276BC" w:rsidRPr="009C19C5" w:rsidRDefault="000A0E4E">
            <w:pPr>
              <w:spacing w:after="0" w:line="240" w:lineRule="auto"/>
              <w:rPr>
                <w:rFonts w:ascii="Times New Roman" w:eastAsia="Times New Roman" w:hAnsi="Times New Roman" w:cs="Times New Roman"/>
                <w:kern w:val="0"/>
                <w:sz w:val="20"/>
                <w:szCs w:val="20"/>
                <w:lang w:val="sr-Cyrl-RS" w:eastAsia="el-GR"/>
                <w14:ligatures w14:val="none"/>
              </w:rPr>
            </w:pPr>
            <w:r w:rsidRPr="009C19C5">
              <w:rPr>
                <w:rFonts w:ascii="Times New Roman" w:eastAsia="Times New Roman" w:hAnsi="Times New Roman" w:cs="Times New Roman"/>
                <w:kern w:val="0"/>
                <w:sz w:val="20"/>
                <w:szCs w:val="20"/>
                <w:lang w:val="sr-Cyrl-RS"/>
                <w14:ligatures w14:val="none"/>
              </w:rPr>
              <w:t>• ЕУ4 енергетска транзиција: Споразум градоначелника Западног Балкана (</w:t>
            </w:r>
            <w:r w:rsidR="009E53EC" w:rsidRPr="009C19C5">
              <w:rPr>
                <w:rFonts w:ascii="Times New Roman" w:eastAsia="Times New Roman" w:hAnsi="Times New Roman" w:cs="Times New Roman"/>
                <w:kern w:val="0"/>
                <w:sz w:val="20"/>
                <w:szCs w:val="20"/>
                <w:lang w:val="sr-Cyrl-RS"/>
                <w14:ligatures w14:val="none"/>
              </w:rPr>
              <w:t>у</w:t>
            </w:r>
            <w:r w:rsidRPr="009C19C5">
              <w:rPr>
                <w:rFonts w:ascii="Times New Roman" w:eastAsia="Times New Roman" w:hAnsi="Times New Roman" w:cs="Times New Roman"/>
                <w:kern w:val="0"/>
                <w:sz w:val="20"/>
                <w:szCs w:val="20"/>
                <w:lang w:val="sr-Cyrl-RS"/>
                <w14:ligatures w14:val="none"/>
              </w:rPr>
              <w:t>купна средства: 9,335 милиона</w:t>
            </w:r>
            <w:r w:rsidR="009E53EC" w:rsidRPr="009C19C5">
              <w:rPr>
                <w:rFonts w:ascii="Times New Roman" w:eastAsia="Times New Roman" w:hAnsi="Times New Roman" w:cs="Times New Roman"/>
                <w:kern w:val="0"/>
                <w:sz w:val="20"/>
                <w:szCs w:val="20"/>
                <w:lang w:val="sr-Cyrl-RS"/>
                <w14:ligatures w14:val="none"/>
              </w:rPr>
              <w:t xml:space="preserve"> евра</w:t>
            </w:r>
            <w:r w:rsidRPr="009C19C5">
              <w:rPr>
                <w:rFonts w:ascii="Times New Roman" w:eastAsia="Times New Roman" w:hAnsi="Times New Roman" w:cs="Times New Roman"/>
                <w:kern w:val="0"/>
                <w:sz w:val="20"/>
                <w:szCs w:val="20"/>
                <w:lang w:val="sr-Cyrl-RS"/>
                <w14:ligatures w14:val="none"/>
              </w:rPr>
              <w:t xml:space="preserve">) </w:t>
            </w:r>
            <w:r w:rsidRPr="009C19C5">
              <w:rPr>
                <w:rFonts w:ascii="Times New Roman" w:eastAsia="Times New Roman" w:hAnsi="Times New Roman" w:cs="Times New Roman"/>
                <w:kern w:val="0"/>
                <w:sz w:val="20"/>
                <w:szCs w:val="20"/>
                <w:lang w:val="sr-Cyrl-RS"/>
                <w14:ligatures w14:val="none"/>
              </w:rPr>
              <w:br/>
              <w:t>• Зелена агенда: Декарбонизација енергетског сектора Западног Балкана (</w:t>
            </w:r>
            <w:r w:rsidR="009E53EC" w:rsidRPr="009C19C5">
              <w:rPr>
                <w:rFonts w:ascii="Times New Roman" w:eastAsia="Times New Roman" w:hAnsi="Times New Roman" w:cs="Times New Roman"/>
                <w:kern w:val="0"/>
                <w:sz w:val="20"/>
                <w:szCs w:val="20"/>
                <w:lang w:val="sr-Cyrl-RS"/>
                <w14:ligatures w14:val="none"/>
              </w:rPr>
              <w:t>у</w:t>
            </w:r>
            <w:r w:rsidRPr="009C19C5">
              <w:rPr>
                <w:rFonts w:ascii="Times New Roman" w:eastAsia="Times New Roman" w:hAnsi="Times New Roman" w:cs="Times New Roman"/>
                <w:kern w:val="0"/>
                <w:sz w:val="20"/>
                <w:szCs w:val="20"/>
                <w:lang w:val="sr-Cyrl-RS"/>
                <w14:ligatures w14:val="none"/>
              </w:rPr>
              <w:t>купна средства: 3,5 милиона</w:t>
            </w:r>
            <w:r w:rsidR="009E53EC" w:rsidRPr="009C19C5">
              <w:rPr>
                <w:rFonts w:ascii="Times New Roman" w:eastAsia="Times New Roman" w:hAnsi="Times New Roman" w:cs="Times New Roman"/>
                <w:kern w:val="0"/>
                <w:sz w:val="20"/>
                <w:szCs w:val="20"/>
                <w:lang w:val="sr-Cyrl-RS"/>
                <w14:ligatures w14:val="none"/>
              </w:rPr>
              <w:t xml:space="preserve"> евра</w:t>
            </w:r>
            <w:r w:rsidRPr="009C19C5">
              <w:rPr>
                <w:rFonts w:ascii="Times New Roman" w:eastAsia="Times New Roman" w:hAnsi="Times New Roman" w:cs="Times New Roman"/>
                <w:kern w:val="0"/>
                <w:sz w:val="20"/>
                <w:szCs w:val="20"/>
                <w:lang w:val="sr-Cyrl-RS"/>
                <w14:ligatures w14:val="none"/>
              </w:rPr>
              <w:t>)</w:t>
            </w:r>
          </w:p>
        </w:tc>
      </w:tr>
      <w:tr w:rsidR="00F276BC" w:rsidRPr="009C19C5" w14:paraId="76DD68B3" w14:textId="77777777">
        <w:trPr>
          <w:trHeight w:val="300"/>
          <w:jc w:val="center"/>
        </w:trPr>
        <w:tc>
          <w:tcPr>
            <w:tcW w:w="1082" w:type="pct"/>
            <w:vAlign w:val="center"/>
          </w:tcPr>
          <w:p w14:paraId="6DD047DC" w14:textId="77777777" w:rsidR="00F276BC" w:rsidRPr="009C19C5" w:rsidRDefault="000A0E4E">
            <w:pPr>
              <w:spacing w:after="0" w:line="240" w:lineRule="auto"/>
              <w:rPr>
                <w:rFonts w:ascii="Times New Roman" w:eastAsia="Times New Roman" w:hAnsi="Times New Roman" w:cs="Times New Roman"/>
                <w:kern w:val="0"/>
                <w:sz w:val="20"/>
                <w:szCs w:val="20"/>
                <w:lang w:val="sr-Cyrl-RS" w:eastAsia="el-GR"/>
                <w14:ligatures w14:val="none"/>
              </w:rPr>
            </w:pPr>
            <w:r w:rsidRPr="009C19C5">
              <w:rPr>
                <w:rFonts w:ascii="Times New Roman" w:eastAsia="Times New Roman" w:hAnsi="Times New Roman" w:cs="Times New Roman"/>
                <w:kern w:val="0"/>
                <w:sz w:val="20"/>
                <w:szCs w:val="20"/>
                <w:lang w:val="sr-Cyrl-RS" w:eastAsia="el-GR"/>
                <w14:ligatures w14:val="none"/>
              </w:rPr>
              <w:t>Европска инвестициона банка (ЕИБ)</w:t>
            </w:r>
          </w:p>
        </w:tc>
        <w:tc>
          <w:tcPr>
            <w:tcW w:w="746" w:type="pct"/>
            <w:vAlign w:val="center"/>
          </w:tcPr>
          <w:p w14:paraId="6A61B33D" w14:textId="27AFA63C" w:rsidR="00F276BC" w:rsidRPr="009C19C5" w:rsidRDefault="000A0E4E">
            <w:pPr>
              <w:spacing w:after="0" w:line="240" w:lineRule="auto"/>
              <w:rPr>
                <w:rFonts w:ascii="Times New Roman" w:eastAsia="Times New Roman" w:hAnsi="Times New Roman" w:cs="Times New Roman"/>
                <w:kern w:val="0"/>
                <w:sz w:val="20"/>
                <w:szCs w:val="20"/>
                <w:lang w:val="sr-Cyrl-RS" w:eastAsia="el-GR"/>
                <w14:ligatures w14:val="none"/>
              </w:rPr>
            </w:pPr>
            <w:r w:rsidRPr="009C19C5">
              <w:rPr>
                <w:rFonts w:ascii="Times New Roman" w:eastAsia="Times New Roman" w:hAnsi="Times New Roman" w:cs="Times New Roman"/>
                <w:kern w:val="0"/>
                <w:sz w:val="20"/>
                <w:szCs w:val="20"/>
                <w:lang w:val="sr-Cyrl-RS" w:eastAsia="el-GR"/>
                <w14:ligatures w14:val="none"/>
              </w:rPr>
              <w:t xml:space="preserve">Зајмови, </w:t>
            </w:r>
            <w:r w:rsidR="009E53EC" w:rsidRPr="009C19C5">
              <w:rPr>
                <w:rFonts w:ascii="Times New Roman" w:eastAsia="Times New Roman" w:hAnsi="Times New Roman" w:cs="Times New Roman"/>
                <w:kern w:val="0"/>
                <w:sz w:val="20"/>
                <w:szCs w:val="20"/>
                <w:lang w:val="sr-Cyrl-RS" w:eastAsia="el-GR"/>
                <w14:ligatures w14:val="none"/>
              </w:rPr>
              <w:t>донације</w:t>
            </w:r>
          </w:p>
        </w:tc>
        <w:tc>
          <w:tcPr>
            <w:tcW w:w="745" w:type="pct"/>
            <w:vAlign w:val="center"/>
          </w:tcPr>
          <w:p w14:paraId="41260FCA" w14:textId="188907D1" w:rsidR="00F276BC" w:rsidRPr="009C19C5" w:rsidRDefault="000A0E4E">
            <w:pPr>
              <w:spacing w:after="0" w:line="240" w:lineRule="auto"/>
              <w:jc w:val="center"/>
              <w:rPr>
                <w:rFonts w:ascii="Times New Roman" w:eastAsia="Times New Roman" w:hAnsi="Times New Roman" w:cs="Times New Roman"/>
                <w:kern w:val="0"/>
                <w:sz w:val="20"/>
                <w:szCs w:val="20"/>
                <w:lang w:val="sr-Cyrl-RS" w:eastAsia="el-GR"/>
                <w14:ligatures w14:val="none"/>
              </w:rPr>
            </w:pPr>
            <w:r w:rsidRPr="009C19C5">
              <w:rPr>
                <w:rFonts w:ascii="Times New Roman" w:eastAsia="Times New Roman" w:hAnsi="Times New Roman" w:cs="Times New Roman"/>
                <w:kern w:val="0"/>
                <w:sz w:val="20"/>
                <w:szCs w:val="20"/>
                <w:lang w:val="sr-Cyrl-RS" w:eastAsia="el-GR"/>
                <w14:ligatures w14:val="none"/>
              </w:rPr>
              <w:t>21  милијарда</w:t>
            </w:r>
            <w:r w:rsidR="009E53EC" w:rsidRPr="009C19C5">
              <w:rPr>
                <w:rFonts w:ascii="Times New Roman" w:eastAsia="Times New Roman" w:hAnsi="Times New Roman" w:cs="Times New Roman"/>
                <w:kern w:val="0"/>
                <w:sz w:val="20"/>
                <w:szCs w:val="20"/>
                <w:lang w:val="sr-Cyrl-RS" w:eastAsia="el-GR"/>
                <w14:ligatures w14:val="none"/>
              </w:rPr>
              <w:t xml:space="preserve"> евра</w:t>
            </w:r>
            <w:r w:rsidRPr="009C19C5">
              <w:rPr>
                <w:rStyle w:val="FootnoteReference"/>
                <w:rFonts w:ascii="Times New Roman" w:eastAsia="Times New Roman" w:hAnsi="Times New Roman" w:cs="Times New Roman"/>
                <w:kern w:val="0"/>
                <w:sz w:val="20"/>
                <w:szCs w:val="20"/>
                <w:lang w:val="sr-Cyrl-RS" w:eastAsia="el-GR"/>
                <w14:ligatures w14:val="none"/>
              </w:rPr>
              <w:footnoteReference w:id="22"/>
            </w:r>
          </w:p>
        </w:tc>
        <w:tc>
          <w:tcPr>
            <w:tcW w:w="1152" w:type="pct"/>
            <w:vAlign w:val="center"/>
          </w:tcPr>
          <w:p w14:paraId="6C38900C" w14:textId="77777777" w:rsidR="00F276BC" w:rsidRPr="009C19C5" w:rsidRDefault="000A0E4E">
            <w:pPr>
              <w:spacing w:after="0" w:line="240" w:lineRule="auto"/>
              <w:rPr>
                <w:rFonts w:ascii="Times New Roman" w:eastAsia="Times New Roman" w:hAnsi="Times New Roman" w:cs="Times New Roman"/>
                <w:kern w:val="0"/>
                <w:sz w:val="20"/>
                <w:szCs w:val="20"/>
                <w:lang w:val="sr-Cyrl-RS" w:eastAsia="el-GR"/>
                <w14:ligatures w14:val="none"/>
              </w:rPr>
            </w:pPr>
            <w:r w:rsidRPr="009C19C5">
              <w:rPr>
                <w:rFonts w:ascii="Times New Roman" w:eastAsia="Times New Roman" w:hAnsi="Times New Roman" w:cs="Times New Roman"/>
                <w:kern w:val="0"/>
                <w:sz w:val="20"/>
                <w:szCs w:val="20"/>
                <w:lang w:val="sr-Cyrl-RS" w:eastAsia="el-GR"/>
                <w14:ligatures w14:val="none"/>
              </w:rPr>
              <w:t>Инфраструктура, енергетска ефикасност, обновљиви извори енергије</w:t>
            </w:r>
          </w:p>
        </w:tc>
        <w:tc>
          <w:tcPr>
            <w:tcW w:w="1275" w:type="pct"/>
            <w:vAlign w:val="center"/>
          </w:tcPr>
          <w:p w14:paraId="50FB0A21" w14:textId="06FD3F97" w:rsidR="00F276BC" w:rsidRPr="009C19C5" w:rsidRDefault="000A0E4E">
            <w:pPr>
              <w:spacing w:after="0" w:line="240" w:lineRule="auto"/>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 xml:space="preserve">• ЕИБ Глобал наменио је </w:t>
            </w:r>
            <w:r w:rsidR="009E53EC" w:rsidRPr="009C19C5">
              <w:rPr>
                <w:rFonts w:ascii="Times New Roman" w:eastAsia="Times New Roman" w:hAnsi="Times New Roman" w:cs="Times New Roman"/>
                <w:kern w:val="0"/>
                <w:sz w:val="20"/>
                <w:szCs w:val="20"/>
                <w:lang w:val="sr-Cyrl-RS"/>
                <w14:ligatures w14:val="none"/>
              </w:rPr>
              <w:t xml:space="preserve">више од </w:t>
            </w:r>
            <w:r w:rsidRPr="009C19C5">
              <w:rPr>
                <w:rFonts w:ascii="Times New Roman" w:eastAsia="Times New Roman" w:hAnsi="Times New Roman" w:cs="Times New Roman"/>
                <w:kern w:val="0"/>
                <w:sz w:val="20"/>
                <w:szCs w:val="20"/>
                <w:lang w:val="sr-Cyrl-RS"/>
                <w14:ligatures w14:val="none"/>
              </w:rPr>
              <w:t>700 милиона е</w:t>
            </w:r>
            <w:r w:rsidR="009E53EC" w:rsidRPr="009C19C5">
              <w:rPr>
                <w:rFonts w:ascii="Times New Roman" w:eastAsia="Times New Roman" w:hAnsi="Times New Roman" w:cs="Times New Roman"/>
                <w:kern w:val="0"/>
                <w:sz w:val="20"/>
                <w:szCs w:val="20"/>
                <w:lang w:val="sr-Cyrl-RS"/>
                <w14:ligatures w14:val="none"/>
              </w:rPr>
              <w:t>в</w:t>
            </w:r>
            <w:r w:rsidRPr="009C19C5">
              <w:rPr>
                <w:rFonts w:ascii="Times New Roman" w:eastAsia="Times New Roman" w:hAnsi="Times New Roman" w:cs="Times New Roman"/>
                <w:kern w:val="0"/>
                <w:sz w:val="20"/>
                <w:szCs w:val="20"/>
                <w:lang w:val="sr-Cyrl-RS"/>
                <w14:ligatures w14:val="none"/>
              </w:rPr>
              <w:t xml:space="preserve">ра за одрживе пројекте </w:t>
            </w:r>
            <w:r w:rsidR="009E53EC" w:rsidRPr="009C19C5">
              <w:rPr>
                <w:rFonts w:ascii="Times New Roman" w:eastAsia="Times New Roman" w:hAnsi="Times New Roman" w:cs="Times New Roman"/>
                <w:kern w:val="0"/>
                <w:sz w:val="20"/>
                <w:szCs w:val="20"/>
                <w:lang w:val="sr-Cyrl-RS"/>
                <w14:ligatures w14:val="none"/>
              </w:rPr>
              <w:t>на</w:t>
            </w:r>
            <w:r w:rsidRPr="009C19C5">
              <w:rPr>
                <w:rFonts w:ascii="Times New Roman" w:eastAsia="Times New Roman" w:hAnsi="Times New Roman" w:cs="Times New Roman"/>
                <w:kern w:val="0"/>
                <w:sz w:val="20"/>
                <w:szCs w:val="20"/>
                <w:lang w:val="sr-Cyrl-RS"/>
                <w14:ligatures w14:val="none"/>
              </w:rPr>
              <w:t xml:space="preserve"> Западном Ба</w:t>
            </w:r>
            <w:r w:rsidR="00633041" w:rsidRPr="009C19C5">
              <w:rPr>
                <w:rFonts w:ascii="Times New Roman" w:eastAsia="Times New Roman" w:hAnsi="Times New Roman" w:cs="Times New Roman"/>
                <w:kern w:val="0"/>
                <w:sz w:val="20"/>
                <w:szCs w:val="20"/>
                <w:lang w:val="sr-Cyrl-RS"/>
                <w14:ligatures w14:val="none"/>
              </w:rPr>
              <w:t>л</w:t>
            </w:r>
            <w:r w:rsidRPr="009C19C5">
              <w:rPr>
                <w:rFonts w:ascii="Times New Roman" w:eastAsia="Times New Roman" w:hAnsi="Times New Roman" w:cs="Times New Roman"/>
                <w:kern w:val="0"/>
                <w:sz w:val="20"/>
                <w:szCs w:val="20"/>
                <w:lang w:val="sr-Cyrl-RS"/>
                <w14:ligatures w14:val="none"/>
              </w:rPr>
              <w:t>кану, с фокусом на чист</w:t>
            </w:r>
            <w:r w:rsidR="009E53EC" w:rsidRPr="009C19C5">
              <w:rPr>
                <w:rFonts w:ascii="Times New Roman" w:eastAsia="Times New Roman" w:hAnsi="Times New Roman" w:cs="Times New Roman"/>
                <w:kern w:val="0"/>
                <w:sz w:val="20"/>
                <w:szCs w:val="20"/>
                <w:lang w:val="sr-Cyrl-RS"/>
                <w14:ligatures w14:val="none"/>
              </w:rPr>
              <w:t>у</w:t>
            </w:r>
            <w:r w:rsidRPr="009C19C5">
              <w:rPr>
                <w:rFonts w:ascii="Times New Roman" w:eastAsia="Times New Roman" w:hAnsi="Times New Roman" w:cs="Times New Roman"/>
                <w:kern w:val="0"/>
                <w:sz w:val="20"/>
                <w:szCs w:val="20"/>
                <w:lang w:val="sr-Cyrl-RS"/>
                <w14:ligatures w14:val="none"/>
              </w:rPr>
              <w:t xml:space="preserve"> и обновљив</w:t>
            </w:r>
            <w:r w:rsidR="009E53EC" w:rsidRPr="009C19C5">
              <w:rPr>
                <w:rFonts w:ascii="Times New Roman" w:eastAsia="Times New Roman" w:hAnsi="Times New Roman" w:cs="Times New Roman"/>
                <w:kern w:val="0"/>
                <w:sz w:val="20"/>
                <w:szCs w:val="20"/>
                <w:lang w:val="sr-Cyrl-RS"/>
                <w14:ligatures w14:val="none"/>
              </w:rPr>
              <w:t xml:space="preserve">у </w:t>
            </w:r>
            <w:r w:rsidRPr="009C19C5">
              <w:rPr>
                <w:rFonts w:ascii="Times New Roman" w:eastAsia="Times New Roman" w:hAnsi="Times New Roman" w:cs="Times New Roman"/>
                <w:kern w:val="0"/>
                <w:sz w:val="20"/>
                <w:szCs w:val="20"/>
                <w:lang w:val="sr-Cyrl-RS"/>
                <w14:ligatures w14:val="none"/>
              </w:rPr>
              <w:t>енергиј</w:t>
            </w:r>
            <w:r w:rsidR="009E53EC" w:rsidRPr="009C19C5">
              <w:rPr>
                <w:rFonts w:ascii="Times New Roman" w:eastAsia="Times New Roman" w:hAnsi="Times New Roman" w:cs="Times New Roman"/>
                <w:kern w:val="0"/>
                <w:sz w:val="20"/>
                <w:szCs w:val="20"/>
                <w:lang w:val="sr-Cyrl-RS"/>
                <w14:ligatures w14:val="none"/>
              </w:rPr>
              <w:t>у</w:t>
            </w:r>
            <w:r w:rsidRPr="009C19C5">
              <w:rPr>
                <w:rFonts w:ascii="Times New Roman" w:eastAsia="Times New Roman" w:hAnsi="Times New Roman" w:cs="Times New Roman"/>
                <w:kern w:val="0"/>
                <w:sz w:val="20"/>
                <w:szCs w:val="20"/>
                <w:lang w:val="sr-Cyrl-RS"/>
                <w14:ligatures w14:val="none"/>
              </w:rPr>
              <w:t>.</w:t>
            </w:r>
            <w:r w:rsidRPr="009C19C5">
              <w:rPr>
                <w:rStyle w:val="FootnoteReference"/>
                <w:rFonts w:ascii="Times New Roman" w:eastAsia="Times New Roman" w:hAnsi="Times New Roman" w:cs="Times New Roman"/>
                <w:kern w:val="0"/>
                <w:sz w:val="20"/>
                <w:szCs w:val="20"/>
                <w:lang w:val="sr-Cyrl-RS"/>
                <w14:ligatures w14:val="none"/>
              </w:rPr>
              <w:footnoteReference w:id="23"/>
            </w:r>
          </w:p>
          <w:p w14:paraId="49C071E0" w14:textId="3C7D3010" w:rsidR="00F276BC" w:rsidRPr="009C19C5" w:rsidRDefault="000A0E4E">
            <w:pPr>
              <w:spacing w:after="0" w:line="240" w:lineRule="auto"/>
              <w:rPr>
                <w:rFonts w:ascii="Times New Roman" w:eastAsia="Times New Roman" w:hAnsi="Times New Roman" w:cs="Times New Roman"/>
                <w:kern w:val="0"/>
                <w:sz w:val="20"/>
                <w:szCs w:val="20"/>
                <w:lang w:val="sr-Cyrl-RS" w:eastAsia="el-GR"/>
                <w14:ligatures w14:val="none"/>
              </w:rPr>
            </w:pPr>
            <w:r w:rsidRPr="009C19C5">
              <w:rPr>
                <w:rFonts w:ascii="Times New Roman" w:eastAsia="Times New Roman" w:hAnsi="Times New Roman" w:cs="Times New Roman"/>
                <w:kern w:val="0"/>
                <w:sz w:val="20"/>
                <w:szCs w:val="20"/>
                <w:lang w:val="sr-Cyrl-RS"/>
                <w14:ligatures w14:val="none"/>
              </w:rPr>
              <w:t>• Иницијативе за обновљиве изворе енергије и енергетску ефикасност Западног Балкана (</w:t>
            </w:r>
            <w:r w:rsidR="009E53EC" w:rsidRPr="009C19C5">
              <w:rPr>
                <w:rFonts w:ascii="Times New Roman" w:eastAsia="Times New Roman" w:hAnsi="Times New Roman" w:cs="Times New Roman"/>
                <w:kern w:val="0"/>
                <w:sz w:val="20"/>
                <w:szCs w:val="20"/>
                <w:lang w:val="sr-Cyrl-RS"/>
                <w14:ligatures w14:val="none"/>
              </w:rPr>
              <w:t>п</w:t>
            </w:r>
            <w:r w:rsidRPr="009C19C5">
              <w:rPr>
                <w:rFonts w:ascii="Times New Roman" w:eastAsia="Times New Roman" w:hAnsi="Times New Roman" w:cs="Times New Roman"/>
                <w:kern w:val="0"/>
                <w:sz w:val="20"/>
                <w:szCs w:val="20"/>
                <w:lang w:val="sr-Cyrl-RS"/>
                <w14:ligatures w14:val="none"/>
              </w:rPr>
              <w:t>риближно 1,2 милијард</w:t>
            </w:r>
            <w:r w:rsidR="009E53EC" w:rsidRPr="009C19C5">
              <w:rPr>
                <w:rFonts w:ascii="Times New Roman" w:eastAsia="Times New Roman" w:hAnsi="Times New Roman" w:cs="Times New Roman"/>
                <w:kern w:val="0"/>
                <w:sz w:val="20"/>
                <w:szCs w:val="20"/>
                <w:lang w:val="sr-Cyrl-RS"/>
                <w14:ligatures w14:val="none"/>
              </w:rPr>
              <w:t>е евра</w:t>
            </w:r>
            <w:r w:rsidR="00633041" w:rsidRPr="009C19C5">
              <w:rPr>
                <w:rFonts w:ascii="Times New Roman" w:eastAsia="Times New Roman" w:hAnsi="Times New Roman" w:cs="Times New Roman"/>
                <w:kern w:val="0"/>
                <w:sz w:val="20"/>
                <w:szCs w:val="20"/>
                <w:lang w:val="sr-Cyrl-RS"/>
                <w14:ligatures w14:val="none"/>
              </w:rPr>
              <w:t xml:space="preserve"> </w:t>
            </w:r>
            <w:r w:rsidRPr="009C19C5">
              <w:rPr>
                <w:rFonts w:ascii="Times New Roman" w:eastAsia="Times New Roman" w:hAnsi="Times New Roman" w:cs="Times New Roman"/>
                <w:kern w:val="0"/>
                <w:sz w:val="20"/>
                <w:szCs w:val="20"/>
                <w:lang w:val="sr-Cyrl-RS"/>
                <w14:ligatures w14:val="none"/>
              </w:rPr>
              <w:t>уложен</w:t>
            </w:r>
            <w:r w:rsidR="009E53EC" w:rsidRPr="009C19C5">
              <w:rPr>
                <w:rFonts w:ascii="Times New Roman" w:eastAsia="Times New Roman" w:hAnsi="Times New Roman" w:cs="Times New Roman"/>
                <w:kern w:val="0"/>
                <w:sz w:val="20"/>
                <w:szCs w:val="20"/>
                <w:lang w:val="sr-Cyrl-RS"/>
                <w14:ligatures w14:val="none"/>
              </w:rPr>
              <w:t>о</w:t>
            </w:r>
            <w:r w:rsidRPr="009C19C5">
              <w:rPr>
                <w:rFonts w:ascii="Times New Roman" w:eastAsia="Times New Roman" w:hAnsi="Times New Roman" w:cs="Times New Roman"/>
                <w:kern w:val="0"/>
                <w:sz w:val="20"/>
                <w:szCs w:val="20"/>
                <w:lang w:val="sr-Cyrl-RS"/>
                <w14:ligatures w14:val="none"/>
              </w:rPr>
              <w:t xml:space="preserve"> у 2023)</w:t>
            </w:r>
          </w:p>
        </w:tc>
      </w:tr>
      <w:tr w:rsidR="00F276BC" w:rsidRPr="009C19C5" w14:paraId="028CED04" w14:textId="77777777">
        <w:trPr>
          <w:trHeight w:val="300"/>
          <w:jc w:val="center"/>
        </w:trPr>
        <w:tc>
          <w:tcPr>
            <w:tcW w:w="1082" w:type="pct"/>
            <w:vAlign w:val="center"/>
          </w:tcPr>
          <w:p w14:paraId="2706A26D" w14:textId="47783CE5" w:rsidR="00F276BC" w:rsidRPr="009C19C5" w:rsidRDefault="009E53EC">
            <w:pPr>
              <w:spacing w:after="0" w:line="240" w:lineRule="auto"/>
              <w:rPr>
                <w:rFonts w:ascii="Times New Roman" w:eastAsia="Times New Roman" w:hAnsi="Times New Roman" w:cs="Times New Roman"/>
                <w:kern w:val="0"/>
                <w:sz w:val="20"/>
                <w:szCs w:val="20"/>
                <w:lang w:val="sr-Cyrl-RS" w:eastAsia="el-GR"/>
                <w14:ligatures w14:val="none"/>
              </w:rPr>
            </w:pPr>
            <w:r w:rsidRPr="009C19C5">
              <w:rPr>
                <w:rFonts w:ascii="Times New Roman" w:eastAsia="Times New Roman" w:hAnsi="Times New Roman" w:cs="Times New Roman"/>
                <w:kern w:val="0"/>
                <w:sz w:val="20"/>
                <w:szCs w:val="20"/>
                <w:lang w:val="sr-Cyrl-RS" w:eastAsia="el-GR"/>
                <w14:ligatures w14:val="none"/>
              </w:rPr>
              <w:t>KfW развојна банка</w:t>
            </w:r>
          </w:p>
        </w:tc>
        <w:tc>
          <w:tcPr>
            <w:tcW w:w="746" w:type="pct"/>
            <w:vAlign w:val="center"/>
          </w:tcPr>
          <w:p w14:paraId="4491EBC4" w14:textId="6AC4EC2A" w:rsidR="00F276BC" w:rsidRPr="009C19C5" w:rsidRDefault="000A0E4E">
            <w:pPr>
              <w:spacing w:after="0" w:line="240" w:lineRule="auto"/>
              <w:rPr>
                <w:rFonts w:ascii="Times New Roman" w:eastAsia="Times New Roman" w:hAnsi="Times New Roman" w:cs="Times New Roman"/>
                <w:kern w:val="0"/>
                <w:sz w:val="20"/>
                <w:szCs w:val="20"/>
                <w:lang w:val="sr-Cyrl-RS" w:eastAsia="el-GR"/>
                <w14:ligatures w14:val="none"/>
              </w:rPr>
            </w:pPr>
            <w:r w:rsidRPr="009C19C5">
              <w:rPr>
                <w:rFonts w:ascii="Times New Roman" w:eastAsia="Times New Roman" w:hAnsi="Times New Roman" w:cs="Times New Roman"/>
                <w:kern w:val="0"/>
                <w:sz w:val="20"/>
                <w:szCs w:val="20"/>
                <w:lang w:val="sr-Cyrl-RS" w:eastAsia="el-GR"/>
                <w14:ligatures w14:val="none"/>
              </w:rPr>
              <w:t xml:space="preserve">Зајмови, </w:t>
            </w:r>
            <w:r w:rsidR="009E53EC" w:rsidRPr="009C19C5">
              <w:rPr>
                <w:rFonts w:ascii="Times New Roman" w:eastAsia="Times New Roman" w:hAnsi="Times New Roman" w:cs="Times New Roman"/>
                <w:kern w:val="0"/>
                <w:sz w:val="20"/>
                <w:szCs w:val="20"/>
                <w:lang w:val="sr-Cyrl-RS" w:eastAsia="el-GR"/>
                <w14:ligatures w14:val="none"/>
              </w:rPr>
              <w:t>донације</w:t>
            </w:r>
          </w:p>
        </w:tc>
        <w:tc>
          <w:tcPr>
            <w:tcW w:w="745" w:type="pct"/>
            <w:vAlign w:val="center"/>
          </w:tcPr>
          <w:p w14:paraId="2D0E9293" w14:textId="1FA4F255" w:rsidR="00F276BC" w:rsidRPr="009C19C5" w:rsidRDefault="000A0E4E">
            <w:pPr>
              <w:spacing w:after="0" w:line="240" w:lineRule="auto"/>
              <w:jc w:val="center"/>
              <w:rPr>
                <w:rFonts w:ascii="Times New Roman" w:eastAsia="Times New Roman" w:hAnsi="Times New Roman" w:cs="Times New Roman"/>
                <w:kern w:val="0"/>
                <w:sz w:val="20"/>
                <w:szCs w:val="20"/>
                <w:lang w:val="sr-Cyrl-RS" w:eastAsia="el-GR"/>
                <w14:ligatures w14:val="none"/>
              </w:rPr>
            </w:pPr>
            <w:r w:rsidRPr="009C19C5">
              <w:rPr>
                <w:rFonts w:ascii="Times New Roman" w:eastAsia="Times New Roman" w:hAnsi="Times New Roman" w:cs="Times New Roman"/>
                <w:kern w:val="0"/>
                <w:sz w:val="20"/>
                <w:szCs w:val="20"/>
                <w:lang w:val="sr-Cyrl-RS" w:eastAsia="el-GR"/>
                <w14:ligatures w14:val="none"/>
              </w:rPr>
              <w:t>215 милиона</w:t>
            </w:r>
            <w:r w:rsidR="009E53EC" w:rsidRPr="009C19C5">
              <w:rPr>
                <w:rFonts w:ascii="Times New Roman" w:eastAsia="Times New Roman" w:hAnsi="Times New Roman" w:cs="Times New Roman"/>
                <w:kern w:val="0"/>
                <w:sz w:val="20"/>
                <w:szCs w:val="20"/>
                <w:lang w:val="sr-Cyrl-RS" w:eastAsia="el-GR"/>
                <w14:ligatures w14:val="none"/>
              </w:rPr>
              <w:t xml:space="preserve"> евра</w:t>
            </w:r>
            <w:r w:rsidRPr="009C19C5">
              <w:rPr>
                <w:rStyle w:val="FootnoteReference"/>
                <w:rFonts w:ascii="Times New Roman" w:eastAsia="Times New Roman" w:hAnsi="Times New Roman" w:cs="Times New Roman"/>
                <w:kern w:val="0"/>
                <w:sz w:val="20"/>
                <w:szCs w:val="20"/>
                <w:lang w:val="sr-Cyrl-RS" w:eastAsia="el-GR"/>
                <w14:ligatures w14:val="none"/>
              </w:rPr>
              <w:footnoteReference w:id="24"/>
            </w:r>
          </w:p>
        </w:tc>
        <w:tc>
          <w:tcPr>
            <w:tcW w:w="1152" w:type="pct"/>
            <w:vAlign w:val="center"/>
          </w:tcPr>
          <w:p w14:paraId="2319D91C" w14:textId="15F17016" w:rsidR="00F276BC" w:rsidRPr="009C19C5" w:rsidRDefault="000A0E4E">
            <w:pPr>
              <w:spacing w:after="0" w:line="240" w:lineRule="auto"/>
              <w:rPr>
                <w:rFonts w:ascii="Times New Roman" w:eastAsia="Times New Roman" w:hAnsi="Times New Roman" w:cs="Times New Roman"/>
                <w:kern w:val="0"/>
                <w:sz w:val="20"/>
                <w:szCs w:val="20"/>
                <w:lang w:val="sr-Cyrl-RS" w:eastAsia="el-GR"/>
                <w14:ligatures w14:val="none"/>
              </w:rPr>
            </w:pPr>
            <w:r w:rsidRPr="009C19C5">
              <w:rPr>
                <w:rFonts w:ascii="Times New Roman" w:eastAsia="Times New Roman" w:hAnsi="Times New Roman" w:cs="Times New Roman"/>
                <w:kern w:val="0"/>
                <w:sz w:val="20"/>
                <w:szCs w:val="20"/>
                <w:lang w:val="sr-Cyrl-RS" w:eastAsia="el-GR"/>
                <w14:ligatures w14:val="none"/>
              </w:rPr>
              <w:t xml:space="preserve">Обновљиви извори енергије, </w:t>
            </w:r>
            <w:r w:rsidR="009E53EC" w:rsidRPr="009C19C5">
              <w:rPr>
                <w:rFonts w:ascii="Times New Roman" w:eastAsia="Times New Roman" w:hAnsi="Times New Roman" w:cs="Times New Roman"/>
                <w:kern w:val="0"/>
                <w:sz w:val="20"/>
                <w:szCs w:val="20"/>
                <w:lang w:val="sr-Cyrl-RS" w:eastAsia="el-GR"/>
                <w14:ligatures w14:val="none"/>
              </w:rPr>
              <w:t>е</w:t>
            </w:r>
            <w:r w:rsidRPr="009C19C5">
              <w:rPr>
                <w:rFonts w:ascii="Times New Roman" w:eastAsia="Times New Roman" w:hAnsi="Times New Roman" w:cs="Times New Roman"/>
                <w:kern w:val="0"/>
                <w:sz w:val="20"/>
                <w:szCs w:val="20"/>
                <w:lang w:val="sr-Cyrl-RS" w:eastAsia="el-GR"/>
                <w14:ligatures w14:val="none"/>
              </w:rPr>
              <w:t>нергетска ефикасност</w:t>
            </w:r>
          </w:p>
        </w:tc>
        <w:tc>
          <w:tcPr>
            <w:tcW w:w="1275" w:type="pct"/>
          </w:tcPr>
          <w:p w14:paraId="31AADA7E" w14:textId="74D93A1E" w:rsidR="00F276BC" w:rsidRPr="009C19C5" w:rsidRDefault="000A0E4E">
            <w:pPr>
              <w:spacing w:after="0" w:line="240" w:lineRule="auto"/>
              <w:rPr>
                <w:rFonts w:ascii="Times New Roman" w:eastAsia="Times New Roman" w:hAnsi="Times New Roman" w:cs="Times New Roman"/>
                <w:kern w:val="0"/>
                <w:sz w:val="20"/>
                <w:szCs w:val="20"/>
                <w:lang w:val="sr-Cyrl-RS" w:eastAsia="el-GR"/>
                <w14:ligatures w14:val="none"/>
              </w:rPr>
            </w:pPr>
            <w:r w:rsidRPr="009C19C5">
              <w:rPr>
                <w:rFonts w:ascii="Times New Roman" w:eastAsia="Times New Roman" w:hAnsi="Times New Roman" w:cs="Times New Roman"/>
                <w:kern w:val="0"/>
                <w:sz w:val="20"/>
                <w:szCs w:val="20"/>
                <w:lang w:val="sr-Cyrl-RS"/>
                <w14:ligatures w14:val="none"/>
              </w:rPr>
              <w:t xml:space="preserve">• Финансирање капацитета за </w:t>
            </w:r>
            <w:r w:rsidR="009E53EC" w:rsidRPr="009C19C5">
              <w:rPr>
                <w:rFonts w:ascii="Times New Roman" w:eastAsia="Times New Roman" w:hAnsi="Times New Roman" w:cs="Times New Roman"/>
                <w:kern w:val="0"/>
                <w:sz w:val="20"/>
                <w:szCs w:val="20"/>
                <w:lang w:val="sr-Cyrl-RS"/>
                <w14:ligatures w14:val="none"/>
              </w:rPr>
              <w:t xml:space="preserve">производњу </w:t>
            </w:r>
            <w:r w:rsidRPr="009C19C5">
              <w:rPr>
                <w:rFonts w:ascii="Times New Roman" w:eastAsia="Times New Roman" w:hAnsi="Times New Roman" w:cs="Times New Roman"/>
                <w:kern w:val="0"/>
                <w:sz w:val="20"/>
                <w:szCs w:val="20"/>
                <w:lang w:val="sr-Cyrl-RS"/>
                <w14:ligatures w14:val="none"/>
              </w:rPr>
              <w:t xml:space="preserve">обновљивих извора енергије и развој инфраструктуре Западног Балкана и </w:t>
            </w:r>
            <w:r w:rsidR="004F484C" w:rsidRPr="009C19C5">
              <w:rPr>
                <w:rFonts w:ascii="Times New Roman" w:eastAsia="Times New Roman" w:hAnsi="Times New Roman" w:cs="Times New Roman"/>
                <w:kern w:val="0"/>
                <w:sz w:val="20"/>
                <w:szCs w:val="20"/>
                <w:lang w:val="sr-Cyrl-RS"/>
                <w14:ligatures w14:val="none"/>
              </w:rPr>
              <w:t>и</w:t>
            </w:r>
            <w:r w:rsidRPr="009C19C5">
              <w:rPr>
                <w:rFonts w:ascii="Times New Roman" w:eastAsia="Times New Roman" w:hAnsi="Times New Roman" w:cs="Times New Roman"/>
                <w:kern w:val="0"/>
                <w:sz w:val="20"/>
                <w:szCs w:val="20"/>
                <w:lang w:val="sr-Cyrl-RS"/>
                <w14:ligatures w14:val="none"/>
              </w:rPr>
              <w:t xml:space="preserve">сточног </w:t>
            </w:r>
            <w:r w:rsidR="004F484C" w:rsidRPr="009C19C5">
              <w:rPr>
                <w:rFonts w:ascii="Times New Roman" w:eastAsia="Times New Roman" w:hAnsi="Times New Roman" w:cs="Times New Roman"/>
                <w:kern w:val="0"/>
                <w:sz w:val="20"/>
                <w:szCs w:val="20"/>
                <w:lang w:val="sr-Cyrl-RS"/>
                <w14:ligatures w14:val="none"/>
              </w:rPr>
              <w:t xml:space="preserve">суседства </w:t>
            </w:r>
            <w:r w:rsidRPr="009C19C5">
              <w:rPr>
                <w:rFonts w:ascii="Times New Roman" w:eastAsia="Times New Roman" w:hAnsi="Times New Roman" w:cs="Times New Roman"/>
                <w:kern w:val="0"/>
                <w:sz w:val="20"/>
                <w:szCs w:val="20"/>
                <w:lang w:val="sr-Cyrl-RS"/>
                <w14:ligatures w14:val="none"/>
              </w:rPr>
              <w:t xml:space="preserve">(260 милиона </w:t>
            </w:r>
            <w:r w:rsidR="004F484C" w:rsidRPr="009C19C5">
              <w:rPr>
                <w:rFonts w:ascii="Times New Roman" w:eastAsia="Times New Roman" w:hAnsi="Times New Roman" w:cs="Times New Roman"/>
                <w:kern w:val="0"/>
                <w:sz w:val="20"/>
                <w:szCs w:val="20"/>
                <w:lang w:val="sr-Cyrl-RS"/>
                <w14:ligatures w14:val="none"/>
              </w:rPr>
              <w:t xml:space="preserve">евра </w:t>
            </w:r>
            <w:r w:rsidRPr="009C19C5">
              <w:rPr>
                <w:rFonts w:ascii="Times New Roman" w:eastAsia="Times New Roman" w:hAnsi="Times New Roman" w:cs="Times New Roman"/>
                <w:kern w:val="0"/>
                <w:sz w:val="20"/>
                <w:szCs w:val="20"/>
                <w:lang w:val="sr-Cyrl-RS"/>
                <w14:ligatures w14:val="none"/>
              </w:rPr>
              <w:t>у гаранцијама)</w:t>
            </w:r>
          </w:p>
        </w:tc>
      </w:tr>
    </w:tbl>
    <w:p w14:paraId="736D72BD" w14:textId="2B3B4441" w:rsidR="00F276BC" w:rsidRPr="009C19C5" w:rsidRDefault="004F484C">
      <w:pPr>
        <w:spacing w:before="240"/>
        <w:jc w:val="both"/>
        <w:rPr>
          <w:rFonts w:ascii="Times New Roman" w:hAnsi="Times New Roman" w:cs="Times New Roman"/>
          <w:lang w:val="sr-Cyrl-RS"/>
        </w:rPr>
      </w:pPr>
      <w:r w:rsidRPr="009C19C5">
        <w:rPr>
          <w:rFonts w:ascii="Times New Roman" w:hAnsi="Times New Roman" w:cs="Times New Roman"/>
          <w:lang w:val="sr-Cyrl-RS"/>
        </w:rPr>
        <w:t>Напомена: списак потенцијалних извора финансирања</w:t>
      </w:r>
      <w:r w:rsidR="002F78E8" w:rsidRPr="009C19C5">
        <w:rPr>
          <w:rFonts w:ascii="Times New Roman" w:hAnsi="Times New Roman" w:cs="Times New Roman"/>
          <w:lang w:val="sr-Cyrl-RS"/>
        </w:rPr>
        <w:t xml:space="preserve"> није</w:t>
      </w:r>
      <w:r w:rsidRPr="009C19C5">
        <w:rPr>
          <w:rFonts w:ascii="Times New Roman" w:hAnsi="Times New Roman" w:cs="Times New Roman"/>
          <w:lang w:val="sr-Cyrl-RS"/>
        </w:rPr>
        <w:t xml:space="preserve"> потпун, и постоје и други билат</w:t>
      </w:r>
      <w:r w:rsidR="005675E7" w:rsidRPr="009C19C5">
        <w:rPr>
          <w:rFonts w:ascii="Times New Roman" w:hAnsi="Times New Roman" w:cs="Times New Roman"/>
          <w:lang w:val="sr-Cyrl-RS"/>
        </w:rPr>
        <w:t>е</w:t>
      </w:r>
      <w:r w:rsidRPr="009C19C5">
        <w:rPr>
          <w:rFonts w:ascii="Times New Roman" w:hAnsi="Times New Roman" w:cs="Times New Roman"/>
          <w:lang w:val="sr-Cyrl-RS"/>
        </w:rPr>
        <w:t>рални донатори и финансијске институције које такође треба узети у разматрање.</w:t>
      </w:r>
    </w:p>
    <w:p w14:paraId="48D7B705" w14:textId="4EC10CB3" w:rsidR="00F276BC" w:rsidRPr="009C19C5" w:rsidRDefault="000A0E4E" w:rsidP="002F78E8">
      <w:pPr>
        <w:pStyle w:val="Caption"/>
        <w:keepNext/>
        <w:spacing w:after="0" w:line="240" w:lineRule="auto"/>
        <w:jc w:val="left"/>
        <w:rPr>
          <w:rFonts w:ascii="Times New Roman" w:hAnsi="Times New Roman" w:cs="Times New Roman"/>
          <w:i w:val="0"/>
          <w:iCs w:val="0"/>
          <w:color w:val="auto"/>
          <w:sz w:val="20"/>
          <w:szCs w:val="20"/>
          <w:lang w:val="sr-Cyrl-RS"/>
        </w:rPr>
      </w:pPr>
      <w:bookmarkStart w:id="51" w:name="_Toc167379779"/>
      <w:bookmarkStart w:id="52" w:name="_Toc167352123"/>
      <w:bookmarkStart w:id="53" w:name="_Toc167960693"/>
      <w:bookmarkStart w:id="54" w:name="_Toc167989777"/>
      <w:bookmarkStart w:id="55" w:name="_Toc167352124"/>
      <w:bookmarkStart w:id="56" w:name="_Toc167401102"/>
      <w:bookmarkStart w:id="57" w:name="_Toc167989230"/>
      <w:bookmarkStart w:id="58" w:name="_Toc167352121"/>
      <w:bookmarkStart w:id="59" w:name="_Toc167988908"/>
      <w:bookmarkEnd w:id="51"/>
      <w:bookmarkEnd w:id="52"/>
      <w:bookmarkEnd w:id="53"/>
      <w:bookmarkEnd w:id="54"/>
      <w:bookmarkEnd w:id="55"/>
      <w:bookmarkEnd w:id="56"/>
      <w:bookmarkEnd w:id="57"/>
      <w:bookmarkEnd w:id="58"/>
      <w:bookmarkEnd w:id="59"/>
      <w:r w:rsidRPr="009C19C5">
        <w:rPr>
          <w:rFonts w:ascii="Times New Roman" w:hAnsi="Times New Roman" w:cs="Times New Roman"/>
          <w:i w:val="0"/>
          <w:iCs w:val="0"/>
          <w:color w:val="auto"/>
          <w:sz w:val="20"/>
          <w:szCs w:val="20"/>
          <w:lang w:val="sr-Cyrl-RS"/>
        </w:rPr>
        <w:t>Табела 1</w:t>
      </w:r>
      <w:r w:rsidR="00D56599" w:rsidRPr="009C19C5">
        <w:rPr>
          <w:rFonts w:ascii="Times New Roman" w:hAnsi="Times New Roman" w:cs="Times New Roman"/>
          <w:i w:val="0"/>
          <w:iCs w:val="0"/>
          <w:color w:val="auto"/>
          <w:sz w:val="20"/>
          <w:szCs w:val="20"/>
          <w:lang w:val="sr-Cyrl-RS"/>
        </w:rPr>
        <w:t>6</w:t>
      </w:r>
      <w:r w:rsidRPr="009C19C5">
        <w:rPr>
          <w:rFonts w:ascii="Times New Roman" w:hAnsi="Times New Roman" w:cs="Times New Roman"/>
          <w:i w:val="0"/>
          <w:iCs w:val="0"/>
          <w:color w:val="auto"/>
          <w:sz w:val="20"/>
          <w:szCs w:val="20"/>
          <w:lang w:val="sr-Cyrl-RS"/>
        </w:rPr>
        <w:t xml:space="preserve">: </w:t>
      </w:r>
      <w:r w:rsidR="00835F3D" w:rsidRPr="009C19C5">
        <w:rPr>
          <w:rFonts w:ascii="Times New Roman" w:hAnsi="Times New Roman" w:cs="Times New Roman"/>
          <w:i w:val="0"/>
          <w:iCs w:val="0"/>
          <w:color w:val="auto"/>
          <w:sz w:val="20"/>
          <w:szCs w:val="20"/>
          <w:lang w:val="sr-Cyrl-RS"/>
        </w:rPr>
        <w:t>Потребна ф</w:t>
      </w:r>
      <w:r w:rsidRPr="009C19C5">
        <w:rPr>
          <w:rFonts w:ascii="Times New Roman" w:hAnsi="Times New Roman" w:cs="Times New Roman"/>
          <w:i w:val="0"/>
          <w:iCs w:val="0"/>
          <w:color w:val="auto"/>
          <w:sz w:val="20"/>
          <w:szCs w:val="20"/>
          <w:lang w:val="sr-Cyrl-RS"/>
        </w:rPr>
        <w:t>инансијск</w:t>
      </w:r>
      <w:r w:rsidR="00835F3D" w:rsidRPr="009C19C5">
        <w:rPr>
          <w:rFonts w:ascii="Times New Roman" w:hAnsi="Times New Roman" w:cs="Times New Roman"/>
          <w:i w:val="0"/>
          <w:iCs w:val="0"/>
          <w:color w:val="auto"/>
          <w:sz w:val="20"/>
          <w:szCs w:val="20"/>
          <w:lang w:val="sr-Cyrl-RS"/>
        </w:rPr>
        <w:t>а средства по</w:t>
      </w:r>
      <w:r w:rsidRPr="009C19C5">
        <w:rPr>
          <w:rFonts w:ascii="Times New Roman" w:hAnsi="Times New Roman" w:cs="Times New Roman"/>
          <w:i w:val="0"/>
          <w:iCs w:val="0"/>
          <w:color w:val="auto"/>
          <w:sz w:val="20"/>
          <w:szCs w:val="20"/>
          <w:lang w:val="sr-Cyrl-RS"/>
        </w:rPr>
        <w:t xml:space="preserve">  ак</w:t>
      </w:r>
      <w:r w:rsidR="0052132D" w:rsidRPr="009C19C5">
        <w:rPr>
          <w:rFonts w:ascii="Times New Roman" w:hAnsi="Times New Roman" w:cs="Times New Roman"/>
          <w:i w:val="0"/>
          <w:iCs w:val="0"/>
          <w:color w:val="auto"/>
          <w:sz w:val="20"/>
          <w:szCs w:val="20"/>
          <w:lang w:val="sr-Cyrl-RS"/>
        </w:rPr>
        <w:t>тивности</w:t>
      </w:r>
      <w:r w:rsidR="00835F3D" w:rsidRPr="009C19C5">
        <w:rPr>
          <w:rFonts w:ascii="Times New Roman" w:hAnsi="Times New Roman" w:cs="Times New Roman"/>
          <w:i w:val="0"/>
          <w:iCs w:val="0"/>
          <w:color w:val="auto"/>
          <w:sz w:val="20"/>
          <w:szCs w:val="20"/>
          <w:lang w:val="sr-Cyrl-RS"/>
        </w:rPr>
        <w:t>ма</w:t>
      </w:r>
    </w:p>
    <w:tbl>
      <w:tblPr>
        <w:tblStyle w:val="TableGrid"/>
        <w:tblW w:w="0" w:type="auto"/>
        <w:jc w:val="center"/>
        <w:tblLook w:val="04A0" w:firstRow="1" w:lastRow="0" w:firstColumn="1" w:lastColumn="0" w:noHBand="0" w:noVBand="1"/>
      </w:tblPr>
      <w:tblGrid>
        <w:gridCol w:w="846"/>
        <w:gridCol w:w="4369"/>
        <w:gridCol w:w="2160"/>
        <w:gridCol w:w="2948"/>
      </w:tblGrid>
      <w:tr w:rsidR="00F276BC" w:rsidRPr="009C19C5" w14:paraId="1ABADD0E" w14:textId="77777777" w:rsidTr="00D91B53">
        <w:trPr>
          <w:tblHeader/>
          <w:jc w:val="center"/>
        </w:trPr>
        <w:tc>
          <w:tcPr>
            <w:tcW w:w="846" w:type="dxa"/>
            <w:shd w:val="clear" w:color="auto" w:fill="auto"/>
            <w:vAlign w:val="center"/>
          </w:tcPr>
          <w:p w14:paraId="16951D0D" w14:textId="21704891" w:rsidR="00F276BC" w:rsidRPr="009C19C5" w:rsidRDefault="00E94157">
            <w:pPr>
              <w:spacing w:after="0" w:line="276" w:lineRule="auto"/>
              <w:jc w:val="center"/>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Бр</w:t>
            </w:r>
            <w:r w:rsidR="000A0E4E" w:rsidRPr="009C19C5">
              <w:rPr>
                <w:rFonts w:ascii="Times New Roman" w:eastAsia="Times New Roman" w:hAnsi="Times New Roman" w:cs="Times New Roman"/>
                <w:kern w:val="0"/>
                <w:sz w:val="20"/>
                <w:szCs w:val="20"/>
                <w:lang w:val="sr-Cyrl-RS"/>
                <w14:ligatures w14:val="none"/>
              </w:rPr>
              <w:t>.</w:t>
            </w:r>
          </w:p>
        </w:tc>
        <w:tc>
          <w:tcPr>
            <w:tcW w:w="4369" w:type="dxa"/>
            <w:shd w:val="clear" w:color="auto" w:fill="auto"/>
            <w:vAlign w:val="center"/>
          </w:tcPr>
          <w:p w14:paraId="71883437" w14:textId="77777777" w:rsidR="00F276BC" w:rsidRPr="009C19C5" w:rsidRDefault="000A0E4E">
            <w:pPr>
              <w:spacing w:after="0" w:line="276" w:lineRule="auto"/>
              <w:jc w:val="center"/>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Активности</w:t>
            </w:r>
          </w:p>
        </w:tc>
        <w:tc>
          <w:tcPr>
            <w:tcW w:w="2160" w:type="dxa"/>
            <w:shd w:val="clear" w:color="auto" w:fill="auto"/>
            <w:vAlign w:val="center"/>
          </w:tcPr>
          <w:p w14:paraId="1148208A" w14:textId="77777777" w:rsidR="00F276BC" w:rsidRPr="009C19C5" w:rsidRDefault="000A0E4E">
            <w:pPr>
              <w:spacing w:after="0" w:line="276" w:lineRule="auto"/>
              <w:jc w:val="center"/>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Процењени трошкови</w:t>
            </w:r>
          </w:p>
        </w:tc>
        <w:tc>
          <w:tcPr>
            <w:tcW w:w="2948" w:type="dxa"/>
            <w:shd w:val="clear" w:color="auto" w:fill="auto"/>
            <w:vAlign w:val="center"/>
          </w:tcPr>
          <w:p w14:paraId="1714F9AB" w14:textId="77777777" w:rsidR="00F276BC" w:rsidRPr="009C19C5" w:rsidRDefault="000A0E4E">
            <w:pPr>
              <w:spacing w:after="0" w:line="276" w:lineRule="auto"/>
              <w:jc w:val="center"/>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Потенцијални извор финансирања</w:t>
            </w:r>
          </w:p>
        </w:tc>
      </w:tr>
      <w:tr w:rsidR="00F276BC" w:rsidRPr="009C19C5" w14:paraId="78D2EE27" w14:textId="77777777" w:rsidTr="001A632B">
        <w:trPr>
          <w:jc w:val="center"/>
        </w:trPr>
        <w:tc>
          <w:tcPr>
            <w:tcW w:w="10323" w:type="dxa"/>
            <w:gridSpan w:val="4"/>
            <w:shd w:val="clear" w:color="auto" w:fill="auto"/>
            <w:vAlign w:val="center"/>
          </w:tcPr>
          <w:p w14:paraId="0DBF23F4" w14:textId="46EB006B" w:rsidR="00F276BC" w:rsidRPr="009C19C5" w:rsidRDefault="000A0E4E">
            <w:pPr>
              <w:spacing w:after="0" w:line="240" w:lineRule="auto"/>
              <w:jc w:val="center"/>
              <w:rPr>
                <w:rFonts w:ascii="Times New Roman" w:eastAsia="Times New Roman" w:hAnsi="Times New Roman" w:cs="Times New Roman"/>
                <w:bCs/>
                <w:kern w:val="0"/>
                <w:sz w:val="20"/>
                <w:szCs w:val="20"/>
                <w:lang w:val="sr-Cyrl-RS"/>
                <w14:ligatures w14:val="none"/>
              </w:rPr>
            </w:pPr>
            <w:r w:rsidRPr="009C19C5">
              <w:rPr>
                <w:rFonts w:ascii="Times New Roman" w:eastAsia="Times New Roman" w:hAnsi="Times New Roman" w:cs="Times New Roman"/>
                <w:bCs/>
                <w:kern w:val="0"/>
                <w:sz w:val="20"/>
                <w:szCs w:val="20"/>
                <w:lang w:val="sr-Cyrl-RS"/>
                <w14:ligatures w14:val="none"/>
              </w:rPr>
              <w:t>Краткорочне активности</w:t>
            </w:r>
            <w:r w:rsidR="00364F94" w:rsidRPr="009C19C5">
              <w:rPr>
                <w:rFonts w:ascii="Times New Roman" w:eastAsia="Times New Roman" w:hAnsi="Times New Roman" w:cs="Times New Roman"/>
                <w:bCs/>
                <w:kern w:val="0"/>
                <w:sz w:val="20"/>
                <w:szCs w:val="20"/>
                <w:lang w:val="sr-Cyrl-RS"/>
                <w14:ligatures w14:val="none"/>
              </w:rPr>
              <w:t xml:space="preserve"> </w:t>
            </w:r>
            <w:r w:rsidRPr="009C19C5">
              <w:rPr>
                <w:rFonts w:ascii="Times New Roman" w:eastAsia="Times New Roman" w:hAnsi="Times New Roman" w:cs="Times New Roman"/>
                <w:bCs/>
                <w:kern w:val="0"/>
                <w:sz w:val="20"/>
                <w:szCs w:val="20"/>
                <w:lang w:val="sr-Cyrl-RS"/>
                <w14:ligatures w14:val="none"/>
              </w:rPr>
              <w:t>на националном нивоу</w:t>
            </w:r>
          </w:p>
        </w:tc>
      </w:tr>
      <w:tr w:rsidR="00F276BC" w:rsidRPr="009C19C5" w14:paraId="0BAD912C" w14:textId="77777777" w:rsidTr="00D91B53">
        <w:trPr>
          <w:jc w:val="center"/>
        </w:trPr>
        <w:tc>
          <w:tcPr>
            <w:tcW w:w="846" w:type="dxa"/>
            <w:shd w:val="clear" w:color="auto" w:fill="auto"/>
            <w:vAlign w:val="center"/>
          </w:tcPr>
          <w:p w14:paraId="4F0735F1" w14:textId="77777777" w:rsidR="00F276BC" w:rsidRPr="009C19C5" w:rsidRDefault="000A0E4E">
            <w:pPr>
              <w:spacing w:after="0" w:line="276" w:lineRule="auto"/>
              <w:jc w:val="center"/>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1.</w:t>
            </w:r>
          </w:p>
        </w:tc>
        <w:tc>
          <w:tcPr>
            <w:tcW w:w="4369" w:type="dxa"/>
            <w:shd w:val="clear" w:color="auto" w:fill="auto"/>
            <w:vAlign w:val="center"/>
          </w:tcPr>
          <w:p w14:paraId="62AD4E6B" w14:textId="3D880849" w:rsidR="00F276BC" w:rsidRPr="009C19C5" w:rsidRDefault="000A0E4E" w:rsidP="00270C5F">
            <w:pPr>
              <w:tabs>
                <w:tab w:val="left" w:pos="3320"/>
              </w:tabs>
              <w:spacing w:after="0" w:line="276" w:lineRule="auto"/>
              <w:rPr>
                <w:rFonts w:ascii="Times New Roman" w:eastAsia="Times New Roman" w:hAnsi="Times New Roman" w:cs="Times New Roman"/>
                <w:bCs/>
                <w:kern w:val="0"/>
                <w:sz w:val="20"/>
                <w:szCs w:val="20"/>
                <w:lang w:val="sr-Cyrl-RS"/>
                <w14:ligatures w14:val="none"/>
              </w:rPr>
            </w:pPr>
            <w:r w:rsidRPr="009C19C5">
              <w:rPr>
                <w:rFonts w:ascii="Times New Roman" w:eastAsia="Times New Roman" w:hAnsi="Times New Roman" w:cs="Times New Roman"/>
                <w:kern w:val="0"/>
                <w:sz w:val="20"/>
                <w:szCs w:val="20"/>
                <w:lang w:val="sr-Cyrl-RS" w:eastAsia="en-GB"/>
                <w14:ligatures w14:val="none"/>
              </w:rPr>
              <w:t>Постављање и операционализација управ</w:t>
            </w:r>
            <w:r w:rsidR="00364F94" w:rsidRPr="009C19C5">
              <w:rPr>
                <w:rFonts w:ascii="Times New Roman" w:eastAsia="Times New Roman" w:hAnsi="Times New Roman" w:cs="Times New Roman"/>
                <w:kern w:val="0"/>
                <w:sz w:val="20"/>
                <w:szCs w:val="20"/>
                <w:lang w:val="sr-Cyrl-RS" w:eastAsia="en-GB"/>
                <w14:ligatures w14:val="none"/>
              </w:rPr>
              <w:t>љања</w:t>
            </w:r>
            <w:r w:rsidRPr="009C19C5">
              <w:rPr>
                <w:rFonts w:ascii="Times New Roman" w:eastAsia="Times New Roman" w:hAnsi="Times New Roman" w:cs="Times New Roman"/>
                <w:kern w:val="0"/>
                <w:sz w:val="20"/>
                <w:szCs w:val="20"/>
                <w:lang w:val="sr-Cyrl-RS" w:eastAsia="en-GB"/>
                <w14:ligatures w14:val="none"/>
              </w:rPr>
              <w:t xml:space="preserve"> праведн</w:t>
            </w:r>
            <w:r w:rsidR="00364F94" w:rsidRPr="009C19C5">
              <w:rPr>
                <w:rFonts w:ascii="Times New Roman" w:eastAsia="Times New Roman" w:hAnsi="Times New Roman" w:cs="Times New Roman"/>
                <w:kern w:val="0"/>
                <w:sz w:val="20"/>
                <w:szCs w:val="20"/>
                <w:lang w:val="sr-Cyrl-RS" w:eastAsia="en-GB"/>
                <w14:ligatures w14:val="none"/>
              </w:rPr>
              <w:t xml:space="preserve">ом </w:t>
            </w:r>
            <w:r w:rsidRPr="009C19C5">
              <w:rPr>
                <w:rFonts w:ascii="Times New Roman" w:eastAsia="Times New Roman" w:hAnsi="Times New Roman" w:cs="Times New Roman"/>
                <w:kern w:val="0"/>
                <w:sz w:val="20"/>
                <w:szCs w:val="20"/>
                <w:lang w:val="sr-Cyrl-RS" w:eastAsia="en-GB"/>
                <w14:ligatures w14:val="none"/>
              </w:rPr>
              <w:t>транзициј</w:t>
            </w:r>
            <w:r w:rsidR="00364F94" w:rsidRPr="009C19C5">
              <w:rPr>
                <w:rFonts w:ascii="Times New Roman" w:eastAsia="Times New Roman" w:hAnsi="Times New Roman" w:cs="Times New Roman"/>
                <w:kern w:val="0"/>
                <w:sz w:val="20"/>
                <w:szCs w:val="20"/>
                <w:lang w:val="sr-Cyrl-RS" w:eastAsia="en-GB"/>
                <w14:ligatures w14:val="none"/>
              </w:rPr>
              <w:t>ом</w:t>
            </w:r>
            <w:r w:rsidRPr="009C19C5">
              <w:rPr>
                <w:rFonts w:ascii="Times New Roman" w:eastAsia="Times New Roman" w:hAnsi="Times New Roman" w:cs="Times New Roman"/>
                <w:kern w:val="0"/>
                <w:sz w:val="20"/>
                <w:szCs w:val="20"/>
                <w:lang w:val="sr-Cyrl-RS" w:eastAsia="en-GB"/>
                <w14:ligatures w14:val="none"/>
              </w:rPr>
              <w:t xml:space="preserve"> у</w:t>
            </w:r>
            <w:r w:rsidR="007D4593" w:rsidRPr="009C19C5">
              <w:rPr>
                <w:rFonts w:ascii="Times New Roman" w:eastAsia="Times New Roman" w:hAnsi="Times New Roman" w:cs="Times New Roman"/>
                <w:kern w:val="0"/>
                <w:sz w:val="20"/>
                <w:szCs w:val="20"/>
                <w:lang w:val="sr-Cyrl-RS" w:eastAsia="en-GB"/>
                <w14:ligatures w14:val="none"/>
              </w:rPr>
              <w:t xml:space="preserve"> </w:t>
            </w:r>
            <w:r w:rsidR="007D4593" w:rsidRPr="009C19C5">
              <w:rPr>
                <w:rFonts w:ascii="Times New Roman" w:hAnsi="Times New Roman" w:cs="Times New Roman"/>
                <w:sz w:val="20"/>
                <w:szCs w:val="20"/>
                <w:lang w:val="sr-Cyrl-RS"/>
              </w:rPr>
              <w:t>Републици</w:t>
            </w:r>
            <w:r w:rsidRPr="009C19C5">
              <w:rPr>
                <w:rFonts w:ascii="Times New Roman" w:eastAsia="Times New Roman" w:hAnsi="Times New Roman" w:cs="Times New Roman"/>
                <w:kern w:val="0"/>
                <w:sz w:val="20"/>
                <w:szCs w:val="20"/>
                <w:lang w:val="sr-Cyrl-RS" w:eastAsia="en-GB"/>
                <w14:ligatures w14:val="none"/>
              </w:rPr>
              <w:t xml:space="preserve"> Србији</w:t>
            </w:r>
          </w:p>
        </w:tc>
        <w:tc>
          <w:tcPr>
            <w:tcW w:w="2160" w:type="dxa"/>
            <w:shd w:val="clear" w:color="auto" w:fill="auto"/>
            <w:vAlign w:val="center"/>
          </w:tcPr>
          <w:p w14:paraId="2DA63FFB" w14:textId="77777777" w:rsidR="00F276BC" w:rsidRPr="009C19C5" w:rsidRDefault="000A0E4E">
            <w:pPr>
              <w:spacing w:after="0" w:line="276" w:lineRule="auto"/>
              <w:jc w:val="center"/>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Н/A</w:t>
            </w:r>
          </w:p>
        </w:tc>
        <w:tc>
          <w:tcPr>
            <w:tcW w:w="2948" w:type="dxa"/>
            <w:shd w:val="clear" w:color="auto" w:fill="auto"/>
            <w:vAlign w:val="center"/>
          </w:tcPr>
          <w:p w14:paraId="5DF1433E" w14:textId="77777777" w:rsidR="00F276BC" w:rsidRPr="009C19C5" w:rsidRDefault="000A0E4E">
            <w:pPr>
              <w:spacing w:after="0" w:line="276" w:lineRule="auto"/>
              <w:jc w:val="center"/>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Н/A</w:t>
            </w:r>
          </w:p>
        </w:tc>
      </w:tr>
      <w:tr w:rsidR="00F276BC" w:rsidRPr="009C19C5" w14:paraId="4A8B7013" w14:textId="77777777" w:rsidTr="001A632B">
        <w:trPr>
          <w:jc w:val="center"/>
        </w:trPr>
        <w:tc>
          <w:tcPr>
            <w:tcW w:w="10323" w:type="dxa"/>
            <w:gridSpan w:val="4"/>
            <w:shd w:val="clear" w:color="auto" w:fill="auto"/>
            <w:vAlign w:val="center"/>
          </w:tcPr>
          <w:p w14:paraId="1CA6EAD3" w14:textId="77777777" w:rsidR="00F276BC" w:rsidRPr="009C19C5" w:rsidRDefault="000A0E4E">
            <w:pPr>
              <w:spacing w:after="0" w:line="240" w:lineRule="auto"/>
              <w:jc w:val="center"/>
              <w:rPr>
                <w:rFonts w:ascii="Times New Roman" w:eastAsia="Times New Roman" w:hAnsi="Times New Roman" w:cs="Times New Roman"/>
                <w:bCs/>
                <w:kern w:val="0"/>
                <w:sz w:val="20"/>
                <w:szCs w:val="20"/>
                <w:lang w:val="sr-Cyrl-RS"/>
                <w14:ligatures w14:val="none"/>
              </w:rPr>
            </w:pPr>
            <w:r w:rsidRPr="009C19C5">
              <w:rPr>
                <w:rFonts w:ascii="Times New Roman" w:eastAsia="Times New Roman" w:hAnsi="Times New Roman" w:cs="Times New Roman"/>
                <w:bCs/>
                <w:kern w:val="0"/>
                <w:sz w:val="20"/>
                <w:szCs w:val="20"/>
                <w:lang w:val="sr-Cyrl-RS"/>
                <w14:ligatures w14:val="none"/>
              </w:rPr>
              <w:lastRenderedPageBreak/>
              <w:t>Припремне активности на националном нивоу</w:t>
            </w:r>
          </w:p>
        </w:tc>
      </w:tr>
      <w:tr w:rsidR="00F276BC" w:rsidRPr="009C19C5" w14:paraId="3E8E8FA9" w14:textId="77777777" w:rsidTr="00D91B53">
        <w:trPr>
          <w:jc w:val="center"/>
        </w:trPr>
        <w:tc>
          <w:tcPr>
            <w:tcW w:w="846" w:type="dxa"/>
            <w:shd w:val="clear" w:color="auto" w:fill="auto"/>
            <w:vAlign w:val="center"/>
          </w:tcPr>
          <w:p w14:paraId="6257776B" w14:textId="77777777" w:rsidR="00F276BC" w:rsidRPr="009C19C5" w:rsidRDefault="000A0E4E">
            <w:pPr>
              <w:spacing w:after="0" w:line="276" w:lineRule="auto"/>
              <w:jc w:val="center"/>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2.</w:t>
            </w:r>
          </w:p>
        </w:tc>
        <w:tc>
          <w:tcPr>
            <w:tcW w:w="4369" w:type="dxa"/>
            <w:shd w:val="clear" w:color="auto" w:fill="auto"/>
            <w:vAlign w:val="center"/>
          </w:tcPr>
          <w:p w14:paraId="508D4100" w14:textId="5E97D824" w:rsidR="00F276BC" w:rsidRPr="009C19C5" w:rsidRDefault="000A0E4E" w:rsidP="00333A2A">
            <w:pPr>
              <w:spacing w:after="0" w:line="276" w:lineRule="auto"/>
              <w:jc w:val="both"/>
              <w:rPr>
                <w:rFonts w:ascii="Times New Roman" w:eastAsia="Times New Roman" w:hAnsi="Times New Roman" w:cs="Times New Roman"/>
                <w:kern w:val="0"/>
                <w:sz w:val="20"/>
                <w:szCs w:val="20"/>
                <w:lang w:val="sr-Cyrl-RS" w:eastAsia="en-GB"/>
                <w14:ligatures w14:val="none"/>
              </w:rPr>
            </w:pPr>
            <w:r w:rsidRPr="009C19C5">
              <w:rPr>
                <w:rFonts w:ascii="Times New Roman" w:eastAsia="Times New Roman" w:hAnsi="Times New Roman" w:cs="Times New Roman"/>
                <w:kern w:val="0"/>
                <w:sz w:val="20"/>
                <w:szCs w:val="20"/>
                <w:lang w:val="sr-Cyrl-RS" w:eastAsia="en-GB"/>
                <w14:ligatures w14:val="none"/>
              </w:rPr>
              <w:t xml:space="preserve">Успостављање </w:t>
            </w:r>
            <w:r w:rsidR="009641EC" w:rsidRPr="009C19C5">
              <w:rPr>
                <w:rFonts w:ascii="Times New Roman" w:eastAsia="Times New Roman" w:hAnsi="Times New Roman" w:cs="Times New Roman"/>
                <w:kern w:val="0"/>
                <w:sz w:val="20"/>
                <w:szCs w:val="20"/>
                <w:lang w:val="sr-Cyrl-RS" w:eastAsia="en-GB"/>
                <w14:ligatures w14:val="none"/>
              </w:rPr>
              <w:t>механизама за финанс</w:t>
            </w:r>
            <w:r w:rsidR="005675E7" w:rsidRPr="009C19C5">
              <w:rPr>
                <w:rFonts w:ascii="Times New Roman" w:eastAsia="Times New Roman" w:hAnsi="Times New Roman" w:cs="Times New Roman"/>
                <w:kern w:val="0"/>
                <w:sz w:val="20"/>
                <w:szCs w:val="20"/>
                <w:lang w:val="sr-Cyrl-RS" w:eastAsia="en-GB"/>
                <w14:ligatures w14:val="none"/>
              </w:rPr>
              <w:t>и</w:t>
            </w:r>
            <w:r w:rsidR="009641EC" w:rsidRPr="009C19C5">
              <w:rPr>
                <w:rFonts w:ascii="Times New Roman" w:eastAsia="Times New Roman" w:hAnsi="Times New Roman" w:cs="Times New Roman"/>
                <w:kern w:val="0"/>
                <w:sz w:val="20"/>
                <w:szCs w:val="20"/>
                <w:lang w:val="sr-Cyrl-RS" w:eastAsia="en-GB"/>
                <w14:ligatures w14:val="none"/>
              </w:rPr>
              <w:t>рање</w:t>
            </w:r>
            <w:r w:rsidRPr="009C19C5">
              <w:rPr>
                <w:rFonts w:ascii="Times New Roman" w:eastAsia="Times New Roman" w:hAnsi="Times New Roman" w:cs="Times New Roman"/>
                <w:kern w:val="0"/>
                <w:sz w:val="20"/>
                <w:szCs w:val="20"/>
                <w:lang w:val="sr-Cyrl-RS" w:eastAsia="en-GB"/>
                <w14:ligatures w14:val="none"/>
              </w:rPr>
              <w:t xml:space="preserve"> праведн</w:t>
            </w:r>
            <w:r w:rsidR="009641EC" w:rsidRPr="009C19C5">
              <w:rPr>
                <w:rFonts w:ascii="Times New Roman" w:eastAsia="Times New Roman" w:hAnsi="Times New Roman" w:cs="Times New Roman"/>
                <w:kern w:val="0"/>
                <w:sz w:val="20"/>
                <w:szCs w:val="20"/>
                <w:lang w:val="sr-Cyrl-RS" w:eastAsia="en-GB"/>
                <w14:ligatures w14:val="none"/>
              </w:rPr>
              <w:t>е</w:t>
            </w:r>
            <w:r w:rsidRPr="009C19C5">
              <w:rPr>
                <w:rFonts w:ascii="Times New Roman" w:eastAsia="Times New Roman" w:hAnsi="Times New Roman" w:cs="Times New Roman"/>
                <w:kern w:val="0"/>
                <w:sz w:val="20"/>
                <w:szCs w:val="20"/>
                <w:lang w:val="sr-Cyrl-RS" w:eastAsia="en-GB"/>
                <w14:ligatures w14:val="none"/>
              </w:rPr>
              <w:t xml:space="preserve"> транзициј</w:t>
            </w:r>
            <w:r w:rsidR="009641EC" w:rsidRPr="009C19C5">
              <w:rPr>
                <w:rFonts w:ascii="Times New Roman" w:eastAsia="Times New Roman" w:hAnsi="Times New Roman" w:cs="Times New Roman"/>
                <w:kern w:val="0"/>
                <w:sz w:val="20"/>
                <w:szCs w:val="20"/>
                <w:lang w:val="sr-Cyrl-RS" w:eastAsia="en-GB"/>
                <w14:ligatures w14:val="none"/>
              </w:rPr>
              <w:t>е</w:t>
            </w:r>
            <w:r w:rsidR="00364F94" w:rsidRPr="009C19C5">
              <w:rPr>
                <w:rFonts w:ascii="Times New Roman" w:eastAsia="Times New Roman" w:hAnsi="Times New Roman" w:cs="Times New Roman"/>
                <w:kern w:val="0"/>
                <w:sz w:val="20"/>
                <w:szCs w:val="20"/>
                <w:lang w:val="sr-Cyrl-RS" w:eastAsia="en-GB"/>
                <w14:ligatures w14:val="none"/>
              </w:rPr>
              <w:t xml:space="preserve">, са системом </w:t>
            </w:r>
            <w:r w:rsidRPr="009C19C5">
              <w:rPr>
                <w:rFonts w:ascii="Times New Roman" w:eastAsia="Times New Roman" w:hAnsi="Times New Roman" w:cs="Times New Roman"/>
                <w:kern w:val="0"/>
                <w:sz w:val="20"/>
                <w:szCs w:val="20"/>
                <w:lang w:val="sr-Cyrl-RS" w:eastAsia="en-GB"/>
                <w14:ligatures w14:val="none"/>
              </w:rPr>
              <w:t>управљањ</w:t>
            </w:r>
            <w:r w:rsidR="00364F94" w:rsidRPr="009C19C5">
              <w:rPr>
                <w:rFonts w:ascii="Times New Roman" w:eastAsia="Times New Roman" w:hAnsi="Times New Roman" w:cs="Times New Roman"/>
                <w:kern w:val="0"/>
                <w:sz w:val="20"/>
                <w:szCs w:val="20"/>
                <w:lang w:val="sr-Cyrl-RS" w:eastAsia="en-GB"/>
                <w14:ligatures w14:val="none"/>
              </w:rPr>
              <w:t>а</w:t>
            </w:r>
          </w:p>
        </w:tc>
        <w:tc>
          <w:tcPr>
            <w:tcW w:w="2160" w:type="dxa"/>
            <w:shd w:val="clear" w:color="auto" w:fill="auto"/>
            <w:vAlign w:val="center"/>
          </w:tcPr>
          <w:p w14:paraId="560383E0" w14:textId="6A4F1A70" w:rsidR="00F276BC" w:rsidRPr="009C19C5" w:rsidRDefault="000A0E4E">
            <w:pPr>
              <w:spacing w:after="0" w:line="276" w:lineRule="auto"/>
              <w:jc w:val="center"/>
              <w:rPr>
                <w:rFonts w:ascii="Times New Roman" w:eastAsia="Times New Roman" w:hAnsi="Times New Roman" w:cs="Times New Roman"/>
                <w:kern w:val="0"/>
                <w:sz w:val="20"/>
                <w:szCs w:val="20"/>
                <w:lang w:val="sr-Cyrl-RS" w:eastAsia="en-GB"/>
                <w14:ligatures w14:val="none"/>
              </w:rPr>
            </w:pPr>
            <w:r w:rsidRPr="009C19C5">
              <w:rPr>
                <w:rFonts w:ascii="Times New Roman" w:eastAsia="Times New Roman" w:hAnsi="Times New Roman" w:cs="Times New Roman"/>
                <w:kern w:val="0"/>
                <w:sz w:val="20"/>
                <w:szCs w:val="20"/>
                <w:lang w:val="sr-Cyrl-RS"/>
                <w14:ligatures w14:val="none"/>
              </w:rPr>
              <w:t>350 хиљада</w:t>
            </w:r>
            <w:r w:rsidR="00364F94" w:rsidRPr="009C19C5">
              <w:rPr>
                <w:rFonts w:ascii="Times New Roman" w:eastAsia="Times New Roman" w:hAnsi="Times New Roman" w:cs="Times New Roman"/>
                <w:kern w:val="0"/>
                <w:sz w:val="20"/>
                <w:szCs w:val="20"/>
                <w:lang w:val="sr-Cyrl-RS"/>
                <w14:ligatures w14:val="none"/>
              </w:rPr>
              <w:t xml:space="preserve"> евра</w:t>
            </w:r>
          </w:p>
        </w:tc>
        <w:tc>
          <w:tcPr>
            <w:tcW w:w="2948" w:type="dxa"/>
            <w:shd w:val="clear" w:color="auto" w:fill="auto"/>
            <w:vAlign w:val="center"/>
          </w:tcPr>
          <w:p w14:paraId="5FE71146" w14:textId="65F8142F" w:rsidR="00F276BC" w:rsidRPr="009C19C5" w:rsidRDefault="009641EC" w:rsidP="00DC0B96">
            <w:pPr>
              <w:spacing w:after="0" w:line="276" w:lineRule="auto"/>
              <w:jc w:val="center"/>
              <w:rPr>
                <w:rFonts w:ascii="Times New Roman" w:eastAsia="Times New Roman" w:hAnsi="Times New Roman" w:cs="Times New Roman"/>
                <w:kern w:val="0"/>
                <w:sz w:val="20"/>
                <w:szCs w:val="20"/>
                <w:lang w:val="sr-Cyrl-RS"/>
                <w14:ligatures w14:val="none"/>
              </w:rPr>
            </w:pPr>
            <w:r w:rsidRPr="009C19C5">
              <w:rPr>
                <w:rFonts w:ascii="Times New Roman" w:hAnsi="Times New Roman" w:cs="Times New Roman"/>
                <w:color w:val="000000"/>
                <w:sz w:val="20"/>
                <w:szCs w:val="20"/>
                <w:lang w:val="sr-Cyrl-RS" w:eastAsia="en-GB"/>
              </w:rPr>
              <w:t>Међународни донатори,</w:t>
            </w:r>
            <w:r w:rsidRPr="009C19C5">
              <w:rPr>
                <w:rFonts w:ascii="Times New Roman" w:hAnsi="Times New Roman" w:cs="Times New Roman"/>
                <w:sz w:val="20"/>
                <w:szCs w:val="20"/>
                <w:lang w:val="sr-Cyrl-RS" w:eastAsia="en-GB"/>
              </w:rPr>
              <w:t xml:space="preserve"> </w:t>
            </w:r>
            <w:r w:rsidR="00DC0B96" w:rsidRPr="009C19C5">
              <w:rPr>
                <w:rFonts w:ascii="Times New Roman" w:hAnsi="Times New Roman" w:cs="Times New Roman"/>
                <w:sz w:val="20"/>
                <w:szCs w:val="20"/>
                <w:lang w:val="sr-Cyrl-RS" w:eastAsia="en-GB"/>
              </w:rPr>
              <w:t>б</w:t>
            </w:r>
            <w:r w:rsidRPr="009C19C5">
              <w:rPr>
                <w:rFonts w:ascii="Times New Roman" w:hAnsi="Times New Roman" w:cs="Times New Roman"/>
                <w:sz w:val="20"/>
                <w:szCs w:val="20"/>
                <w:lang w:val="sr-Cyrl-RS" w:eastAsia="en-GB"/>
              </w:rPr>
              <w:t>уџет Републике</w:t>
            </w:r>
            <w:r w:rsidRPr="009C19C5">
              <w:rPr>
                <w:rFonts w:ascii="Times New Roman" w:eastAsia="Times New Roman" w:hAnsi="Times New Roman" w:cs="Times New Roman"/>
                <w:kern w:val="0"/>
                <w:sz w:val="20"/>
                <w:szCs w:val="20"/>
                <w:lang w:val="sr-Cyrl-RS"/>
                <w14:ligatures w14:val="none"/>
              </w:rPr>
              <w:t xml:space="preserve"> </w:t>
            </w:r>
            <w:r w:rsidRPr="009C19C5">
              <w:rPr>
                <w:rFonts w:ascii="Times New Roman" w:hAnsi="Times New Roman" w:cs="Times New Roman"/>
                <w:color w:val="000000"/>
                <w:sz w:val="20"/>
                <w:szCs w:val="20"/>
                <w:lang w:val="sr-Cyrl-RS" w:eastAsia="en-GB"/>
              </w:rPr>
              <w:t>и други извори у складу са законом</w:t>
            </w:r>
          </w:p>
        </w:tc>
      </w:tr>
      <w:tr w:rsidR="00F276BC" w:rsidRPr="009C19C5" w14:paraId="4753388E" w14:textId="77777777" w:rsidTr="00D91B53">
        <w:trPr>
          <w:jc w:val="center"/>
        </w:trPr>
        <w:tc>
          <w:tcPr>
            <w:tcW w:w="846" w:type="dxa"/>
            <w:shd w:val="clear" w:color="auto" w:fill="auto"/>
            <w:vAlign w:val="center"/>
          </w:tcPr>
          <w:p w14:paraId="7E2A0914" w14:textId="77777777" w:rsidR="00F276BC" w:rsidRPr="009C19C5" w:rsidRDefault="000A0E4E">
            <w:pPr>
              <w:spacing w:after="0" w:line="276" w:lineRule="auto"/>
              <w:jc w:val="center"/>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3.</w:t>
            </w:r>
          </w:p>
        </w:tc>
        <w:tc>
          <w:tcPr>
            <w:tcW w:w="4369" w:type="dxa"/>
            <w:shd w:val="clear" w:color="auto" w:fill="auto"/>
            <w:vAlign w:val="center"/>
          </w:tcPr>
          <w:p w14:paraId="2DAB376F" w14:textId="0F99F35F" w:rsidR="00F276BC" w:rsidRPr="009C19C5" w:rsidRDefault="000A0E4E" w:rsidP="00333A2A">
            <w:pPr>
              <w:spacing w:after="0" w:line="276" w:lineRule="auto"/>
              <w:jc w:val="both"/>
              <w:rPr>
                <w:rFonts w:ascii="Times New Roman" w:eastAsia="Times New Roman" w:hAnsi="Times New Roman" w:cs="Times New Roman"/>
                <w:bCs/>
                <w:kern w:val="0"/>
                <w:sz w:val="20"/>
                <w:szCs w:val="20"/>
                <w:lang w:val="sr-Cyrl-RS"/>
                <w14:ligatures w14:val="none"/>
              </w:rPr>
            </w:pPr>
            <w:r w:rsidRPr="009C19C5">
              <w:rPr>
                <w:rFonts w:ascii="Times New Roman" w:eastAsia="Times New Roman" w:hAnsi="Times New Roman" w:cs="Times New Roman"/>
                <w:kern w:val="0"/>
                <w:sz w:val="20"/>
                <w:szCs w:val="20"/>
                <w:lang w:val="sr-Cyrl-RS" w:eastAsia="en-GB"/>
                <w14:ligatures w14:val="none"/>
              </w:rPr>
              <w:t xml:space="preserve">Ажурирање законодавства, како би се укључили одговарајући механизми управљања и оквир за праћење и усвојио и </w:t>
            </w:r>
            <w:r w:rsidR="00364F94" w:rsidRPr="009C19C5">
              <w:rPr>
                <w:rFonts w:ascii="Times New Roman" w:eastAsia="Times New Roman" w:hAnsi="Times New Roman" w:cs="Times New Roman"/>
                <w:kern w:val="0"/>
                <w:sz w:val="20"/>
                <w:szCs w:val="20"/>
                <w:lang w:val="sr-Cyrl-RS" w:eastAsia="en-GB"/>
                <w14:ligatures w14:val="none"/>
              </w:rPr>
              <w:t xml:space="preserve">спровео </w:t>
            </w:r>
            <w:r w:rsidR="00534C8C" w:rsidRPr="009C19C5">
              <w:rPr>
                <w:rFonts w:ascii="Times New Roman" w:eastAsia="Times New Roman" w:hAnsi="Times New Roman" w:cs="Times New Roman"/>
                <w:kern w:val="0"/>
                <w:sz w:val="20"/>
                <w:szCs w:val="20"/>
                <w:lang w:val="sr-Cyrl-RS" w:eastAsia="en-GB"/>
                <w14:ligatures w14:val="none"/>
              </w:rPr>
              <w:t>ППЕТ</w:t>
            </w:r>
          </w:p>
        </w:tc>
        <w:tc>
          <w:tcPr>
            <w:tcW w:w="2160" w:type="dxa"/>
            <w:shd w:val="clear" w:color="auto" w:fill="auto"/>
            <w:vAlign w:val="center"/>
          </w:tcPr>
          <w:p w14:paraId="1C7A57D9" w14:textId="59ED76A2" w:rsidR="00F276BC" w:rsidRPr="009C19C5" w:rsidRDefault="000A0E4E">
            <w:pPr>
              <w:spacing w:after="0" w:line="276" w:lineRule="auto"/>
              <w:jc w:val="center"/>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eastAsia="en-GB"/>
                <w14:ligatures w14:val="none"/>
              </w:rPr>
              <w:t>1</w:t>
            </w:r>
            <w:r w:rsidRPr="009C19C5">
              <w:rPr>
                <w:rFonts w:ascii="Times New Roman" w:eastAsia="Times New Roman" w:hAnsi="Times New Roman" w:cs="Times New Roman"/>
                <w:kern w:val="0"/>
                <w:sz w:val="20"/>
                <w:szCs w:val="20"/>
                <w:lang w:val="sr-Cyrl-RS"/>
                <w14:ligatures w14:val="none"/>
              </w:rPr>
              <w:t>50 хиљада</w:t>
            </w:r>
            <w:r w:rsidR="00364F94" w:rsidRPr="009C19C5">
              <w:rPr>
                <w:rFonts w:ascii="Times New Roman" w:eastAsia="Times New Roman" w:hAnsi="Times New Roman" w:cs="Times New Roman"/>
                <w:kern w:val="0"/>
                <w:sz w:val="20"/>
                <w:szCs w:val="20"/>
                <w:lang w:val="sr-Cyrl-RS"/>
                <w14:ligatures w14:val="none"/>
              </w:rPr>
              <w:t xml:space="preserve"> евра</w:t>
            </w:r>
          </w:p>
        </w:tc>
        <w:tc>
          <w:tcPr>
            <w:tcW w:w="2948" w:type="dxa"/>
            <w:shd w:val="clear" w:color="auto" w:fill="auto"/>
            <w:vAlign w:val="center"/>
          </w:tcPr>
          <w:p w14:paraId="1C88CDFE" w14:textId="309580C9" w:rsidR="00F276BC" w:rsidRPr="009C19C5" w:rsidRDefault="00E44013">
            <w:pPr>
              <w:spacing w:after="0" w:line="276" w:lineRule="auto"/>
              <w:jc w:val="center"/>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М</w:t>
            </w:r>
            <w:r w:rsidR="00364F94" w:rsidRPr="009C19C5">
              <w:rPr>
                <w:rFonts w:ascii="Times New Roman" w:eastAsia="Times New Roman" w:hAnsi="Times New Roman" w:cs="Times New Roman"/>
                <w:kern w:val="0"/>
                <w:sz w:val="20"/>
                <w:szCs w:val="20"/>
                <w:lang w:val="sr-Cyrl-RS"/>
                <w14:ligatures w14:val="none"/>
              </w:rPr>
              <w:t xml:space="preserve">еђународни </w:t>
            </w:r>
            <w:r w:rsidR="000A0E4E" w:rsidRPr="009C19C5">
              <w:rPr>
                <w:rFonts w:ascii="Times New Roman" w:eastAsia="Times New Roman" w:hAnsi="Times New Roman" w:cs="Times New Roman"/>
                <w:kern w:val="0"/>
                <w:sz w:val="20"/>
                <w:szCs w:val="20"/>
                <w:lang w:val="sr-Cyrl-RS"/>
                <w14:ligatures w14:val="none"/>
              </w:rPr>
              <w:t>донатори</w:t>
            </w:r>
          </w:p>
        </w:tc>
      </w:tr>
      <w:tr w:rsidR="00F276BC" w:rsidRPr="009C19C5" w14:paraId="3A298FFF" w14:textId="77777777" w:rsidTr="00D91B53">
        <w:trPr>
          <w:jc w:val="center"/>
        </w:trPr>
        <w:tc>
          <w:tcPr>
            <w:tcW w:w="846" w:type="dxa"/>
            <w:vAlign w:val="center"/>
          </w:tcPr>
          <w:p w14:paraId="5EAD6AAA" w14:textId="77777777" w:rsidR="00F276BC" w:rsidRPr="009C19C5" w:rsidRDefault="000A0E4E">
            <w:pPr>
              <w:spacing w:after="0" w:line="276" w:lineRule="auto"/>
              <w:jc w:val="center"/>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4.</w:t>
            </w:r>
          </w:p>
        </w:tc>
        <w:tc>
          <w:tcPr>
            <w:tcW w:w="4369" w:type="dxa"/>
            <w:vAlign w:val="center"/>
          </w:tcPr>
          <w:p w14:paraId="3DE1D5BF" w14:textId="35E088D8" w:rsidR="00F276BC" w:rsidRPr="009C19C5" w:rsidRDefault="000A0E4E" w:rsidP="00333A2A">
            <w:pPr>
              <w:spacing w:after="0" w:line="276" w:lineRule="auto"/>
              <w:jc w:val="both"/>
              <w:rPr>
                <w:rFonts w:ascii="Times New Roman" w:eastAsia="Times New Roman" w:hAnsi="Times New Roman" w:cs="Times New Roman"/>
                <w:bCs/>
                <w:color w:val="0070C0"/>
                <w:kern w:val="0"/>
                <w:sz w:val="20"/>
                <w:szCs w:val="20"/>
                <w:lang w:val="sr-Cyrl-RS"/>
                <w14:ligatures w14:val="none"/>
              </w:rPr>
            </w:pPr>
            <w:r w:rsidRPr="009C19C5">
              <w:rPr>
                <w:rFonts w:ascii="Times New Roman" w:eastAsia="Times New Roman" w:hAnsi="Times New Roman" w:cs="Times New Roman"/>
                <w:color w:val="000000"/>
                <w:kern w:val="0"/>
                <w:sz w:val="20"/>
                <w:szCs w:val="20"/>
                <w:lang w:val="sr-Cyrl-RS" w:eastAsia="en-GB"/>
                <w14:ligatures w14:val="none"/>
              </w:rPr>
              <w:t>Интегрисање праведне транзиције у страте</w:t>
            </w:r>
            <w:r w:rsidR="00983196" w:rsidRPr="009C19C5">
              <w:rPr>
                <w:rFonts w:ascii="Times New Roman" w:eastAsia="Times New Roman" w:hAnsi="Times New Roman" w:cs="Times New Roman"/>
                <w:color w:val="000000"/>
                <w:kern w:val="0"/>
                <w:sz w:val="20"/>
                <w:szCs w:val="20"/>
                <w:lang w:val="sr-Cyrl-RS" w:eastAsia="en-GB"/>
                <w14:ligatures w14:val="none"/>
              </w:rPr>
              <w:t>шка</w:t>
            </w:r>
            <w:r w:rsidR="008F6A13" w:rsidRPr="009C19C5">
              <w:rPr>
                <w:rFonts w:ascii="Times New Roman" w:eastAsia="Times New Roman" w:hAnsi="Times New Roman" w:cs="Times New Roman"/>
                <w:color w:val="000000"/>
                <w:kern w:val="0"/>
                <w:sz w:val="20"/>
                <w:szCs w:val="20"/>
                <w:lang w:val="sr-Cyrl-RS" w:eastAsia="en-GB"/>
                <w14:ligatures w14:val="none"/>
              </w:rPr>
              <w:t xml:space="preserve"> и планска</w:t>
            </w:r>
            <w:r w:rsidR="00983196" w:rsidRPr="009C19C5">
              <w:rPr>
                <w:rFonts w:ascii="Times New Roman" w:eastAsia="Times New Roman" w:hAnsi="Times New Roman" w:cs="Times New Roman"/>
                <w:color w:val="000000"/>
                <w:kern w:val="0"/>
                <w:sz w:val="20"/>
                <w:szCs w:val="20"/>
                <w:lang w:val="sr-Cyrl-RS" w:eastAsia="en-GB"/>
                <w14:ligatures w14:val="none"/>
              </w:rPr>
              <w:t xml:space="preserve"> документа</w:t>
            </w:r>
          </w:p>
        </w:tc>
        <w:tc>
          <w:tcPr>
            <w:tcW w:w="2160" w:type="dxa"/>
            <w:vAlign w:val="center"/>
          </w:tcPr>
          <w:p w14:paraId="1BD1DFFF" w14:textId="65D5265D" w:rsidR="00F276BC" w:rsidRPr="009C19C5" w:rsidRDefault="000A0E4E">
            <w:pPr>
              <w:spacing w:after="0" w:line="276" w:lineRule="auto"/>
              <w:jc w:val="center"/>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180 хиљада</w:t>
            </w:r>
            <w:r w:rsidR="00364F94" w:rsidRPr="009C19C5">
              <w:rPr>
                <w:rFonts w:ascii="Times New Roman" w:eastAsia="Times New Roman" w:hAnsi="Times New Roman" w:cs="Times New Roman"/>
                <w:kern w:val="0"/>
                <w:sz w:val="20"/>
                <w:szCs w:val="20"/>
                <w:lang w:val="sr-Cyrl-RS"/>
                <w14:ligatures w14:val="none"/>
              </w:rPr>
              <w:t xml:space="preserve"> евра</w:t>
            </w:r>
          </w:p>
        </w:tc>
        <w:tc>
          <w:tcPr>
            <w:tcW w:w="2948" w:type="dxa"/>
            <w:vAlign w:val="center"/>
          </w:tcPr>
          <w:p w14:paraId="5D8B0AC8" w14:textId="4651B378" w:rsidR="00F276BC" w:rsidRPr="009C19C5" w:rsidRDefault="009641EC" w:rsidP="00DC0B96">
            <w:pPr>
              <w:spacing w:after="0" w:line="240" w:lineRule="auto"/>
              <w:jc w:val="center"/>
              <w:rPr>
                <w:rFonts w:ascii="Times New Roman" w:eastAsia="Times New Roman" w:hAnsi="Times New Roman" w:cs="Times New Roman"/>
                <w:kern w:val="0"/>
                <w:sz w:val="20"/>
                <w:szCs w:val="20"/>
                <w:lang w:val="sr-Cyrl-RS"/>
                <w14:ligatures w14:val="none"/>
              </w:rPr>
            </w:pPr>
            <w:r w:rsidRPr="009C19C5">
              <w:rPr>
                <w:rFonts w:ascii="Times New Roman" w:hAnsi="Times New Roman" w:cs="Times New Roman"/>
                <w:color w:val="000000"/>
                <w:sz w:val="20"/>
                <w:szCs w:val="20"/>
                <w:lang w:val="sr-Cyrl-RS" w:eastAsia="en-GB"/>
              </w:rPr>
              <w:t>Међународни донатори,</w:t>
            </w:r>
            <w:r w:rsidRPr="009C19C5">
              <w:rPr>
                <w:rFonts w:ascii="Times New Roman" w:hAnsi="Times New Roman" w:cs="Times New Roman"/>
                <w:sz w:val="20"/>
                <w:szCs w:val="20"/>
                <w:lang w:val="sr-Cyrl-RS" w:eastAsia="en-GB"/>
              </w:rPr>
              <w:t xml:space="preserve"> </w:t>
            </w:r>
            <w:r w:rsidR="00DC0B96" w:rsidRPr="009C19C5">
              <w:rPr>
                <w:rFonts w:ascii="Times New Roman" w:hAnsi="Times New Roman" w:cs="Times New Roman"/>
                <w:sz w:val="20"/>
                <w:szCs w:val="20"/>
                <w:lang w:val="sr-Cyrl-RS" w:eastAsia="en-GB"/>
              </w:rPr>
              <w:t>б</w:t>
            </w:r>
            <w:r w:rsidRPr="009C19C5">
              <w:rPr>
                <w:rFonts w:ascii="Times New Roman" w:hAnsi="Times New Roman" w:cs="Times New Roman"/>
                <w:sz w:val="20"/>
                <w:szCs w:val="20"/>
                <w:lang w:val="sr-Cyrl-RS" w:eastAsia="en-GB"/>
              </w:rPr>
              <w:t>уџет Републике</w:t>
            </w:r>
            <w:r w:rsidRPr="009C19C5">
              <w:rPr>
                <w:rFonts w:ascii="Times New Roman" w:eastAsia="Times New Roman" w:hAnsi="Times New Roman" w:cs="Times New Roman"/>
                <w:kern w:val="0"/>
                <w:sz w:val="20"/>
                <w:szCs w:val="20"/>
                <w:lang w:val="sr-Cyrl-RS"/>
                <w14:ligatures w14:val="none"/>
              </w:rPr>
              <w:t xml:space="preserve"> </w:t>
            </w:r>
            <w:r w:rsidRPr="009C19C5">
              <w:rPr>
                <w:rFonts w:ascii="Times New Roman" w:hAnsi="Times New Roman" w:cs="Times New Roman"/>
                <w:color w:val="000000"/>
                <w:sz w:val="20"/>
                <w:szCs w:val="20"/>
                <w:lang w:val="sr-Cyrl-RS" w:eastAsia="en-GB"/>
              </w:rPr>
              <w:t>и други извори у складу са законом</w:t>
            </w:r>
          </w:p>
        </w:tc>
      </w:tr>
      <w:tr w:rsidR="00F276BC" w:rsidRPr="009C19C5" w14:paraId="5F35FD3E" w14:textId="77777777" w:rsidTr="00D91B53">
        <w:trPr>
          <w:jc w:val="center"/>
        </w:trPr>
        <w:tc>
          <w:tcPr>
            <w:tcW w:w="846" w:type="dxa"/>
            <w:vAlign w:val="center"/>
          </w:tcPr>
          <w:p w14:paraId="6785EE58" w14:textId="77777777" w:rsidR="00F276BC" w:rsidRPr="009C19C5" w:rsidRDefault="000A0E4E">
            <w:pPr>
              <w:spacing w:after="0" w:line="276" w:lineRule="auto"/>
              <w:jc w:val="center"/>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5.</w:t>
            </w:r>
          </w:p>
        </w:tc>
        <w:tc>
          <w:tcPr>
            <w:tcW w:w="4369" w:type="dxa"/>
            <w:vAlign w:val="center"/>
          </w:tcPr>
          <w:p w14:paraId="18159577" w14:textId="4F2FF26F" w:rsidR="00F276BC" w:rsidRPr="009C19C5" w:rsidRDefault="000A0E4E" w:rsidP="00333A2A">
            <w:pPr>
              <w:spacing w:after="0" w:line="276" w:lineRule="auto"/>
              <w:jc w:val="both"/>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color w:val="000000"/>
                <w:kern w:val="0"/>
                <w:sz w:val="20"/>
                <w:szCs w:val="20"/>
                <w:lang w:val="sr-Cyrl-RS" w:eastAsia="en-GB"/>
                <w14:ligatures w14:val="none"/>
              </w:rPr>
              <w:t>Циљано подизање свести за све заинтересоване стране / циљне групе поменуте у плану ангажовања циљних страна</w:t>
            </w:r>
          </w:p>
        </w:tc>
        <w:tc>
          <w:tcPr>
            <w:tcW w:w="2160" w:type="dxa"/>
            <w:vAlign w:val="center"/>
          </w:tcPr>
          <w:p w14:paraId="0F13B480" w14:textId="7D746676" w:rsidR="00F276BC" w:rsidRPr="009C19C5" w:rsidRDefault="000A0E4E">
            <w:pPr>
              <w:spacing w:after="0" w:line="276" w:lineRule="auto"/>
              <w:jc w:val="center"/>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1,65 милиона</w:t>
            </w:r>
            <w:r w:rsidR="00017759" w:rsidRPr="009C19C5">
              <w:rPr>
                <w:rFonts w:ascii="Times New Roman" w:eastAsia="Times New Roman" w:hAnsi="Times New Roman" w:cs="Times New Roman"/>
                <w:kern w:val="0"/>
                <w:sz w:val="20"/>
                <w:szCs w:val="20"/>
                <w:lang w:val="sr-Cyrl-RS"/>
                <w14:ligatures w14:val="none"/>
              </w:rPr>
              <w:t xml:space="preserve"> евра</w:t>
            </w:r>
          </w:p>
        </w:tc>
        <w:tc>
          <w:tcPr>
            <w:tcW w:w="2948" w:type="dxa"/>
            <w:vAlign w:val="center"/>
          </w:tcPr>
          <w:p w14:paraId="020043CF" w14:textId="475EE1E7" w:rsidR="00F276BC" w:rsidRPr="009C19C5" w:rsidRDefault="000A0E4E" w:rsidP="00DC0B96">
            <w:pPr>
              <w:spacing w:after="0" w:line="276" w:lineRule="auto"/>
              <w:jc w:val="center"/>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 xml:space="preserve">ИПА, </w:t>
            </w:r>
            <w:r w:rsidR="009641EC" w:rsidRPr="009C19C5">
              <w:rPr>
                <w:rFonts w:ascii="Times New Roman" w:hAnsi="Times New Roman" w:cs="Times New Roman"/>
                <w:color w:val="000000"/>
                <w:sz w:val="20"/>
                <w:szCs w:val="20"/>
                <w:lang w:val="sr-Cyrl-RS" w:eastAsia="en-GB"/>
              </w:rPr>
              <w:t>Међународни донатори,</w:t>
            </w:r>
            <w:r w:rsidR="009641EC" w:rsidRPr="009C19C5">
              <w:rPr>
                <w:rFonts w:ascii="Times New Roman" w:hAnsi="Times New Roman" w:cs="Times New Roman"/>
                <w:sz w:val="20"/>
                <w:szCs w:val="20"/>
                <w:lang w:val="sr-Cyrl-RS" w:eastAsia="en-GB"/>
              </w:rPr>
              <w:t xml:space="preserve"> </w:t>
            </w:r>
            <w:r w:rsidR="00DC0B96" w:rsidRPr="009C19C5">
              <w:rPr>
                <w:rFonts w:ascii="Times New Roman" w:hAnsi="Times New Roman" w:cs="Times New Roman"/>
                <w:sz w:val="20"/>
                <w:szCs w:val="20"/>
                <w:lang w:val="sr-Cyrl-RS" w:eastAsia="en-GB"/>
              </w:rPr>
              <w:t>б</w:t>
            </w:r>
            <w:r w:rsidR="009641EC" w:rsidRPr="009C19C5">
              <w:rPr>
                <w:rFonts w:ascii="Times New Roman" w:hAnsi="Times New Roman" w:cs="Times New Roman"/>
                <w:sz w:val="20"/>
                <w:szCs w:val="20"/>
                <w:lang w:val="sr-Cyrl-RS" w:eastAsia="en-GB"/>
              </w:rPr>
              <w:t>уџет Републике</w:t>
            </w:r>
            <w:r w:rsidR="009641EC" w:rsidRPr="009C19C5">
              <w:rPr>
                <w:rFonts w:ascii="Times New Roman" w:eastAsia="Times New Roman" w:hAnsi="Times New Roman" w:cs="Times New Roman"/>
                <w:kern w:val="0"/>
                <w:sz w:val="20"/>
                <w:szCs w:val="20"/>
                <w:lang w:val="sr-Cyrl-RS"/>
                <w14:ligatures w14:val="none"/>
              </w:rPr>
              <w:t xml:space="preserve"> </w:t>
            </w:r>
            <w:r w:rsidR="009641EC" w:rsidRPr="009C19C5">
              <w:rPr>
                <w:rFonts w:ascii="Times New Roman" w:hAnsi="Times New Roman" w:cs="Times New Roman"/>
                <w:color w:val="000000"/>
                <w:sz w:val="20"/>
                <w:szCs w:val="20"/>
                <w:lang w:val="sr-Cyrl-RS" w:eastAsia="en-GB"/>
              </w:rPr>
              <w:t>и други извори у складу са законом</w:t>
            </w:r>
          </w:p>
        </w:tc>
      </w:tr>
      <w:tr w:rsidR="00F276BC" w:rsidRPr="009C19C5" w14:paraId="2CC1676E" w14:textId="77777777" w:rsidTr="00D91B53">
        <w:trPr>
          <w:jc w:val="center"/>
        </w:trPr>
        <w:tc>
          <w:tcPr>
            <w:tcW w:w="846" w:type="dxa"/>
            <w:vAlign w:val="center"/>
          </w:tcPr>
          <w:p w14:paraId="35411156" w14:textId="77777777" w:rsidR="00F276BC" w:rsidRPr="009C19C5" w:rsidRDefault="000A0E4E">
            <w:pPr>
              <w:spacing w:after="0" w:line="276" w:lineRule="auto"/>
              <w:jc w:val="center"/>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6.</w:t>
            </w:r>
          </w:p>
        </w:tc>
        <w:tc>
          <w:tcPr>
            <w:tcW w:w="4369" w:type="dxa"/>
            <w:vAlign w:val="center"/>
          </w:tcPr>
          <w:p w14:paraId="1C42EA9C" w14:textId="2E2977F6" w:rsidR="00F276BC" w:rsidRPr="009C19C5" w:rsidRDefault="000A0E4E" w:rsidP="00333A2A">
            <w:pPr>
              <w:spacing w:after="0" w:line="276" w:lineRule="auto"/>
              <w:jc w:val="both"/>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color w:val="000000"/>
                <w:kern w:val="0"/>
                <w:sz w:val="20"/>
                <w:szCs w:val="20"/>
                <w:lang w:val="sr-Cyrl-RS" w:eastAsia="en-GB"/>
                <w14:ligatures w14:val="none"/>
              </w:rPr>
              <w:t>Национални стратешки план за зелене вештине</w:t>
            </w:r>
          </w:p>
        </w:tc>
        <w:tc>
          <w:tcPr>
            <w:tcW w:w="2160" w:type="dxa"/>
            <w:vAlign w:val="center"/>
          </w:tcPr>
          <w:p w14:paraId="4E2F1865" w14:textId="07EBE1A7" w:rsidR="00F276BC" w:rsidRPr="009C19C5" w:rsidRDefault="000A0E4E">
            <w:pPr>
              <w:spacing w:after="0" w:line="276" w:lineRule="auto"/>
              <w:jc w:val="center"/>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200 хиљада</w:t>
            </w:r>
            <w:r w:rsidR="00017759" w:rsidRPr="009C19C5">
              <w:rPr>
                <w:rFonts w:ascii="Times New Roman" w:eastAsia="Times New Roman" w:hAnsi="Times New Roman" w:cs="Times New Roman"/>
                <w:kern w:val="0"/>
                <w:sz w:val="20"/>
                <w:szCs w:val="20"/>
                <w:lang w:val="sr-Cyrl-RS"/>
                <w14:ligatures w14:val="none"/>
              </w:rPr>
              <w:t xml:space="preserve"> евра</w:t>
            </w:r>
          </w:p>
        </w:tc>
        <w:tc>
          <w:tcPr>
            <w:tcW w:w="2948" w:type="dxa"/>
            <w:vAlign w:val="center"/>
          </w:tcPr>
          <w:p w14:paraId="7FC7BD98" w14:textId="1E0D368F" w:rsidR="00F276BC" w:rsidRPr="009C19C5" w:rsidRDefault="009641EC" w:rsidP="00DC0B96">
            <w:pPr>
              <w:spacing w:after="0" w:line="276" w:lineRule="auto"/>
              <w:jc w:val="center"/>
              <w:rPr>
                <w:rFonts w:ascii="Times New Roman" w:eastAsia="Times New Roman" w:hAnsi="Times New Roman" w:cs="Times New Roman"/>
                <w:kern w:val="0"/>
                <w:sz w:val="20"/>
                <w:szCs w:val="20"/>
                <w:lang w:val="sr-Cyrl-RS"/>
                <w14:ligatures w14:val="none"/>
              </w:rPr>
            </w:pPr>
            <w:r w:rsidRPr="009C19C5">
              <w:rPr>
                <w:rFonts w:ascii="Times New Roman" w:hAnsi="Times New Roman" w:cs="Times New Roman"/>
                <w:color w:val="000000"/>
                <w:sz w:val="20"/>
                <w:szCs w:val="20"/>
                <w:lang w:val="sr-Cyrl-RS" w:eastAsia="en-GB"/>
              </w:rPr>
              <w:t>Међународни донатори,</w:t>
            </w:r>
            <w:r w:rsidRPr="009C19C5">
              <w:rPr>
                <w:rFonts w:ascii="Times New Roman" w:hAnsi="Times New Roman" w:cs="Times New Roman"/>
                <w:sz w:val="20"/>
                <w:szCs w:val="20"/>
                <w:lang w:val="sr-Cyrl-RS" w:eastAsia="en-GB"/>
              </w:rPr>
              <w:t xml:space="preserve"> </w:t>
            </w:r>
            <w:r w:rsidR="00DC0B96" w:rsidRPr="009C19C5">
              <w:rPr>
                <w:rFonts w:ascii="Times New Roman" w:hAnsi="Times New Roman" w:cs="Times New Roman"/>
                <w:sz w:val="20"/>
                <w:szCs w:val="20"/>
                <w:lang w:val="sr-Cyrl-RS" w:eastAsia="en-GB"/>
              </w:rPr>
              <w:t>б</w:t>
            </w:r>
            <w:r w:rsidRPr="009C19C5">
              <w:rPr>
                <w:rFonts w:ascii="Times New Roman" w:hAnsi="Times New Roman" w:cs="Times New Roman"/>
                <w:sz w:val="20"/>
                <w:szCs w:val="20"/>
                <w:lang w:val="sr-Cyrl-RS" w:eastAsia="en-GB"/>
              </w:rPr>
              <w:t>уџет Републике</w:t>
            </w:r>
            <w:r w:rsidRPr="009C19C5">
              <w:rPr>
                <w:rFonts w:ascii="Times New Roman" w:eastAsia="Times New Roman" w:hAnsi="Times New Roman" w:cs="Times New Roman"/>
                <w:kern w:val="0"/>
                <w:sz w:val="20"/>
                <w:szCs w:val="20"/>
                <w:lang w:val="sr-Cyrl-RS"/>
                <w14:ligatures w14:val="none"/>
              </w:rPr>
              <w:t xml:space="preserve"> </w:t>
            </w:r>
            <w:r w:rsidRPr="009C19C5">
              <w:rPr>
                <w:rFonts w:ascii="Times New Roman" w:hAnsi="Times New Roman" w:cs="Times New Roman"/>
                <w:color w:val="000000"/>
                <w:sz w:val="20"/>
                <w:szCs w:val="20"/>
                <w:lang w:val="sr-Cyrl-RS" w:eastAsia="en-GB"/>
              </w:rPr>
              <w:t>и други извори у складу са законом</w:t>
            </w:r>
          </w:p>
        </w:tc>
      </w:tr>
      <w:tr w:rsidR="00F276BC" w:rsidRPr="009C19C5" w14:paraId="4719D396" w14:textId="77777777" w:rsidTr="00D91B53">
        <w:trPr>
          <w:trHeight w:val="1772"/>
          <w:jc w:val="center"/>
        </w:trPr>
        <w:tc>
          <w:tcPr>
            <w:tcW w:w="846" w:type="dxa"/>
            <w:vAlign w:val="center"/>
          </w:tcPr>
          <w:p w14:paraId="12A9C081" w14:textId="77777777" w:rsidR="00F276BC" w:rsidRPr="009C19C5" w:rsidRDefault="000A0E4E">
            <w:pPr>
              <w:spacing w:after="0" w:line="276" w:lineRule="auto"/>
              <w:jc w:val="center"/>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7.</w:t>
            </w:r>
          </w:p>
        </w:tc>
        <w:tc>
          <w:tcPr>
            <w:tcW w:w="4369" w:type="dxa"/>
            <w:vAlign w:val="center"/>
          </w:tcPr>
          <w:p w14:paraId="154ACAAA" w14:textId="0D6859C0" w:rsidR="00F276BC" w:rsidRPr="009C19C5" w:rsidRDefault="000A0E4E" w:rsidP="00333A2A">
            <w:pPr>
              <w:spacing w:after="0" w:line="276" w:lineRule="auto"/>
              <w:jc w:val="both"/>
              <w:rPr>
                <w:rFonts w:ascii="Times New Roman" w:eastAsia="Times New Roman" w:hAnsi="Times New Roman" w:cs="Times New Roman"/>
                <w:bCs/>
                <w:color w:val="00B050"/>
                <w:kern w:val="0"/>
                <w:sz w:val="20"/>
                <w:szCs w:val="20"/>
                <w:lang w:val="sr-Cyrl-RS"/>
                <w14:ligatures w14:val="none"/>
              </w:rPr>
            </w:pPr>
            <w:r w:rsidRPr="009C19C5">
              <w:rPr>
                <w:rFonts w:ascii="Times New Roman" w:hAnsi="Times New Roman" w:cs="Times New Roman"/>
                <w:sz w:val="20"/>
                <w:szCs w:val="20"/>
                <w:lang w:val="sr-Cyrl-RS"/>
              </w:rPr>
              <w:t xml:space="preserve">Истраживање алтернативних опција и њихових одговарајућих утицаја у погледу просторног планирања, коришћења и </w:t>
            </w:r>
            <w:r w:rsidR="00B03EED" w:rsidRPr="009C19C5">
              <w:rPr>
                <w:rFonts w:ascii="Times New Roman" w:hAnsi="Times New Roman" w:cs="Times New Roman"/>
                <w:sz w:val="20"/>
                <w:szCs w:val="20"/>
                <w:lang w:val="sr-Cyrl-RS"/>
              </w:rPr>
              <w:t>расп</w:t>
            </w:r>
            <w:r w:rsidRPr="009C19C5">
              <w:rPr>
                <w:rFonts w:ascii="Times New Roman" w:hAnsi="Times New Roman" w:cs="Times New Roman"/>
                <w:sz w:val="20"/>
                <w:szCs w:val="20"/>
                <w:lang w:val="sr-Cyrl-RS"/>
              </w:rPr>
              <w:t xml:space="preserve">оделе рехабилитованог земљишта, привлачења и олакшавања приступа инвеститорима, учешћа у шемама </w:t>
            </w:r>
            <w:r w:rsidR="00017759" w:rsidRPr="009C19C5">
              <w:rPr>
                <w:rFonts w:ascii="Times New Roman" w:hAnsi="Times New Roman" w:cs="Times New Roman"/>
                <w:sz w:val="20"/>
                <w:szCs w:val="20"/>
                <w:lang w:val="sr-Cyrl-RS"/>
              </w:rPr>
              <w:t xml:space="preserve">јавно-приватног партнерства </w:t>
            </w:r>
            <w:r w:rsidRPr="009C19C5">
              <w:rPr>
                <w:rFonts w:ascii="Times New Roman" w:hAnsi="Times New Roman" w:cs="Times New Roman"/>
                <w:sz w:val="20"/>
                <w:szCs w:val="20"/>
                <w:lang w:val="sr-Cyrl-RS"/>
              </w:rPr>
              <w:t>и предузимања тендерских процедура</w:t>
            </w:r>
          </w:p>
        </w:tc>
        <w:tc>
          <w:tcPr>
            <w:tcW w:w="2160" w:type="dxa"/>
            <w:vAlign w:val="center"/>
          </w:tcPr>
          <w:p w14:paraId="714D9F44" w14:textId="7747DD49" w:rsidR="00F276BC" w:rsidRPr="009C19C5" w:rsidRDefault="000A0E4E">
            <w:pPr>
              <w:spacing w:after="0" w:line="276" w:lineRule="auto"/>
              <w:jc w:val="center"/>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70 хиљада</w:t>
            </w:r>
            <w:r w:rsidR="00017759" w:rsidRPr="009C19C5">
              <w:rPr>
                <w:rFonts w:ascii="Times New Roman" w:eastAsia="Times New Roman" w:hAnsi="Times New Roman" w:cs="Times New Roman"/>
                <w:kern w:val="0"/>
                <w:sz w:val="20"/>
                <w:szCs w:val="20"/>
                <w:lang w:val="sr-Cyrl-RS"/>
                <w14:ligatures w14:val="none"/>
              </w:rPr>
              <w:t xml:space="preserve"> евра</w:t>
            </w:r>
          </w:p>
        </w:tc>
        <w:tc>
          <w:tcPr>
            <w:tcW w:w="2948" w:type="dxa"/>
            <w:vAlign w:val="center"/>
          </w:tcPr>
          <w:p w14:paraId="49E3E6CB" w14:textId="7BF2C50B" w:rsidR="00F276BC" w:rsidRPr="009C19C5" w:rsidRDefault="00DC0B96">
            <w:pPr>
              <w:spacing w:after="0" w:line="276" w:lineRule="auto"/>
              <w:jc w:val="center"/>
              <w:rPr>
                <w:rFonts w:ascii="Times New Roman" w:eastAsia="Times New Roman" w:hAnsi="Times New Roman" w:cs="Times New Roman"/>
                <w:kern w:val="0"/>
                <w:sz w:val="20"/>
                <w:szCs w:val="20"/>
                <w:lang w:val="sr-Cyrl-RS"/>
                <w14:ligatures w14:val="none"/>
              </w:rPr>
            </w:pPr>
            <w:r w:rsidRPr="009C19C5">
              <w:rPr>
                <w:rFonts w:ascii="Times New Roman" w:hAnsi="Times New Roman" w:cs="Times New Roman"/>
                <w:sz w:val="20"/>
                <w:szCs w:val="20"/>
                <w:lang w:val="sr-Cyrl-RS" w:eastAsia="en-GB"/>
              </w:rPr>
              <w:t>б</w:t>
            </w:r>
            <w:r w:rsidR="009641EC" w:rsidRPr="009C19C5">
              <w:rPr>
                <w:rFonts w:ascii="Times New Roman" w:hAnsi="Times New Roman" w:cs="Times New Roman"/>
                <w:sz w:val="20"/>
                <w:szCs w:val="20"/>
                <w:lang w:val="sr-Cyrl-RS" w:eastAsia="en-GB"/>
              </w:rPr>
              <w:t>уџет Републике</w:t>
            </w:r>
            <w:r w:rsidR="009641EC" w:rsidRPr="009C19C5">
              <w:rPr>
                <w:rFonts w:ascii="Times New Roman" w:eastAsia="Times New Roman" w:hAnsi="Times New Roman" w:cs="Times New Roman"/>
                <w:kern w:val="0"/>
                <w:sz w:val="20"/>
                <w:szCs w:val="20"/>
                <w:lang w:val="sr-Cyrl-RS"/>
                <w14:ligatures w14:val="none"/>
              </w:rPr>
              <w:t xml:space="preserve"> </w:t>
            </w:r>
            <w:r w:rsidR="009641EC" w:rsidRPr="009C19C5">
              <w:rPr>
                <w:rFonts w:ascii="Times New Roman" w:hAnsi="Times New Roman" w:cs="Times New Roman"/>
                <w:color w:val="000000"/>
                <w:sz w:val="20"/>
                <w:szCs w:val="20"/>
                <w:lang w:val="sr-Cyrl-RS" w:eastAsia="en-GB"/>
              </w:rPr>
              <w:t>и и други извори у складу са законом</w:t>
            </w:r>
          </w:p>
        </w:tc>
      </w:tr>
      <w:tr w:rsidR="00F276BC" w:rsidRPr="009C19C5" w14:paraId="694DB4FE" w14:textId="77777777" w:rsidTr="00D91B53">
        <w:trPr>
          <w:jc w:val="center"/>
        </w:trPr>
        <w:tc>
          <w:tcPr>
            <w:tcW w:w="5215" w:type="dxa"/>
            <w:gridSpan w:val="2"/>
            <w:shd w:val="clear" w:color="auto" w:fill="F4F3F1" w:themeFill="accent2" w:themeFillTint="33"/>
            <w:vAlign w:val="center"/>
          </w:tcPr>
          <w:p w14:paraId="0E3091E6" w14:textId="77777777" w:rsidR="00F276BC" w:rsidRPr="009C19C5" w:rsidRDefault="000A0E4E">
            <w:pPr>
              <w:spacing w:after="0" w:line="276" w:lineRule="auto"/>
              <w:rPr>
                <w:rFonts w:ascii="Times New Roman" w:eastAsia="Times New Roman" w:hAnsi="Times New Roman" w:cs="Times New Roman"/>
                <w:color w:val="000000" w:themeColor="text1"/>
                <w:kern w:val="0"/>
                <w:sz w:val="20"/>
                <w:szCs w:val="20"/>
                <w:lang w:val="sr-Cyrl-RS" w:eastAsia="en-GB"/>
                <w14:ligatures w14:val="none"/>
              </w:rPr>
            </w:pPr>
            <w:r w:rsidRPr="009C19C5">
              <w:rPr>
                <w:rFonts w:ascii="Times New Roman" w:eastAsia="Times New Roman" w:hAnsi="Times New Roman" w:cs="Times New Roman"/>
                <w:color w:val="000000" w:themeColor="text1"/>
                <w:kern w:val="0"/>
                <w:sz w:val="20"/>
                <w:szCs w:val="20"/>
                <w:lang w:val="sr-Cyrl-RS" w:eastAsia="en-GB"/>
                <w14:ligatures w14:val="none"/>
              </w:rPr>
              <w:t>Укупне припремне активности на националном нивоу (до 2030)</w:t>
            </w:r>
          </w:p>
        </w:tc>
        <w:tc>
          <w:tcPr>
            <w:tcW w:w="2160" w:type="dxa"/>
            <w:shd w:val="clear" w:color="auto" w:fill="F4F3F1" w:themeFill="accent2" w:themeFillTint="33"/>
            <w:vAlign w:val="center"/>
          </w:tcPr>
          <w:p w14:paraId="7859D2B5" w14:textId="627E99E6" w:rsidR="00F276BC" w:rsidRPr="009C19C5" w:rsidRDefault="000A0E4E">
            <w:pPr>
              <w:spacing w:after="0" w:line="276" w:lineRule="auto"/>
              <w:jc w:val="center"/>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color w:val="000000"/>
                <w:kern w:val="0"/>
                <w:sz w:val="20"/>
                <w:szCs w:val="20"/>
                <w:lang w:val="sr-Cyrl-RS" w:eastAsia="en-GB"/>
                <w14:ligatures w14:val="none"/>
              </w:rPr>
              <w:t>2,</w:t>
            </w:r>
            <w:r w:rsidR="002C4CE3" w:rsidRPr="009C19C5">
              <w:rPr>
                <w:rFonts w:ascii="Times New Roman" w:eastAsia="Times New Roman" w:hAnsi="Times New Roman" w:cs="Times New Roman"/>
                <w:color w:val="000000"/>
                <w:kern w:val="0"/>
                <w:sz w:val="20"/>
                <w:szCs w:val="20"/>
                <w:lang w:val="sr-Cyrl-RS" w:eastAsia="en-GB"/>
                <w14:ligatures w14:val="none"/>
              </w:rPr>
              <w:t>6</w:t>
            </w:r>
            <w:r w:rsidRPr="009C19C5">
              <w:rPr>
                <w:rFonts w:ascii="Times New Roman" w:eastAsia="Times New Roman" w:hAnsi="Times New Roman" w:cs="Times New Roman"/>
                <w:color w:val="000000"/>
                <w:kern w:val="0"/>
                <w:sz w:val="20"/>
                <w:szCs w:val="20"/>
                <w:lang w:val="sr-Cyrl-RS" w:eastAsia="en-GB"/>
                <w14:ligatures w14:val="none"/>
              </w:rPr>
              <w:t xml:space="preserve"> милиона</w:t>
            </w:r>
            <w:r w:rsidR="00017759" w:rsidRPr="009C19C5">
              <w:rPr>
                <w:rFonts w:ascii="Times New Roman" w:eastAsia="Times New Roman" w:hAnsi="Times New Roman" w:cs="Times New Roman"/>
                <w:color w:val="000000"/>
                <w:kern w:val="0"/>
                <w:sz w:val="20"/>
                <w:szCs w:val="20"/>
                <w:lang w:val="sr-Cyrl-RS" w:eastAsia="en-GB"/>
                <w14:ligatures w14:val="none"/>
              </w:rPr>
              <w:t xml:space="preserve"> евра</w:t>
            </w:r>
          </w:p>
        </w:tc>
        <w:tc>
          <w:tcPr>
            <w:tcW w:w="2948" w:type="dxa"/>
            <w:shd w:val="clear" w:color="auto" w:fill="F4F3F1" w:themeFill="accent2" w:themeFillTint="33"/>
            <w:vAlign w:val="center"/>
          </w:tcPr>
          <w:p w14:paraId="28F565C3" w14:textId="77777777" w:rsidR="00F276BC" w:rsidRPr="009C19C5" w:rsidRDefault="00F276BC">
            <w:pPr>
              <w:spacing w:after="0" w:line="276" w:lineRule="auto"/>
              <w:jc w:val="center"/>
              <w:rPr>
                <w:rFonts w:ascii="Times New Roman" w:eastAsia="Times New Roman" w:hAnsi="Times New Roman" w:cs="Times New Roman"/>
                <w:kern w:val="0"/>
                <w:sz w:val="20"/>
                <w:szCs w:val="20"/>
                <w:lang w:val="sr-Cyrl-RS"/>
                <w14:ligatures w14:val="none"/>
              </w:rPr>
            </w:pPr>
          </w:p>
        </w:tc>
      </w:tr>
      <w:tr w:rsidR="00F276BC" w:rsidRPr="009C19C5" w14:paraId="644393EB" w14:textId="77777777" w:rsidTr="001A632B">
        <w:trPr>
          <w:trHeight w:val="300"/>
          <w:jc w:val="center"/>
        </w:trPr>
        <w:tc>
          <w:tcPr>
            <w:tcW w:w="10323" w:type="dxa"/>
            <w:gridSpan w:val="4"/>
            <w:shd w:val="clear" w:color="auto" w:fill="auto"/>
            <w:vAlign w:val="center"/>
          </w:tcPr>
          <w:p w14:paraId="6525553B" w14:textId="77777777" w:rsidR="00F276BC" w:rsidRPr="009C19C5" w:rsidRDefault="000A0E4E">
            <w:pPr>
              <w:spacing w:after="0" w:line="240" w:lineRule="auto"/>
              <w:jc w:val="center"/>
              <w:rPr>
                <w:rFonts w:ascii="Times New Roman" w:eastAsia="Times New Roman" w:hAnsi="Times New Roman" w:cs="Times New Roman"/>
                <w:bCs/>
                <w:kern w:val="0"/>
                <w:sz w:val="20"/>
                <w:szCs w:val="20"/>
                <w:lang w:val="sr-Cyrl-RS"/>
                <w14:ligatures w14:val="none"/>
              </w:rPr>
            </w:pPr>
            <w:r w:rsidRPr="009C19C5">
              <w:rPr>
                <w:rFonts w:ascii="Times New Roman" w:eastAsia="Times New Roman" w:hAnsi="Times New Roman" w:cs="Times New Roman"/>
                <w:bCs/>
                <w:kern w:val="0"/>
                <w:sz w:val="20"/>
                <w:szCs w:val="20"/>
                <w:lang w:val="sr-Cyrl-RS"/>
                <w14:ligatures w14:val="none"/>
              </w:rPr>
              <w:t>Краткорочне активности на локалном нивоу</w:t>
            </w:r>
          </w:p>
        </w:tc>
      </w:tr>
      <w:tr w:rsidR="00F276BC" w:rsidRPr="009C19C5" w14:paraId="39B9477E" w14:textId="77777777" w:rsidTr="00A04C0A">
        <w:trPr>
          <w:trHeight w:val="2933"/>
          <w:jc w:val="center"/>
        </w:trPr>
        <w:tc>
          <w:tcPr>
            <w:tcW w:w="846" w:type="dxa"/>
            <w:vAlign w:val="center"/>
          </w:tcPr>
          <w:p w14:paraId="0F8E9642" w14:textId="55BF92B6" w:rsidR="00F276BC" w:rsidRPr="009C19C5" w:rsidRDefault="00AB40D7">
            <w:pPr>
              <w:spacing w:after="0" w:line="276" w:lineRule="auto"/>
              <w:jc w:val="center"/>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8</w:t>
            </w:r>
            <w:r w:rsidR="000A0E4E" w:rsidRPr="009C19C5">
              <w:rPr>
                <w:rFonts w:ascii="Times New Roman" w:eastAsia="Times New Roman" w:hAnsi="Times New Roman" w:cs="Times New Roman"/>
                <w:kern w:val="0"/>
                <w:sz w:val="20"/>
                <w:szCs w:val="20"/>
                <w:lang w:val="sr-Cyrl-RS"/>
                <w14:ligatures w14:val="none"/>
              </w:rPr>
              <w:t>.</w:t>
            </w:r>
          </w:p>
        </w:tc>
        <w:tc>
          <w:tcPr>
            <w:tcW w:w="4369" w:type="dxa"/>
            <w:shd w:val="clear" w:color="auto" w:fill="auto"/>
            <w:vAlign w:val="center"/>
          </w:tcPr>
          <w:p w14:paraId="6C272D6D" w14:textId="71D48485" w:rsidR="00F276BC" w:rsidRPr="009C19C5" w:rsidRDefault="00467194" w:rsidP="00DC0B96">
            <w:pPr>
              <w:spacing w:after="0" w:line="276" w:lineRule="auto"/>
              <w:jc w:val="both"/>
              <w:rPr>
                <w:rFonts w:ascii="Times New Roman" w:eastAsia="Times New Roman" w:hAnsi="Times New Roman" w:cs="Times New Roman"/>
                <w:bCs/>
                <w:color w:val="FF0000"/>
                <w:kern w:val="0"/>
                <w:sz w:val="20"/>
                <w:szCs w:val="20"/>
                <w:lang w:val="sr-Cyrl-RS"/>
                <w14:ligatures w14:val="none"/>
              </w:rPr>
            </w:pPr>
            <w:r w:rsidRPr="009C19C5">
              <w:rPr>
                <w:rFonts w:ascii="Times New Roman" w:hAnsi="Times New Roman" w:cs="Times New Roman"/>
                <w:sz w:val="20"/>
                <w:szCs w:val="20"/>
                <w:lang w:val="sr-Cyrl-RS"/>
              </w:rPr>
              <w:t xml:space="preserve">Израда Анализе структуре запослених (потенцијалних вишкова) и потреба за запошљавањем на локалном тржишту рада (уз могућност сагледавања могућих </w:t>
            </w:r>
            <w:r w:rsidRPr="009C19C5">
              <w:rPr>
                <w:rFonts w:ascii="Times New Roman" w:eastAsia="Calibri" w:hAnsi="Times New Roman" w:cs="Times New Roman"/>
                <w:kern w:val="0"/>
                <w:sz w:val="20"/>
                <w:szCs w:val="20"/>
                <w:lang w:val="sr-Cyrl-RS"/>
                <w14:ligatures w14:val="none"/>
              </w:rPr>
              <w:t>посебних мера за децу из погођених породица)</w:t>
            </w:r>
          </w:p>
        </w:tc>
        <w:tc>
          <w:tcPr>
            <w:tcW w:w="2160" w:type="dxa"/>
            <w:shd w:val="clear" w:color="auto" w:fill="auto"/>
            <w:vAlign w:val="center"/>
          </w:tcPr>
          <w:p w14:paraId="3606AB6E" w14:textId="52168DFB" w:rsidR="00F276BC" w:rsidRPr="009C19C5" w:rsidRDefault="00600EEC" w:rsidP="00E44013">
            <w:pPr>
              <w:spacing w:after="0"/>
              <w:rPr>
                <w:rFonts w:ascii="Times New Roman" w:eastAsia="Times New Roman" w:hAnsi="Times New Roman" w:cs="Times New Roman"/>
                <w:kern w:val="0"/>
                <w:sz w:val="20"/>
                <w:szCs w:val="20"/>
                <w:lang w:val="sr-Cyrl-RS"/>
                <w14:ligatures w14:val="none"/>
              </w:rPr>
            </w:pPr>
            <w:r w:rsidRPr="009C19C5">
              <w:rPr>
                <w:rFonts w:ascii="Times New Roman" w:hAnsi="Times New Roman" w:cs="Times New Roman"/>
                <w:sz w:val="20"/>
                <w:szCs w:val="20"/>
                <w:lang w:val="sr-Cyrl-RS"/>
              </w:rPr>
              <w:t xml:space="preserve">Податак о процењеним трошковима није расположив, с обзиром да је исти условљен обимом и динамиком смањења, односно напуштања производње енергије засноване на угљу, утврђене Планом </w:t>
            </w:r>
            <w:r w:rsidR="00A7582E" w:rsidRPr="009C19C5">
              <w:rPr>
                <w:rFonts w:ascii="Times New Roman" w:hAnsi="Times New Roman" w:cs="Times New Roman"/>
                <w:sz w:val="20"/>
                <w:szCs w:val="20"/>
                <w:lang w:val="sr-Cyrl-RS"/>
              </w:rPr>
              <w:t>ЕПС АД</w:t>
            </w:r>
          </w:p>
        </w:tc>
        <w:tc>
          <w:tcPr>
            <w:tcW w:w="2948" w:type="dxa"/>
            <w:shd w:val="clear" w:color="auto" w:fill="auto"/>
            <w:vAlign w:val="center"/>
          </w:tcPr>
          <w:p w14:paraId="38EB661D" w14:textId="2B7E2092" w:rsidR="00F276BC" w:rsidRPr="009C19C5" w:rsidRDefault="00017759">
            <w:pPr>
              <w:spacing w:after="0" w:line="276" w:lineRule="auto"/>
              <w:jc w:val="center"/>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Међународне финансијске институције , међународни донатори, у комбинацији са финансирањем за друге активне мере на тржишту рада</w:t>
            </w:r>
          </w:p>
        </w:tc>
      </w:tr>
      <w:tr w:rsidR="00F276BC" w:rsidRPr="009C19C5" w14:paraId="5855E224" w14:textId="77777777" w:rsidTr="00D91B53">
        <w:trPr>
          <w:jc w:val="center"/>
        </w:trPr>
        <w:tc>
          <w:tcPr>
            <w:tcW w:w="846" w:type="dxa"/>
            <w:vAlign w:val="center"/>
          </w:tcPr>
          <w:p w14:paraId="13F88844" w14:textId="2B6B14CC" w:rsidR="00F276BC" w:rsidRPr="009C19C5" w:rsidRDefault="00AB40D7">
            <w:pPr>
              <w:spacing w:after="0" w:line="276" w:lineRule="auto"/>
              <w:jc w:val="center"/>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9</w:t>
            </w:r>
            <w:r w:rsidR="000A0E4E" w:rsidRPr="009C19C5">
              <w:rPr>
                <w:rFonts w:ascii="Times New Roman" w:eastAsia="Times New Roman" w:hAnsi="Times New Roman" w:cs="Times New Roman"/>
                <w:kern w:val="0"/>
                <w:sz w:val="20"/>
                <w:szCs w:val="20"/>
                <w:lang w:val="sr-Cyrl-RS"/>
                <w14:ligatures w14:val="none"/>
              </w:rPr>
              <w:t>.</w:t>
            </w:r>
          </w:p>
        </w:tc>
        <w:tc>
          <w:tcPr>
            <w:tcW w:w="4369" w:type="dxa"/>
            <w:shd w:val="clear" w:color="auto" w:fill="auto"/>
            <w:vAlign w:val="center"/>
          </w:tcPr>
          <w:p w14:paraId="409043DD" w14:textId="1C9C5B5C" w:rsidR="00F276BC" w:rsidRPr="009C19C5" w:rsidRDefault="00846A6F" w:rsidP="00E44013">
            <w:pPr>
              <w:spacing w:after="0"/>
              <w:rPr>
                <w:rFonts w:ascii="Times New Roman" w:eastAsia="Times New Roman" w:hAnsi="Times New Roman" w:cs="Times New Roman"/>
                <w:kern w:val="0"/>
                <w:sz w:val="20"/>
                <w:szCs w:val="20"/>
                <w:lang w:val="sr-Cyrl-RS"/>
                <w14:ligatures w14:val="none"/>
              </w:rPr>
            </w:pPr>
            <w:r w:rsidRPr="009C19C5">
              <w:rPr>
                <w:rFonts w:ascii="Times New Roman" w:hAnsi="Times New Roman" w:cs="Times New Roman"/>
                <w:sz w:val="20"/>
                <w:szCs w:val="20"/>
                <w:lang w:val="sr-Cyrl-RS"/>
              </w:rPr>
              <w:t>Истраживање</w:t>
            </w:r>
            <w:r w:rsidR="00600EEC" w:rsidRPr="009C19C5">
              <w:rPr>
                <w:rFonts w:ascii="Times New Roman" w:hAnsi="Times New Roman" w:cs="Times New Roman"/>
                <w:sz w:val="20"/>
                <w:szCs w:val="20"/>
                <w:lang w:val="sr-Cyrl-RS"/>
              </w:rPr>
              <w:t xml:space="preserve"> мера за реинтеграцију на тржиште рада вишкова запослених, на основу налаза Анализе структуре запослених (потенцијалних вишкова) и потреба за запошљавањем на локалном тржишту рада</w:t>
            </w:r>
            <w:r w:rsidR="00E44013" w:rsidRPr="009C19C5">
              <w:rPr>
                <w:rFonts w:ascii="Times New Roman" w:hAnsi="Times New Roman" w:cs="Times New Roman"/>
                <w:sz w:val="20"/>
                <w:szCs w:val="20"/>
                <w:lang w:val="sr-Cyrl-RS"/>
              </w:rPr>
              <w:t>.</w:t>
            </w:r>
          </w:p>
        </w:tc>
        <w:tc>
          <w:tcPr>
            <w:tcW w:w="2160" w:type="dxa"/>
            <w:shd w:val="clear" w:color="auto" w:fill="auto"/>
            <w:vAlign w:val="center"/>
          </w:tcPr>
          <w:p w14:paraId="798840BC" w14:textId="1068D1EF" w:rsidR="00F276BC" w:rsidRPr="009C19C5" w:rsidRDefault="00600EEC" w:rsidP="00E44013">
            <w:pPr>
              <w:spacing w:after="0"/>
              <w:rPr>
                <w:rFonts w:ascii="Times New Roman" w:eastAsia="Times New Roman" w:hAnsi="Times New Roman" w:cs="Times New Roman"/>
                <w:kern w:val="0"/>
                <w:sz w:val="20"/>
                <w:szCs w:val="20"/>
                <w:lang w:val="sr-Cyrl-RS"/>
                <w14:ligatures w14:val="none"/>
              </w:rPr>
            </w:pPr>
            <w:r w:rsidRPr="009C19C5">
              <w:rPr>
                <w:rFonts w:ascii="Times New Roman" w:hAnsi="Times New Roman" w:cs="Times New Roman"/>
                <w:sz w:val="20"/>
                <w:szCs w:val="20"/>
                <w:lang w:val="sr-Cyrl-RS"/>
              </w:rPr>
              <w:t xml:space="preserve">Податак о процењеним трошковима није расположив с обзиром да је исти условљен налазима Анализе из тачке </w:t>
            </w:r>
            <w:r w:rsidR="00AB40D7" w:rsidRPr="009C19C5">
              <w:rPr>
                <w:rFonts w:ascii="Times New Roman" w:hAnsi="Times New Roman" w:cs="Times New Roman"/>
                <w:sz w:val="20"/>
                <w:szCs w:val="20"/>
                <w:lang w:val="sr-Cyrl-RS"/>
              </w:rPr>
              <w:t>8</w:t>
            </w:r>
            <w:r w:rsidR="00E44013" w:rsidRPr="009C19C5">
              <w:rPr>
                <w:rFonts w:ascii="Times New Roman" w:hAnsi="Times New Roman" w:cs="Times New Roman"/>
                <w:sz w:val="20"/>
                <w:szCs w:val="20"/>
                <w:lang w:val="sr-Cyrl-RS"/>
              </w:rPr>
              <w:t>.</w:t>
            </w:r>
          </w:p>
        </w:tc>
        <w:tc>
          <w:tcPr>
            <w:tcW w:w="2948" w:type="dxa"/>
            <w:shd w:val="clear" w:color="auto" w:fill="auto"/>
            <w:vAlign w:val="center"/>
          </w:tcPr>
          <w:p w14:paraId="7B286920" w14:textId="48992FCB" w:rsidR="00F276BC" w:rsidRPr="009C19C5" w:rsidRDefault="00DC0B96">
            <w:pPr>
              <w:spacing w:after="0" w:line="276" w:lineRule="auto"/>
              <w:jc w:val="center"/>
              <w:rPr>
                <w:rFonts w:ascii="Times New Roman" w:eastAsia="Times New Roman" w:hAnsi="Times New Roman" w:cs="Times New Roman"/>
                <w:kern w:val="0"/>
                <w:sz w:val="20"/>
                <w:szCs w:val="20"/>
                <w:lang w:val="sr-Cyrl-RS"/>
                <w14:ligatures w14:val="none"/>
              </w:rPr>
            </w:pPr>
            <w:r w:rsidRPr="009C19C5">
              <w:rPr>
                <w:rFonts w:ascii="Times New Roman" w:hAnsi="Times New Roman" w:cs="Times New Roman"/>
                <w:sz w:val="20"/>
                <w:szCs w:val="20"/>
                <w:lang w:val="sr-Cyrl-RS" w:eastAsia="en-GB"/>
              </w:rPr>
              <w:t>б</w:t>
            </w:r>
            <w:r w:rsidR="009641EC" w:rsidRPr="009C19C5">
              <w:rPr>
                <w:rFonts w:ascii="Times New Roman" w:hAnsi="Times New Roman" w:cs="Times New Roman"/>
                <w:sz w:val="20"/>
                <w:szCs w:val="20"/>
                <w:lang w:val="sr-Cyrl-RS" w:eastAsia="en-GB"/>
              </w:rPr>
              <w:t>уџет Републике</w:t>
            </w:r>
            <w:r w:rsidR="009641EC" w:rsidRPr="009C19C5">
              <w:rPr>
                <w:rFonts w:ascii="Times New Roman" w:eastAsia="Times New Roman" w:hAnsi="Times New Roman" w:cs="Times New Roman"/>
                <w:kern w:val="0"/>
                <w:sz w:val="20"/>
                <w:szCs w:val="20"/>
                <w:lang w:val="sr-Cyrl-RS"/>
                <w14:ligatures w14:val="none"/>
              </w:rPr>
              <w:t xml:space="preserve"> </w:t>
            </w:r>
            <w:r w:rsidR="009641EC" w:rsidRPr="009C19C5">
              <w:rPr>
                <w:rFonts w:ascii="Times New Roman" w:hAnsi="Times New Roman" w:cs="Times New Roman"/>
                <w:color w:val="000000"/>
                <w:sz w:val="20"/>
                <w:szCs w:val="20"/>
                <w:lang w:val="sr-Cyrl-RS" w:eastAsia="en-GB"/>
              </w:rPr>
              <w:t>и д</w:t>
            </w:r>
            <w:r w:rsidRPr="009C19C5">
              <w:rPr>
                <w:rFonts w:ascii="Times New Roman" w:hAnsi="Times New Roman" w:cs="Times New Roman"/>
                <w:color w:val="000000"/>
                <w:sz w:val="20"/>
                <w:szCs w:val="20"/>
                <w:lang w:val="sr-Cyrl-RS" w:eastAsia="en-GB"/>
              </w:rPr>
              <w:t>руги извори у складу са законом</w:t>
            </w:r>
            <w:r w:rsidR="000A0E4E" w:rsidRPr="009C19C5">
              <w:rPr>
                <w:rFonts w:ascii="Times New Roman" w:eastAsia="Times New Roman" w:hAnsi="Times New Roman" w:cs="Times New Roman"/>
                <w:kern w:val="0"/>
                <w:sz w:val="20"/>
                <w:szCs w:val="20"/>
                <w:lang w:val="sr-Cyrl-RS"/>
                <w14:ligatures w14:val="none"/>
              </w:rPr>
              <w:t xml:space="preserve">, ИПА фондови, </w:t>
            </w:r>
            <w:r w:rsidR="00017759" w:rsidRPr="009C19C5">
              <w:rPr>
                <w:rFonts w:ascii="Times New Roman" w:eastAsia="Times New Roman" w:hAnsi="Times New Roman" w:cs="Times New Roman"/>
                <w:kern w:val="0"/>
                <w:sz w:val="20"/>
                <w:szCs w:val="20"/>
                <w:lang w:val="sr-Cyrl-RS"/>
                <w14:ligatures w14:val="none"/>
              </w:rPr>
              <w:t xml:space="preserve">други </w:t>
            </w:r>
            <w:r w:rsidR="000A0E4E" w:rsidRPr="009C19C5">
              <w:rPr>
                <w:rFonts w:ascii="Times New Roman" w:eastAsia="Times New Roman" w:hAnsi="Times New Roman" w:cs="Times New Roman"/>
                <w:kern w:val="0"/>
                <w:sz w:val="20"/>
                <w:szCs w:val="20"/>
                <w:lang w:val="sr-Cyrl-RS"/>
                <w14:ligatures w14:val="none"/>
              </w:rPr>
              <w:t>донатори</w:t>
            </w:r>
          </w:p>
        </w:tc>
      </w:tr>
      <w:tr w:rsidR="00F276BC" w:rsidRPr="009C19C5" w14:paraId="3AC20AC2" w14:textId="77777777" w:rsidTr="00D91B53">
        <w:trPr>
          <w:jc w:val="center"/>
        </w:trPr>
        <w:tc>
          <w:tcPr>
            <w:tcW w:w="846" w:type="dxa"/>
            <w:vAlign w:val="center"/>
          </w:tcPr>
          <w:p w14:paraId="71D1601C" w14:textId="79BBD0F5" w:rsidR="00F276BC" w:rsidRPr="009C19C5" w:rsidRDefault="000A0E4E">
            <w:pPr>
              <w:spacing w:after="0" w:line="276" w:lineRule="auto"/>
              <w:jc w:val="center"/>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1</w:t>
            </w:r>
            <w:r w:rsidR="00AB40D7" w:rsidRPr="009C19C5">
              <w:rPr>
                <w:rFonts w:ascii="Times New Roman" w:eastAsia="Times New Roman" w:hAnsi="Times New Roman" w:cs="Times New Roman"/>
                <w:kern w:val="0"/>
                <w:sz w:val="20"/>
                <w:szCs w:val="20"/>
                <w:lang w:val="sr-Cyrl-RS"/>
                <w14:ligatures w14:val="none"/>
              </w:rPr>
              <w:t>0</w:t>
            </w:r>
            <w:r w:rsidRPr="009C19C5">
              <w:rPr>
                <w:rFonts w:ascii="Times New Roman" w:eastAsia="Times New Roman" w:hAnsi="Times New Roman" w:cs="Times New Roman"/>
                <w:kern w:val="0"/>
                <w:sz w:val="20"/>
                <w:szCs w:val="20"/>
                <w:lang w:val="sr-Cyrl-RS"/>
                <w14:ligatures w14:val="none"/>
              </w:rPr>
              <w:t>.</w:t>
            </w:r>
          </w:p>
        </w:tc>
        <w:tc>
          <w:tcPr>
            <w:tcW w:w="4369" w:type="dxa"/>
            <w:shd w:val="clear" w:color="auto" w:fill="auto"/>
            <w:vAlign w:val="center"/>
          </w:tcPr>
          <w:p w14:paraId="0860F4A2" w14:textId="36A388B3" w:rsidR="00F276BC" w:rsidRPr="009C19C5" w:rsidRDefault="000A0E4E" w:rsidP="00333A2A">
            <w:pPr>
              <w:spacing w:after="0" w:line="276" w:lineRule="auto"/>
              <w:jc w:val="both"/>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 xml:space="preserve">План прерасподеле радника унутар компанија </w:t>
            </w:r>
            <w:r w:rsidR="00A175AC" w:rsidRPr="009C19C5">
              <w:rPr>
                <w:rFonts w:ascii="Times New Roman" w:eastAsia="Times New Roman" w:hAnsi="Times New Roman" w:cs="Times New Roman"/>
                <w:kern w:val="0"/>
                <w:sz w:val="20"/>
                <w:szCs w:val="20"/>
                <w:lang w:val="sr-Cyrl-RS"/>
                <w14:ligatures w14:val="none"/>
              </w:rPr>
              <w:t xml:space="preserve">у </w:t>
            </w:r>
            <w:r w:rsidRPr="009C19C5">
              <w:rPr>
                <w:rFonts w:ascii="Times New Roman" w:eastAsia="Times New Roman" w:hAnsi="Times New Roman" w:cs="Times New Roman"/>
                <w:kern w:val="0"/>
                <w:sz w:val="20"/>
                <w:szCs w:val="20"/>
                <w:lang w:val="sr-Cyrl-RS"/>
                <w14:ligatures w14:val="none"/>
              </w:rPr>
              <w:t>ланц</w:t>
            </w:r>
            <w:r w:rsidR="00A175AC" w:rsidRPr="009C19C5">
              <w:rPr>
                <w:rFonts w:ascii="Times New Roman" w:eastAsia="Times New Roman" w:hAnsi="Times New Roman" w:cs="Times New Roman"/>
                <w:kern w:val="0"/>
                <w:sz w:val="20"/>
                <w:szCs w:val="20"/>
                <w:lang w:val="sr-Cyrl-RS"/>
                <w14:ligatures w14:val="none"/>
              </w:rPr>
              <w:t>у</w:t>
            </w:r>
            <w:r w:rsidRPr="009C19C5">
              <w:rPr>
                <w:rFonts w:ascii="Times New Roman" w:eastAsia="Times New Roman" w:hAnsi="Times New Roman" w:cs="Times New Roman"/>
                <w:kern w:val="0"/>
                <w:sz w:val="20"/>
                <w:szCs w:val="20"/>
                <w:lang w:val="sr-Cyrl-RS"/>
                <w14:ligatures w14:val="none"/>
              </w:rPr>
              <w:t xml:space="preserve"> вредности производњ</w:t>
            </w:r>
            <w:r w:rsidR="00A175AC" w:rsidRPr="009C19C5">
              <w:rPr>
                <w:rFonts w:ascii="Times New Roman" w:eastAsia="Times New Roman" w:hAnsi="Times New Roman" w:cs="Times New Roman"/>
                <w:kern w:val="0"/>
                <w:sz w:val="20"/>
                <w:szCs w:val="20"/>
                <w:lang w:val="sr-Cyrl-RS"/>
                <w14:ligatures w14:val="none"/>
              </w:rPr>
              <w:t>е</w:t>
            </w:r>
            <w:r w:rsidRPr="009C19C5">
              <w:rPr>
                <w:rFonts w:ascii="Times New Roman" w:eastAsia="Times New Roman" w:hAnsi="Times New Roman" w:cs="Times New Roman"/>
                <w:kern w:val="0"/>
                <w:sz w:val="20"/>
                <w:szCs w:val="20"/>
                <w:lang w:val="sr-Cyrl-RS"/>
                <w14:ligatures w14:val="none"/>
              </w:rPr>
              <w:t xml:space="preserve"> енергије </w:t>
            </w:r>
            <w:r w:rsidR="00A175AC" w:rsidRPr="009C19C5">
              <w:rPr>
                <w:rFonts w:ascii="Times New Roman" w:eastAsia="Times New Roman" w:hAnsi="Times New Roman" w:cs="Times New Roman"/>
                <w:kern w:val="0"/>
                <w:sz w:val="20"/>
                <w:szCs w:val="20"/>
                <w:lang w:val="sr-Cyrl-RS"/>
                <w14:ligatures w14:val="none"/>
              </w:rPr>
              <w:t xml:space="preserve">из </w:t>
            </w:r>
            <w:r w:rsidRPr="009C19C5">
              <w:rPr>
                <w:rFonts w:ascii="Times New Roman" w:eastAsia="Times New Roman" w:hAnsi="Times New Roman" w:cs="Times New Roman"/>
                <w:kern w:val="0"/>
                <w:sz w:val="20"/>
                <w:szCs w:val="20"/>
                <w:lang w:val="sr-Cyrl-RS"/>
                <w14:ligatures w14:val="none"/>
              </w:rPr>
              <w:t>угљ</w:t>
            </w:r>
            <w:r w:rsidR="00A175AC" w:rsidRPr="009C19C5">
              <w:rPr>
                <w:rFonts w:ascii="Times New Roman" w:eastAsia="Times New Roman" w:hAnsi="Times New Roman" w:cs="Times New Roman"/>
                <w:kern w:val="0"/>
                <w:sz w:val="20"/>
                <w:szCs w:val="20"/>
                <w:lang w:val="sr-Cyrl-RS"/>
                <w14:ligatures w14:val="none"/>
              </w:rPr>
              <w:t>а</w:t>
            </w:r>
            <w:r w:rsidRPr="009C19C5">
              <w:rPr>
                <w:rFonts w:ascii="Times New Roman" w:eastAsia="Times New Roman" w:hAnsi="Times New Roman" w:cs="Times New Roman"/>
                <w:kern w:val="0"/>
                <w:sz w:val="20"/>
                <w:szCs w:val="20"/>
                <w:lang w:val="sr-Cyrl-RS"/>
                <w14:ligatures w14:val="none"/>
              </w:rPr>
              <w:t xml:space="preserve"> </w:t>
            </w:r>
          </w:p>
        </w:tc>
        <w:tc>
          <w:tcPr>
            <w:tcW w:w="2160" w:type="dxa"/>
            <w:shd w:val="clear" w:color="auto" w:fill="auto"/>
            <w:vAlign w:val="center"/>
          </w:tcPr>
          <w:p w14:paraId="0A95920B" w14:textId="77777777" w:rsidR="00F276BC" w:rsidRPr="009C19C5" w:rsidRDefault="000A0E4E">
            <w:pPr>
              <w:spacing w:after="0" w:line="276" w:lineRule="auto"/>
              <w:jc w:val="center"/>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Н/A</w:t>
            </w:r>
          </w:p>
        </w:tc>
        <w:tc>
          <w:tcPr>
            <w:tcW w:w="2948" w:type="dxa"/>
            <w:shd w:val="clear" w:color="auto" w:fill="auto"/>
            <w:vAlign w:val="center"/>
          </w:tcPr>
          <w:p w14:paraId="27106366" w14:textId="54C318BF" w:rsidR="00F276BC" w:rsidRPr="009C19C5" w:rsidRDefault="00017759">
            <w:pPr>
              <w:spacing w:after="0" w:line="276" w:lineRule="auto"/>
              <w:jc w:val="center"/>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 xml:space="preserve">Сопствена средства </w:t>
            </w:r>
            <w:r w:rsidR="00A7582E" w:rsidRPr="009C19C5">
              <w:rPr>
                <w:rFonts w:ascii="Times New Roman" w:eastAsia="Times New Roman" w:hAnsi="Times New Roman" w:cs="Times New Roman"/>
                <w:kern w:val="0"/>
                <w:sz w:val="20"/>
                <w:szCs w:val="20"/>
                <w:lang w:val="sr-Cyrl-RS"/>
                <w14:ligatures w14:val="none"/>
              </w:rPr>
              <w:t>ЕПС АД</w:t>
            </w:r>
            <w:r w:rsidRPr="009C19C5">
              <w:rPr>
                <w:rFonts w:ascii="Times New Roman" w:eastAsia="Times New Roman" w:hAnsi="Times New Roman" w:cs="Times New Roman"/>
                <w:kern w:val="0"/>
                <w:sz w:val="20"/>
                <w:szCs w:val="20"/>
                <w:lang w:val="sr-Cyrl-RS"/>
                <w14:ligatures w14:val="none"/>
              </w:rPr>
              <w:t xml:space="preserve"> / ЈП ПЕУ Ресавица</w:t>
            </w:r>
          </w:p>
        </w:tc>
      </w:tr>
      <w:tr w:rsidR="00F276BC" w:rsidRPr="009C19C5" w14:paraId="76FB85CC" w14:textId="77777777" w:rsidTr="00D91B53">
        <w:trPr>
          <w:jc w:val="center"/>
        </w:trPr>
        <w:tc>
          <w:tcPr>
            <w:tcW w:w="846" w:type="dxa"/>
            <w:vAlign w:val="center"/>
          </w:tcPr>
          <w:p w14:paraId="412391FD" w14:textId="1732645C" w:rsidR="00F276BC" w:rsidRPr="009C19C5" w:rsidRDefault="000A0E4E">
            <w:pPr>
              <w:spacing w:after="0" w:line="276" w:lineRule="auto"/>
              <w:jc w:val="center"/>
              <w:rPr>
                <w:rFonts w:ascii="Times New Roman" w:eastAsia="Times New Roman" w:hAnsi="Times New Roman" w:cs="Times New Roman"/>
                <w:kern w:val="0"/>
                <w:sz w:val="20"/>
                <w:szCs w:val="20"/>
                <w:highlight w:val="yellow"/>
                <w:lang w:val="sr-Cyrl-RS"/>
                <w14:ligatures w14:val="none"/>
              </w:rPr>
            </w:pPr>
            <w:r w:rsidRPr="009C19C5">
              <w:rPr>
                <w:rFonts w:ascii="Times New Roman" w:eastAsia="Times New Roman" w:hAnsi="Times New Roman" w:cs="Times New Roman"/>
                <w:kern w:val="0"/>
                <w:sz w:val="20"/>
                <w:szCs w:val="20"/>
                <w:lang w:val="sr-Cyrl-RS"/>
                <w14:ligatures w14:val="none"/>
              </w:rPr>
              <w:t>1</w:t>
            </w:r>
            <w:r w:rsidR="00AB40D7" w:rsidRPr="009C19C5">
              <w:rPr>
                <w:rFonts w:ascii="Times New Roman" w:eastAsia="Times New Roman" w:hAnsi="Times New Roman" w:cs="Times New Roman"/>
                <w:kern w:val="0"/>
                <w:sz w:val="20"/>
                <w:szCs w:val="20"/>
                <w:lang w:val="sr-Cyrl-RS"/>
                <w14:ligatures w14:val="none"/>
              </w:rPr>
              <w:t>1</w:t>
            </w:r>
            <w:r w:rsidRPr="009C19C5">
              <w:rPr>
                <w:rFonts w:ascii="Times New Roman" w:eastAsia="Times New Roman" w:hAnsi="Times New Roman" w:cs="Times New Roman"/>
                <w:kern w:val="0"/>
                <w:sz w:val="20"/>
                <w:szCs w:val="20"/>
                <w:lang w:val="sr-Cyrl-RS"/>
                <w14:ligatures w14:val="none"/>
              </w:rPr>
              <w:t>.</w:t>
            </w:r>
          </w:p>
        </w:tc>
        <w:tc>
          <w:tcPr>
            <w:tcW w:w="4369" w:type="dxa"/>
            <w:shd w:val="clear" w:color="auto" w:fill="auto"/>
            <w:vAlign w:val="center"/>
          </w:tcPr>
          <w:p w14:paraId="0CA464C4" w14:textId="05412B78" w:rsidR="00F276BC" w:rsidRPr="009C19C5" w:rsidRDefault="00AB40D7" w:rsidP="00D21F26">
            <w:pPr>
              <w:spacing w:after="0" w:line="240" w:lineRule="auto"/>
              <w:jc w:val="both"/>
              <w:rPr>
                <w:rFonts w:ascii="Times New Roman" w:eastAsia="Times New Roman" w:hAnsi="Times New Roman" w:cs="Times New Roman"/>
                <w:kern w:val="0"/>
                <w:sz w:val="20"/>
                <w:szCs w:val="20"/>
                <w:highlight w:val="yellow"/>
                <w:lang w:val="sr-Cyrl-RS"/>
                <w14:ligatures w14:val="none"/>
              </w:rPr>
            </w:pPr>
            <w:r w:rsidRPr="009C19C5">
              <w:rPr>
                <w:rFonts w:ascii="Times New Roman" w:eastAsia="Times New Roman" w:hAnsi="Times New Roman" w:cs="Times New Roman"/>
                <w:kern w:val="0"/>
                <w:sz w:val="20"/>
                <w:szCs w:val="20"/>
                <w:lang w:val="sr-Cyrl-RS"/>
                <w14:ligatures w14:val="none"/>
              </w:rPr>
              <w:t>Мастер план за руднике угља у циљу потенцијалне пренамене њихове делатности ради отварања нових радних места и сагледавање утицаја на локалну привреду, образовање и демографију</w:t>
            </w:r>
          </w:p>
        </w:tc>
        <w:tc>
          <w:tcPr>
            <w:tcW w:w="2160" w:type="dxa"/>
            <w:shd w:val="clear" w:color="auto" w:fill="auto"/>
            <w:vAlign w:val="center"/>
          </w:tcPr>
          <w:p w14:paraId="19BA5C1E" w14:textId="02DE52EC" w:rsidR="00F276BC" w:rsidRPr="009C19C5" w:rsidRDefault="000A0E4E" w:rsidP="00017759">
            <w:pPr>
              <w:spacing w:after="0" w:line="276" w:lineRule="auto"/>
              <w:jc w:val="center"/>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150 хиљада</w:t>
            </w:r>
            <w:r w:rsidR="00017759" w:rsidRPr="009C19C5">
              <w:rPr>
                <w:rFonts w:ascii="Times New Roman" w:eastAsia="Times New Roman" w:hAnsi="Times New Roman" w:cs="Times New Roman"/>
                <w:kern w:val="0"/>
                <w:sz w:val="20"/>
                <w:szCs w:val="20"/>
                <w:lang w:val="sr-Cyrl-RS"/>
                <w14:ligatures w14:val="none"/>
              </w:rPr>
              <w:t xml:space="preserve"> евра</w:t>
            </w:r>
          </w:p>
        </w:tc>
        <w:tc>
          <w:tcPr>
            <w:tcW w:w="2948" w:type="dxa"/>
            <w:shd w:val="clear" w:color="auto" w:fill="auto"/>
            <w:vAlign w:val="center"/>
          </w:tcPr>
          <w:p w14:paraId="1D6CA51F" w14:textId="33F3FBA6" w:rsidR="00F276BC" w:rsidRPr="009C19C5" w:rsidRDefault="00E44013">
            <w:pPr>
              <w:spacing w:after="0" w:line="276" w:lineRule="auto"/>
              <w:jc w:val="center"/>
              <w:rPr>
                <w:rFonts w:ascii="Times New Roman" w:eastAsia="Times New Roman" w:hAnsi="Times New Roman" w:cs="Times New Roman"/>
                <w:kern w:val="0"/>
                <w:sz w:val="20"/>
                <w:szCs w:val="20"/>
                <w:lang w:val="sr-Cyrl-RS"/>
                <w14:ligatures w14:val="none"/>
              </w:rPr>
            </w:pPr>
            <w:r w:rsidRPr="009C19C5">
              <w:rPr>
                <w:rFonts w:ascii="Times New Roman" w:hAnsi="Times New Roman" w:cs="Times New Roman"/>
                <w:color w:val="000000"/>
                <w:sz w:val="20"/>
                <w:szCs w:val="20"/>
                <w:lang w:val="sr-Cyrl-RS" w:eastAsia="en-GB"/>
              </w:rPr>
              <w:t>Међународне финансијске институције, међународни донатори,</w:t>
            </w:r>
            <w:r w:rsidRPr="009C19C5">
              <w:rPr>
                <w:rFonts w:ascii="Times New Roman" w:hAnsi="Times New Roman" w:cs="Times New Roman"/>
                <w:sz w:val="20"/>
                <w:szCs w:val="20"/>
                <w:lang w:val="sr-Cyrl-RS" w:eastAsia="en-GB"/>
              </w:rPr>
              <w:t xml:space="preserve"> </w:t>
            </w:r>
            <w:r w:rsidR="00DC0B96" w:rsidRPr="009C19C5">
              <w:rPr>
                <w:rFonts w:ascii="Times New Roman" w:hAnsi="Times New Roman" w:cs="Times New Roman"/>
                <w:sz w:val="20"/>
                <w:szCs w:val="20"/>
                <w:lang w:val="sr-Cyrl-RS" w:eastAsia="en-GB"/>
              </w:rPr>
              <w:t>б</w:t>
            </w:r>
            <w:r w:rsidR="009641EC" w:rsidRPr="009C19C5">
              <w:rPr>
                <w:rFonts w:ascii="Times New Roman" w:hAnsi="Times New Roman" w:cs="Times New Roman"/>
                <w:sz w:val="20"/>
                <w:szCs w:val="20"/>
                <w:lang w:val="sr-Cyrl-RS" w:eastAsia="en-GB"/>
              </w:rPr>
              <w:t>уџет Републике</w:t>
            </w:r>
            <w:r w:rsidR="009641EC" w:rsidRPr="009C19C5">
              <w:rPr>
                <w:rFonts w:ascii="Times New Roman" w:eastAsia="Times New Roman" w:hAnsi="Times New Roman" w:cs="Times New Roman"/>
                <w:kern w:val="0"/>
                <w:sz w:val="20"/>
                <w:szCs w:val="20"/>
                <w:lang w:val="sr-Cyrl-RS"/>
                <w14:ligatures w14:val="none"/>
              </w:rPr>
              <w:t xml:space="preserve"> </w:t>
            </w:r>
            <w:r w:rsidR="009641EC" w:rsidRPr="009C19C5">
              <w:rPr>
                <w:rFonts w:ascii="Times New Roman" w:hAnsi="Times New Roman" w:cs="Times New Roman"/>
                <w:color w:val="000000"/>
                <w:sz w:val="20"/>
                <w:szCs w:val="20"/>
                <w:lang w:val="sr-Cyrl-RS" w:eastAsia="en-GB"/>
              </w:rPr>
              <w:t>и други извори у складу са законом</w:t>
            </w:r>
          </w:p>
          <w:p w14:paraId="6F6B0068" w14:textId="6A0C755B" w:rsidR="00F276BC" w:rsidRPr="009C19C5" w:rsidRDefault="009641EC" w:rsidP="00DC0B96">
            <w:pPr>
              <w:spacing w:after="0" w:line="276" w:lineRule="auto"/>
              <w:jc w:val="center"/>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 xml:space="preserve"> </w:t>
            </w:r>
            <w:r w:rsidR="00DC0B96" w:rsidRPr="009C19C5">
              <w:rPr>
                <w:rFonts w:ascii="Times New Roman" w:eastAsia="Times New Roman" w:hAnsi="Times New Roman" w:cs="Times New Roman"/>
                <w:kern w:val="0"/>
                <w:sz w:val="20"/>
                <w:szCs w:val="20"/>
                <w:lang w:val="sr-Cyrl-RS"/>
                <w14:ligatures w14:val="none"/>
              </w:rPr>
              <w:t>б</w:t>
            </w:r>
            <w:r w:rsidRPr="009C19C5">
              <w:rPr>
                <w:rFonts w:ascii="Times New Roman" w:eastAsia="Times New Roman" w:hAnsi="Times New Roman" w:cs="Times New Roman"/>
                <w:kern w:val="0"/>
                <w:sz w:val="20"/>
                <w:szCs w:val="20"/>
                <w:lang w:val="sr-Cyrl-RS"/>
                <w14:ligatures w14:val="none"/>
              </w:rPr>
              <w:t>уџет локалне самоуправе</w:t>
            </w:r>
            <w:r w:rsidR="000A0E4E" w:rsidRPr="009C19C5">
              <w:rPr>
                <w:rFonts w:ascii="Times New Roman" w:eastAsia="Times New Roman" w:hAnsi="Times New Roman" w:cs="Times New Roman"/>
                <w:kern w:val="0"/>
                <w:sz w:val="20"/>
                <w:szCs w:val="20"/>
                <w:lang w:val="sr-Cyrl-RS"/>
                <w14:ligatures w14:val="none"/>
              </w:rPr>
              <w:t xml:space="preserve"> Ј</w:t>
            </w:r>
            <w:r w:rsidR="00E44013" w:rsidRPr="009C19C5">
              <w:rPr>
                <w:rFonts w:ascii="Times New Roman" w:eastAsia="Times New Roman" w:hAnsi="Times New Roman" w:cs="Times New Roman"/>
                <w:kern w:val="0"/>
                <w:sz w:val="20"/>
                <w:szCs w:val="20"/>
                <w:lang w:val="sr-Cyrl-RS"/>
                <w14:ligatures w14:val="none"/>
              </w:rPr>
              <w:t>авно приватно партнерство</w:t>
            </w:r>
          </w:p>
        </w:tc>
      </w:tr>
      <w:tr w:rsidR="00F276BC" w:rsidRPr="009C19C5" w14:paraId="346F27D3" w14:textId="77777777" w:rsidTr="00D91B53">
        <w:trPr>
          <w:jc w:val="center"/>
        </w:trPr>
        <w:tc>
          <w:tcPr>
            <w:tcW w:w="5215" w:type="dxa"/>
            <w:gridSpan w:val="2"/>
            <w:shd w:val="clear" w:color="auto" w:fill="auto"/>
            <w:vAlign w:val="center"/>
          </w:tcPr>
          <w:p w14:paraId="2A48D23B" w14:textId="5F05B8DE" w:rsidR="00F276BC" w:rsidRPr="009C19C5" w:rsidRDefault="000A0E4E" w:rsidP="00017759">
            <w:pPr>
              <w:spacing w:after="0" w:line="276" w:lineRule="auto"/>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lastRenderedPageBreak/>
              <w:t>Укупн</w:t>
            </w:r>
            <w:r w:rsidR="00017759" w:rsidRPr="009C19C5">
              <w:rPr>
                <w:rFonts w:ascii="Times New Roman" w:eastAsia="Times New Roman" w:hAnsi="Times New Roman" w:cs="Times New Roman"/>
                <w:kern w:val="0"/>
                <w:sz w:val="20"/>
                <w:szCs w:val="20"/>
                <w:lang w:val="sr-Cyrl-RS"/>
                <w14:ligatures w14:val="none"/>
              </w:rPr>
              <w:t>о за</w:t>
            </w:r>
            <w:r w:rsidRPr="009C19C5">
              <w:rPr>
                <w:rFonts w:ascii="Times New Roman" w:eastAsia="Times New Roman" w:hAnsi="Times New Roman" w:cs="Times New Roman"/>
                <w:kern w:val="0"/>
                <w:sz w:val="20"/>
                <w:szCs w:val="20"/>
                <w:lang w:val="sr-Cyrl-RS"/>
                <w14:ligatures w14:val="none"/>
              </w:rPr>
              <w:t xml:space="preserve"> краткорочне активности на</w:t>
            </w:r>
            <w:r w:rsidR="00017759" w:rsidRPr="009C19C5">
              <w:rPr>
                <w:rFonts w:ascii="Times New Roman" w:eastAsia="Times New Roman" w:hAnsi="Times New Roman" w:cs="Times New Roman"/>
                <w:kern w:val="0"/>
                <w:sz w:val="20"/>
                <w:szCs w:val="20"/>
                <w:lang w:val="sr-Cyrl-RS"/>
                <w14:ligatures w14:val="none"/>
              </w:rPr>
              <w:t xml:space="preserve"> </w:t>
            </w:r>
            <w:r w:rsidRPr="009C19C5">
              <w:rPr>
                <w:rFonts w:ascii="Times New Roman" w:eastAsia="Times New Roman" w:hAnsi="Times New Roman" w:cs="Times New Roman"/>
                <w:kern w:val="0"/>
                <w:sz w:val="20"/>
                <w:szCs w:val="20"/>
                <w:lang w:val="sr-Cyrl-RS"/>
                <w14:ligatures w14:val="none"/>
              </w:rPr>
              <w:t>локалном нивоу (до краја 2030)</w:t>
            </w:r>
          </w:p>
        </w:tc>
        <w:tc>
          <w:tcPr>
            <w:tcW w:w="2160" w:type="dxa"/>
            <w:shd w:val="clear" w:color="auto" w:fill="auto"/>
            <w:vAlign w:val="center"/>
          </w:tcPr>
          <w:p w14:paraId="46B5E34C" w14:textId="01ADC7BD" w:rsidR="00F276BC" w:rsidRPr="009C19C5" w:rsidRDefault="002C4CE3">
            <w:pPr>
              <w:spacing w:after="0" w:line="276" w:lineRule="auto"/>
              <w:jc w:val="center"/>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150 хиљада евра</w:t>
            </w:r>
          </w:p>
        </w:tc>
        <w:tc>
          <w:tcPr>
            <w:tcW w:w="2948" w:type="dxa"/>
            <w:shd w:val="clear" w:color="auto" w:fill="auto"/>
            <w:vAlign w:val="center"/>
          </w:tcPr>
          <w:p w14:paraId="4ADDA77C" w14:textId="77777777" w:rsidR="00F276BC" w:rsidRPr="009C19C5" w:rsidRDefault="00F276BC">
            <w:pPr>
              <w:spacing w:after="0" w:line="276" w:lineRule="auto"/>
              <w:jc w:val="center"/>
              <w:rPr>
                <w:rFonts w:ascii="Times New Roman" w:eastAsia="Times New Roman" w:hAnsi="Times New Roman" w:cs="Times New Roman"/>
                <w:kern w:val="0"/>
                <w:sz w:val="20"/>
                <w:szCs w:val="20"/>
                <w:lang w:val="sr-Cyrl-RS"/>
                <w14:ligatures w14:val="none"/>
              </w:rPr>
            </w:pPr>
          </w:p>
        </w:tc>
      </w:tr>
      <w:tr w:rsidR="00F276BC" w:rsidRPr="009C19C5" w14:paraId="65B266C4" w14:textId="77777777" w:rsidTr="001A632B">
        <w:trPr>
          <w:jc w:val="center"/>
        </w:trPr>
        <w:tc>
          <w:tcPr>
            <w:tcW w:w="10323" w:type="dxa"/>
            <w:gridSpan w:val="4"/>
            <w:shd w:val="clear" w:color="auto" w:fill="auto"/>
            <w:vAlign w:val="center"/>
          </w:tcPr>
          <w:p w14:paraId="27579315" w14:textId="77777777" w:rsidR="00F276BC" w:rsidRPr="009C19C5" w:rsidRDefault="000A0E4E">
            <w:pPr>
              <w:spacing w:after="0" w:line="240" w:lineRule="auto"/>
              <w:jc w:val="center"/>
              <w:rPr>
                <w:rFonts w:ascii="Times New Roman" w:eastAsia="Times New Roman" w:hAnsi="Times New Roman" w:cs="Times New Roman"/>
                <w:bCs/>
                <w:kern w:val="0"/>
                <w:sz w:val="20"/>
                <w:szCs w:val="20"/>
                <w:lang w:val="sr-Cyrl-RS"/>
                <w14:ligatures w14:val="none"/>
              </w:rPr>
            </w:pPr>
            <w:r w:rsidRPr="009C19C5">
              <w:rPr>
                <w:rFonts w:ascii="Times New Roman" w:eastAsia="Times New Roman" w:hAnsi="Times New Roman" w:cs="Times New Roman"/>
                <w:bCs/>
                <w:kern w:val="0"/>
                <w:sz w:val="20"/>
                <w:szCs w:val="20"/>
                <w:lang w:val="sr-Cyrl-RS"/>
                <w14:ligatures w14:val="none"/>
              </w:rPr>
              <w:t>Припремне активности на локалном нивоу</w:t>
            </w:r>
          </w:p>
        </w:tc>
      </w:tr>
      <w:tr w:rsidR="00F276BC" w:rsidRPr="009C19C5" w14:paraId="562B8A95" w14:textId="77777777" w:rsidTr="00D91B53">
        <w:trPr>
          <w:jc w:val="center"/>
        </w:trPr>
        <w:tc>
          <w:tcPr>
            <w:tcW w:w="846" w:type="dxa"/>
            <w:vAlign w:val="center"/>
          </w:tcPr>
          <w:p w14:paraId="081D5AC1" w14:textId="6AAEA14D" w:rsidR="00F276BC" w:rsidRPr="009C19C5" w:rsidRDefault="000A0E4E">
            <w:pPr>
              <w:spacing w:after="0" w:line="276" w:lineRule="auto"/>
              <w:jc w:val="center"/>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1</w:t>
            </w:r>
            <w:r w:rsidR="00AB40D7" w:rsidRPr="009C19C5">
              <w:rPr>
                <w:rFonts w:ascii="Times New Roman" w:eastAsia="Times New Roman" w:hAnsi="Times New Roman" w:cs="Times New Roman"/>
                <w:kern w:val="0"/>
                <w:sz w:val="20"/>
                <w:szCs w:val="20"/>
                <w:lang w:val="sr-Cyrl-RS"/>
                <w14:ligatures w14:val="none"/>
              </w:rPr>
              <w:t>2</w:t>
            </w:r>
            <w:r w:rsidRPr="009C19C5">
              <w:rPr>
                <w:rFonts w:ascii="Times New Roman" w:eastAsia="Times New Roman" w:hAnsi="Times New Roman" w:cs="Times New Roman"/>
                <w:kern w:val="0"/>
                <w:sz w:val="20"/>
                <w:szCs w:val="20"/>
                <w:lang w:val="sr-Cyrl-RS"/>
                <w14:ligatures w14:val="none"/>
              </w:rPr>
              <w:t>.</w:t>
            </w:r>
          </w:p>
        </w:tc>
        <w:tc>
          <w:tcPr>
            <w:tcW w:w="4369" w:type="dxa"/>
            <w:shd w:val="clear" w:color="auto" w:fill="auto"/>
            <w:vAlign w:val="center"/>
          </w:tcPr>
          <w:p w14:paraId="692F40A7" w14:textId="665FD68B" w:rsidR="00F276BC" w:rsidRPr="009C19C5" w:rsidRDefault="003F2E15" w:rsidP="00333A2A">
            <w:pPr>
              <w:spacing w:after="0" w:line="276" w:lineRule="auto"/>
              <w:jc w:val="both"/>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Локални планови развоја и привлачење директних инвестиција и улагања</w:t>
            </w:r>
          </w:p>
        </w:tc>
        <w:tc>
          <w:tcPr>
            <w:tcW w:w="2160" w:type="dxa"/>
            <w:shd w:val="clear" w:color="auto" w:fill="auto"/>
            <w:vAlign w:val="center"/>
          </w:tcPr>
          <w:p w14:paraId="54D03CC1" w14:textId="738C7E55" w:rsidR="00F276BC" w:rsidRPr="009C19C5" w:rsidRDefault="000A0E4E">
            <w:pPr>
              <w:spacing w:after="0" w:line="276" w:lineRule="auto"/>
              <w:jc w:val="center"/>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560 хиљада</w:t>
            </w:r>
            <w:r w:rsidR="00017759" w:rsidRPr="009C19C5">
              <w:rPr>
                <w:rFonts w:ascii="Times New Roman" w:eastAsia="Times New Roman" w:hAnsi="Times New Roman" w:cs="Times New Roman"/>
                <w:kern w:val="0"/>
                <w:sz w:val="20"/>
                <w:szCs w:val="20"/>
                <w:lang w:val="sr-Cyrl-RS"/>
                <w14:ligatures w14:val="none"/>
              </w:rPr>
              <w:t xml:space="preserve"> евра</w:t>
            </w:r>
          </w:p>
        </w:tc>
        <w:tc>
          <w:tcPr>
            <w:tcW w:w="2948" w:type="dxa"/>
            <w:shd w:val="clear" w:color="auto" w:fill="auto"/>
            <w:vAlign w:val="center"/>
          </w:tcPr>
          <w:p w14:paraId="60809BC9" w14:textId="224862EB" w:rsidR="00E44013" w:rsidRPr="009C19C5" w:rsidRDefault="009641EC" w:rsidP="00E44013">
            <w:pPr>
              <w:spacing w:after="0" w:line="276" w:lineRule="auto"/>
              <w:jc w:val="center"/>
              <w:rPr>
                <w:rFonts w:ascii="Times New Roman" w:hAnsi="Times New Roman" w:cs="Times New Roman"/>
                <w:color w:val="000000"/>
                <w:sz w:val="20"/>
                <w:szCs w:val="20"/>
                <w:lang w:val="sr-Cyrl-RS" w:eastAsia="en-GB"/>
              </w:rPr>
            </w:pPr>
            <w:r w:rsidRPr="009C19C5">
              <w:rPr>
                <w:rFonts w:ascii="Times New Roman" w:hAnsi="Times New Roman" w:cs="Times New Roman"/>
                <w:color w:val="000000"/>
                <w:sz w:val="20"/>
                <w:szCs w:val="20"/>
                <w:lang w:val="sr-Cyrl-RS" w:eastAsia="en-GB"/>
              </w:rPr>
              <w:t>Међународн</w:t>
            </w:r>
            <w:r w:rsidR="00E44013" w:rsidRPr="009C19C5">
              <w:rPr>
                <w:rFonts w:ascii="Times New Roman" w:hAnsi="Times New Roman" w:cs="Times New Roman"/>
                <w:color w:val="000000"/>
                <w:sz w:val="20"/>
                <w:szCs w:val="20"/>
                <w:lang w:val="sr-Cyrl-RS" w:eastAsia="en-GB"/>
              </w:rPr>
              <w:t>е финансијске институције, међународни</w:t>
            </w:r>
            <w:r w:rsidRPr="009C19C5">
              <w:rPr>
                <w:rFonts w:ascii="Times New Roman" w:hAnsi="Times New Roman" w:cs="Times New Roman"/>
                <w:color w:val="000000"/>
                <w:sz w:val="20"/>
                <w:szCs w:val="20"/>
                <w:lang w:val="sr-Cyrl-RS" w:eastAsia="en-GB"/>
              </w:rPr>
              <w:t xml:space="preserve"> донатори,</w:t>
            </w:r>
            <w:r w:rsidRPr="009C19C5">
              <w:rPr>
                <w:rFonts w:ascii="Times New Roman" w:hAnsi="Times New Roman" w:cs="Times New Roman"/>
                <w:sz w:val="20"/>
                <w:szCs w:val="20"/>
                <w:lang w:val="sr-Cyrl-RS" w:eastAsia="en-GB"/>
              </w:rPr>
              <w:t xml:space="preserve"> </w:t>
            </w:r>
            <w:r w:rsidR="00DC0B96" w:rsidRPr="009C19C5">
              <w:rPr>
                <w:rFonts w:ascii="Times New Roman" w:hAnsi="Times New Roman" w:cs="Times New Roman"/>
                <w:sz w:val="20"/>
                <w:szCs w:val="20"/>
                <w:lang w:val="sr-Cyrl-RS" w:eastAsia="en-GB"/>
              </w:rPr>
              <w:t>б</w:t>
            </w:r>
            <w:r w:rsidRPr="009C19C5">
              <w:rPr>
                <w:rFonts w:ascii="Times New Roman" w:hAnsi="Times New Roman" w:cs="Times New Roman"/>
                <w:sz w:val="20"/>
                <w:szCs w:val="20"/>
                <w:lang w:val="sr-Cyrl-RS" w:eastAsia="en-GB"/>
              </w:rPr>
              <w:t>уџет Републике</w:t>
            </w:r>
            <w:r w:rsidRPr="009C19C5">
              <w:rPr>
                <w:rFonts w:ascii="Times New Roman" w:eastAsia="Times New Roman" w:hAnsi="Times New Roman" w:cs="Times New Roman"/>
                <w:kern w:val="0"/>
                <w:sz w:val="20"/>
                <w:szCs w:val="20"/>
                <w:lang w:val="sr-Cyrl-RS"/>
                <w14:ligatures w14:val="none"/>
              </w:rPr>
              <w:t xml:space="preserve"> </w:t>
            </w:r>
            <w:r w:rsidRPr="009C19C5">
              <w:rPr>
                <w:rFonts w:ascii="Times New Roman" w:hAnsi="Times New Roman" w:cs="Times New Roman"/>
                <w:color w:val="000000"/>
                <w:sz w:val="20"/>
                <w:szCs w:val="20"/>
                <w:lang w:val="sr-Cyrl-RS" w:eastAsia="en-GB"/>
              </w:rPr>
              <w:t>и други извори у складу са законом</w:t>
            </w:r>
          </w:p>
          <w:p w14:paraId="45EDFDB9" w14:textId="67B46550" w:rsidR="00F276BC" w:rsidRPr="009C19C5" w:rsidRDefault="00DC0B96" w:rsidP="00E44013">
            <w:pPr>
              <w:spacing w:after="0" w:line="276" w:lineRule="auto"/>
              <w:jc w:val="center"/>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б</w:t>
            </w:r>
            <w:r w:rsidR="009641EC" w:rsidRPr="009C19C5">
              <w:rPr>
                <w:rFonts w:ascii="Times New Roman" w:eastAsia="Times New Roman" w:hAnsi="Times New Roman" w:cs="Times New Roman"/>
                <w:kern w:val="0"/>
                <w:sz w:val="20"/>
                <w:szCs w:val="20"/>
                <w:lang w:val="sr-Cyrl-RS"/>
                <w14:ligatures w14:val="none"/>
              </w:rPr>
              <w:t xml:space="preserve">уџет локалне самоуправе </w:t>
            </w:r>
          </w:p>
        </w:tc>
      </w:tr>
      <w:tr w:rsidR="00F276BC" w:rsidRPr="009C19C5" w14:paraId="4C630FB4" w14:textId="77777777" w:rsidTr="00D91B53">
        <w:trPr>
          <w:jc w:val="center"/>
        </w:trPr>
        <w:tc>
          <w:tcPr>
            <w:tcW w:w="846" w:type="dxa"/>
            <w:vAlign w:val="center"/>
          </w:tcPr>
          <w:p w14:paraId="5F7050F1" w14:textId="615D0C9B" w:rsidR="00F276BC" w:rsidRPr="009C19C5" w:rsidRDefault="000A0E4E">
            <w:pPr>
              <w:spacing w:after="0" w:line="276" w:lineRule="auto"/>
              <w:jc w:val="center"/>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1</w:t>
            </w:r>
            <w:r w:rsidR="00AB40D7" w:rsidRPr="009C19C5">
              <w:rPr>
                <w:rFonts w:ascii="Times New Roman" w:eastAsia="Times New Roman" w:hAnsi="Times New Roman" w:cs="Times New Roman"/>
                <w:kern w:val="0"/>
                <w:sz w:val="20"/>
                <w:szCs w:val="20"/>
                <w:lang w:val="sr-Cyrl-RS"/>
                <w14:ligatures w14:val="none"/>
              </w:rPr>
              <w:t>3</w:t>
            </w:r>
            <w:r w:rsidRPr="009C19C5">
              <w:rPr>
                <w:rFonts w:ascii="Times New Roman" w:eastAsia="Times New Roman" w:hAnsi="Times New Roman" w:cs="Times New Roman"/>
                <w:kern w:val="0"/>
                <w:sz w:val="20"/>
                <w:szCs w:val="20"/>
                <w:lang w:val="sr-Cyrl-RS"/>
                <w14:ligatures w14:val="none"/>
              </w:rPr>
              <w:t>.</w:t>
            </w:r>
          </w:p>
        </w:tc>
        <w:tc>
          <w:tcPr>
            <w:tcW w:w="4369" w:type="dxa"/>
            <w:shd w:val="clear" w:color="auto" w:fill="auto"/>
            <w:vAlign w:val="center"/>
          </w:tcPr>
          <w:p w14:paraId="72DE0D15" w14:textId="28F6AA1E" w:rsidR="00F276BC" w:rsidRPr="009C19C5" w:rsidRDefault="000A0E4E" w:rsidP="00333A2A">
            <w:pPr>
              <w:spacing w:after="0" w:line="276" w:lineRule="auto"/>
              <w:jc w:val="both"/>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Програм за подстица</w:t>
            </w:r>
            <w:r w:rsidR="00017759" w:rsidRPr="009C19C5">
              <w:rPr>
                <w:rFonts w:ascii="Times New Roman" w:eastAsia="Times New Roman" w:hAnsi="Times New Roman" w:cs="Times New Roman"/>
                <w:kern w:val="0"/>
                <w:sz w:val="20"/>
                <w:szCs w:val="20"/>
                <w:lang w:val="sr-Cyrl-RS"/>
                <w14:ligatures w14:val="none"/>
              </w:rPr>
              <w:t>ње</w:t>
            </w:r>
            <w:r w:rsidRPr="009C19C5">
              <w:rPr>
                <w:rFonts w:ascii="Times New Roman" w:eastAsia="Times New Roman" w:hAnsi="Times New Roman" w:cs="Times New Roman"/>
                <w:kern w:val="0"/>
                <w:sz w:val="20"/>
                <w:szCs w:val="20"/>
                <w:lang w:val="sr-Cyrl-RS"/>
                <w14:ligatures w14:val="none"/>
              </w:rPr>
              <w:t xml:space="preserve"> предузетништва и самозапошљавања </w:t>
            </w:r>
          </w:p>
        </w:tc>
        <w:tc>
          <w:tcPr>
            <w:tcW w:w="2160" w:type="dxa"/>
            <w:shd w:val="clear" w:color="auto" w:fill="auto"/>
            <w:vAlign w:val="center"/>
          </w:tcPr>
          <w:p w14:paraId="0F2B5257" w14:textId="57686812" w:rsidR="00017759" w:rsidRPr="009C19C5" w:rsidRDefault="000A0E4E">
            <w:pPr>
              <w:spacing w:after="0" w:line="276" w:lineRule="auto"/>
              <w:jc w:val="center"/>
              <w:rPr>
                <w:rFonts w:ascii="Times New Roman" w:eastAsia="Times New Roman" w:hAnsi="Times New Roman" w:cs="Times New Roman"/>
                <w:color w:val="000000"/>
                <w:kern w:val="0"/>
                <w:sz w:val="20"/>
                <w:szCs w:val="20"/>
                <w:lang w:val="sr-Cyrl-RS" w:eastAsia="en-GB"/>
                <w14:ligatures w14:val="none"/>
              </w:rPr>
            </w:pPr>
            <w:r w:rsidRPr="009C19C5">
              <w:rPr>
                <w:rFonts w:ascii="Times New Roman" w:eastAsia="Times New Roman" w:hAnsi="Times New Roman" w:cs="Times New Roman"/>
                <w:color w:val="000000"/>
                <w:kern w:val="0"/>
                <w:sz w:val="20"/>
                <w:szCs w:val="20"/>
                <w:lang w:val="sr-Cyrl-RS" w:eastAsia="en-GB"/>
                <w14:ligatures w14:val="none"/>
              </w:rPr>
              <w:t>12 милиона</w:t>
            </w:r>
            <w:r w:rsidR="00017759" w:rsidRPr="009C19C5">
              <w:rPr>
                <w:rFonts w:ascii="Times New Roman" w:eastAsia="Times New Roman" w:hAnsi="Times New Roman" w:cs="Times New Roman"/>
                <w:color w:val="000000"/>
                <w:kern w:val="0"/>
                <w:sz w:val="20"/>
                <w:szCs w:val="20"/>
                <w:lang w:val="sr-Cyrl-RS" w:eastAsia="en-GB"/>
                <w14:ligatures w14:val="none"/>
              </w:rPr>
              <w:t xml:space="preserve"> евра </w:t>
            </w:r>
            <w:r w:rsidRPr="009C19C5">
              <w:rPr>
                <w:rFonts w:ascii="Times New Roman" w:eastAsia="Times New Roman" w:hAnsi="Times New Roman" w:cs="Times New Roman"/>
                <w:color w:val="000000"/>
                <w:kern w:val="0"/>
                <w:sz w:val="20"/>
                <w:szCs w:val="20"/>
                <w:lang w:val="sr-Cyrl-RS" w:eastAsia="en-GB"/>
                <w14:ligatures w14:val="none"/>
              </w:rPr>
              <w:t xml:space="preserve">(10 милиона </w:t>
            </w:r>
            <w:r w:rsidR="00017759" w:rsidRPr="009C19C5">
              <w:rPr>
                <w:rFonts w:ascii="Times New Roman" w:eastAsia="Times New Roman" w:hAnsi="Times New Roman" w:cs="Times New Roman"/>
                <w:color w:val="000000"/>
                <w:kern w:val="0"/>
                <w:sz w:val="20"/>
                <w:szCs w:val="20"/>
                <w:lang w:val="sr-Cyrl-RS" w:eastAsia="en-GB"/>
                <w14:ligatures w14:val="none"/>
              </w:rPr>
              <w:t>е</w:t>
            </w:r>
            <w:r w:rsidR="00D91B53" w:rsidRPr="009C19C5">
              <w:rPr>
                <w:rFonts w:ascii="Times New Roman" w:eastAsia="Times New Roman" w:hAnsi="Times New Roman" w:cs="Times New Roman"/>
                <w:color w:val="000000"/>
                <w:kern w:val="0"/>
                <w:sz w:val="20"/>
                <w:szCs w:val="20"/>
                <w:lang w:val="sr-Cyrl-RS" w:eastAsia="en-GB"/>
                <w14:ligatures w14:val="none"/>
              </w:rPr>
              <w:t>в</w:t>
            </w:r>
            <w:r w:rsidR="00017759" w:rsidRPr="009C19C5">
              <w:rPr>
                <w:rFonts w:ascii="Times New Roman" w:eastAsia="Times New Roman" w:hAnsi="Times New Roman" w:cs="Times New Roman"/>
                <w:color w:val="000000"/>
                <w:kern w:val="0"/>
                <w:sz w:val="20"/>
                <w:szCs w:val="20"/>
                <w:lang w:val="sr-Cyrl-RS" w:eastAsia="en-GB"/>
                <w14:ligatures w14:val="none"/>
              </w:rPr>
              <w:t>ра</w:t>
            </w:r>
            <w:r w:rsidR="00D91B53" w:rsidRPr="009C19C5">
              <w:rPr>
                <w:rFonts w:ascii="Times New Roman" w:eastAsia="Times New Roman" w:hAnsi="Times New Roman" w:cs="Times New Roman"/>
                <w:color w:val="000000"/>
                <w:kern w:val="0"/>
                <w:sz w:val="20"/>
                <w:szCs w:val="20"/>
                <w:lang w:val="sr-Cyrl-RS" w:eastAsia="en-GB"/>
                <w14:ligatures w14:val="none"/>
              </w:rPr>
              <w:t xml:space="preserve"> </w:t>
            </w:r>
            <w:r w:rsidRPr="009C19C5">
              <w:rPr>
                <w:rFonts w:ascii="Times New Roman" w:eastAsia="Times New Roman" w:hAnsi="Times New Roman" w:cs="Times New Roman"/>
                <w:color w:val="000000"/>
                <w:kern w:val="0"/>
                <w:sz w:val="20"/>
                <w:szCs w:val="20"/>
                <w:lang w:val="sr-Cyrl-RS" w:eastAsia="en-GB"/>
                <w14:ligatures w14:val="none"/>
              </w:rPr>
              <w:t xml:space="preserve">за предузетнике / 2 милиона </w:t>
            </w:r>
            <w:r w:rsidR="00017759" w:rsidRPr="009C19C5">
              <w:rPr>
                <w:rFonts w:ascii="Times New Roman" w:eastAsia="Times New Roman" w:hAnsi="Times New Roman" w:cs="Times New Roman"/>
                <w:color w:val="000000"/>
                <w:kern w:val="0"/>
                <w:sz w:val="20"/>
                <w:szCs w:val="20"/>
                <w:lang w:val="sr-Cyrl-RS" w:eastAsia="en-GB"/>
                <w14:ligatures w14:val="none"/>
              </w:rPr>
              <w:t xml:space="preserve">евра </w:t>
            </w:r>
            <w:r w:rsidRPr="009C19C5">
              <w:rPr>
                <w:rFonts w:ascii="Times New Roman" w:eastAsia="Times New Roman" w:hAnsi="Times New Roman" w:cs="Times New Roman"/>
                <w:color w:val="000000"/>
                <w:kern w:val="0"/>
                <w:sz w:val="20"/>
                <w:szCs w:val="20"/>
                <w:lang w:val="sr-Cyrl-RS" w:eastAsia="en-GB"/>
                <w14:ligatures w14:val="none"/>
              </w:rPr>
              <w:t>за самозапослене)</w:t>
            </w:r>
          </w:p>
          <w:p w14:paraId="5738EB7B" w14:textId="77777777" w:rsidR="00017759" w:rsidRPr="009C19C5" w:rsidRDefault="00017759">
            <w:pPr>
              <w:spacing w:after="0" w:line="276" w:lineRule="auto"/>
              <w:jc w:val="center"/>
              <w:rPr>
                <w:rFonts w:ascii="Times New Roman" w:eastAsia="Times New Roman" w:hAnsi="Times New Roman" w:cs="Times New Roman"/>
                <w:color w:val="000000"/>
                <w:kern w:val="0"/>
                <w:sz w:val="20"/>
                <w:szCs w:val="20"/>
                <w:lang w:val="sr-Cyrl-RS" w:eastAsia="en-GB"/>
                <w14:ligatures w14:val="none"/>
              </w:rPr>
            </w:pPr>
          </w:p>
          <w:p w14:paraId="4BA8CF2C" w14:textId="1E32F0AE" w:rsidR="00017759" w:rsidRPr="009C19C5" w:rsidRDefault="000A0E4E" w:rsidP="00017759">
            <w:pPr>
              <w:spacing w:after="0" w:line="276" w:lineRule="auto"/>
              <w:jc w:val="center"/>
              <w:rPr>
                <w:rFonts w:ascii="Times New Roman" w:eastAsia="Times New Roman" w:hAnsi="Times New Roman" w:cs="Times New Roman"/>
                <w:color w:val="000000"/>
                <w:kern w:val="0"/>
                <w:sz w:val="20"/>
                <w:szCs w:val="20"/>
                <w:lang w:val="sr-Cyrl-RS" w:eastAsia="en-GB"/>
                <w14:ligatures w14:val="none"/>
              </w:rPr>
            </w:pPr>
            <w:r w:rsidRPr="009C19C5">
              <w:rPr>
                <w:rFonts w:ascii="Times New Roman" w:eastAsia="Times New Roman" w:hAnsi="Times New Roman" w:cs="Times New Roman"/>
                <w:color w:val="000000"/>
                <w:kern w:val="0"/>
                <w:sz w:val="20"/>
                <w:szCs w:val="20"/>
                <w:lang w:val="sr-Cyrl-RS" w:eastAsia="en-GB"/>
                <w14:ligatures w14:val="none"/>
              </w:rPr>
              <w:t xml:space="preserve"> </w:t>
            </w:r>
            <w:r w:rsidR="00017759" w:rsidRPr="009C19C5">
              <w:rPr>
                <w:rFonts w:ascii="Times New Roman" w:eastAsia="Times New Roman" w:hAnsi="Times New Roman" w:cs="Times New Roman"/>
                <w:color w:val="000000"/>
                <w:kern w:val="0"/>
                <w:sz w:val="20"/>
                <w:szCs w:val="20"/>
                <w:lang w:val="sr-Cyrl-RS" w:eastAsia="en-GB"/>
                <w14:ligatures w14:val="none"/>
              </w:rPr>
              <w:t xml:space="preserve">Додатних </w:t>
            </w:r>
            <w:r w:rsidRPr="009C19C5">
              <w:rPr>
                <w:rFonts w:ascii="Times New Roman" w:eastAsia="Times New Roman" w:hAnsi="Times New Roman" w:cs="Times New Roman"/>
                <w:color w:val="000000"/>
                <w:kern w:val="0"/>
                <w:sz w:val="20"/>
                <w:szCs w:val="20"/>
                <w:lang w:val="sr-Cyrl-RS" w:eastAsia="en-GB"/>
                <w14:ligatures w14:val="none"/>
              </w:rPr>
              <w:t xml:space="preserve">50 </w:t>
            </w:r>
            <w:r w:rsidRPr="009C19C5">
              <w:rPr>
                <w:rFonts w:ascii="Times New Roman" w:eastAsia="Times New Roman" w:hAnsi="Times New Roman" w:cs="Times New Roman"/>
                <w:kern w:val="0"/>
                <w:sz w:val="20"/>
                <w:szCs w:val="20"/>
                <w:lang w:val="sr-Cyrl-RS"/>
                <w14:ligatures w14:val="none"/>
              </w:rPr>
              <w:t>хиљада</w:t>
            </w:r>
            <w:r w:rsidRPr="009C19C5">
              <w:rPr>
                <w:rFonts w:ascii="Times New Roman" w:eastAsia="Times New Roman" w:hAnsi="Times New Roman" w:cs="Times New Roman"/>
                <w:color w:val="000000"/>
                <w:kern w:val="0"/>
                <w:sz w:val="20"/>
                <w:szCs w:val="20"/>
                <w:lang w:val="sr-Cyrl-RS" w:eastAsia="en-GB"/>
                <w14:ligatures w14:val="none"/>
              </w:rPr>
              <w:t xml:space="preserve"> </w:t>
            </w:r>
            <w:r w:rsidR="00017759" w:rsidRPr="009C19C5">
              <w:rPr>
                <w:rFonts w:ascii="Times New Roman" w:eastAsia="Times New Roman" w:hAnsi="Times New Roman" w:cs="Times New Roman"/>
                <w:color w:val="000000"/>
                <w:kern w:val="0"/>
                <w:sz w:val="20"/>
                <w:szCs w:val="20"/>
                <w:lang w:val="sr-Cyrl-RS" w:eastAsia="en-GB"/>
                <w14:ligatures w14:val="none"/>
              </w:rPr>
              <w:t xml:space="preserve">ера </w:t>
            </w:r>
            <w:r w:rsidRPr="009C19C5">
              <w:rPr>
                <w:rFonts w:ascii="Times New Roman" w:eastAsia="Times New Roman" w:hAnsi="Times New Roman" w:cs="Times New Roman"/>
                <w:color w:val="000000"/>
                <w:kern w:val="0"/>
                <w:sz w:val="20"/>
                <w:szCs w:val="20"/>
                <w:lang w:val="sr-Cyrl-RS" w:eastAsia="en-GB"/>
                <w14:ligatures w14:val="none"/>
              </w:rPr>
              <w:t>за планирање програма</w:t>
            </w:r>
          </w:p>
        </w:tc>
        <w:tc>
          <w:tcPr>
            <w:tcW w:w="2948" w:type="dxa"/>
            <w:shd w:val="clear" w:color="auto" w:fill="auto"/>
            <w:vAlign w:val="center"/>
          </w:tcPr>
          <w:p w14:paraId="5B8B1ECB" w14:textId="503AE84D" w:rsidR="00F276BC" w:rsidRPr="009C19C5" w:rsidRDefault="00E44013">
            <w:pPr>
              <w:spacing w:after="0" w:line="276" w:lineRule="auto"/>
              <w:jc w:val="center"/>
              <w:rPr>
                <w:rFonts w:ascii="Times New Roman" w:eastAsia="Times New Roman" w:hAnsi="Times New Roman" w:cs="Times New Roman"/>
                <w:kern w:val="0"/>
                <w:sz w:val="20"/>
                <w:szCs w:val="20"/>
                <w:lang w:val="sr-Cyrl-RS"/>
                <w14:ligatures w14:val="none"/>
              </w:rPr>
            </w:pPr>
            <w:r w:rsidRPr="009C19C5">
              <w:rPr>
                <w:rFonts w:ascii="Times New Roman" w:hAnsi="Times New Roman" w:cs="Times New Roman"/>
                <w:color w:val="000000"/>
                <w:sz w:val="20"/>
                <w:szCs w:val="20"/>
                <w:lang w:val="sr-Cyrl-RS" w:eastAsia="en-GB"/>
              </w:rPr>
              <w:t>Међународне финансијске институције, међународни донатори,</w:t>
            </w:r>
            <w:r w:rsidRPr="009C19C5">
              <w:rPr>
                <w:rFonts w:ascii="Times New Roman" w:hAnsi="Times New Roman" w:cs="Times New Roman"/>
                <w:sz w:val="20"/>
                <w:szCs w:val="20"/>
                <w:lang w:val="sr-Cyrl-RS" w:eastAsia="en-GB"/>
              </w:rPr>
              <w:t xml:space="preserve"> </w:t>
            </w:r>
            <w:r w:rsidR="00DC0B96" w:rsidRPr="009C19C5">
              <w:rPr>
                <w:rFonts w:ascii="Times New Roman" w:hAnsi="Times New Roman" w:cs="Times New Roman"/>
                <w:sz w:val="20"/>
                <w:szCs w:val="20"/>
                <w:lang w:val="sr-Cyrl-RS" w:eastAsia="en-GB"/>
              </w:rPr>
              <w:t>б</w:t>
            </w:r>
            <w:r w:rsidR="009641EC" w:rsidRPr="009C19C5">
              <w:rPr>
                <w:rFonts w:ascii="Times New Roman" w:hAnsi="Times New Roman" w:cs="Times New Roman"/>
                <w:sz w:val="20"/>
                <w:szCs w:val="20"/>
                <w:lang w:val="sr-Cyrl-RS" w:eastAsia="en-GB"/>
              </w:rPr>
              <w:t>уџет Републике</w:t>
            </w:r>
            <w:r w:rsidR="009641EC" w:rsidRPr="009C19C5">
              <w:rPr>
                <w:rFonts w:ascii="Times New Roman" w:eastAsia="Times New Roman" w:hAnsi="Times New Roman" w:cs="Times New Roman"/>
                <w:kern w:val="0"/>
                <w:sz w:val="20"/>
                <w:szCs w:val="20"/>
                <w:lang w:val="sr-Cyrl-RS"/>
                <w14:ligatures w14:val="none"/>
              </w:rPr>
              <w:t xml:space="preserve"> </w:t>
            </w:r>
            <w:r w:rsidR="009641EC" w:rsidRPr="009C19C5">
              <w:rPr>
                <w:rFonts w:ascii="Times New Roman" w:hAnsi="Times New Roman" w:cs="Times New Roman"/>
                <w:color w:val="000000"/>
                <w:sz w:val="20"/>
                <w:szCs w:val="20"/>
                <w:lang w:val="sr-Cyrl-RS" w:eastAsia="en-GB"/>
              </w:rPr>
              <w:t>и  други извори у складу са законом</w:t>
            </w:r>
          </w:p>
          <w:p w14:paraId="26209E3B" w14:textId="40E5465C" w:rsidR="00E44013" w:rsidRPr="009C19C5" w:rsidRDefault="00E44013">
            <w:pPr>
              <w:spacing w:after="0" w:line="276" w:lineRule="auto"/>
              <w:jc w:val="center"/>
              <w:rPr>
                <w:rFonts w:ascii="Times New Roman" w:eastAsia="Times New Roman" w:hAnsi="Times New Roman" w:cs="Times New Roman"/>
                <w:kern w:val="0"/>
                <w:sz w:val="20"/>
                <w:szCs w:val="20"/>
                <w:lang w:val="sr-Cyrl-RS"/>
                <w14:ligatures w14:val="none"/>
              </w:rPr>
            </w:pPr>
          </w:p>
        </w:tc>
      </w:tr>
      <w:tr w:rsidR="00F276BC" w:rsidRPr="009C19C5" w14:paraId="616B8342" w14:textId="77777777" w:rsidTr="00D91B53">
        <w:trPr>
          <w:jc w:val="center"/>
        </w:trPr>
        <w:tc>
          <w:tcPr>
            <w:tcW w:w="846" w:type="dxa"/>
            <w:vAlign w:val="center"/>
          </w:tcPr>
          <w:p w14:paraId="0F5E572B" w14:textId="6C71980F" w:rsidR="00F276BC" w:rsidRPr="009C19C5" w:rsidRDefault="000A0E4E">
            <w:pPr>
              <w:spacing w:after="0" w:line="276" w:lineRule="auto"/>
              <w:jc w:val="center"/>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1</w:t>
            </w:r>
            <w:r w:rsidR="00AB40D7" w:rsidRPr="009C19C5">
              <w:rPr>
                <w:rFonts w:ascii="Times New Roman" w:eastAsia="Times New Roman" w:hAnsi="Times New Roman" w:cs="Times New Roman"/>
                <w:kern w:val="0"/>
                <w:sz w:val="20"/>
                <w:szCs w:val="20"/>
                <w:lang w:val="sr-Cyrl-RS"/>
                <w14:ligatures w14:val="none"/>
              </w:rPr>
              <w:t>4</w:t>
            </w:r>
            <w:r w:rsidRPr="009C19C5">
              <w:rPr>
                <w:rFonts w:ascii="Times New Roman" w:eastAsia="Times New Roman" w:hAnsi="Times New Roman" w:cs="Times New Roman"/>
                <w:kern w:val="0"/>
                <w:sz w:val="20"/>
                <w:szCs w:val="20"/>
                <w:lang w:val="sr-Cyrl-RS"/>
                <w14:ligatures w14:val="none"/>
              </w:rPr>
              <w:t>.</w:t>
            </w:r>
          </w:p>
        </w:tc>
        <w:tc>
          <w:tcPr>
            <w:tcW w:w="4369" w:type="dxa"/>
            <w:shd w:val="clear" w:color="auto" w:fill="auto"/>
            <w:vAlign w:val="center"/>
          </w:tcPr>
          <w:p w14:paraId="3142B9E1" w14:textId="3E3E3A7F" w:rsidR="00F276BC" w:rsidRPr="009C19C5" w:rsidRDefault="000A0E4E" w:rsidP="00333A2A">
            <w:pPr>
              <w:spacing w:after="0" w:line="276" w:lineRule="auto"/>
              <w:jc w:val="both"/>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 xml:space="preserve">Побољшање </w:t>
            </w:r>
            <w:r w:rsidR="00017759" w:rsidRPr="009C19C5">
              <w:rPr>
                <w:rFonts w:ascii="Times New Roman" w:eastAsia="Times New Roman" w:hAnsi="Times New Roman" w:cs="Times New Roman"/>
                <w:kern w:val="0"/>
                <w:sz w:val="20"/>
                <w:szCs w:val="20"/>
                <w:lang w:val="sr-Cyrl-RS"/>
                <w14:ligatures w14:val="none"/>
              </w:rPr>
              <w:t xml:space="preserve">привредне </w:t>
            </w:r>
            <w:r w:rsidRPr="009C19C5">
              <w:rPr>
                <w:rFonts w:ascii="Times New Roman" w:eastAsia="Times New Roman" w:hAnsi="Times New Roman" w:cs="Times New Roman"/>
                <w:kern w:val="0"/>
                <w:sz w:val="20"/>
                <w:szCs w:val="20"/>
                <w:lang w:val="sr-Cyrl-RS"/>
                <w14:ligatures w14:val="none"/>
              </w:rPr>
              <w:t>инфраструктуре у постојећим индустријским парковима</w:t>
            </w:r>
          </w:p>
        </w:tc>
        <w:tc>
          <w:tcPr>
            <w:tcW w:w="2160" w:type="dxa"/>
            <w:shd w:val="clear" w:color="auto" w:fill="auto"/>
            <w:vAlign w:val="center"/>
          </w:tcPr>
          <w:p w14:paraId="67E1BB7C" w14:textId="7D5BC277" w:rsidR="00F276BC" w:rsidRPr="009C19C5" w:rsidRDefault="000A0E4E">
            <w:pPr>
              <w:spacing w:after="0" w:line="276" w:lineRule="auto"/>
              <w:jc w:val="center"/>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color w:val="000000" w:themeColor="text1"/>
                <w:kern w:val="0"/>
                <w:sz w:val="20"/>
                <w:szCs w:val="20"/>
                <w:lang w:val="sr-Cyrl-RS" w:eastAsia="en-GB"/>
                <w14:ligatures w14:val="none"/>
              </w:rPr>
              <w:t xml:space="preserve"> 60 милиона</w:t>
            </w:r>
            <w:r w:rsidR="00017759" w:rsidRPr="009C19C5">
              <w:rPr>
                <w:rFonts w:ascii="Times New Roman" w:eastAsia="Times New Roman" w:hAnsi="Times New Roman" w:cs="Times New Roman"/>
                <w:color w:val="000000" w:themeColor="text1"/>
                <w:kern w:val="0"/>
                <w:sz w:val="20"/>
                <w:szCs w:val="20"/>
                <w:lang w:val="sr-Cyrl-RS" w:eastAsia="en-GB"/>
                <w14:ligatures w14:val="none"/>
              </w:rPr>
              <w:t xml:space="preserve"> евра</w:t>
            </w:r>
            <w:r w:rsidRPr="009C19C5">
              <w:rPr>
                <w:rFonts w:ascii="Times New Roman" w:eastAsia="Times New Roman" w:hAnsi="Times New Roman" w:cs="Times New Roman"/>
                <w:color w:val="000000" w:themeColor="text1"/>
                <w:kern w:val="0"/>
                <w:sz w:val="20"/>
                <w:szCs w:val="20"/>
                <w:lang w:val="sr-Cyrl-RS" w:eastAsia="en-GB"/>
                <w14:ligatures w14:val="none"/>
              </w:rPr>
              <w:t xml:space="preserve">, и </w:t>
            </w:r>
            <w:r w:rsidR="00017759" w:rsidRPr="009C19C5">
              <w:rPr>
                <w:rFonts w:ascii="Times New Roman" w:eastAsia="Times New Roman" w:hAnsi="Times New Roman" w:cs="Times New Roman"/>
                <w:color w:val="000000" w:themeColor="text1"/>
                <w:kern w:val="0"/>
                <w:sz w:val="20"/>
                <w:szCs w:val="20"/>
                <w:lang w:val="sr-Cyrl-RS" w:eastAsia="en-GB"/>
                <w14:ligatures w14:val="none"/>
              </w:rPr>
              <w:t xml:space="preserve">додатних </w:t>
            </w:r>
            <w:r w:rsidRPr="009C19C5">
              <w:rPr>
                <w:rFonts w:ascii="Times New Roman" w:eastAsia="Times New Roman" w:hAnsi="Times New Roman" w:cs="Times New Roman"/>
                <w:color w:val="000000" w:themeColor="text1"/>
                <w:kern w:val="0"/>
                <w:sz w:val="20"/>
                <w:szCs w:val="20"/>
                <w:lang w:val="sr-Cyrl-RS" w:eastAsia="en-GB"/>
                <w14:ligatures w14:val="none"/>
              </w:rPr>
              <w:t xml:space="preserve">70 </w:t>
            </w:r>
            <w:r w:rsidRPr="009C19C5">
              <w:rPr>
                <w:rFonts w:ascii="Times New Roman" w:eastAsia="Times New Roman" w:hAnsi="Times New Roman" w:cs="Times New Roman"/>
                <w:kern w:val="0"/>
                <w:sz w:val="20"/>
                <w:szCs w:val="20"/>
                <w:lang w:val="sr-Cyrl-RS"/>
                <w14:ligatures w14:val="none"/>
              </w:rPr>
              <w:t>хиљада</w:t>
            </w:r>
            <w:r w:rsidRPr="009C19C5">
              <w:rPr>
                <w:rFonts w:ascii="Times New Roman" w:eastAsia="Times New Roman" w:hAnsi="Times New Roman" w:cs="Times New Roman"/>
                <w:color w:val="000000" w:themeColor="text1"/>
                <w:kern w:val="0"/>
                <w:sz w:val="20"/>
                <w:szCs w:val="20"/>
                <w:lang w:val="sr-Cyrl-RS" w:eastAsia="en-GB"/>
                <w14:ligatures w14:val="none"/>
              </w:rPr>
              <w:t xml:space="preserve"> </w:t>
            </w:r>
            <w:r w:rsidR="00017759" w:rsidRPr="009C19C5">
              <w:rPr>
                <w:rFonts w:ascii="Times New Roman" w:eastAsia="Times New Roman" w:hAnsi="Times New Roman" w:cs="Times New Roman"/>
                <w:color w:val="000000" w:themeColor="text1"/>
                <w:kern w:val="0"/>
                <w:sz w:val="20"/>
                <w:szCs w:val="20"/>
                <w:lang w:val="sr-Cyrl-RS" w:eastAsia="en-GB"/>
                <w14:ligatures w14:val="none"/>
              </w:rPr>
              <w:t xml:space="preserve">евра </w:t>
            </w:r>
            <w:r w:rsidRPr="009C19C5">
              <w:rPr>
                <w:rFonts w:ascii="Times New Roman" w:eastAsia="Times New Roman" w:hAnsi="Times New Roman" w:cs="Times New Roman"/>
                <w:color w:val="000000" w:themeColor="text1"/>
                <w:kern w:val="0"/>
                <w:sz w:val="20"/>
                <w:szCs w:val="20"/>
                <w:lang w:val="sr-Cyrl-RS" w:eastAsia="en-GB"/>
                <w14:ligatures w14:val="none"/>
              </w:rPr>
              <w:t>за планирање програма</w:t>
            </w:r>
          </w:p>
        </w:tc>
        <w:tc>
          <w:tcPr>
            <w:tcW w:w="2948" w:type="dxa"/>
            <w:shd w:val="clear" w:color="auto" w:fill="auto"/>
            <w:vAlign w:val="center"/>
          </w:tcPr>
          <w:p w14:paraId="59E28094" w14:textId="4C8A63A1" w:rsidR="00F276BC" w:rsidRPr="009C19C5" w:rsidRDefault="00DC0B96">
            <w:pPr>
              <w:spacing w:after="0" w:line="276" w:lineRule="auto"/>
              <w:jc w:val="center"/>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б</w:t>
            </w:r>
            <w:r w:rsidR="009641EC" w:rsidRPr="009C19C5">
              <w:rPr>
                <w:rFonts w:ascii="Times New Roman" w:eastAsia="Times New Roman" w:hAnsi="Times New Roman" w:cs="Times New Roman"/>
                <w:kern w:val="0"/>
                <w:sz w:val="20"/>
                <w:szCs w:val="20"/>
                <w:lang w:val="sr-Cyrl-RS"/>
                <w14:ligatures w14:val="none"/>
              </w:rPr>
              <w:t xml:space="preserve">уџет локалне самоуправе </w:t>
            </w:r>
            <w:r w:rsidR="000A0E4E" w:rsidRPr="009C19C5">
              <w:rPr>
                <w:rFonts w:ascii="Times New Roman" w:eastAsia="Times New Roman" w:hAnsi="Times New Roman" w:cs="Times New Roman"/>
                <w:kern w:val="0"/>
                <w:sz w:val="20"/>
                <w:szCs w:val="20"/>
                <w:lang w:val="sr-Cyrl-RS"/>
                <w14:ligatures w14:val="none"/>
              </w:rPr>
              <w:t xml:space="preserve">/ </w:t>
            </w:r>
            <w:r w:rsidR="00017759" w:rsidRPr="009C19C5">
              <w:rPr>
                <w:rFonts w:ascii="Times New Roman" w:eastAsia="Times New Roman" w:hAnsi="Times New Roman" w:cs="Times New Roman"/>
                <w:kern w:val="0"/>
                <w:sz w:val="20"/>
                <w:szCs w:val="20"/>
                <w:lang w:val="sr-Cyrl-RS"/>
                <w14:ligatures w14:val="none"/>
              </w:rPr>
              <w:t xml:space="preserve">међународни </w:t>
            </w:r>
            <w:r w:rsidR="000A0E4E" w:rsidRPr="009C19C5">
              <w:rPr>
                <w:rFonts w:ascii="Times New Roman" w:eastAsia="Times New Roman" w:hAnsi="Times New Roman" w:cs="Times New Roman"/>
                <w:kern w:val="0"/>
                <w:sz w:val="20"/>
                <w:szCs w:val="20"/>
                <w:lang w:val="sr-Cyrl-RS"/>
                <w14:ligatures w14:val="none"/>
              </w:rPr>
              <w:t>донатори</w:t>
            </w:r>
          </w:p>
        </w:tc>
      </w:tr>
      <w:tr w:rsidR="002C4CE3" w:rsidRPr="009C19C5" w14:paraId="351F75C9" w14:textId="77777777" w:rsidTr="00D91B53">
        <w:trPr>
          <w:jc w:val="center"/>
        </w:trPr>
        <w:tc>
          <w:tcPr>
            <w:tcW w:w="5215" w:type="dxa"/>
            <w:gridSpan w:val="2"/>
            <w:shd w:val="clear" w:color="auto" w:fill="F4F3F1" w:themeFill="accent2" w:themeFillTint="33"/>
            <w:vAlign w:val="center"/>
          </w:tcPr>
          <w:p w14:paraId="74975E7A" w14:textId="6B72393D" w:rsidR="002C4CE3" w:rsidRPr="009C19C5" w:rsidRDefault="002C4CE3" w:rsidP="002C4CE3">
            <w:pPr>
              <w:spacing w:after="0" w:line="276" w:lineRule="auto"/>
              <w:jc w:val="center"/>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Укупни трошкови припремних активности на локалном нивоу (до 2030)</w:t>
            </w:r>
          </w:p>
        </w:tc>
        <w:tc>
          <w:tcPr>
            <w:tcW w:w="2160" w:type="dxa"/>
            <w:shd w:val="clear" w:color="auto" w:fill="F4F3F1" w:themeFill="accent2" w:themeFillTint="33"/>
          </w:tcPr>
          <w:p w14:paraId="6E1076E9" w14:textId="2264BED8" w:rsidR="002C4CE3" w:rsidRPr="009C19C5" w:rsidRDefault="002C4CE3" w:rsidP="002C4CE3">
            <w:pPr>
              <w:spacing w:after="0" w:line="276" w:lineRule="auto"/>
              <w:jc w:val="center"/>
              <w:rPr>
                <w:rFonts w:ascii="Times New Roman" w:eastAsia="Times New Roman" w:hAnsi="Times New Roman" w:cs="Times New Roman"/>
                <w:color w:val="000000" w:themeColor="text1"/>
                <w:kern w:val="0"/>
                <w:sz w:val="20"/>
                <w:szCs w:val="20"/>
                <w:lang w:val="sr-Cyrl-RS" w:eastAsia="en-GB"/>
                <w14:ligatures w14:val="none"/>
              </w:rPr>
            </w:pPr>
            <w:r w:rsidRPr="009C19C5">
              <w:rPr>
                <w:rFonts w:ascii="Times New Roman" w:hAnsi="Times New Roman" w:cs="Times New Roman"/>
                <w:sz w:val="20"/>
                <w:szCs w:val="20"/>
                <w:lang w:val="sr-Cyrl-RS"/>
              </w:rPr>
              <w:t>72,830 милиона евра</w:t>
            </w:r>
          </w:p>
        </w:tc>
        <w:tc>
          <w:tcPr>
            <w:tcW w:w="2948" w:type="dxa"/>
            <w:shd w:val="clear" w:color="auto" w:fill="F4F3F1" w:themeFill="accent2" w:themeFillTint="33"/>
            <w:vAlign w:val="center"/>
          </w:tcPr>
          <w:p w14:paraId="08AECDF2" w14:textId="77777777" w:rsidR="002C4CE3" w:rsidRPr="009C19C5" w:rsidRDefault="002C4CE3" w:rsidP="002C4CE3">
            <w:pPr>
              <w:spacing w:after="0" w:line="276" w:lineRule="auto"/>
              <w:jc w:val="center"/>
              <w:rPr>
                <w:rFonts w:ascii="Times New Roman" w:eastAsia="Times New Roman" w:hAnsi="Times New Roman" w:cs="Times New Roman"/>
                <w:kern w:val="0"/>
                <w:sz w:val="20"/>
                <w:szCs w:val="20"/>
                <w:lang w:val="sr-Cyrl-RS"/>
                <w14:ligatures w14:val="none"/>
              </w:rPr>
            </w:pPr>
          </w:p>
        </w:tc>
      </w:tr>
      <w:tr w:rsidR="002C4CE3" w:rsidRPr="009C19C5" w14:paraId="19004D23" w14:textId="77777777" w:rsidTr="00D91B53">
        <w:trPr>
          <w:trHeight w:val="226"/>
          <w:jc w:val="center"/>
        </w:trPr>
        <w:tc>
          <w:tcPr>
            <w:tcW w:w="5215" w:type="dxa"/>
            <w:gridSpan w:val="2"/>
            <w:shd w:val="clear" w:color="auto" w:fill="F4F3F1" w:themeFill="accent2" w:themeFillTint="33"/>
            <w:vAlign w:val="center"/>
          </w:tcPr>
          <w:p w14:paraId="2F7B1C27" w14:textId="713C2DCF" w:rsidR="002C4CE3" w:rsidRPr="009C19C5" w:rsidRDefault="002C4CE3" w:rsidP="002C4CE3">
            <w:pPr>
              <w:spacing w:after="0" w:line="276" w:lineRule="auto"/>
              <w:rPr>
                <w:rFonts w:ascii="Times New Roman" w:eastAsia="Times New Roman" w:hAnsi="Times New Roman" w:cs="Times New Roman"/>
                <w:kern w:val="0"/>
                <w:sz w:val="20"/>
                <w:szCs w:val="20"/>
                <w:lang w:val="sr-Cyrl-RS"/>
                <w14:ligatures w14:val="none"/>
              </w:rPr>
            </w:pPr>
            <w:r w:rsidRPr="009C19C5">
              <w:rPr>
                <w:rFonts w:ascii="Times New Roman" w:eastAsia="Times New Roman" w:hAnsi="Times New Roman" w:cs="Times New Roman"/>
                <w:kern w:val="0"/>
                <w:sz w:val="20"/>
                <w:szCs w:val="20"/>
                <w:lang w:val="sr-Cyrl-RS"/>
                <w14:ligatures w14:val="none"/>
              </w:rPr>
              <w:t>Укупни трошкови свих активности (Група A и Група Б, на националном и локалном нивоу до 2030)</w:t>
            </w:r>
          </w:p>
        </w:tc>
        <w:tc>
          <w:tcPr>
            <w:tcW w:w="2160" w:type="dxa"/>
            <w:shd w:val="clear" w:color="auto" w:fill="F4F3F1" w:themeFill="accent2" w:themeFillTint="33"/>
          </w:tcPr>
          <w:p w14:paraId="20F3DEE9" w14:textId="4F024A40" w:rsidR="002C4CE3" w:rsidRPr="009C19C5" w:rsidRDefault="002C4CE3" w:rsidP="002C4CE3">
            <w:pPr>
              <w:spacing w:after="0" w:line="276" w:lineRule="auto"/>
              <w:jc w:val="center"/>
              <w:rPr>
                <w:rFonts w:ascii="Times New Roman" w:eastAsia="Times New Roman" w:hAnsi="Times New Roman" w:cs="Times New Roman"/>
                <w:color w:val="000000"/>
                <w:kern w:val="0"/>
                <w:sz w:val="20"/>
                <w:szCs w:val="20"/>
                <w:lang w:val="sr-Cyrl-RS" w:eastAsia="en-GB"/>
                <w14:ligatures w14:val="none"/>
              </w:rPr>
            </w:pPr>
            <w:r w:rsidRPr="009C19C5">
              <w:rPr>
                <w:rFonts w:ascii="Times New Roman" w:hAnsi="Times New Roman" w:cs="Times New Roman"/>
                <w:sz w:val="20"/>
                <w:szCs w:val="20"/>
                <w:lang w:val="sr-Cyrl-RS"/>
              </w:rPr>
              <w:t>75,430 милиона евра</w:t>
            </w:r>
          </w:p>
        </w:tc>
        <w:tc>
          <w:tcPr>
            <w:tcW w:w="2948" w:type="dxa"/>
            <w:shd w:val="clear" w:color="auto" w:fill="F4F3F1" w:themeFill="accent2" w:themeFillTint="33"/>
            <w:vAlign w:val="center"/>
          </w:tcPr>
          <w:p w14:paraId="46BB42D9" w14:textId="77777777" w:rsidR="002C4CE3" w:rsidRPr="009C19C5" w:rsidRDefault="002C4CE3" w:rsidP="002C4CE3">
            <w:pPr>
              <w:spacing w:after="0" w:line="276" w:lineRule="auto"/>
              <w:jc w:val="center"/>
              <w:rPr>
                <w:rFonts w:ascii="Times New Roman" w:eastAsia="Times New Roman" w:hAnsi="Times New Roman" w:cs="Times New Roman"/>
                <w:kern w:val="0"/>
                <w:sz w:val="20"/>
                <w:szCs w:val="20"/>
                <w:lang w:val="sr-Cyrl-RS"/>
                <w14:ligatures w14:val="none"/>
              </w:rPr>
            </w:pPr>
          </w:p>
        </w:tc>
      </w:tr>
    </w:tbl>
    <w:p w14:paraId="79958497" w14:textId="77777777" w:rsidR="005C2750" w:rsidRPr="00023C5A" w:rsidRDefault="005C2750" w:rsidP="00BE195F">
      <w:pPr>
        <w:pStyle w:val="Heading2"/>
      </w:pPr>
    </w:p>
    <w:p w14:paraId="668974C2" w14:textId="6C530CF4" w:rsidR="00F276BC" w:rsidRPr="00023C5A" w:rsidRDefault="00BF27B6" w:rsidP="00BE195F">
      <w:pPr>
        <w:pStyle w:val="Heading2"/>
      </w:pPr>
      <w:r w:rsidRPr="00023C5A">
        <w:t>7.3.</w:t>
      </w:r>
      <w:r w:rsidR="00DC0B96" w:rsidRPr="00023C5A">
        <w:t xml:space="preserve"> </w:t>
      </w:r>
      <w:r w:rsidR="000A0E4E" w:rsidRPr="00023C5A">
        <w:t>К</w:t>
      </w:r>
      <w:r w:rsidR="00294102" w:rsidRPr="00023C5A">
        <w:t xml:space="preserve">ључни показатељи учинка </w:t>
      </w:r>
      <w:r w:rsidR="000A0E4E" w:rsidRPr="00023C5A">
        <w:t>до 203</w:t>
      </w:r>
      <w:r w:rsidR="00DC0B96" w:rsidRPr="00023C5A">
        <w:t xml:space="preserve">0. године, приступ надзору и ублажавање </w:t>
      </w:r>
      <w:r w:rsidR="000A0E4E" w:rsidRPr="00023C5A">
        <w:t>ризика</w:t>
      </w:r>
    </w:p>
    <w:p w14:paraId="59679A41" w14:textId="77777777" w:rsidR="00BF27B6" w:rsidRPr="009C19C5" w:rsidRDefault="00BF27B6" w:rsidP="003F2E15">
      <w:pPr>
        <w:spacing w:after="0" w:line="240" w:lineRule="auto"/>
        <w:ind w:firstLine="680"/>
        <w:jc w:val="both"/>
        <w:rPr>
          <w:rFonts w:ascii="Times New Roman" w:hAnsi="Times New Roman" w:cs="Times New Roman"/>
          <w:sz w:val="24"/>
          <w:szCs w:val="24"/>
          <w:lang w:val="sr-Cyrl-RS"/>
        </w:rPr>
      </w:pPr>
    </w:p>
    <w:p w14:paraId="4F9BAF57" w14:textId="184D185A" w:rsidR="008F6A13" w:rsidRPr="009C19C5" w:rsidRDefault="000A0E4E" w:rsidP="003F2E15">
      <w:pPr>
        <w:spacing w:after="0" w:line="240" w:lineRule="auto"/>
        <w:ind w:firstLine="677"/>
        <w:jc w:val="both"/>
        <w:rPr>
          <w:rFonts w:ascii="Times New Roman" w:hAnsi="Times New Roman" w:cs="Times New Roman"/>
          <w:sz w:val="24"/>
          <w:szCs w:val="24"/>
          <w:lang w:val="sr-Cyrl-RS"/>
        </w:rPr>
      </w:pPr>
      <w:r w:rsidRPr="009C19C5">
        <w:rPr>
          <w:rFonts w:ascii="Times New Roman" w:hAnsi="Times New Roman" w:cs="Times New Roman"/>
          <w:sz w:val="24"/>
          <w:szCs w:val="24"/>
          <w:lang w:val="sr-Cyrl-RS"/>
        </w:rPr>
        <w:t>За сваку ак</w:t>
      </w:r>
      <w:r w:rsidR="00294102" w:rsidRPr="009C19C5">
        <w:rPr>
          <w:rFonts w:ascii="Times New Roman" w:hAnsi="Times New Roman" w:cs="Times New Roman"/>
          <w:sz w:val="24"/>
          <w:szCs w:val="24"/>
          <w:lang w:val="sr-Cyrl-RS"/>
        </w:rPr>
        <w:t>тивност</w:t>
      </w:r>
      <w:r w:rsidR="00722B15" w:rsidRPr="009C19C5">
        <w:rPr>
          <w:rFonts w:ascii="Times New Roman" w:hAnsi="Times New Roman" w:cs="Times New Roman"/>
          <w:sz w:val="24"/>
          <w:szCs w:val="24"/>
          <w:lang w:val="sr-Cyrl-RS"/>
        </w:rPr>
        <w:t xml:space="preserve"> одређен је могући учинак, исход, ефекат и кључни показатељ учинка</w:t>
      </w:r>
      <w:r w:rsidR="008F6A13" w:rsidRPr="009C19C5">
        <w:rPr>
          <w:rFonts w:ascii="Times New Roman" w:hAnsi="Times New Roman" w:cs="Times New Roman"/>
          <w:sz w:val="24"/>
          <w:szCs w:val="24"/>
          <w:lang w:val="sr-Cyrl-RS"/>
        </w:rPr>
        <w:t xml:space="preserve"> (у даљем тексту: КПИ)</w:t>
      </w:r>
      <w:r w:rsidR="00722B15" w:rsidRPr="009C19C5">
        <w:rPr>
          <w:rFonts w:ascii="Times New Roman" w:hAnsi="Times New Roman" w:cs="Times New Roman"/>
          <w:sz w:val="24"/>
          <w:szCs w:val="24"/>
          <w:lang w:val="sr-Cyrl-RS"/>
        </w:rPr>
        <w:t>, приказ</w:t>
      </w:r>
      <w:r w:rsidR="003F2E15" w:rsidRPr="009C19C5">
        <w:rPr>
          <w:rFonts w:ascii="Times New Roman" w:hAnsi="Times New Roman" w:cs="Times New Roman"/>
          <w:sz w:val="24"/>
          <w:szCs w:val="24"/>
          <w:lang w:val="sr-Cyrl-RS"/>
        </w:rPr>
        <w:t>a</w:t>
      </w:r>
      <w:r w:rsidR="00722B15" w:rsidRPr="009C19C5">
        <w:rPr>
          <w:rFonts w:ascii="Times New Roman" w:hAnsi="Times New Roman" w:cs="Times New Roman"/>
          <w:sz w:val="24"/>
          <w:szCs w:val="24"/>
          <w:lang w:val="sr-Cyrl-RS"/>
        </w:rPr>
        <w:t xml:space="preserve">н </w:t>
      </w:r>
      <w:r w:rsidR="003F2E15" w:rsidRPr="009C19C5">
        <w:rPr>
          <w:rFonts w:ascii="Times New Roman" w:hAnsi="Times New Roman" w:cs="Times New Roman"/>
          <w:sz w:val="24"/>
          <w:szCs w:val="24"/>
          <w:lang w:val="sr-Cyrl-RS"/>
        </w:rPr>
        <w:t xml:space="preserve">у </w:t>
      </w:r>
      <w:r w:rsidR="00A03A5C" w:rsidRPr="009C19C5">
        <w:rPr>
          <w:rFonts w:ascii="Times New Roman" w:hAnsi="Times New Roman" w:cs="Times New Roman"/>
          <w:sz w:val="24"/>
          <w:szCs w:val="24"/>
          <w:lang w:val="sr-Cyrl-RS"/>
        </w:rPr>
        <w:t>Т</w:t>
      </w:r>
      <w:r w:rsidR="00722B15" w:rsidRPr="009C19C5">
        <w:rPr>
          <w:rFonts w:ascii="Times New Roman" w:hAnsi="Times New Roman" w:cs="Times New Roman"/>
          <w:sz w:val="24"/>
          <w:szCs w:val="24"/>
          <w:lang w:val="sr-Cyrl-RS"/>
        </w:rPr>
        <w:t>абели 1</w:t>
      </w:r>
      <w:r w:rsidR="00D56599" w:rsidRPr="009C19C5">
        <w:rPr>
          <w:rFonts w:ascii="Times New Roman" w:hAnsi="Times New Roman" w:cs="Times New Roman"/>
          <w:sz w:val="24"/>
          <w:szCs w:val="24"/>
          <w:lang w:val="sr-Cyrl-RS"/>
        </w:rPr>
        <w:t>7</w:t>
      </w:r>
      <w:r w:rsidR="00722B15" w:rsidRPr="009C19C5">
        <w:rPr>
          <w:rFonts w:ascii="Times New Roman" w:hAnsi="Times New Roman" w:cs="Times New Roman"/>
          <w:sz w:val="24"/>
          <w:szCs w:val="24"/>
          <w:lang w:val="sr-Cyrl-RS"/>
        </w:rPr>
        <w:t>.</w:t>
      </w:r>
      <w:r w:rsidRPr="009C19C5">
        <w:rPr>
          <w:rFonts w:ascii="Times New Roman" w:hAnsi="Times New Roman" w:cs="Times New Roman"/>
          <w:sz w:val="24"/>
          <w:szCs w:val="24"/>
          <w:lang w:val="sr-Cyrl-RS"/>
        </w:rPr>
        <w:t xml:space="preserve"> </w:t>
      </w:r>
    </w:p>
    <w:p w14:paraId="5F7D5ABD" w14:textId="77777777" w:rsidR="003F2E15" w:rsidRPr="009C19C5" w:rsidRDefault="003F2E15" w:rsidP="00722B15">
      <w:pPr>
        <w:pStyle w:val="Caption"/>
        <w:keepNext/>
        <w:spacing w:after="0" w:line="240" w:lineRule="auto"/>
        <w:ind w:left="680"/>
        <w:jc w:val="left"/>
        <w:rPr>
          <w:rFonts w:ascii="Times New Roman" w:hAnsi="Times New Roman" w:cs="Times New Roman"/>
          <w:i w:val="0"/>
          <w:iCs w:val="0"/>
          <w:color w:val="auto"/>
          <w:sz w:val="20"/>
          <w:szCs w:val="20"/>
          <w:lang w:val="sr-Cyrl-RS"/>
        </w:rPr>
      </w:pPr>
      <w:bookmarkStart w:id="60" w:name="_heading=h.158ubh5"/>
      <w:bookmarkStart w:id="61" w:name="_heading=h.3p8hu4y"/>
      <w:bookmarkStart w:id="62" w:name="_heading=h.42nnq3z"/>
      <w:bookmarkStart w:id="63" w:name="_heading=h.1ade6im"/>
      <w:bookmarkStart w:id="64" w:name="_heading=h.3ud1p6f"/>
      <w:bookmarkStart w:id="65" w:name="_heading=h.3drtnbb"/>
      <w:bookmarkStart w:id="66" w:name="_heading=h.1qym8dq"/>
      <w:bookmarkStart w:id="67" w:name="_heading=h.4g2tm30"/>
      <w:bookmarkStart w:id="68" w:name="_heading=h.4ay9r1j"/>
      <w:bookmarkStart w:id="69" w:name="_heading=h.2q3k19c"/>
      <w:bookmarkStart w:id="70" w:name="_Toc129338732"/>
      <w:bookmarkStart w:id="71" w:name="_heading=h.1io07g6"/>
      <w:bookmarkStart w:id="72" w:name="_heading=h.3gxvt7e"/>
      <w:bookmarkStart w:id="73" w:name="_Toc167311744"/>
      <w:bookmarkStart w:id="74" w:name="_heading=h.29ibze8"/>
      <w:bookmarkStart w:id="75" w:name="_heading=h.2s21qeq"/>
      <w:bookmarkStart w:id="76" w:name="_heading=h.1w363f7"/>
      <w:bookmarkStart w:id="77" w:name="_Toc110717802"/>
      <w:bookmarkStart w:id="78" w:name="_heading=h.lhk3py"/>
      <w:bookmarkStart w:id="79" w:name="_heading=h.4cwrg6x"/>
      <w:bookmarkStart w:id="80" w:name="_heading=h.3btby5x"/>
      <w:bookmarkStart w:id="81" w:name="_heading=h.3r6zjac"/>
      <w:bookmarkStart w:id="82" w:name="_heading=h.2v83wat"/>
      <w:bookmarkStart w:id="83" w:name="_heading=h.177c0mj"/>
      <w:bookmarkStart w:id="84" w:name="_Toc167352128"/>
      <w:bookmarkStart w:id="85" w:name="_Toc167352129"/>
      <w:bookmarkStart w:id="86" w:name="_heading=h.1sx3xj4"/>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27301CA6" w14:textId="480839F4" w:rsidR="00F276BC" w:rsidRPr="009C19C5" w:rsidRDefault="000A0E4E" w:rsidP="00722B15">
      <w:pPr>
        <w:pStyle w:val="Caption"/>
        <w:keepNext/>
        <w:spacing w:after="0" w:line="240" w:lineRule="auto"/>
        <w:ind w:left="680"/>
        <w:jc w:val="left"/>
        <w:rPr>
          <w:rFonts w:ascii="Times New Roman" w:hAnsi="Times New Roman" w:cs="Times New Roman"/>
          <w:i w:val="0"/>
          <w:iCs w:val="0"/>
          <w:color w:val="auto"/>
          <w:sz w:val="20"/>
          <w:szCs w:val="20"/>
          <w:u w:val="single"/>
          <w:lang w:val="sr-Cyrl-RS"/>
        </w:rPr>
      </w:pPr>
      <w:r w:rsidRPr="009C19C5">
        <w:rPr>
          <w:rFonts w:ascii="Times New Roman" w:hAnsi="Times New Roman" w:cs="Times New Roman"/>
          <w:i w:val="0"/>
          <w:iCs w:val="0"/>
          <w:color w:val="auto"/>
          <w:sz w:val="20"/>
          <w:szCs w:val="20"/>
          <w:lang w:val="sr-Cyrl-RS"/>
        </w:rPr>
        <w:t>Табела 1</w:t>
      </w:r>
      <w:r w:rsidR="00D56599" w:rsidRPr="009C19C5">
        <w:rPr>
          <w:rFonts w:ascii="Times New Roman" w:hAnsi="Times New Roman" w:cs="Times New Roman"/>
          <w:i w:val="0"/>
          <w:iCs w:val="0"/>
          <w:color w:val="auto"/>
          <w:sz w:val="20"/>
          <w:szCs w:val="20"/>
          <w:lang w:val="sr-Cyrl-RS"/>
        </w:rPr>
        <w:t>7</w:t>
      </w:r>
      <w:r w:rsidRPr="009C19C5">
        <w:rPr>
          <w:rFonts w:ascii="Times New Roman" w:hAnsi="Times New Roman" w:cs="Times New Roman"/>
          <w:i w:val="0"/>
          <w:iCs w:val="0"/>
          <w:color w:val="auto"/>
          <w:sz w:val="20"/>
          <w:szCs w:val="20"/>
          <w:lang w:val="sr-Cyrl-RS"/>
        </w:rPr>
        <w:t>: КПИ до 2030</w:t>
      </w:r>
      <w:r w:rsidR="003F2E15" w:rsidRPr="009C19C5">
        <w:rPr>
          <w:rFonts w:ascii="Times New Roman" w:hAnsi="Times New Roman" w:cs="Times New Roman"/>
          <w:i w:val="0"/>
          <w:iCs w:val="0"/>
          <w:color w:val="auto"/>
          <w:sz w:val="20"/>
          <w:szCs w:val="20"/>
          <w:lang w:val="sr-Cyrl-RS"/>
        </w:rPr>
        <w:t>.</w:t>
      </w:r>
      <w:r w:rsidR="00A03A5C" w:rsidRPr="009C19C5">
        <w:rPr>
          <w:rFonts w:ascii="Times New Roman" w:hAnsi="Times New Roman" w:cs="Times New Roman"/>
          <w:i w:val="0"/>
          <w:iCs w:val="0"/>
          <w:color w:val="auto"/>
          <w:sz w:val="20"/>
          <w:szCs w:val="20"/>
          <w:lang w:val="sr-Cyrl-RS"/>
        </w:rPr>
        <w:t xml:space="preserve"> </w:t>
      </w:r>
      <w:r w:rsidR="003F2E15" w:rsidRPr="009C19C5">
        <w:rPr>
          <w:rFonts w:ascii="Times New Roman" w:hAnsi="Times New Roman" w:cs="Times New Roman"/>
          <w:i w:val="0"/>
          <w:iCs w:val="0"/>
          <w:color w:val="auto"/>
          <w:sz w:val="20"/>
          <w:szCs w:val="20"/>
          <w:lang w:val="sr-Cyrl-RS"/>
        </w:rPr>
        <w:t>године</w:t>
      </w:r>
      <w:r w:rsidRPr="009C19C5">
        <w:rPr>
          <w:rFonts w:ascii="Times New Roman" w:hAnsi="Times New Roman" w:cs="Times New Roman"/>
          <w:i w:val="0"/>
          <w:iCs w:val="0"/>
          <w:color w:val="auto"/>
          <w:sz w:val="20"/>
          <w:szCs w:val="20"/>
          <w:lang w:val="sr-Cyrl-RS"/>
        </w:rPr>
        <w:t>, приступ надзору и ублажавање ризика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9"/>
        <w:gridCol w:w="1809"/>
        <w:gridCol w:w="2241"/>
        <w:gridCol w:w="1746"/>
        <w:gridCol w:w="2575"/>
      </w:tblGrid>
      <w:tr w:rsidR="00D91B53" w:rsidRPr="009C19C5" w14:paraId="767E9D7F" w14:textId="77777777" w:rsidTr="008F6A13">
        <w:trPr>
          <w:tblHeader/>
          <w:jc w:val="center"/>
        </w:trPr>
        <w:tc>
          <w:tcPr>
            <w:tcW w:w="2105" w:type="dxa"/>
            <w:shd w:val="clear" w:color="auto" w:fill="auto"/>
          </w:tcPr>
          <w:p w14:paraId="7BC7D941" w14:textId="77777777" w:rsidR="00F276BC" w:rsidRPr="009C19C5" w:rsidRDefault="000A0E4E">
            <w:pPr>
              <w:spacing w:after="0" w:line="240" w:lineRule="auto"/>
              <w:jc w:val="center"/>
              <w:rPr>
                <w:rFonts w:ascii="Times New Roman" w:hAnsi="Times New Roman" w:cs="Times New Roman"/>
                <w:sz w:val="20"/>
                <w:szCs w:val="20"/>
                <w:lang w:val="sr-Cyrl-RS"/>
              </w:rPr>
            </w:pPr>
            <w:r w:rsidRPr="009C19C5">
              <w:rPr>
                <w:rFonts w:ascii="Times New Roman" w:hAnsi="Times New Roman" w:cs="Times New Roman"/>
                <w:sz w:val="20"/>
                <w:szCs w:val="20"/>
                <w:lang w:val="sr-Cyrl-RS"/>
              </w:rPr>
              <w:t>Активности</w:t>
            </w:r>
          </w:p>
        </w:tc>
        <w:tc>
          <w:tcPr>
            <w:tcW w:w="1809" w:type="dxa"/>
            <w:shd w:val="clear" w:color="auto" w:fill="auto"/>
          </w:tcPr>
          <w:p w14:paraId="3CE6815C" w14:textId="77777777" w:rsidR="00F276BC" w:rsidRPr="009C19C5" w:rsidRDefault="000A0E4E">
            <w:pPr>
              <w:spacing w:after="0" w:line="240" w:lineRule="auto"/>
              <w:jc w:val="center"/>
              <w:rPr>
                <w:rFonts w:ascii="Times New Roman" w:hAnsi="Times New Roman" w:cs="Times New Roman"/>
                <w:sz w:val="20"/>
                <w:szCs w:val="20"/>
                <w:lang w:val="sr-Cyrl-RS"/>
              </w:rPr>
            </w:pPr>
            <w:r w:rsidRPr="009C19C5">
              <w:rPr>
                <w:rFonts w:ascii="Times New Roman" w:hAnsi="Times New Roman" w:cs="Times New Roman"/>
                <w:sz w:val="20"/>
                <w:szCs w:val="20"/>
                <w:lang w:val="sr-Cyrl-RS"/>
              </w:rPr>
              <w:t>Учинак</w:t>
            </w:r>
          </w:p>
        </w:tc>
        <w:tc>
          <w:tcPr>
            <w:tcW w:w="2291" w:type="dxa"/>
            <w:shd w:val="clear" w:color="auto" w:fill="auto"/>
          </w:tcPr>
          <w:p w14:paraId="71FD6BE1" w14:textId="77777777" w:rsidR="00F276BC" w:rsidRPr="009C19C5" w:rsidRDefault="000A0E4E">
            <w:pPr>
              <w:spacing w:after="0" w:line="240" w:lineRule="auto"/>
              <w:jc w:val="center"/>
              <w:rPr>
                <w:rFonts w:ascii="Times New Roman" w:hAnsi="Times New Roman" w:cs="Times New Roman"/>
                <w:sz w:val="20"/>
                <w:szCs w:val="20"/>
                <w:lang w:val="sr-Cyrl-RS"/>
              </w:rPr>
            </w:pPr>
            <w:r w:rsidRPr="009C19C5">
              <w:rPr>
                <w:rFonts w:ascii="Times New Roman" w:hAnsi="Times New Roman" w:cs="Times New Roman"/>
                <w:sz w:val="20"/>
                <w:szCs w:val="20"/>
                <w:lang w:val="sr-Cyrl-RS"/>
              </w:rPr>
              <w:t>Исход</w:t>
            </w:r>
          </w:p>
        </w:tc>
        <w:tc>
          <w:tcPr>
            <w:tcW w:w="1595" w:type="dxa"/>
            <w:shd w:val="clear" w:color="auto" w:fill="auto"/>
          </w:tcPr>
          <w:p w14:paraId="22207F31" w14:textId="77777777" w:rsidR="00F276BC" w:rsidRPr="009C19C5" w:rsidRDefault="000A0E4E">
            <w:pPr>
              <w:spacing w:after="0" w:line="240" w:lineRule="auto"/>
              <w:jc w:val="center"/>
              <w:rPr>
                <w:rFonts w:ascii="Times New Roman" w:hAnsi="Times New Roman" w:cs="Times New Roman"/>
                <w:sz w:val="20"/>
                <w:szCs w:val="20"/>
                <w:lang w:val="sr-Cyrl-RS"/>
              </w:rPr>
            </w:pPr>
            <w:r w:rsidRPr="009C19C5">
              <w:rPr>
                <w:rFonts w:ascii="Times New Roman" w:hAnsi="Times New Roman" w:cs="Times New Roman"/>
                <w:sz w:val="20"/>
                <w:szCs w:val="20"/>
                <w:lang w:val="sr-Cyrl-RS"/>
              </w:rPr>
              <w:t>Ефекат</w:t>
            </w:r>
          </w:p>
        </w:tc>
        <w:tc>
          <w:tcPr>
            <w:tcW w:w="2660" w:type="dxa"/>
            <w:shd w:val="clear" w:color="auto" w:fill="auto"/>
          </w:tcPr>
          <w:p w14:paraId="53BC365E" w14:textId="77777777" w:rsidR="00F276BC" w:rsidRPr="009C19C5" w:rsidRDefault="000A0E4E">
            <w:pPr>
              <w:spacing w:after="0" w:line="240" w:lineRule="auto"/>
              <w:jc w:val="center"/>
              <w:rPr>
                <w:rFonts w:ascii="Times New Roman" w:hAnsi="Times New Roman" w:cs="Times New Roman"/>
                <w:sz w:val="20"/>
                <w:szCs w:val="20"/>
                <w:lang w:val="sr-Cyrl-RS"/>
              </w:rPr>
            </w:pPr>
            <w:r w:rsidRPr="009C19C5">
              <w:rPr>
                <w:rFonts w:ascii="Times New Roman" w:hAnsi="Times New Roman" w:cs="Times New Roman"/>
                <w:sz w:val="20"/>
                <w:szCs w:val="20"/>
                <w:lang w:val="sr-Cyrl-RS"/>
              </w:rPr>
              <w:t>КПИ</w:t>
            </w:r>
          </w:p>
        </w:tc>
      </w:tr>
      <w:tr w:rsidR="00F276BC" w:rsidRPr="009C19C5" w14:paraId="59B870F6" w14:textId="77777777" w:rsidTr="008F6A13">
        <w:trPr>
          <w:jc w:val="center"/>
        </w:trPr>
        <w:tc>
          <w:tcPr>
            <w:tcW w:w="10460" w:type="dxa"/>
            <w:gridSpan w:val="5"/>
            <w:shd w:val="clear" w:color="auto" w:fill="auto"/>
          </w:tcPr>
          <w:p w14:paraId="726CF9CF" w14:textId="77777777" w:rsidR="00F276BC" w:rsidRPr="009C19C5" w:rsidRDefault="000A0E4E">
            <w:pPr>
              <w:spacing w:after="0" w:line="240" w:lineRule="auto"/>
              <w:jc w:val="center"/>
              <w:rPr>
                <w:rFonts w:ascii="Times New Roman" w:hAnsi="Times New Roman" w:cs="Times New Roman"/>
                <w:bCs/>
                <w:sz w:val="20"/>
                <w:szCs w:val="20"/>
                <w:lang w:val="sr-Cyrl-RS"/>
              </w:rPr>
            </w:pPr>
            <w:r w:rsidRPr="009C19C5">
              <w:rPr>
                <w:rFonts w:ascii="Times New Roman" w:hAnsi="Times New Roman" w:cs="Times New Roman"/>
                <w:bCs/>
                <w:sz w:val="20"/>
                <w:szCs w:val="20"/>
                <w:lang w:val="sr-Cyrl-RS"/>
              </w:rPr>
              <w:t>Краткорочне активности на националном нивоу</w:t>
            </w:r>
          </w:p>
        </w:tc>
      </w:tr>
      <w:tr w:rsidR="00D91B53" w:rsidRPr="009C19C5" w14:paraId="5FB5BBB3" w14:textId="77777777" w:rsidTr="008F6A13">
        <w:trPr>
          <w:trHeight w:val="2009"/>
          <w:jc w:val="center"/>
        </w:trPr>
        <w:tc>
          <w:tcPr>
            <w:tcW w:w="2105" w:type="dxa"/>
            <w:shd w:val="clear" w:color="auto" w:fill="auto"/>
          </w:tcPr>
          <w:p w14:paraId="13D26376" w14:textId="0CBAB773" w:rsidR="00F276BC" w:rsidRPr="009C19C5" w:rsidRDefault="00294102">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 xml:space="preserve">Успостављање </w:t>
            </w:r>
            <w:r w:rsidR="000A0E4E" w:rsidRPr="009C19C5">
              <w:rPr>
                <w:rFonts w:ascii="Times New Roman" w:hAnsi="Times New Roman" w:cs="Times New Roman"/>
                <w:sz w:val="20"/>
                <w:szCs w:val="20"/>
                <w:lang w:val="sr-Cyrl-RS" w:eastAsia="en-GB"/>
              </w:rPr>
              <w:t xml:space="preserve">и операционализација управљања праведном транзицијом у </w:t>
            </w:r>
            <w:r w:rsidR="007D4593" w:rsidRPr="009C19C5">
              <w:rPr>
                <w:rFonts w:ascii="Times New Roman" w:hAnsi="Times New Roman" w:cs="Times New Roman"/>
                <w:sz w:val="20"/>
                <w:szCs w:val="20"/>
                <w:lang w:val="sr-Cyrl-RS"/>
              </w:rPr>
              <w:t>Републици</w:t>
            </w:r>
            <w:r w:rsidR="007D4593" w:rsidRPr="009C19C5">
              <w:rPr>
                <w:rFonts w:ascii="Times New Roman" w:hAnsi="Times New Roman" w:cs="Times New Roman"/>
                <w:sz w:val="20"/>
                <w:szCs w:val="20"/>
                <w:lang w:val="sr-Cyrl-RS" w:eastAsia="en-GB"/>
              </w:rPr>
              <w:t xml:space="preserve"> </w:t>
            </w:r>
            <w:r w:rsidR="000A0E4E" w:rsidRPr="009C19C5">
              <w:rPr>
                <w:rFonts w:ascii="Times New Roman" w:hAnsi="Times New Roman" w:cs="Times New Roman"/>
                <w:sz w:val="20"/>
                <w:szCs w:val="20"/>
                <w:lang w:val="sr-Cyrl-RS" w:eastAsia="en-GB"/>
              </w:rPr>
              <w:t>Србији</w:t>
            </w:r>
          </w:p>
        </w:tc>
        <w:tc>
          <w:tcPr>
            <w:tcW w:w="1809" w:type="dxa"/>
            <w:shd w:val="clear" w:color="auto" w:fill="auto"/>
          </w:tcPr>
          <w:p w14:paraId="33CC6EBC" w14:textId="5554961B" w:rsidR="00294102" w:rsidRPr="009C19C5" w:rsidRDefault="000A0E4E">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 xml:space="preserve">Оснивање </w:t>
            </w:r>
            <w:r w:rsidR="00D91B53" w:rsidRPr="009C19C5">
              <w:rPr>
                <w:rFonts w:ascii="Times New Roman" w:hAnsi="Times New Roman" w:cs="Times New Roman"/>
                <w:sz w:val="20"/>
                <w:szCs w:val="20"/>
                <w:lang w:val="sr-Cyrl-RS" w:eastAsia="en-GB"/>
              </w:rPr>
              <w:t>В</w:t>
            </w:r>
            <w:r w:rsidR="00D91B53" w:rsidRPr="009C19C5">
              <w:rPr>
                <w:rFonts w:ascii="Times New Roman" w:hAnsi="Times New Roman" w:cs="Times New Roman"/>
                <w:sz w:val="20"/>
                <w:szCs w:val="20"/>
                <w:lang w:val="sr-Cyrl-RS"/>
              </w:rPr>
              <w:t>ладиног комитета</w:t>
            </w:r>
            <w:r w:rsidRPr="009C19C5">
              <w:rPr>
                <w:rFonts w:ascii="Times New Roman" w:hAnsi="Times New Roman" w:cs="Times New Roman"/>
                <w:sz w:val="20"/>
                <w:szCs w:val="20"/>
                <w:lang w:val="sr-Cyrl-RS" w:eastAsia="en-GB"/>
              </w:rPr>
              <w:t xml:space="preserve">, </w:t>
            </w:r>
            <w:r w:rsidR="00D91B53" w:rsidRPr="009C19C5">
              <w:rPr>
                <w:rFonts w:ascii="Times New Roman" w:hAnsi="Times New Roman" w:cs="Times New Roman"/>
                <w:sz w:val="20"/>
                <w:szCs w:val="20"/>
                <w:lang w:val="sr-Cyrl-RS" w:eastAsia="en-GB"/>
              </w:rPr>
              <w:t>Јединице за праведну транзицију, међум</w:t>
            </w:r>
            <w:r w:rsidR="00A03A5C" w:rsidRPr="009C19C5">
              <w:rPr>
                <w:rFonts w:ascii="Times New Roman" w:hAnsi="Times New Roman" w:cs="Times New Roman"/>
                <w:sz w:val="20"/>
                <w:szCs w:val="20"/>
                <w:lang w:val="sr-Cyrl-RS" w:eastAsia="en-GB"/>
              </w:rPr>
              <w:t>и</w:t>
            </w:r>
            <w:r w:rsidR="00D91B53" w:rsidRPr="009C19C5">
              <w:rPr>
                <w:rFonts w:ascii="Times New Roman" w:hAnsi="Times New Roman" w:cs="Times New Roman"/>
                <w:sz w:val="20"/>
                <w:szCs w:val="20"/>
                <w:lang w:val="sr-Cyrl-RS" w:eastAsia="en-GB"/>
              </w:rPr>
              <w:t>н</w:t>
            </w:r>
            <w:r w:rsidR="00C4657F" w:rsidRPr="009C19C5">
              <w:rPr>
                <w:rFonts w:ascii="Times New Roman" w:hAnsi="Times New Roman" w:cs="Times New Roman"/>
                <w:sz w:val="20"/>
                <w:szCs w:val="20"/>
                <w:lang w:val="sr-Cyrl-RS" w:eastAsia="en-GB"/>
              </w:rPr>
              <w:t>и</w:t>
            </w:r>
            <w:r w:rsidR="00D91B53" w:rsidRPr="009C19C5">
              <w:rPr>
                <w:rFonts w:ascii="Times New Roman" w:hAnsi="Times New Roman" w:cs="Times New Roman"/>
                <w:sz w:val="20"/>
                <w:szCs w:val="20"/>
                <w:lang w:val="sr-Cyrl-RS" w:eastAsia="en-GB"/>
              </w:rPr>
              <w:t xml:space="preserve">старске радне групе, </w:t>
            </w:r>
            <w:r w:rsidRPr="009C19C5">
              <w:rPr>
                <w:rFonts w:ascii="Times New Roman" w:hAnsi="Times New Roman" w:cs="Times New Roman"/>
                <w:sz w:val="20"/>
                <w:szCs w:val="20"/>
                <w:lang w:val="sr-Cyrl-RS" w:eastAsia="en-GB"/>
              </w:rPr>
              <w:t>општинских савета</w:t>
            </w:r>
          </w:p>
          <w:p w14:paraId="36376EB2" w14:textId="77777777" w:rsidR="00294102" w:rsidRPr="009C19C5" w:rsidRDefault="00294102">
            <w:pPr>
              <w:spacing w:after="0" w:line="240" w:lineRule="auto"/>
              <w:jc w:val="center"/>
              <w:rPr>
                <w:rFonts w:ascii="Times New Roman" w:hAnsi="Times New Roman" w:cs="Times New Roman"/>
                <w:sz w:val="20"/>
                <w:szCs w:val="20"/>
                <w:lang w:val="sr-Cyrl-RS" w:eastAsia="en-GB"/>
              </w:rPr>
            </w:pPr>
          </w:p>
          <w:p w14:paraId="093E7465" w14:textId="68195D4B" w:rsidR="00F276BC" w:rsidRPr="009C19C5" w:rsidRDefault="000A0E4E">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Именовање Националног  координатора</w:t>
            </w:r>
            <w:r w:rsidR="00294102" w:rsidRPr="009C19C5">
              <w:rPr>
                <w:rFonts w:ascii="Times New Roman" w:hAnsi="Times New Roman" w:cs="Times New Roman"/>
                <w:sz w:val="20"/>
                <w:szCs w:val="20"/>
                <w:lang w:val="sr-Cyrl-RS" w:eastAsia="en-GB"/>
              </w:rPr>
              <w:t xml:space="preserve"> за праведну транзицију</w:t>
            </w:r>
          </w:p>
        </w:tc>
        <w:tc>
          <w:tcPr>
            <w:tcW w:w="2291" w:type="dxa"/>
            <w:shd w:val="clear" w:color="auto" w:fill="auto"/>
          </w:tcPr>
          <w:p w14:paraId="3C0407F4" w14:textId="77777777" w:rsidR="00F276BC" w:rsidRPr="009C19C5" w:rsidRDefault="00F276BC">
            <w:pPr>
              <w:spacing w:after="0" w:line="240" w:lineRule="auto"/>
              <w:jc w:val="center"/>
              <w:rPr>
                <w:rFonts w:ascii="Times New Roman" w:hAnsi="Times New Roman" w:cs="Times New Roman"/>
                <w:sz w:val="20"/>
                <w:szCs w:val="20"/>
                <w:lang w:val="sr-Cyrl-RS" w:eastAsia="en-GB"/>
              </w:rPr>
            </w:pPr>
          </w:p>
          <w:p w14:paraId="01B1FD80" w14:textId="4229C14A" w:rsidR="00F276BC" w:rsidRPr="009C19C5" w:rsidRDefault="000A0E4E" w:rsidP="00C4657F">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 xml:space="preserve">Координисана и ефикасна имплементација </w:t>
            </w:r>
            <w:r w:rsidR="00E44013" w:rsidRPr="009C19C5">
              <w:rPr>
                <w:rFonts w:ascii="Times New Roman" w:hAnsi="Times New Roman" w:cs="Times New Roman"/>
                <w:sz w:val="20"/>
                <w:szCs w:val="20"/>
                <w:lang w:val="sr-Cyrl-RS" w:eastAsia="en-GB"/>
              </w:rPr>
              <w:t>Плана</w:t>
            </w:r>
            <w:r w:rsidRPr="009C19C5">
              <w:rPr>
                <w:rFonts w:ascii="Times New Roman" w:hAnsi="Times New Roman" w:cs="Times New Roman"/>
                <w:sz w:val="20"/>
                <w:szCs w:val="20"/>
                <w:lang w:val="sr-Cyrl-RS" w:eastAsia="en-GB"/>
              </w:rPr>
              <w:t xml:space="preserve"> </w:t>
            </w:r>
            <w:r w:rsidR="00387017" w:rsidRPr="009C19C5">
              <w:rPr>
                <w:rFonts w:ascii="Times New Roman" w:hAnsi="Times New Roman" w:cs="Times New Roman"/>
                <w:sz w:val="20"/>
                <w:szCs w:val="20"/>
                <w:lang w:val="sr-Cyrl-RS" w:eastAsia="en-GB"/>
              </w:rPr>
              <w:t>за праведну</w:t>
            </w:r>
            <w:r w:rsidR="00E44013" w:rsidRPr="009C19C5">
              <w:rPr>
                <w:rFonts w:ascii="Times New Roman" w:hAnsi="Times New Roman" w:cs="Times New Roman"/>
                <w:sz w:val="20"/>
                <w:szCs w:val="20"/>
                <w:lang w:val="sr-Cyrl-RS" w:eastAsia="en-GB"/>
              </w:rPr>
              <w:t xml:space="preserve"> енергетску</w:t>
            </w:r>
            <w:r w:rsidR="00387017" w:rsidRPr="009C19C5">
              <w:rPr>
                <w:rFonts w:ascii="Times New Roman" w:hAnsi="Times New Roman" w:cs="Times New Roman"/>
                <w:sz w:val="20"/>
                <w:szCs w:val="20"/>
                <w:lang w:val="sr-Cyrl-RS" w:eastAsia="en-GB"/>
              </w:rPr>
              <w:t xml:space="preserve"> транзицију</w:t>
            </w:r>
            <w:r w:rsidRPr="009C19C5">
              <w:rPr>
                <w:rFonts w:ascii="Times New Roman" w:hAnsi="Times New Roman" w:cs="Times New Roman"/>
                <w:sz w:val="20"/>
                <w:szCs w:val="20"/>
                <w:lang w:val="sr-Cyrl-RS" w:eastAsia="en-GB"/>
              </w:rPr>
              <w:t>. Оптимизација и коришћење свих доступних међународних фондова</w:t>
            </w:r>
            <w:r w:rsidR="009641EC" w:rsidRPr="009C19C5">
              <w:rPr>
                <w:rFonts w:ascii="Times New Roman" w:hAnsi="Times New Roman" w:cs="Times New Roman"/>
                <w:color w:val="000000"/>
                <w:sz w:val="20"/>
                <w:szCs w:val="20"/>
                <w:lang w:val="sr-Cyrl-RS" w:eastAsia="en-GB"/>
              </w:rPr>
              <w:t>,</w:t>
            </w:r>
            <w:r w:rsidR="009641EC" w:rsidRPr="009C19C5">
              <w:rPr>
                <w:rFonts w:ascii="Times New Roman" w:hAnsi="Times New Roman" w:cs="Times New Roman"/>
                <w:sz w:val="20"/>
                <w:szCs w:val="20"/>
                <w:lang w:val="sr-Cyrl-RS" w:eastAsia="en-GB"/>
              </w:rPr>
              <w:t xml:space="preserve"> </w:t>
            </w:r>
            <w:r w:rsidR="00C4657F" w:rsidRPr="009C19C5">
              <w:rPr>
                <w:rFonts w:ascii="Times New Roman" w:hAnsi="Times New Roman" w:cs="Times New Roman"/>
                <w:sz w:val="20"/>
                <w:szCs w:val="20"/>
                <w:lang w:val="sr-Cyrl-RS" w:eastAsia="en-GB"/>
              </w:rPr>
              <w:t>б</w:t>
            </w:r>
            <w:r w:rsidR="009641EC" w:rsidRPr="009C19C5">
              <w:rPr>
                <w:rFonts w:ascii="Times New Roman" w:hAnsi="Times New Roman" w:cs="Times New Roman"/>
                <w:sz w:val="20"/>
                <w:szCs w:val="20"/>
                <w:lang w:val="sr-Cyrl-RS" w:eastAsia="en-GB"/>
              </w:rPr>
              <w:t>уџет Републике</w:t>
            </w:r>
            <w:r w:rsidR="009641EC" w:rsidRPr="009C19C5">
              <w:rPr>
                <w:rFonts w:ascii="Times New Roman" w:eastAsia="Times New Roman" w:hAnsi="Times New Roman" w:cs="Times New Roman"/>
                <w:kern w:val="0"/>
                <w:sz w:val="20"/>
                <w:szCs w:val="20"/>
                <w:lang w:val="sr-Cyrl-RS"/>
                <w14:ligatures w14:val="none"/>
              </w:rPr>
              <w:t xml:space="preserve"> </w:t>
            </w:r>
            <w:r w:rsidR="009641EC" w:rsidRPr="009C19C5">
              <w:rPr>
                <w:rFonts w:ascii="Times New Roman" w:hAnsi="Times New Roman" w:cs="Times New Roman"/>
                <w:color w:val="000000"/>
                <w:sz w:val="20"/>
                <w:szCs w:val="20"/>
                <w:lang w:val="sr-Cyrl-RS" w:eastAsia="en-GB"/>
              </w:rPr>
              <w:t>и други извори у складу са законом</w:t>
            </w:r>
            <w:r w:rsidR="009641EC" w:rsidRPr="009C19C5">
              <w:rPr>
                <w:rFonts w:ascii="Times New Roman" w:hAnsi="Times New Roman" w:cs="Times New Roman"/>
                <w:sz w:val="20"/>
                <w:szCs w:val="20"/>
                <w:lang w:val="sr-Cyrl-RS" w:eastAsia="en-GB"/>
              </w:rPr>
              <w:t xml:space="preserve">, </w:t>
            </w:r>
            <w:r w:rsidRPr="009C19C5">
              <w:rPr>
                <w:rFonts w:ascii="Times New Roman" w:hAnsi="Times New Roman" w:cs="Times New Roman"/>
                <w:sz w:val="20"/>
                <w:szCs w:val="20"/>
                <w:lang w:val="sr-Cyrl-RS" w:eastAsia="en-GB"/>
              </w:rPr>
              <w:t>Уклањање законских и других баријера. Постизање прихватања</w:t>
            </w:r>
            <w:r w:rsidR="00387017" w:rsidRPr="009C19C5">
              <w:rPr>
                <w:rFonts w:ascii="Times New Roman" w:hAnsi="Times New Roman" w:cs="Times New Roman"/>
                <w:sz w:val="20"/>
                <w:szCs w:val="20"/>
                <w:lang w:val="sr-Cyrl-RS" w:eastAsia="en-GB"/>
              </w:rPr>
              <w:t xml:space="preserve"> у јавности</w:t>
            </w:r>
            <w:r w:rsidRPr="009C19C5">
              <w:rPr>
                <w:rFonts w:ascii="Times New Roman" w:hAnsi="Times New Roman" w:cs="Times New Roman"/>
                <w:sz w:val="20"/>
                <w:szCs w:val="20"/>
                <w:lang w:val="sr-Cyrl-RS" w:eastAsia="en-GB"/>
              </w:rPr>
              <w:t xml:space="preserve"> укључивањем свих заинтересованих страна</w:t>
            </w:r>
          </w:p>
        </w:tc>
        <w:tc>
          <w:tcPr>
            <w:tcW w:w="1595" w:type="dxa"/>
            <w:shd w:val="clear" w:color="auto" w:fill="auto"/>
          </w:tcPr>
          <w:p w14:paraId="2456D385" w14:textId="4FD60FC9" w:rsidR="00F276BC" w:rsidRPr="009C19C5" w:rsidRDefault="000A0E4E">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 xml:space="preserve">Координисана имплементација плана </w:t>
            </w:r>
            <w:r w:rsidR="00387017" w:rsidRPr="009C19C5">
              <w:rPr>
                <w:rFonts w:ascii="Times New Roman" w:hAnsi="Times New Roman" w:cs="Times New Roman"/>
                <w:sz w:val="20"/>
                <w:szCs w:val="20"/>
                <w:lang w:val="sr-Cyrl-RS" w:eastAsia="en-GB"/>
              </w:rPr>
              <w:t>за праведну транзицију</w:t>
            </w:r>
            <w:r w:rsidRPr="009C19C5">
              <w:rPr>
                <w:rFonts w:ascii="Times New Roman" w:hAnsi="Times New Roman" w:cs="Times New Roman"/>
                <w:sz w:val="20"/>
                <w:szCs w:val="20"/>
                <w:lang w:val="sr-Cyrl-RS" w:eastAsia="en-GB"/>
              </w:rPr>
              <w:t xml:space="preserve">, оптимизација користи од </w:t>
            </w:r>
            <w:r w:rsidR="00387017" w:rsidRPr="009C19C5">
              <w:rPr>
                <w:rFonts w:ascii="Times New Roman" w:hAnsi="Times New Roman" w:cs="Times New Roman"/>
                <w:sz w:val="20"/>
                <w:szCs w:val="20"/>
                <w:lang w:val="sr-Cyrl-RS" w:eastAsia="en-GB"/>
              </w:rPr>
              <w:t xml:space="preserve">праведне транзиције </w:t>
            </w:r>
            <w:r w:rsidRPr="009C19C5">
              <w:rPr>
                <w:rFonts w:ascii="Times New Roman" w:hAnsi="Times New Roman" w:cs="Times New Roman"/>
                <w:sz w:val="20"/>
                <w:szCs w:val="20"/>
                <w:lang w:val="sr-Cyrl-RS" w:eastAsia="en-GB"/>
              </w:rPr>
              <w:t>и ублажавање последица</w:t>
            </w:r>
          </w:p>
        </w:tc>
        <w:tc>
          <w:tcPr>
            <w:tcW w:w="2660" w:type="dxa"/>
            <w:shd w:val="clear" w:color="auto" w:fill="auto"/>
          </w:tcPr>
          <w:p w14:paraId="48EA6FB5" w14:textId="015890DC" w:rsidR="00387017" w:rsidRPr="009C19C5" w:rsidRDefault="00D91B53">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Усп</w:t>
            </w:r>
            <w:r w:rsidR="000A0E4E" w:rsidRPr="009C19C5">
              <w:rPr>
                <w:rFonts w:ascii="Times New Roman" w:hAnsi="Times New Roman" w:cs="Times New Roman"/>
                <w:sz w:val="20"/>
                <w:szCs w:val="20"/>
                <w:lang w:val="sr-Cyrl-RS" w:eastAsia="en-GB"/>
              </w:rPr>
              <w:t>остављ</w:t>
            </w:r>
            <w:r w:rsidRPr="009C19C5">
              <w:rPr>
                <w:rFonts w:ascii="Times New Roman" w:hAnsi="Times New Roman" w:cs="Times New Roman"/>
                <w:sz w:val="20"/>
                <w:szCs w:val="20"/>
                <w:lang w:val="sr-Cyrl-RS" w:eastAsia="en-GB"/>
              </w:rPr>
              <w:t>ен</w:t>
            </w:r>
            <w:r w:rsidR="000A0E4E" w:rsidRPr="009C19C5">
              <w:rPr>
                <w:rFonts w:ascii="Times New Roman" w:hAnsi="Times New Roman" w:cs="Times New Roman"/>
                <w:sz w:val="20"/>
                <w:szCs w:val="20"/>
                <w:lang w:val="sr-Cyrl-RS" w:eastAsia="en-GB"/>
              </w:rPr>
              <w:t xml:space="preserve"> </w:t>
            </w:r>
            <w:r w:rsidRPr="009C19C5">
              <w:rPr>
                <w:rFonts w:ascii="Times New Roman" w:hAnsi="Times New Roman" w:cs="Times New Roman"/>
                <w:sz w:val="20"/>
                <w:szCs w:val="20"/>
                <w:lang w:val="sr-Cyrl-RS" w:eastAsia="en-GB"/>
              </w:rPr>
              <w:t>Владин комитет</w:t>
            </w:r>
          </w:p>
          <w:p w14:paraId="0E246390" w14:textId="77777777" w:rsidR="00387017" w:rsidRPr="009C19C5" w:rsidRDefault="00387017">
            <w:pPr>
              <w:spacing w:after="0" w:line="240" w:lineRule="auto"/>
              <w:jc w:val="center"/>
              <w:rPr>
                <w:rFonts w:ascii="Times New Roman" w:hAnsi="Times New Roman" w:cs="Times New Roman"/>
                <w:sz w:val="20"/>
                <w:szCs w:val="20"/>
                <w:lang w:val="sr-Cyrl-RS" w:eastAsia="en-GB"/>
              </w:rPr>
            </w:pPr>
          </w:p>
          <w:p w14:paraId="31FD5BC1" w14:textId="7EEEBA7E" w:rsidR="00F276BC" w:rsidRPr="009C19C5" w:rsidRDefault="00A04C0A">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Усп</w:t>
            </w:r>
            <w:r w:rsidR="000A0E4E" w:rsidRPr="009C19C5">
              <w:rPr>
                <w:rFonts w:ascii="Times New Roman" w:hAnsi="Times New Roman" w:cs="Times New Roman"/>
                <w:sz w:val="20"/>
                <w:szCs w:val="20"/>
                <w:lang w:val="sr-Cyrl-RS" w:eastAsia="en-GB"/>
              </w:rPr>
              <w:t>остављ</w:t>
            </w:r>
            <w:r w:rsidRPr="009C19C5">
              <w:rPr>
                <w:rFonts w:ascii="Times New Roman" w:hAnsi="Times New Roman" w:cs="Times New Roman"/>
                <w:sz w:val="20"/>
                <w:szCs w:val="20"/>
                <w:lang w:val="sr-Cyrl-RS" w:eastAsia="en-GB"/>
              </w:rPr>
              <w:t>ен</w:t>
            </w:r>
            <w:r w:rsidR="000A0E4E" w:rsidRPr="009C19C5">
              <w:rPr>
                <w:rFonts w:ascii="Times New Roman" w:hAnsi="Times New Roman" w:cs="Times New Roman"/>
                <w:sz w:val="20"/>
                <w:szCs w:val="20"/>
                <w:lang w:val="sr-Cyrl-RS" w:eastAsia="en-GB"/>
              </w:rPr>
              <w:t xml:space="preserve"> националн</w:t>
            </w:r>
            <w:r w:rsidRPr="009C19C5">
              <w:rPr>
                <w:rFonts w:ascii="Times New Roman" w:hAnsi="Times New Roman" w:cs="Times New Roman"/>
                <w:sz w:val="20"/>
                <w:szCs w:val="20"/>
                <w:lang w:val="sr-Cyrl-RS" w:eastAsia="en-GB"/>
              </w:rPr>
              <w:t>и</w:t>
            </w:r>
            <w:r w:rsidR="000A0E4E" w:rsidRPr="009C19C5">
              <w:rPr>
                <w:rFonts w:ascii="Times New Roman" w:hAnsi="Times New Roman" w:cs="Times New Roman"/>
                <w:sz w:val="20"/>
                <w:szCs w:val="20"/>
                <w:lang w:val="sr-Cyrl-RS" w:eastAsia="en-GB"/>
              </w:rPr>
              <w:t xml:space="preserve"> координатор за </w:t>
            </w:r>
            <w:r w:rsidR="00387017" w:rsidRPr="009C19C5">
              <w:rPr>
                <w:rFonts w:ascii="Times New Roman" w:hAnsi="Times New Roman" w:cs="Times New Roman"/>
                <w:sz w:val="20"/>
                <w:szCs w:val="20"/>
                <w:lang w:val="sr-Cyrl-RS" w:eastAsia="en-GB"/>
              </w:rPr>
              <w:t>праведну транзицију</w:t>
            </w:r>
            <w:r w:rsidR="000A0E4E" w:rsidRPr="009C19C5">
              <w:rPr>
                <w:rFonts w:ascii="Times New Roman" w:hAnsi="Times New Roman" w:cs="Times New Roman"/>
                <w:sz w:val="20"/>
                <w:szCs w:val="20"/>
                <w:lang w:val="sr-Cyrl-RS" w:eastAsia="en-GB"/>
              </w:rPr>
              <w:t>, успостављ</w:t>
            </w:r>
            <w:r w:rsidRPr="009C19C5">
              <w:rPr>
                <w:rFonts w:ascii="Times New Roman" w:hAnsi="Times New Roman" w:cs="Times New Roman"/>
                <w:sz w:val="20"/>
                <w:szCs w:val="20"/>
                <w:lang w:val="sr-Cyrl-RS" w:eastAsia="en-GB"/>
              </w:rPr>
              <w:t>ена</w:t>
            </w:r>
            <w:r w:rsidR="000A0E4E" w:rsidRPr="009C19C5">
              <w:rPr>
                <w:rFonts w:ascii="Times New Roman" w:hAnsi="Times New Roman" w:cs="Times New Roman"/>
                <w:sz w:val="20"/>
                <w:szCs w:val="20"/>
                <w:lang w:val="sr-Cyrl-RS" w:eastAsia="en-GB"/>
              </w:rPr>
              <w:t xml:space="preserve"> </w:t>
            </w:r>
            <w:r w:rsidR="00D91B53" w:rsidRPr="009C19C5">
              <w:rPr>
                <w:rFonts w:ascii="Times New Roman" w:hAnsi="Times New Roman" w:cs="Times New Roman"/>
                <w:sz w:val="20"/>
                <w:szCs w:val="20"/>
                <w:lang w:val="sr-Cyrl-RS" w:eastAsia="en-GB"/>
              </w:rPr>
              <w:t>Јединиц</w:t>
            </w:r>
            <w:r w:rsidRPr="009C19C5">
              <w:rPr>
                <w:rFonts w:ascii="Times New Roman" w:hAnsi="Times New Roman" w:cs="Times New Roman"/>
                <w:sz w:val="20"/>
                <w:szCs w:val="20"/>
                <w:lang w:val="sr-Cyrl-RS" w:eastAsia="en-GB"/>
              </w:rPr>
              <w:t>а</w:t>
            </w:r>
            <w:r w:rsidR="00D91B53" w:rsidRPr="009C19C5">
              <w:rPr>
                <w:rFonts w:ascii="Times New Roman" w:hAnsi="Times New Roman" w:cs="Times New Roman"/>
                <w:sz w:val="20"/>
                <w:szCs w:val="20"/>
                <w:lang w:val="sr-Cyrl-RS" w:eastAsia="en-GB"/>
              </w:rPr>
              <w:t xml:space="preserve"> за праведну транзицију</w:t>
            </w:r>
            <w:r w:rsidR="000A0E4E" w:rsidRPr="009C19C5">
              <w:rPr>
                <w:rFonts w:ascii="Times New Roman" w:hAnsi="Times New Roman" w:cs="Times New Roman"/>
                <w:sz w:val="20"/>
                <w:szCs w:val="20"/>
                <w:lang w:val="sr-Cyrl-RS" w:eastAsia="en-GB"/>
              </w:rPr>
              <w:t xml:space="preserve"> и општински савет</w:t>
            </w:r>
            <w:r w:rsidRPr="009C19C5">
              <w:rPr>
                <w:rFonts w:ascii="Times New Roman" w:hAnsi="Times New Roman" w:cs="Times New Roman"/>
                <w:sz w:val="20"/>
                <w:szCs w:val="20"/>
                <w:lang w:val="sr-Cyrl-RS" w:eastAsia="en-GB"/>
              </w:rPr>
              <w:t>и</w:t>
            </w:r>
            <w:r w:rsidR="000A0E4E" w:rsidRPr="009C19C5">
              <w:rPr>
                <w:rFonts w:ascii="Times New Roman" w:hAnsi="Times New Roman" w:cs="Times New Roman"/>
                <w:sz w:val="20"/>
                <w:szCs w:val="20"/>
                <w:lang w:val="sr-Cyrl-RS" w:eastAsia="en-GB"/>
              </w:rPr>
              <w:t xml:space="preserve"> за процес </w:t>
            </w:r>
            <w:r w:rsidR="00387017" w:rsidRPr="009C19C5">
              <w:rPr>
                <w:rFonts w:ascii="Times New Roman" w:hAnsi="Times New Roman" w:cs="Times New Roman"/>
                <w:sz w:val="20"/>
                <w:szCs w:val="20"/>
                <w:lang w:val="sr-Cyrl-RS" w:eastAsia="en-GB"/>
              </w:rPr>
              <w:t>праведне транзиције</w:t>
            </w:r>
          </w:p>
        </w:tc>
      </w:tr>
      <w:tr w:rsidR="00F276BC" w:rsidRPr="009C19C5" w14:paraId="352B7F4D" w14:textId="77777777" w:rsidTr="008F6A13">
        <w:trPr>
          <w:jc w:val="center"/>
        </w:trPr>
        <w:tc>
          <w:tcPr>
            <w:tcW w:w="10460" w:type="dxa"/>
            <w:gridSpan w:val="5"/>
            <w:shd w:val="clear" w:color="auto" w:fill="auto"/>
          </w:tcPr>
          <w:p w14:paraId="59EEB1E5" w14:textId="77777777" w:rsidR="00F276BC" w:rsidRPr="009C19C5" w:rsidRDefault="000A0E4E">
            <w:pPr>
              <w:spacing w:after="0" w:line="240" w:lineRule="auto"/>
              <w:jc w:val="center"/>
              <w:rPr>
                <w:rFonts w:ascii="Times New Roman" w:hAnsi="Times New Roman" w:cs="Times New Roman"/>
                <w:bCs/>
                <w:sz w:val="20"/>
                <w:szCs w:val="20"/>
                <w:lang w:val="sr-Cyrl-RS"/>
              </w:rPr>
            </w:pPr>
            <w:r w:rsidRPr="009C19C5">
              <w:rPr>
                <w:rFonts w:ascii="Times New Roman" w:hAnsi="Times New Roman" w:cs="Times New Roman"/>
                <w:bCs/>
                <w:sz w:val="20"/>
                <w:szCs w:val="20"/>
                <w:lang w:val="sr-Cyrl-RS"/>
              </w:rPr>
              <w:lastRenderedPageBreak/>
              <w:t>Припремне активности на националном нивоу</w:t>
            </w:r>
          </w:p>
        </w:tc>
      </w:tr>
      <w:tr w:rsidR="00D91B53" w:rsidRPr="009C19C5" w14:paraId="0D9D1003" w14:textId="77777777" w:rsidTr="008F6A13">
        <w:trPr>
          <w:trHeight w:val="1434"/>
          <w:jc w:val="center"/>
        </w:trPr>
        <w:tc>
          <w:tcPr>
            <w:tcW w:w="2105" w:type="dxa"/>
            <w:shd w:val="clear" w:color="auto" w:fill="auto"/>
          </w:tcPr>
          <w:p w14:paraId="60BF7008" w14:textId="7F234DA2" w:rsidR="00F276BC" w:rsidRPr="009C19C5" w:rsidRDefault="000A0E4E">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 xml:space="preserve">Успостављање </w:t>
            </w:r>
            <w:r w:rsidR="00927BF2" w:rsidRPr="009C19C5">
              <w:rPr>
                <w:rFonts w:ascii="Times New Roman" w:hAnsi="Times New Roman" w:cs="Times New Roman"/>
                <w:sz w:val="20"/>
                <w:szCs w:val="20"/>
                <w:lang w:val="sr-Cyrl-RS" w:eastAsia="en-GB"/>
              </w:rPr>
              <w:t>механизама за финансирање праведне транзиције</w:t>
            </w:r>
            <w:r w:rsidR="00387017" w:rsidRPr="009C19C5">
              <w:rPr>
                <w:rFonts w:ascii="Times New Roman" w:hAnsi="Times New Roman" w:cs="Times New Roman"/>
                <w:sz w:val="20"/>
                <w:szCs w:val="20"/>
                <w:lang w:val="sr-Cyrl-RS" w:eastAsia="en-GB"/>
              </w:rPr>
              <w:t>, система</w:t>
            </w:r>
            <w:r w:rsidRPr="009C19C5">
              <w:rPr>
                <w:rFonts w:ascii="Times New Roman" w:hAnsi="Times New Roman" w:cs="Times New Roman"/>
                <w:sz w:val="20"/>
                <w:szCs w:val="20"/>
                <w:lang w:val="sr-Cyrl-RS" w:eastAsia="en-GB"/>
              </w:rPr>
              <w:t xml:space="preserve"> </w:t>
            </w:r>
            <w:r w:rsidR="00387017" w:rsidRPr="009C19C5">
              <w:rPr>
                <w:rFonts w:ascii="Times New Roman" w:hAnsi="Times New Roman" w:cs="Times New Roman"/>
                <w:sz w:val="20"/>
                <w:szCs w:val="20"/>
                <w:lang w:val="sr-Cyrl-RS" w:eastAsia="en-GB"/>
              </w:rPr>
              <w:t>за</w:t>
            </w:r>
            <w:r w:rsidR="00927BF2" w:rsidRPr="009C19C5">
              <w:rPr>
                <w:rFonts w:ascii="Times New Roman" w:hAnsi="Times New Roman" w:cs="Times New Roman"/>
                <w:sz w:val="20"/>
                <w:szCs w:val="20"/>
                <w:lang w:val="sr-Cyrl-RS" w:eastAsia="en-GB"/>
              </w:rPr>
              <w:t xml:space="preserve"> </w:t>
            </w:r>
            <w:r w:rsidRPr="009C19C5">
              <w:rPr>
                <w:rFonts w:ascii="Times New Roman" w:hAnsi="Times New Roman" w:cs="Times New Roman"/>
                <w:sz w:val="20"/>
                <w:szCs w:val="20"/>
                <w:lang w:val="sr-Cyrl-RS" w:eastAsia="en-GB"/>
              </w:rPr>
              <w:t>управљање</w:t>
            </w:r>
            <w:r w:rsidR="00927BF2" w:rsidRPr="009C19C5">
              <w:rPr>
                <w:rFonts w:ascii="Times New Roman" w:hAnsi="Times New Roman" w:cs="Times New Roman"/>
                <w:sz w:val="20"/>
                <w:szCs w:val="20"/>
                <w:lang w:val="sr-Cyrl-RS" w:eastAsia="en-GB"/>
              </w:rPr>
              <w:t xml:space="preserve"> </w:t>
            </w:r>
          </w:p>
        </w:tc>
        <w:tc>
          <w:tcPr>
            <w:tcW w:w="1809" w:type="dxa"/>
            <w:shd w:val="clear" w:color="auto" w:fill="auto"/>
          </w:tcPr>
          <w:p w14:paraId="44BD345D" w14:textId="086645C1" w:rsidR="00387017" w:rsidRPr="009C19C5" w:rsidRDefault="000A0E4E">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 xml:space="preserve">Осмишљавање оперативног и управног модела </w:t>
            </w:r>
            <w:r w:rsidR="00927BF2" w:rsidRPr="009C19C5">
              <w:rPr>
                <w:rFonts w:ascii="Times New Roman" w:hAnsi="Times New Roman" w:cs="Times New Roman"/>
                <w:sz w:val="20"/>
                <w:szCs w:val="20"/>
                <w:lang w:val="sr-Cyrl-RS" w:eastAsia="en-GB"/>
              </w:rPr>
              <w:t>механизама за финансирање праведне транзиције</w:t>
            </w:r>
          </w:p>
          <w:p w14:paraId="6134A9F8" w14:textId="77777777" w:rsidR="00387017" w:rsidRPr="009C19C5" w:rsidRDefault="00387017">
            <w:pPr>
              <w:spacing w:after="0" w:line="240" w:lineRule="auto"/>
              <w:jc w:val="center"/>
              <w:rPr>
                <w:rFonts w:ascii="Times New Roman" w:hAnsi="Times New Roman" w:cs="Times New Roman"/>
                <w:sz w:val="20"/>
                <w:szCs w:val="20"/>
                <w:lang w:val="sr-Cyrl-RS" w:eastAsia="en-GB"/>
              </w:rPr>
            </w:pPr>
          </w:p>
          <w:p w14:paraId="348F179E" w14:textId="4122B55C" w:rsidR="00387017" w:rsidRPr="009C19C5" w:rsidRDefault="000A0E4E">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Обезбеђивање финансирања</w:t>
            </w:r>
          </w:p>
          <w:p w14:paraId="70B9BDDF" w14:textId="77777777" w:rsidR="00387017" w:rsidRPr="009C19C5" w:rsidRDefault="00387017">
            <w:pPr>
              <w:spacing w:after="0" w:line="240" w:lineRule="auto"/>
              <w:jc w:val="center"/>
              <w:rPr>
                <w:rFonts w:ascii="Times New Roman" w:hAnsi="Times New Roman" w:cs="Times New Roman"/>
                <w:sz w:val="20"/>
                <w:szCs w:val="20"/>
                <w:lang w:val="sr-Cyrl-RS" w:eastAsia="en-GB"/>
              </w:rPr>
            </w:pPr>
          </w:p>
          <w:p w14:paraId="2B39D28D" w14:textId="356FE02E" w:rsidR="00F276BC" w:rsidRPr="009C19C5" w:rsidRDefault="000A0E4E">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 xml:space="preserve"> </w:t>
            </w:r>
            <w:r w:rsidR="00387017" w:rsidRPr="009C19C5">
              <w:rPr>
                <w:rFonts w:ascii="Times New Roman" w:hAnsi="Times New Roman" w:cs="Times New Roman"/>
                <w:sz w:val="20"/>
                <w:szCs w:val="20"/>
                <w:lang w:val="sr-Cyrl-RS" w:eastAsia="en-GB"/>
              </w:rPr>
              <w:t xml:space="preserve">Израда </w:t>
            </w:r>
            <w:r w:rsidRPr="009C19C5">
              <w:rPr>
                <w:rFonts w:ascii="Times New Roman" w:hAnsi="Times New Roman" w:cs="Times New Roman"/>
                <w:sz w:val="20"/>
                <w:szCs w:val="20"/>
                <w:lang w:val="sr-Cyrl-RS" w:eastAsia="en-GB"/>
              </w:rPr>
              <w:t>и усвајање закона</w:t>
            </w:r>
          </w:p>
        </w:tc>
        <w:tc>
          <w:tcPr>
            <w:tcW w:w="2291" w:type="dxa"/>
            <w:shd w:val="clear" w:color="auto" w:fill="auto"/>
          </w:tcPr>
          <w:p w14:paraId="644F376C" w14:textId="31C51C79" w:rsidR="00F276BC" w:rsidRPr="009C19C5" w:rsidRDefault="000A0E4E">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 xml:space="preserve">Успостављање и руковођење </w:t>
            </w:r>
            <w:r w:rsidR="00927BF2" w:rsidRPr="009C19C5">
              <w:rPr>
                <w:rFonts w:ascii="Times New Roman" w:hAnsi="Times New Roman" w:cs="Times New Roman"/>
                <w:sz w:val="20"/>
                <w:szCs w:val="20"/>
                <w:lang w:val="sr-Cyrl-RS" w:eastAsia="en-GB"/>
              </w:rPr>
              <w:t>ме</w:t>
            </w:r>
            <w:r w:rsidR="003A5E52" w:rsidRPr="009C19C5">
              <w:rPr>
                <w:rFonts w:ascii="Times New Roman" w:hAnsi="Times New Roman" w:cs="Times New Roman"/>
                <w:sz w:val="20"/>
                <w:szCs w:val="20"/>
                <w:lang w:val="sr-Cyrl-RS" w:eastAsia="en-GB"/>
              </w:rPr>
              <w:t>хан</w:t>
            </w:r>
            <w:r w:rsidR="00927BF2" w:rsidRPr="009C19C5">
              <w:rPr>
                <w:rFonts w:ascii="Times New Roman" w:hAnsi="Times New Roman" w:cs="Times New Roman"/>
                <w:sz w:val="20"/>
                <w:szCs w:val="20"/>
                <w:lang w:val="sr-Cyrl-RS" w:eastAsia="en-GB"/>
              </w:rPr>
              <w:t>измима финансирања праведне транзиције</w:t>
            </w:r>
          </w:p>
        </w:tc>
        <w:tc>
          <w:tcPr>
            <w:tcW w:w="1595" w:type="dxa"/>
            <w:shd w:val="clear" w:color="auto" w:fill="auto"/>
          </w:tcPr>
          <w:p w14:paraId="4E0E2005" w14:textId="1FF80839" w:rsidR="00F276BC" w:rsidRPr="009C19C5" w:rsidRDefault="000A0E4E">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 xml:space="preserve">Биће могуће финансирање активности </w:t>
            </w:r>
            <w:r w:rsidR="00387017" w:rsidRPr="009C19C5">
              <w:rPr>
                <w:rFonts w:ascii="Times New Roman" w:hAnsi="Times New Roman" w:cs="Times New Roman"/>
                <w:sz w:val="20"/>
                <w:szCs w:val="20"/>
                <w:lang w:val="sr-Cyrl-RS" w:eastAsia="en-GB"/>
              </w:rPr>
              <w:t xml:space="preserve">праведне транзиције </w:t>
            </w:r>
            <w:r w:rsidRPr="009C19C5">
              <w:rPr>
                <w:rFonts w:ascii="Times New Roman" w:hAnsi="Times New Roman" w:cs="Times New Roman"/>
                <w:sz w:val="20"/>
                <w:szCs w:val="20"/>
                <w:lang w:val="sr-Cyrl-RS" w:eastAsia="en-GB"/>
              </w:rPr>
              <w:t>кроз договорени механизам</w:t>
            </w:r>
          </w:p>
        </w:tc>
        <w:tc>
          <w:tcPr>
            <w:tcW w:w="2660" w:type="dxa"/>
            <w:shd w:val="clear" w:color="auto" w:fill="auto"/>
          </w:tcPr>
          <w:p w14:paraId="56FD4DA7" w14:textId="77777777" w:rsidR="008F6A13" w:rsidRPr="00BE195F" w:rsidRDefault="000A0E4E" w:rsidP="00BE195F">
            <w:pPr>
              <w:pStyle w:val="Heading2"/>
            </w:pPr>
            <w:r w:rsidRPr="00BE195F">
              <w:t xml:space="preserve">Споразуми за финансирање </w:t>
            </w:r>
            <w:r w:rsidR="00387017" w:rsidRPr="00BE195F">
              <w:t>праведн</w:t>
            </w:r>
            <w:r w:rsidR="00927BF2" w:rsidRPr="00BE195F">
              <w:t>е</w:t>
            </w:r>
            <w:r w:rsidR="00387017" w:rsidRPr="00BE195F">
              <w:t xml:space="preserve"> транзициј</w:t>
            </w:r>
            <w:r w:rsidR="00927BF2" w:rsidRPr="00BE195F">
              <w:t>е</w:t>
            </w:r>
            <w:r w:rsidRPr="00BE195F">
              <w:t xml:space="preserve">, одлуке </w:t>
            </w:r>
            <w:r w:rsidR="00387017" w:rsidRPr="00BE195F">
              <w:t xml:space="preserve">Владе </w:t>
            </w:r>
            <w:r w:rsidRPr="00BE195F">
              <w:t>којима се успоставља управно тело, одлуке</w:t>
            </w:r>
            <w:r w:rsidR="00387017" w:rsidRPr="00BE195F">
              <w:t xml:space="preserve"> Владе</w:t>
            </w:r>
            <w:r w:rsidRPr="00BE195F">
              <w:t xml:space="preserve"> којима се дефинише систем управе</w:t>
            </w:r>
            <w:r w:rsidR="008F6A13" w:rsidRPr="00BE195F">
              <w:t xml:space="preserve"> сагласно поглављу 7.1.Структура управљања праведном транзицијом</w:t>
            </w:r>
          </w:p>
          <w:p w14:paraId="0EEF4E57" w14:textId="4E98D430" w:rsidR="00F276BC" w:rsidRPr="009C19C5" w:rsidRDefault="00F276BC">
            <w:pPr>
              <w:spacing w:after="0" w:line="240" w:lineRule="auto"/>
              <w:jc w:val="center"/>
              <w:rPr>
                <w:rFonts w:ascii="Times New Roman" w:hAnsi="Times New Roman" w:cs="Times New Roman"/>
                <w:sz w:val="20"/>
                <w:szCs w:val="20"/>
                <w:lang w:val="sr-Cyrl-RS" w:eastAsia="en-GB"/>
              </w:rPr>
            </w:pPr>
          </w:p>
        </w:tc>
      </w:tr>
      <w:tr w:rsidR="00D91B53" w:rsidRPr="009C19C5" w14:paraId="7D87A73D" w14:textId="77777777" w:rsidTr="008F6A13">
        <w:trPr>
          <w:trHeight w:val="1434"/>
          <w:jc w:val="center"/>
        </w:trPr>
        <w:tc>
          <w:tcPr>
            <w:tcW w:w="2105" w:type="dxa"/>
            <w:shd w:val="clear" w:color="auto" w:fill="auto"/>
          </w:tcPr>
          <w:p w14:paraId="5D7C039A" w14:textId="575A8420" w:rsidR="00F276BC" w:rsidRPr="009C19C5" w:rsidRDefault="000A0E4E">
            <w:pPr>
              <w:spacing w:after="0" w:line="240" w:lineRule="auto"/>
              <w:jc w:val="center"/>
              <w:rPr>
                <w:rFonts w:ascii="Times New Roman" w:hAnsi="Times New Roman" w:cs="Times New Roman"/>
                <w:sz w:val="20"/>
                <w:szCs w:val="20"/>
                <w:lang w:val="sr-Cyrl-RS" w:eastAsia="en-GB"/>
              </w:rPr>
            </w:pPr>
            <w:bookmarkStart w:id="87" w:name="_Hlk129873679"/>
            <w:r w:rsidRPr="009C19C5">
              <w:rPr>
                <w:rFonts w:ascii="Times New Roman" w:eastAsia="Times New Roman" w:hAnsi="Times New Roman" w:cs="Times New Roman"/>
                <w:kern w:val="0"/>
                <w:sz w:val="20"/>
                <w:szCs w:val="20"/>
                <w:lang w:val="sr-Cyrl-RS" w:eastAsia="en-GB"/>
                <w14:ligatures w14:val="none"/>
              </w:rPr>
              <w:t xml:space="preserve">Ажурирање  законодавства, како би се укључили одговарајући механизми управљања и оквир за праћење и усвојио и </w:t>
            </w:r>
            <w:r w:rsidR="00387017" w:rsidRPr="009C19C5">
              <w:rPr>
                <w:rFonts w:ascii="Times New Roman" w:eastAsia="Times New Roman" w:hAnsi="Times New Roman" w:cs="Times New Roman"/>
                <w:kern w:val="0"/>
                <w:sz w:val="20"/>
                <w:szCs w:val="20"/>
                <w:lang w:val="sr-Cyrl-RS" w:eastAsia="en-GB"/>
                <w14:ligatures w14:val="none"/>
              </w:rPr>
              <w:t xml:space="preserve">спровео </w:t>
            </w:r>
            <w:r w:rsidR="00534C8C" w:rsidRPr="009C19C5">
              <w:rPr>
                <w:rFonts w:ascii="Times New Roman" w:eastAsia="Times New Roman" w:hAnsi="Times New Roman" w:cs="Times New Roman"/>
                <w:kern w:val="0"/>
                <w:sz w:val="20"/>
                <w:szCs w:val="20"/>
                <w:lang w:val="sr-Cyrl-RS" w:eastAsia="en-GB"/>
                <w14:ligatures w14:val="none"/>
              </w:rPr>
              <w:t>ППЕТ</w:t>
            </w:r>
          </w:p>
        </w:tc>
        <w:tc>
          <w:tcPr>
            <w:tcW w:w="1809" w:type="dxa"/>
            <w:shd w:val="clear" w:color="auto" w:fill="auto"/>
          </w:tcPr>
          <w:p w14:paraId="79A313D7" w14:textId="6773D76E" w:rsidR="00F276BC" w:rsidRPr="009C19C5" w:rsidRDefault="000A0E4E">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 xml:space="preserve">Нови закони и </w:t>
            </w:r>
            <w:r w:rsidR="00387017" w:rsidRPr="009C19C5">
              <w:rPr>
                <w:rFonts w:ascii="Times New Roman" w:hAnsi="Times New Roman" w:cs="Times New Roman"/>
                <w:sz w:val="20"/>
                <w:szCs w:val="20"/>
                <w:lang w:val="sr-Cyrl-RS" w:eastAsia="en-GB"/>
              </w:rPr>
              <w:t>измене</w:t>
            </w:r>
            <w:r w:rsidR="00E1163D" w:rsidRPr="009C19C5">
              <w:rPr>
                <w:rFonts w:ascii="Times New Roman" w:hAnsi="Times New Roman" w:cs="Times New Roman"/>
                <w:sz w:val="20"/>
                <w:szCs w:val="20"/>
                <w:lang w:val="sr-Cyrl-RS" w:eastAsia="en-GB"/>
              </w:rPr>
              <w:t xml:space="preserve"> </w:t>
            </w:r>
            <w:r w:rsidRPr="009C19C5">
              <w:rPr>
                <w:rFonts w:ascii="Times New Roman" w:hAnsi="Times New Roman" w:cs="Times New Roman"/>
                <w:sz w:val="20"/>
                <w:szCs w:val="20"/>
                <w:lang w:val="sr-Cyrl-RS" w:eastAsia="en-GB"/>
              </w:rPr>
              <w:t>постојећих закона</w:t>
            </w:r>
            <w:r w:rsidR="00387017" w:rsidRPr="009C19C5">
              <w:rPr>
                <w:rFonts w:ascii="Times New Roman" w:hAnsi="Times New Roman" w:cs="Times New Roman"/>
                <w:sz w:val="20"/>
                <w:szCs w:val="20"/>
                <w:lang w:val="sr-Cyrl-RS" w:eastAsia="en-GB"/>
              </w:rPr>
              <w:t xml:space="preserve"> - подзаконски акти</w:t>
            </w:r>
          </w:p>
        </w:tc>
        <w:tc>
          <w:tcPr>
            <w:tcW w:w="2291" w:type="dxa"/>
            <w:shd w:val="clear" w:color="auto" w:fill="auto"/>
          </w:tcPr>
          <w:p w14:paraId="003D2AB3" w14:textId="5B6D508E" w:rsidR="00F276BC" w:rsidRPr="009C19C5" w:rsidRDefault="000A0E4E">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Закон</w:t>
            </w:r>
            <w:r w:rsidR="007967C2">
              <w:rPr>
                <w:rFonts w:ascii="Times New Roman" w:hAnsi="Times New Roman" w:cs="Times New Roman"/>
                <w:sz w:val="20"/>
                <w:szCs w:val="20"/>
                <w:lang w:val="sr-Cyrl-RS" w:eastAsia="en-GB"/>
              </w:rPr>
              <w:t>о</w:t>
            </w:r>
            <w:r w:rsidR="00387017" w:rsidRPr="009C19C5">
              <w:rPr>
                <w:rFonts w:ascii="Times New Roman" w:hAnsi="Times New Roman" w:cs="Times New Roman"/>
                <w:sz w:val="20"/>
                <w:szCs w:val="20"/>
                <w:lang w:val="sr-Cyrl-RS" w:eastAsia="en-GB"/>
              </w:rPr>
              <w:t xml:space="preserve">давни </w:t>
            </w:r>
            <w:r w:rsidRPr="009C19C5">
              <w:rPr>
                <w:rFonts w:ascii="Times New Roman" w:hAnsi="Times New Roman" w:cs="Times New Roman"/>
                <w:sz w:val="20"/>
                <w:szCs w:val="20"/>
                <w:lang w:val="sr-Cyrl-RS" w:eastAsia="en-GB"/>
              </w:rPr>
              <w:t>и регулат</w:t>
            </w:r>
            <w:r w:rsidR="00387017" w:rsidRPr="009C19C5">
              <w:rPr>
                <w:rFonts w:ascii="Times New Roman" w:hAnsi="Times New Roman" w:cs="Times New Roman"/>
                <w:sz w:val="20"/>
                <w:szCs w:val="20"/>
                <w:lang w:val="sr-Cyrl-RS" w:eastAsia="en-GB"/>
              </w:rPr>
              <w:t>ор</w:t>
            </w:r>
            <w:r w:rsidRPr="009C19C5">
              <w:rPr>
                <w:rFonts w:ascii="Times New Roman" w:hAnsi="Times New Roman" w:cs="Times New Roman"/>
                <w:sz w:val="20"/>
                <w:szCs w:val="20"/>
                <w:lang w:val="sr-Cyrl-RS" w:eastAsia="en-GB"/>
              </w:rPr>
              <w:t xml:space="preserve">ни оквир којим се омогућава структура и механизам управљања </w:t>
            </w:r>
            <w:r w:rsidR="00387017" w:rsidRPr="009C19C5">
              <w:rPr>
                <w:rFonts w:ascii="Times New Roman" w:hAnsi="Times New Roman" w:cs="Times New Roman"/>
                <w:sz w:val="20"/>
                <w:szCs w:val="20"/>
                <w:lang w:val="sr-Cyrl-RS" w:eastAsia="en-GB"/>
              </w:rPr>
              <w:t>праведном транзицијом</w:t>
            </w:r>
          </w:p>
        </w:tc>
        <w:tc>
          <w:tcPr>
            <w:tcW w:w="1595" w:type="dxa"/>
            <w:shd w:val="clear" w:color="auto" w:fill="auto"/>
          </w:tcPr>
          <w:p w14:paraId="459BD7CA" w14:textId="6468C962" w:rsidR="00F276BC" w:rsidRPr="009C19C5" w:rsidRDefault="00387017">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 xml:space="preserve">Процес праведне транзиције </w:t>
            </w:r>
            <w:r w:rsidR="000A0E4E" w:rsidRPr="009C19C5">
              <w:rPr>
                <w:rFonts w:ascii="Times New Roman" w:hAnsi="Times New Roman" w:cs="Times New Roman"/>
                <w:sz w:val="20"/>
                <w:szCs w:val="20"/>
                <w:lang w:val="sr-Cyrl-RS" w:eastAsia="en-GB"/>
              </w:rPr>
              <w:t xml:space="preserve">је покренут и уграђен у правни оквир </w:t>
            </w:r>
            <w:r w:rsidR="007D4593" w:rsidRPr="009C19C5">
              <w:rPr>
                <w:rFonts w:ascii="Times New Roman" w:hAnsi="Times New Roman" w:cs="Times New Roman"/>
                <w:sz w:val="20"/>
                <w:szCs w:val="20"/>
                <w:lang w:val="sr-Cyrl-RS" w:eastAsia="en-GB"/>
              </w:rPr>
              <w:t xml:space="preserve">Републике </w:t>
            </w:r>
            <w:r w:rsidR="000A0E4E" w:rsidRPr="009C19C5">
              <w:rPr>
                <w:rFonts w:ascii="Times New Roman" w:hAnsi="Times New Roman" w:cs="Times New Roman"/>
                <w:sz w:val="20"/>
                <w:szCs w:val="20"/>
                <w:lang w:val="sr-Cyrl-RS" w:eastAsia="en-GB"/>
              </w:rPr>
              <w:t>Србије</w:t>
            </w:r>
          </w:p>
        </w:tc>
        <w:tc>
          <w:tcPr>
            <w:tcW w:w="2660" w:type="dxa"/>
            <w:shd w:val="clear" w:color="auto" w:fill="auto"/>
          </w:tcPr>
          <w:p w14:paraId="478E0A3C" w14:textId="0BFEC492" w:rsidR="00387017" w:rsidRPr="009C19C5" w:rsidRDefault="00835F3D">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Усвајање</w:t>
            </w:r>
            <w:r w:rsidR="000A0E4E" w:rsidRPr="009C19C5">
              <w:rPr>
                <w:rFonts w:ascii="Times New Roman" w:hAnsi="Times New Roman" w:cs="Times New Roman"/>
                <w:sz w:val="20"/>
                <w:szCs w:val="20"/>
                <w:lang w:val="sr-Cyrl-RS" w:eastAsia="en-GB"/>
              </w:rPr>
              <w:t xml:space="preserve"> свих потребних </w:t>
            </w:r>
            <w:r w:rsidR="00387017" w:rsidRPr="009C19C5">
              <w:rPr>
                <w:rFonts w:ascii="Times New Roman" w:hAnsi="Times New Roman" w:cs="Times New Roman"/>
                <w:sz w:val="20"/>
                <w:szCs w:val="20"/>
                <w:lang w:val="sr-Cyrl-RS" w:eastAsia="en-GB"/>
              </w:rPr>
              <w:t xml:space="preserve">закона </w:t>
            </w:r>
            <w:r w:rsidR="000A0E4E" w:rsidRPr="009C19C5">
              <w:rPr>
                <w:rFonts w:ascii="Times New Roman" w:hAnsi="Times New Roman" w:cs="Times New Roman"/>
                <w:sz w:val="20"/>
                <w:szCs w:val="20"/>
                <w:lang w:val="sr-Cyrl-RS" w:eastAsia="en-GB"/>
              </w:rPr>
              <w:t xml:space="preserve">и подзаконских аката </w:t>
            </w:r>
          </w:p>
          <w:p w14:paraId="33A69FB7" w14:textId="77777777" w:rsidR="00387017" w:rsidRPr="009C19C5" w:rsidRDefault="00387017">
            <w:pPr>
              <w:spacing w:after="0" w:line="240" w:lineRule="auto"/>
              <w:jc w:val="center"/>
              <w:rPr>
                <w:rFonts w:ascii="Times New Roman" w:hAnsi="Times New Roman" w:cs="Times New Roman"/>
                <w:sz w:val="20"/>
                <w:szCs w:val="20"/>
                <w:lang w:val="sr-Cyrl-RS" w:eastAsia="en-GB"/>
              </w:rPr>
            </w:pPr>
          </w:p>
          <w:p w14:paraId="06B23428" w14:textId="47C7BDBA" w:rsidR="00F276BC" w:rsidRPr="009C19C5" w:rsidRDefault="00F276BC">
            <w:pPr>
              <w:spacing w:after="0" w:line="240" w:lineRule="auto"/>
              <w:jc w:val="center"/>
              <w:rPr>
                <w:rFonts w:ascii="Times New Roman" w:hAnsi="Times New Roman" w:cs="Times New Roman"/>
                <w:sz w:val="20"/>
                <w:szCs w:val="20"/>
                <w:lang w:val="sr-Cyrl-RS" w:eastAsia="en-GB"/>
              </w:rPr>
            </w:pPr>
          </w:p>
        </w:tc>
        <w:bookmarkEnd w:id="87"/>
      </w:tr>
      <w:tr w:rsidR="00D91B53" w:rsidRPr="009C19C5" w14:paraId="17737900" w14:textId="77777777" w:rsidTr="008F6A13">
        <w:trPr>
          <w:jc w:val="center"/>
        </w:trPr>
        <w:tc>
          <w:tcPr>
            <w:tcW w:w="2105" w:type="dxa"/>
            <w:shd w:val="clear" w:color="auto" w:fill="auto"/>
          </w:tcPr>
          <w:p w14:paraId="5827BEA7" w14:textId="4EDA21BC" w:rsidR="00F276BC" w:rsidRPr="009C19C5" w:rsidRDefault="000A0E4E">
            <w:pPr>
              <w:spacing w:after="0" w:line="240" w:lineRule="auto"/>
              <w:jc w:val="center"/>
              <w:rPr>
                <w:rFonts w:ascii="Times New Roman" w:hAnsi="Times New Roman" w:cs="Times New Roman"/>
                <w:sz w:val="20"/>
                <w:szCs w:val="20"/>
                <w:lang w:val="sr-Cyrl-RS" w:eastAsia="en-GB"/>
              </w:rPr>
            </w:pPr>
            <w:r w:rsidRPr="009C19C5">
              <w:rPr>
                <w:rFonts w:ascii="Times New Roman" w:eastAsia="Times New Roman" w:hAnsi="Times New Roman" w:cs="Times New Roman"/>
                <w:kern w:val="0"/>
                <w:sz w:val="20"/>
                <w:szCs w:val="20"/>
                <w:lang w:val="sr-Cyrl-RS" w:eastAsia="en-GB"/>
                <w14:ligatures w14:val="none"/>
              </w:rPr>
              <w:t>Интегрисање праведне транзиције у стратегије</w:t>
            </w:r>
            <w:r w:rsidR="008F6A13" w:rsidRPr="009C19C5">
              <w:rPr>
                <w:rFonts w:ascii="Times New Roman" w:eastAsia="Times New Roman" w:hAnsi="Times New Roman" w:cs="Times New Roman"/>
                <w:kern w:val="0"/>
                <w:sz w:val="20"/>
                <w:szCs w:val="20"/>
                <w:lang w:val="sr-Cyrl-RS" w:eastAsia="en-GB"/>
                <w14:ligatures w14:val="none"/>
              </w:rPr>
              <w:t xml:space="preserve"> и планове</w:t>
            </w:r>
          </w:p>
        </w:tc>
        <w:tc>
          <w:tcPr>
            <w:tcW w:w="1809" w:type="dxa"/>
            <w:shd w:val="clear" w:color="auto" w:fill="auto"/>
          </w:tcPr>
          <w:p w14:paraId="07C9F14D" w14:textId="47A37A5E" w:rsidR="00F276BC" w:rsidRPr="009C19C5" w:rsidRDefault="000A0E4E">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 xml:space="preserve">Предлози за </w:t>
            </w:r>
            <w:r w:rsidR="009E2230" w:rsidRPr="009C19C5">
              <w:rPr>
                <w:rFonts w:ascii="Times New Roman" w:hAnsi="Times New Roman" w:cs="Times New Roman"/>
                <w:sz w:val="20"/>
                <w:szCs w:val="20"/>
                <w:lang w:val="sr-Cyrl-RS" w:eastAsia="en-GB"/>
              </w:rPr>
              <w:t xml:space="preserve">ефикасно укључивање </w:t>
            </w:r>
            <w:r w:rsidRPr="009C19C5">
              <w:rPr>
                <w:rFonts w:ascii="Times New Roman" w:hAnsi="Times New Roman" w:cs="Times New Roman"/>
                <w:sz w:val="20"/>
                <w:szCs w:val="20"/>
                <w:lang w:val="sr-Cyrl-RS" w:eastAsia="en-GB"/>
              </w:rPr>
              <w:t>димензије праведне транзиције у стратегије</w:t>
            </w:r>
          </w:p>
        </w:tc>
        <w:tc>
          <w:tcPr>
            <w:tcW w:w="2291" w:type="dxa"/>
            <w:shd w:val="clear" w:color="auto" w:fill="auto"/>
          </w:tcPr>
          <w:p w14:paraId="3105846E" w14:textId="77777777" w:rsidR="008F6A13" w:rsidRPr="009C19C5" w:rsidRDefault="000A0E4E" w:rsidP="008F6A13">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 xml:space="preserve">Укључивање праведне транзиције у </w:t>
            </w:r>
            <w:r w:rsidR="009E2230" w:rsidRPr="009C19C5">
              <w:rPr>
                <w:rFonts w:ascii="Times New Roman" w:hAnsi="Times New Roman" w:cs="Times New Roman"/>
                <w:sz w:val="20"/>
                <w:szCs w:val="20"/>
                <w:lang w:val="sr-Cyrl-RS" w:eastAsia="en-GB"/>
              </w:rPr>
              <w:t>одговарајуће</w:t>
            </w:r>
          </w:p>
          <w:p w14:paraId="0F221334" w14:textId="446C08C9" w:rsidR="00F276BC" w:rsidRPr="009C19C5" w:rsidRDefault="009E2230" w:rsidP="008F6A13">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 xml:space="preserve"> </w:t>
            </w:r>
            <w:r w:rsidR="000A0E4E" w:rsidRPr="009C19C5">
              <w:rPr>
                <w:rFonts w:ascii="Times New Roman" w:hAnsi="Times New Roman" w:cs="Times New Roman"/>
                <w:sz w:val="20"/>
                <w:szCs w:val="20"/>
                <w:lang w:val="sr-Cyrl-RS" w:eastAsia="en-GB"/>
              </w:rPr>
              <w:t>стратеги</w:t>
            </w:r>
            <w:r w:rsidR="008F6A13" w:rsidRPr="009C19C5">
              <w:rPr>
                <w:rFonts w:ascii="Times New Roman" w:hAnsi="Times New Roman" w:cs="Times New Roman"/>
                <w:sz w:val="20"/>
                <w:szCs w:val="20"/>
                <w:lang w:val="sr-Cyrl-RS" w:eastAsia="en-GB"/>
              </w:rPr>
              <w:t>је и планове</w:t>
            </w:r>
          </w:p>
        </w:tc>
        <w:tc>
          <w:tcPr>
            <w:tcW w:w="1595" w:type="dxa"/>
            <w:shd w:val="clear" w:color="auto" w:fill="auto"/>
          </w:tcPr>
          <w:p w14:paraId="116D1750" w14:textId="77777777" w:rsidR="009E2230" w:rsidRPr="009C19C5" w:rsidRDefault="000A0E4E">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Постоји интегрисани одговор на изазове које доноси праведна транзиција у низу националних стратегија</w:t>
            </w:r>
          </w:p>
          <w:p w14:paraId="29476957" w14:textId="3F9F0F8E" w:rsidR="00F276BC" w:rsidRPr="009C19C5" w:rsidRDefault="00F276BC">
            <w:pPr>
              <w:spacing w:after="0" w:line="240" w:lineRule="auto"/>
              <w:jc w:val="center"/>
              <w:rPr>
                <w:rFonts w:ascii="Times New Roman" w:hAnsi="Times New Roman" w:cs="Times New Roman"/>
                <w:sz w:val="20"/>
                <w:szCs w:val="20"/>
                <w:lang w:val="sr-Cyrl-RS" w:eastAsia="en-GB"/>
              </w:rPr>
            </w:pPr>
          </w:p>
          <w:p w14:paraId="33A0F1F8" w14:textId="61BE088E" w:rsidR="00F276BC" w:rsidRPr="009C19C5" w:rsidRDefault="000A0E4E" w:rsidP="00465FDE">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Влада лакше и проактивније управља утицајима транзиције на зелену енергију</w:t>
            </w:r>
          </w:p>
        </w:tc>
        <w:tc>
          <w:tcPr>
            <w:tcW w:w="2660" w:type="dxa"/>
            <w:shd w:val="clear" w:color="auto" w:fill="auto"/>
          </w:tcPr>
          <w:p w14:paraId="406F75E2" w14:textId="77777777" w:rsidR="00F276BC" w:rsidRPr="009C19C5" w:rsidRDefault="00F276BC">
            <w:pPr>
              <w:spacing w:after="0" w:line="240" w:lineRule="auto"/>
              <w:jc w:val="center"/>
              <w:rPr>
                <w:rFonts w:ascii="Times New Roman" w:hAnsi="Times New Roman" w:cs="Times New Roman"/>
                <w:sz w:val="20"/>
                <w:szCs w:val="20"/>
                <w:lang w:val="sr-Cyrl-RS" w:eastAsia="en-GB"/>
              </w:rPr>
            </w:pPr>
          </w:p>
          <w:p w14:paraId="0F0A4130" w14:textId="45E8BB6D" w:rsidR="00F276BC" w:rsidRPr="009C19C5" w:rsidRDefault="000A0E4E">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 xml:space="preserve">Одређени број </w:t>
            </w:r>
            <w:r w:rsidR="008F6A13" w:rsidRPr="009C19C5">
              <w:rPr>
                <w:rFonts w:ascii="Times New Roman" w:hAnsi="Times New Roman" w:cs="Times New Roman"/>
                <w:sz w:val="20"/>
                <w:szCs w:val="20"/>
                <w:lang w:val="sr-Cyrl-RS" w:eastAsia="en-GB"/>
              </w:rPr>
              <w:t>активности</w:t>
            </w:r>
            <w:r w:rsidRPr="009C19C5">
              <w:rPr>
                <w:rFonts w:ascii="Times New Roman" w:hAnsi="Times New Roman" w:cs="Times New Roman"/>
                <w:sz w:val="20"/>
                <w:szCs w:val="20"/>
                <w:lang w:val="sr-Cyrl-RS" w:eastAsia="en-GB"/>
              </w:rPr>
              <w:t xml:space="preserve"> </w:t>
            </w:r>
            <w:r w:rsidR="009E2230" w:rsidRPr="009C19C5">
              <w:rPr>
                <w:rFonts w:ascii="Times New Roman" w:hAnsi="Times New Roman" w:cs="Times New Roman"/>
                <w:sz w:val="20"/>
                <w:szCs w:val="20"/>
                <w:lang w:val="sr-Cyrl-RS" w:eastAsia="en-GB"/>
              </w:rPr>
              <w:t xml:space="preserve">који се односе на </w:t>
            </w:r>
            <w:r w:rsidRPr="009C19C5">
              <w:rPr>
                <w:rFonts w:ascii="Times New Roman" w:hAnsi="Times New Roman" w:cs="Times New Roman"/>
                <w:sz w:val="20"/>
                <w:szCs w:val="20"/>
                <w:lang w:val="sr-Cyrl-RS" w:eastAsia="en-GB"/>
              </w:rPr>
              <w:t>праведну транзицију у постојећим и новим стратешким документима и законодавству / Министарство рударства и енергетике</w:t>
            </w:r>
          </w:p>
        </w:tc>
      </w:tr>
      <w:tr w:rsidR="00D91B53" w:rsidRPr="009C19C5" w14:paraId="06967B4B" w14:textId="77777777" w:rsidTr="008F6A13">
        <w:trPr>
          <w:jc w:val="center"/>
        </w:trPr>
        <w:tc>
          <w:tcPr>
            <w:tcW w:w="2105" w:type="dxa"/>
            <w:shd w:val="clear" w:color="auto" w:fill="auto"/>
          </w:tcPr>
          <w:p w14:paraId="43F5AF12" w14:textId="3E3D6DAB" w:rsidR="00F276BC" w:rsidRPr="009C19C5" w:rsidRDefault="000A0E4E">
            <w:pPr>
              <w:spacing w:after="0" w:line="240" w:lineRule="auto"/>
              <w:jc w:val="center"/>
              <w:rPr>
                <w:rFonts w:ascii="Times New Roman" w:hAnsi="Times New Roman" w:cs="Times New Roman"/>
                <w:sz w:val="20"/>
                <w:szCs w:val="20"/>
                <w:lang w:val="sr-Cyrl-RS"/>
              </w:rPr>
            </w:pPr>
            <w:r w:rsidRPr="009C19C5">
              <w:rPr>
                <w:rFonts w:ascii="Times New Roman" w:eastAsia="Times New Roman" w:hAnsi="Times New Roman" w:cs="Times New Roman"/>
                <w:kern w:val="0"/>
                <w:sz w:val="20"/>
                <w:szCs w:val="20"/>
                <w:lang w:val="sr-Cyrl-RS" w:eastAsia="en-GB"/>
                <w14:ligatures w14:val="none"/>
              </w:rPr>
              <w:t xml:space="preserve">Циљано подизање свести за све заинтересоване стране / циљне групе поменуте у плану ангажовања </w:t>
            </w:r>
            <w:r w:rsidR="009E2230" w:rsidRPr="009C19C5">
              <w:rPr>
                <w:rFonts w:ascii="Times New Roman" w:eastAsia="Times New Roman" w:hAnsi="Times New Roman" w:cs="Times New Roman"/>
                <w:kern w:val="0"/>
                <w:sz w:val="20"/>
                <w:szCs w:val="20"/>
                <w:lang w:val="sr-Cyrl-RS" w:eastAsia="en-GB"/>
                <w14:ligatures w14:val="none"/>
              </w:rPr>
              <w:t xml:space="preserve">заинтересованих </w:t>
            </w:r>
            <w:r w:rsidRPr="009C19C5">
              <w:rPr>
                <w:rFonts w:ascii="Times New Roman" w:eastAsia="Times New Roman" w:hAnsi="Times New Roman" w:cs="Times New Roman"/>
                <w:kern w:val="0"/>
                <w:sz w:val="20"/>
                <w:szCs w:val="20"/>
                <w:lang w:val="sr-Cyrl-RS" w:eastAsia="en-GB"/>
                <w14:ligatures w14:val="none"/>
              </w:rPr>
              <w:t>страна</w:t>
            </w:r>
          </w:p>
        </w:tc>
        <w:tc>
          <w:tcPr>
            <w:tcW w:w="1809" w:type="dxa"/>
            <w:shd w:val="clear" w:color="auto" w:fill="auto"/>
          </w:tcPr>
          <w:p w14:paraId="434A169D" w14:textId="1A4AF2D9" w:rsidR="00F276BC" w:rsidRPr="009C19C5" w:rsidRDefault="000A0E4E">
            <w:pPr>
              <w:spacing w:after="0" w:line="240" w:lineRule="auto"/>
              <w:jc w:val="center"/>
              <w:rPr>
                <w:rFonts w:ascii="Times New Roman" w:hAnsi="Times New Roman" w:cs="Times New Roman"/>
                <w:sz w:val="20"/>
                <w:szCs w:val="20"/>
                <w:lang w:val="sr-Cyrl-RS"/>
              </w:rPr>
            </w:pPr>
            <w:r w:rsidRPr="009C19C5">
              <w:rPr>
                <w:rFonts w:ascii="Times New Roman" w:hAnsi="Times New Roman" w:cs="Times New Roman"/>
                <w:sz w:val="20"/>
                <w:szCs w:val="20"/>
                <w:lang w:val="sr-Cyrl-RS" w:eastAsia="en-GB"/>
              </w:rPr>
              <w:t>Циљана информ</w:t>
            </w:r>
            <w:r w:rsidR="009E2230" w:rsidRPr="009C19C5">
              <w:rPr>
                <w:rFonts w:ascii="Times New Roman" w:hAnsi="Times New Roman" w:cs="Times New Roman"/>
                <w:sz w:val="20"/>
                <w:szCs w:val="20"/>
                <w:lang w:val="sr-Cyrl-RS" w:eastAsia="en-GB"/>
              </w:rPr>
              <w:t>ативна кампања, уз  коришћење различитих канала комуникације</w:t>
            </w:r>
          </w:p>
        </w:tc>
        <w:tc>
          <w:tcPr>
            <w:tcW w:w="2291" w:type="dxa"/>
            <w:shd w:val="clear" w:color="auto" w:fill="auto"/>
          </w:tcPr>
          <w:p w14:paraId="4C6267D3" w14:textId="77777777" w:rsidR="00F276BC" w:rsidRPr="009C19C5" w:rsidRDefault="000A0E4E">
            <w:pPr>
              <w:spacing w:after="0" w:line="240" w:lineRule="auto"/>
              <w:jc w:val="center"/>
              <w:rPr>
                <w:rFonts w:ascii="Times New Roman" w:hAnsi="Times New Roman" w:cs="Times New Roman"/>
                <w:sz w:val="20"/>
                <w:szCs w:val="20"/>
                <w:lang w:val="sr-Cyrl-RS"/>
              </w:rPr>
            </w:pPr>
            <w:r w:rsidRPr="009C19C5">
              <w:rPr>
                <w:rFonts w:ascii="Times New Roman" w:hAnsi="Times New Roman" w:cs="Times New Roman"/>
                <w:sz w:val="20"/>
                <w:szCs w:val="20"/>
                <w:lang w:val="sr-Cyrl-RS"/>
              </w:rPr>
              <w:t>Становништво је боље информисано о предстојећој енергетској транзицији</w:t>
            </w:r>
          </w:p>
          <w:p w14:paraId="4B79B916" w14:textId="77777777" w:rsidR="009E2230" w:rsidRPr="009C19C5" w:rsidRDefault="009E2230">
            <w:pPr>
              <w:spacing w:after="0" w:line="240" w:lineRule="auto"/>
              <w:jc w:val="center"/>
              <w:rPr>
                <w:rFonts w:ascii="Times New Roman" w:hAnsi="Times New Roman" w:cs="Times New Roman"/>
                <w:sz w:val="20"/>
                <w:szCs w:val="20"/>
                <w:lang w:val="sr-Cyrl-RS"/>
              </w:rPr>
            </w:pPr>
          </w:p>
          <w:p w14:paraId="7635F8C5" w14:textId="77777777" w:rsidR="00F276BC" w:rsidRPr="009C19C5" w:rsidRDefault="000A0E4E">
            <w:pPr>
              <w:spacing w:after="0" w:line="240" w:lineRule="auto"/>
              <w:jc w:val="center"/>
              <w:rPr>
                <w:rFonts w:ascii="Times New Roman" w:hAnsi="Times New Roman" w:cs="Times New Roman"/>
                <w:sz w:val="20"/>
                <w:szCs w:val="20"/>
                <w:lang w:val="sr-Cyrl-RS"/>
              </w:rPr>
            </w:pPr>
            <w:r w:rsidRPr="009C19C5">
              <w:rPr>
                <w:rFonts w:ascii="Times New Roman" w:hAnsi="Times New Roman" w:cs="Times New Roman"/>
                <w:sz w:val="20"/>
                <w:szCs w:val="20"/>
                <w:lang w:val="sr-Cyrl-RS"/>
              </w:rPr>
              <w:t>Кључне заинтересоване стране су боље информисане и више подржавају праведну транзицију</w:t>
            </w:r>
          </w:p>
        </w:tc>
        <w:tc>
          <w:tcPr>
            <w:tcW w:w="1595" w:type="dxa"/>
            <w:shd w:val="clear" w:color="auto" w:fill="auto"/>
          </w:tcPr>
          <w:p w14:paraId="0F9585B8" w14:textId="77777777" w:rsidR="00F276BC" w:rsidRPr="009C19C5" w:rsidRDefault="00F276BC">
            <w:pPr>
              <w:spacing w:after="0" w:line="240" w:lineRule="auto"/>
              <w:jc w:val="center"/>
              <w:rPr>
                <w:rFonts w:ascii="Times New Roman" w:hAnsi="Times New Roman" w:cs="Times New Roman"/>
                <w:sz w:val="20"/>
                <w:szCs w:val="20"/>
                <w:lang w:val="sr-Cyrl-RS"/>
              </w:rPr>
            </w:pPr>
          </w:p>
          <w:p w14:paraId="7637A9E6" w14:textId="4FEE5B9F" w:rsidR="00F276BC" w:rsidRPr="009C19C5" w:rsidRDefault="000A0E4E" w:rsidP="00831005">
            <w:pPr>
              <w:spacing w:after="0" w:line="240" w:lineRule="auto"/>
              <w:jc w:val="center"/>
              <w:rPr>
                <w:rFonts w:ascii="Times New Roman" w:hAnsi="Times New Roman" w:cs="Times New Roman"/>
                <w:sz w:val="20"/>
                <w:szCs w:val="20"/>
                <w:lang w:val="sr-Cyrl-RS"/>
              </w:rPr>
            </w:pPr>
            <w:r w:rsidRPr="009C19C5">
              <w:rPr>
                <w:rFonts w:ascii="Times New Roman" w:hAnsi="Times New Roman" w:cs="Times New Roman"/>
                <w:sz w:val="20"/>
                <w:szCs w:val="20"/>
                <w:lang w:val="sr-Cyrl-RS"/>
              </w:rPr>
              <w:t>Групе становништва и кључних актера ће подржати напоре Владе за праведну транзицију</w:t>
            </w:r>
          </w:p>
        </w:tc>
        <w:tc>
          <w:tcPr>
            <w:tcW w:w="2660" w:type="dxa"/>
            <w:shd w:val="clear" w:color="auto" w:fill="auto"/>
          </w:tcPr>
          <w:p w14:paraId="507DD663" w14:textId="6FD6C1D0" w:rsidR="00F276BC" w:rsidRPr="009C19C5" w:rsidRDefault="008F6A13">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Припремљени</w:t>
            </w:r>
            <w:r w:rsidR="000A0E4E" w:rsidRPr="009C19C5">
              <w:rPr>
                <w:rFonts w:ascii="Times New Roman" w:hAnsi="Times New Roman" w:cs="Times New Roman"/>
                <w:sz w:val="20"/>
                <w:szCs w:val="20"/>
                <w:lang w:val="sr-Cyrl-RS" w:eastAsia="en-GB"/>
              </w:rPr>
              <w:t xml:space="preserve"> материјали</w:t>
            </w:r>
            <w:r w:rsidRPr="009C19C5">
              <w:rPr>
                <w:rFonts w:ascii="Times New Roman" w:hAnsi="Times New Roman" w:cs="Times New Roman"/>
                <w:sz w:val="20"/>
                <w:szCs w:val="20"/>
                <w:lang w:val="sr-Cyrl-RS" w:eastAsia="en-GB"/>
              </w:rPr>
              <w:t xml:space="preserve"> и програми</w:t>
            </w:r>
            <w:r w:rsidR="000A0E4E" w:rsidRPr="009C19C5">
              <w:rPr>
                <w:rFonts w:ascii="Times New Roman" w:hAnsi="Times New Roman" w:cs="Times New Roman"/>
                <w:sz w:val="20"/>
                <w:szCs w:val="20"/>
                <w:lang w:val="sr-Cyrl-RS" w:eastAsia="en-GB"/>
              </w:rPr>
              <w:t xml:space="preserve"> за комуникацију </w:t>
            </w:r>
            <w:r w:rsidRPr="009C19C5">
              <w:rPr>
                <w:rFonts w:ascii="Times New Roman" w:hAnsi="Times New Roman" w:cs="Times New Roman"/>
                <w:sz w:val="20"/>
                <w:szCs w:val="20"/>
                <w:lang w:val="sr-Cyrl-RS" w:eastAsia="en-GB"/>
              </w:rPr>
              <w:t xml:space="preserve">и подизање свести </w:t>
            </w:r>
            <w:r w:rsidR="000A0E4E" w:rsidRPr="009C19C5">
              <w:rPr>
                <w:rFonts w:ascii="Times New Roman" w:hAnsi="Times New Roman" w:cs="Times New Roman"/>
                <w:sz w:val="20"/>
                <w:szCs w:val="20"/>
                <w:lang w:val="sr-Cyrl-RS" w:eastAsia="en-GB"/>
              </w:rPr>
              <w:t>нам</w:t>
            </w:r>
            <w:r w:rsidR="009E2230" w:rsidRPr="009C19C5">
              <w:rPr>
                <w:rFonts w:ascii="Times New Roman" w:hAnsi="Times New Roman" w:cs="Times New Roman"/>
                <w:sz w:val="20"/>
                <w:szCs w:val="20"/>
                <w:lang w:val="sr-Cyrl-RS" w:eastAsia="en-GB"/>
              </w:rPr>
              <w:t>е</w:t>
            </w:r>
            <w:r w:rsidR="000A0E4E" w:rsidRPr="009C19C5">
              <w:rPr>
                <w:rFonts w:ascii="Times New Roman" w:hAnsi="Times New Roman" w:cs="Times New Roman"/>
                <w:sz w:val="20"/>
                <w:szCs w:val="20"/>
                <w:lang w:val="sr-Cyrl-RS" w:eastAsia="en-GB"/>
              </w:rPr>
              <w:t xml:space="preserve">њени свакој </w:t>
            </w:r>
            <w:r w:rsidR="009E2230" w:rsidRPr="009C19C5">
              <w:rPr>
                <w:rFonts w:ascii="Times New Roman" w:hAnsi="Times New Roman" w:cs="Times New Roman"/>
                <w:sz w:val="20"/>
                <w:szCs w:val="20"/>
                <w:lang w:val="sr-Cyrl-RS" w:eastAsia="en-GB"/>
              </w:rPr>
              <w:t>од заинтересованих страна</w:t>
            </w:r>
          </w:p>
        </w:tc>
      </w:tr>
      <w:tr w:rsidR="00D91B53" w:rsidRPr="009C19C5" w14:paraId="6A75C15A" w14:textId="77777777" w:rsidTr="008F6A13">
        <w:trPr>
          <w:jc w:val="center"/>
        </w:trPr>
        <w:tc>
          <w:tcPr>
            <w:tcW w:w="2105" w:type="dxa"/>
            <w:shd w:val="clear" w:color="auto" w:fill="auto"/>
          </w:tcPr>
          <w:p w14:paraId="5604B23A" w14:textId="77777777" w:rsidR="00F276BC" w:rsidRPr="009C19C5" w:rsidRDefault="000A0E4E">
            <w:pPr>
              <w:spacing w:after="0" w:line="240" w:lineRule="auto"/>
              <w:jc w:val="center"/>
              <w:rPr>
                <w:rFonts w:ascii="Times New Roman" w:hAnsi="Times New Roman" w:cs="Times New Roman"/>
                <w:sz w:val="20"/>
                <w:szCs w:val="20"/>
                <w:lang w:val="sr-Cyrl-RS"/>
              </w:rPr>
            </w:pPr>
            <w:r w:rsidRPr="009C19C5">
              <w:rPr>
                <w:rFonts w:ascii="Times New Roman" w:hAnsi="Times New Roman" w:cs="Times New Roman"/>
                <w:sz w:val="20"/>
                <w:szCs w:val="20"/>
                <w:lang w:val="sr-Cyrl-RS" w:eastAsia="en-GB"/>
              </w:rPr>
              <w:t>Национални стратешки план за зелене вештине</w:t>
            </w:r>
          </w:p>
        </w:tc>
        <w:tc>
          <w:tcPr>
            <w:tcW w:w="1809" w:type="dxa"/>
            <w:shd w:val="clear" w:color="auto" w:fill="auto"/>
          </w:tcPr>
          <w:p w14:paraId="0D364DF0" w14:textId="190143F1" w:rsidR="00F276BC" w:rsidRPr="009C19C5" w:rsidRDefault="000A0E4E">
            <w:pPr>
              <w:spacing w:after="0" w:line="240" w:lineRule="auto"/>
              <w:jc w:val="center"/>
              <w:rPr>
                <w:rFonts w:ascii="Times New Roman" w:hAnsi="Times New Roman" w:cs="Times New Roman"/>
                <w:sz w:val="20"/>
                <w:szCs w:val="20"/>
                <w:lang w:val="sr-Cyrl-RS"/>
              </w:rPr>
            </w:pPr>
            <w:r w:rsidRPr="009C19C5">
              <w:rPr>
                <w:rFonts w:ascii="Times New Roman" w:hAnsi="Times New Roman" w:cs="Times New Roman"/>
                <w:sz w:val="20"/>
                <w:szCs w:val="20"/>
                <w:lang w:val="sr-Cyrl-RS" w:eastAsia="en-GB"/>
              </w:rPr>
              <w:t xml:space="preserve">Нацрт </w:t>
            </w:r>
            <w:r w:rsidR="008F6A13" w:rsidRPr="009C19C5">
              <w:rPr>
                <w:rFonts w:ascii="Times New Roman" w:hAnsi="Times New Roman" w:cs="Times New Roman"/>
                <w:sz w:val="20"/>
                <w:szCs w:val="20"/>
                <w:lang w:val="sr-Cyrl-RS" w:eastAsia="en-GB"/>
              </w:rPr>
              <w:t>плана</w:t>
            </w:r>
          </w:p>
        </w:tc>
        <w:tc>
          <w:tcPr>
            <w:tcW w:w="2291" w:type="dxa"/>
            <w:shd w:val="clear" w:color="auto" w:fill="auto"/>
          </w:tcPr>
          <w:p w14:paraId="7758B51E" w14:textId="1780F02B" w:rsidR="00F276BC" w:rsidRPr="009C19C5" w:rsidRDefault="000A0E4E">
            <w:pPr>
              <w:spacing w:after="0" w:line="240" w:lineRule="auto"/>
              <w:jc w:val="center"/>
              <w:rPr>
                <w:rFonts w:ascii="Times New Roman" w:hAnsi="Times New Roman" w:cs="Times New Roman"/>
                <w:sz w:val="20"/>
                <w:szCs w:val="20"/>
                <w:lang w:val="sr-Cyrl-RS"/>
              </w:rPr>
            </w:pPr>
            <w:r w:rsidRPr="009C19C5">
              <w:rPr>
                <w:rFonts w:ascii="Times New Roman" w:hAnsi="Times New Roman" w:cs="Times New Roman"/>
                <w:sz w:val="20"/>
                <w:szCs w:val="20"/>
                <w:lang w:val="sr-Cyrl-RS"/>
              </w:rPr>
              <w:t xml:space="preserve">Прилагођавање вештина како би постале </w:t>
            </w:r>
            <w:r w:rsidR="00B03EED" w:rsidRPr="009C19C5">
              <w:rPr>
                <w:rFonts w:ascii="Times New Roman" w:hAnsi="Times New Roman" w:cs="Times New Roman"/>
                <w:sz w:val="20"/>
                <w:szCs w:val="20"/>
                <w:lang w:val="sr-Cyrl-RS"/>
              </w:rPr>
              <w:t>„</w:t>
            </w:r>
            <w:r w:rsidRPr="009C19C5">
              <w:rPr>
                <w:rFonts w:ascii="Times New Roman" w:hAnsi="Times New Roman" w:cs="Times New Roman"/>
                <w:sz w:val="20"/>
                <w:szCs w:val="20"/>
                <w:lang w:val="sr-Cyrl-RS"/>
              </w:rPr>
              <w:t>зеленије</w:t>
            </w:r>
            <w:r w:rsidR="00F94E9A" w:rsidRPr="009C19C5">
              <w:rPr>
                <w:rFonts w:ascii="Times New Roman" w:hAnsi="Times New Roman" w:cs="Times New Roman"/>
                <w:sz w:val="20"/>
                <w:szCs w:val="20"/>
                <w:lang w:val="sr-Cyrl-RS"/>
              </w:rPr>
              <w:t>”</w:t>
            </w:r>
            <w:r w:rsidRPr="009C19C5">
              <w:rPr>
                <w:rFonts w:ascii="Times New Roman" w:hAnsi="Times New Roman" w:cs="Times New Roman"/>
                <w:sz w:val="20"/>
                <w:szCs w:val="20"/>
                <w:lang w:val="sr-Cyrl-RS"/>
              </w:rPr>
              <w:t xml:space="preserve"> </w:t>
            </w:r>
            <w:r w:rsidR="00B03EED" w:rsidRPr="009C19C5">
              <w:rPr>
                <w:rFonts w:ascii="Times New Roman" w:hAnsi="Times New Roman" w:cs="Times New Roman"/>
                <w:sz w:val="20"/>
                <w:szCs w:val="20"/>
                <w:lang w:val="sr-Cyrl-RS"/>
              </w:rPr>
              <w:t xml:space="preserve">је </w:t>
            </w:r>
            <w:r w:rsidRPr="009C19C5">
              <w:rPr>
                <w:rFonts w:ascii="Times New Roman" w:hAnsi="Times New Roman" w:cs="Times New Roman"/>
                <w:sz w:val="20"/>
                <w:szCs w:val="20"/>
                <w:lang w:val="sr-Cyrl-RS"/>
              </w:rPr>
              <w:t>приоритет у наставним плановима и програмима обуке и стручном образовању</w:t>
            </w:r>
          </w:p>
        </w:tc>
        <w:tc>
          <w:tcPr>
            <w:tcW w:w="1595" w:type="dxa"/>
            <w:shd w:val="clear" w:color="auto" w:fill="auto"/>
          </w:tcPr>
          <w:p w14:paraId="2129444D" w14:textId="011A0D4A" w:rsidR="00F276BC" w:rsidRPr="009C19C5" w:rsidRDefault="00B03EED">
            <w:pPr>
              <w:spacing w:after="0" w:line="240" w:lineRule="auto"/>
              <w:jc w:val="center"/>
              <w:rPr>
                <w:rFonts w:ascii="Times New Roman" w:hAnsi="Times New Roman" w:cs="Times New Roman"/>
                <w:sz w:val="20"/>
                <w:szCs w:val="20"/>
                <w:lang w:val="sr-Cyrl-RS"/>
              </w:rPr>
            </w:pPr>
            <w:r w:rsidRPr="009C19C5">
              <w:rPr>
                <w:rFonts w:ascii="Times New Roman" w:hAnsi="Times New Roman" w:cs="Times New Roman"/>
                <w:sz w:val="20"/>
                <w:szCs w:val="20"/>
                <w:lang w:val="sr-Cyrl-RS"/>
              </w:rPr>
              <w:t>„Зеленије</w:t>
            </w:r>
            <w:r w:rsidR="00F94E9A" w:rsidRPr="009C19C5">
              <w:rPr>
                <w:rFonts w:ascii="Times New Roman" w:hAnsi="Times New Roman" w:cs="Times New Roman"/>
                <w:sz w:val="20"/>
                <w:szCs w:val="20"/>
                <w:lang w:val="sr-Cyrl-RS"/>
              </w:rPr>
              <w:t>”</w:t>
            </w:r>
            <w:r w:rsidR="00CE10C6" w:rsidRPr="009C19C5">
              <w:rPr>
                <w:rFonts w:ascii="Times New Roman" w:hAnsi="Times New Roman" w:cs="Times New Roman"/>
                <w:sz w:val="20"/>
                <w:szCs w:val="20"/>
                <w:lang w:val="sr-Cyrl-RS"/>
              </w:rPr>
              <w:t xml:space="preserve"> </w:t>
            </w:r>
            <w:r w:rsidRPr="009C19C5">
              <w:rPr>
                <w:rFonts w:ascii="Times New Roman" w:hAnsi="Times New Roman" w:cs="Times New Roman"/>
                <w:sz w:val="20"/>
                <w:szCs w:val="20"/>
                <w:lang w:val="sr-Cyrl-RS"/>
              </w:rPr>
              <w:t>економске активности као резултат развоја инфраструктуре и људског капитала</w:t>
            </w:r>
          </w:p>
          <w:p w14:paraId="6435E8B3" w14:textId="77777777" w:rsidR="00B03EED" w:rsidRPr="009C19C5" w:rsidRDefault="00B03EED">
            <w:pPr>
              <w:spacing w:after="0" w:line="240" w:lineRule="auto"/>
              <w:jc w:val="center"/>
              <w:rPr>
                <w:rFonts w:ascii="Times New Roman" w:hAnsi="Times New Roman" w:cs="Times New Roman"/>
                <w:sz w:val="20"/>
                <w:szCs w:val="20"/>
                <w:lang w:val="sr-Cyrl-RS"/>
              </w:rPr>
            </w:pPr>
          </w:p>
          <w:p w14:paraId="472DEFF3" w14:textId="77777777" w:rsidR="00F276BC" w:rsidRPr="009C19C5" w:rsidRDefault="000A0E4E">
            <w:pPr>
              <w:spacing w:after="0" w:line="240" w:lineRule="auto"/>
              <w:jc w:val="center"/>
              <w:rPr>
                <w:rFonts w:ascii="Times New Roman" w:hAnsi="Times New Roman" w:cs="Times New Roman"/>
                <w:sz w:val="20"/>
                <w:szCs w:val="20"/>
                <w:lang w:val="sr-Cyrl-RS"/>
              </w:rPr>
            </w:pPr>
            <w:r w:rsidRPr="009C19C5">
              <w:rPr>
                <w:rFonts w:ascii="Times New Roman" w:hAnsi="Times New Roman" w:cs="Times New Roman"/>
                <w:sz w:val="20"/>
                <w:szCs w:val="20"/>
                <w:lang w:val="sr-Cyrl-RS"/>
              </w:rPr>
              <w:t>Трансформација привреде на зеленији модел</w:t>
            </w:r>
          </w:p>
        </w:tc>
        <w:tc>
          <w:tcPr>
            <w:tcW w:w="2660" w:type="dxa"/>
            <w:shd w:val="clear" w:color="auto" w:fill="auto"/>
          </w:tcPr>
          <w:p w14:paraId="7BB48A04" w14:textId="6D42BB85" w:rsidR="00C4583D" w:rsidRPr="009C19C5" w:rsidRDefault="00C4583D" w:rsidP="00E44013">
            <w:pPr>
              <w:pStyle w:val="ListParagraph"/>
              <w:numPr>
                <w:ilvl w:val="0"/>
                <w:numId w:val="4"/>
              </w:numPr>
              <w:tabs>
                <w:tab w:val="left" w:pos="151"/>
              </w:tabs>
              <w:spacing w:after="0" w:line="240" w:lineRule="auto"/>
              <w:ind w:left="0" w:firstLine="0"/>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Програми образовања и обуке за научнике и младе људе који нису запослени, нису на школовању,) са фокусом на најсавременије технологије</w:t>
            </w:r>
            <w:r w:rsidR="00E44013" w:rsidRPr="009C19C5">
              <w:rPr>
                <w:rFonts w:ascii="Times New Roman" w:hAnsi="Times New Roman" w:cs="Times New Roman"/>
                <w:sz w:val="20"/>
                <w:szCs w:val="20"/>
                <w:lang w:val="sr-Cyrl-RS" w:eastAsia="en-GB"/>
              </w:rPr>
              <w:t>.</w:t>
            </w:r>
          </w:p>
          <w:p w14:paraId="581FC41F" w14:textId="3420D86D" w:rsidR="00C4583D" w:rsidRPr="009C19C5" w:rsidRDefault="00C4583D" w:rsidP="00E44013">
            <w:pPr>
              <w:pStyle w:val="ListParagraph"/>
              <w:numPr>
                <w:ilvl w:val="0"/>
                <w:numId w:val="4"/>
              </w:numPr>
              <w:tabs>
                <w:tab w:val="left" w:pos="151"/>
              </w:tabs>
              <w:spacing w:after="0" w:line="240" w:lineRule="auto"/>
              <w:ind w:left="0" w:firstLine="0"/>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Центар компетенција за зелене вештине</w:t>
            </w:r>
            <w:r w:rsidR="00E44013" w:rsidRPr="009C19C5">
              <w:rPr>
                <w:rFonts w:ascii="Times New Roman" w:hAnsi="Times New Roman" w:cs="Times New Roman"/>
                <w:sz w:val="20"/>
                <w:szCs w:val="20"/>
                <w:lang w:val="sr-Cyrl-RS" w:eastAsia="en-GB"/>
              </w:rPr>
              <w:t>.</w:t>
            </w:r>
            <w:r w:rsidRPr="009C19C5">
              <w:rPr>
                <w:rFonts w:ascii="Times New Roman" w:hAnsi="Times New Roman" w:cs="Times New Roman"/>
                <w:sz w:val="20"/>
                <w:szCs w:val="20"/>
                <w:lang w:val="sr-Cyrl-RS" w:eastAsia="en-GB"/>
              </w:rPr>
              <w:t xml:space="preserve"> </w:t>
            </w:r>
          </w:p>
          <w:p w14:paraId="55B3BF17" w14:textId="1BB76A9C" w:rsidR="00C4583D" w:rsidRPr="009C19C5" w:rsidRDefault="00C4583D" w:rsidP="00E44013">
            <w:pPr>
              <w:pStyle w:val="ListParagraph"/>
              <w:numPr>
                <w:ilvl w:val="0"/>
                <w:numId w:val="4"/>
              </w:numPr>
              <w:tabs>
                <w:tab w:val="left" w:pos="151"/>
              </w:tabs>
              <w:spacing w:after="0" w:line="240" w:lineRule="auto"/>
              <w:ind w:left="0" w:firstLine="0"/>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Надоградња техничке школе/центра за стручно оспособљавање у складу са потребама тржишта (израда и имплементација нових наставних планова и програма</w:t>
            </w:r>
            <w:r w:rsidR="00E44013" w:rsidRPr="009C19C5">
              <w:rPr>
                <w:rFonts w:ascii="Times New Roman" w:hAnsi="Times New Roman" w:cs="Times New Roman"/>
                <w:sz w:val="20"/>
                <w:szCs w:val="20"/>
                <w:lang w:val="sr-Cyrl-RS" w:eastAsia="en-GB"/>
              </w:rPr>
              <w:t>).</w:t>
            </w:r>
          </w:p>
          <w:p w14:paraId="6BB6A96C" w14:textId="50BCA8E8" w:rsidR="00C4583D" w:rsidRPr="009C19C5" w:rsidRDefault="00C4583D" w:rsidP="00E44013">
            <w:pPr>
              <w:pStyle w:val="ListParagraph"/>
              <w:numPr>
                <w:ilvl w:val="0"/>
                <w:numId w:val="4"/>
              </w:numPr>
              <w:tabs>
                <w:tab w:val="left" w:pos="151"/>
              </w:tabs>
              <w:spacing w:after="0" w:line="240" w:lineRule="auto"/>
              <w:ind w:left="0" w:firstLine="0"/>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lastRenderedPageBreak/>
              <w:t>Прилагођени програми за преквалификацију и усавршавање запослених у производним областима у складу са потражњом.</w:t>
            </w:r>
          </w:p>
          <w:p w14:paraId="598E8CCB" w14:textId="66819373" w:rsidR="00C4583D" w:rsidRPr="009C19C5" w:rsidRDefault="00C4583D" w:rsidP="00E44013">
            <w:pPr>
              <w:pStyle w:val="ListParagraph"/>
              <w:numPr>
                <w:ilvl w:val="0"/>
                <w:numId w:val="4"/>
              </w:numPr>
              <w:tabs>
                <w:tab w:val="left" w:pos="151"/>
              </w:tabs>
              <w:spacing w:after="0" w:line="240" w:lineRule="auto"/>
              <w:ind w:left="0" w:firstLine="0"/>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Унапређење пружања информација о расположивим и пројектованим потребама за послом (усклађивање понуде радних места и потражње за радним местима)</w:t>
            </w:r>
            <w:r w:rsidR="00E44013" w:rsidRPr="009C19C5">
              <w:rPr>
                <w:rFonts w:ascii="Times New Roman" w:hAnsi="Times New Roman" w:cs="Times New Roman"/>
                <w:sz w:val="20"/>
                <w:szCs w:val="20"/>
                <w:lang w:val="sr-Cyrl-RS" w:eastAsia="en-GB"/>
              </w:rPr>
              <w:t>.</w:t>
            </w:r>
          </w:p>
          <w:p w14:paraId="485B1D09" w14:textId="7CC1592F" w:rsidR="00F276BC" w:rsidRPr="009C19C5" w:rsidRDefault="00C4583D" w:rsidP="00E44013">
            <w:pPr>
              <w:pStyle w:val="ListParagraph"/>
              <w:numPr>
                <w:ilvl w:val="0"/>
                <w:numId w:val="11"/>
              </w:numPr>
              <w:tabs>
                <w:tab w:val="left" w:pos="151"/>
              </w:tabs>
              <w:spacing w:after="0" w:line="240" w:lineRule="auto"/>
              <w:ind w:left="0" w:firstLine="0"/>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Дигитална друштвена мрежа за повезивање радне снаге са екосистемом индустрије и пружаоцима обуке</w:t>
            </w:r>
          </w:p>
        </w:tc>
      </w:tr>
      <w:tr w:rsidR="00D91B53" w:rsidRPr="009C19C5" w14:paraId="6C61B1CA" w14:textId="77777777" w:rsidTr="008F6A13">
        <w:trPr>
          <w:jc w:val="center"/>
        </w:trPr>
        <w:tc>
          <w:tcPr>
            <w:tcW w:w="2105" w:type="dxa"/>
            <w:shd w:val="clear" w:color="auto" w:fill="auto"/>
          </w:tcPr>
          <w:p w14:paraId="428786CB" w14:textId="2AFE10C9" w:rsidR="00F276BC" w:rsidRPr="009C19C5" w:rsidRDefault="000A0E4E">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rPr>
              <w:lastRenderedPageBreak/>
              <w:t xml:space="preserve">Истраживање алтернативних опција и њихових одговарајућих утицаја у погледу просторног планирања, коришћења и </w:t>
            </w:r>
            <w:r w:rsidR="00B03EED" w:rsidRPr="009C19C5">
              <w:rPr>
                <w:rFonts w:ascii="Times New Roman" w:hAnsi="Times New Roman" w:cs="Times New Roman"/>
                <w:sz w:val="20"/>
                <w:szCs w:val="20"/>
                <w:lang w:val="sr-Cyrl-RS"/>
              </w:rPr>
              <w:t>расп</w:t>
            </w:r>
            <w:r w:rsidRPr="009C19C5">
              <w:rPr>
                <w:rFonts w:ascii="Times New Roman" w:hAnsi="Times New Roman" w:cs="Times New Roman"/>
                <w:sz w:val="20"/>
                <w:szCs w:val="20"/>
                <w:lang w:val="sr-Cyrl-RS"/>
              </w:rPr>
              <w:t xml:space="preserve">оделе рехабилитованог земљишта, привлачења и олакшавања приступа инвеститорима, учешћа у шемама </w:t>
            </w:r>
            <w:r w:rsidR="00B03EED" w:rsidRPr="009C19C5">
              <w:rPr>
                <w:rFonts w:ascii="Times New Roman" w:hAnsi="Times New Roman" w:cs="Times New Roman"/>
                <w:sz w:val="20"/>
                <w:szCs w:val="20"/>
                <w:lang w:val="sr-Cyrl-RS"/>
              </w:rPr>
              <w:t xml:space="preserve">јавно-приватног партнерства </w:t>
            </w:r>
            <w:r w:rsidRPr="009C19C5">
              <w:rPr>
                <w:rFonts w:ascii="Times New Roman" w:hAnsi="Times New Roman" w:cs="Times New Roman"/>
                <w:sz w:val="20"/>
                <w:szCs w:val="20"/>
                <w:lang w:val="sr-Cyrl-RS"/>
              </w:rPr>
              <w:t>и предузимања тендерских процедура</w:t>
            </w:r>
          </w:p>
        </w:tc>
        <w:tc>
          <w:tcPr>
            <w:tcW w:w="1809" w:type="dxa"/>
            <w:shd w:val="clear" w:color="auto" w:fill="auto"/>
          </w:tcPr>
          <w:p w14:paraId="644ADF34" w14:textId="1339F17B" w:rsidR="00F276BC" w:rsidRPr="009C19C5" w:rsidRDefault="000A0E4E">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Развијен модел коришћења земљишта и трансфера; усвојене релевант</w:t>
            </w:r>
            <w:r w:rsidR="00B03EED" w:rsidRPr="009C19C5">
              <w:rPr>
                <w:rFonts w:ascii="Times New Roman" w:hAnsi="Times New Roman" w:cs="Times New Roman"/>
                <w:sz w:val="20"/>
                <w:szCs w:val="20"/>
                <w:lang w:val="sr-Cyrl-RS" w:eastAsia="en-GB"/>
              </w:rPr>
              <w:t>на</w:t>
            </w:r>
            <w:r w:rsidRPr="009C19C5">
              <w:rPr>
                <w:rFonts w:ascii="Times New Roman" w:hAnsi="Times New Roman" w:cs="Times New Roman"/>
                <w:sz w:val="20"/>
                <w:szCs w:val="20"/>
                <w:lang w:val="sr-Cyrl-RS" w:eastAsia="en-GB"/>
              </w:rPr>
              <w:t xml:space="preserve"> регулатив</w:t>
            </w:r>
            <w:r w:rsidR="00B03EED" w:rsidRPr="009C19C5">
              <w:rPr>
                <w:rFonts w:ascii="Times New Roman" w:hAnsi="Times New Roman" w:cs="Times New Roman"/>
                <w:sz w:val="20"/>
                <w:szCs w:val="20"/>
                <w:lang w:val="sr-Cyrl-RS" w:eastAsia="en-GB"/>
              </w:rPr>
              <w:t>а</w:t>
            </w:r>
            <w:r w:rsidRPr="009C19C5">
              <w:rPr>
                <w:rFonts w:ascii="Times New Roman" w:hAnsi="Times New Roman" w:cs="Times New Roman"/>
                <w:sz w:val="20"/>
                <w:szCs w:val="20"/>
                <w:lang w:val="sr-Cyrl-RS" w:eastAsia="en-GB"/>
              </w:rPr>
              <w:t xml:space="preserve"> и законске промене</w:t>
            </w:r>
          </w:p>
        </w:tc>
        <w:tc>
          <w:tcPr>
            <w:tcW w:w="2291" w:type="dxa"/>
            <w:shd w:val="clear" w:color="auto" w:fill="auto"/>
          </w:tcPr>
          <w:p w14:paraId="2761B658" w14:textId="42B14B61" w:rsidR="00F276BC" w:rsidRPr="009C19C5" w:rsidRDefault="000A0E4E">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 xml:space="preserve">Ефикасна употреба </w:t>
            </w:r>
            <w:r w:rsidR="000029F9" w:rsidRPr="009C19C5">
              <w:rPr>
                <w:rFonts w:ascii="Times New Roman" w:hAnsi="Times New Roman" w:cs="Times New Roman"/>
                <w:sz w:val="20"/>
                <w:szCs w:val="20"/>
                <w:lang w:val="sr-Cyrl-RS" w:eastAsia="en-GB"/>
              </w:rPr>
              <w:t xml:space="preserve">земљишта које припада </w:t>
            </w:r>
            <w:r w:rsidRPr="009C19C5">
              <w:rPr>
                <w:rFonts w:ascii="Times New Roman" w:hAnsi="Times New Roman" w:cs="Times New Roman"/>
                <w:sz w:val="20"/>
                <w:szCs w:val="20"/>
                <w:lang w:val="sr-Cyrl-RS" w:eastAsia="en-GB"/>
              </w:rPr>
              <w:t>рудни</w:t>
            </w:r>
            <w:r w:rsidR="000029F9" w:rsidRPr="009C19C5">
              <w:rPr>
                <w:rFonts w:ascii="Times New Roman" w:hAnsi="Times New Roman" w:cs="Times New Roman"/>
                <w:sz w:val="20"/>
                <w:szCs w:val="20"/>
                <w:lang w:val="sr-Cyrl-RS" w:eastAsia="en-GB"/>
              </w:rPr>
              <w:t>цима</w:t>
            </w:r>
            <w:r w:rsidRPr="009C19C5">
              <w:rPr>
                <w:rFonts w:ascii="Times New Roman" w:hAnsi="Times New Roman" w:cs="Times New Roman"/>
                <w:sz w:val="20"/>
                <w:szCs w:val="20"/>
                <w:lang w:val="sr-Cyrl-RS" w:eastAsia="en-GB"/>
              </w:rPr>
              <w:t xml:space="preserve"> угља и </w:t>
            </w:r>
            <w:r w:rsidR="000029F9" w:rsidRPr="009C19C5">
              <w:rPr>
                <w:rFonts w:ascii="Times New Roman" w:hAnsi="Times New Roman" w:cs="Times New Roman"/>
                <w:sz w:val="20"/>
                <w:szCs w:val="20"/>
                <w:lang w:val="sr-Cyrl-RS" w:eastAsia="en-GB"/>
              </w:rPr>
              <w:t xml:space="preserve">термоелектранама </w:t>
            </w:r>
            <w:r w:rsidRPr="009C19C5">
              <w:rPr>
                <w:rFonts w:ascii="Times New Roman" w:hAnsi="Times New Roman" w:cs="Times New Roman"/>
                <w:sz w:val="20"/>
                <w:szCs w:val="20"/>
                <w:lang w:val="sr-Cyrl-RS" w:eastAsia="en-GB"/>
              </w:rPr>
              <w:t>подржава циљеве ПТ</w:t>
            </w:r>
          </w:p>
        </w:tc>
        <w:tc>
          <w:tcPr>
            <w:tcW w:w="1595" w:type="dxa"/>
            <w:shd w:val="clear" w:color="auto" w:fill="auto"/>
          </w:tcPr>
          <w:p w14:paraId="6A9D0962" w14:textId="77777777" w:rsidR="00F276BC" w:rsidRPr="009C19C5" w:rsidRDefault="000A0E4E">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Одлука о начинима примене</w:t>
            </w:r>
          </w:p>
        </w:tc>
        <w:tc>
          <w:tcPr>
            <w:tcW w:w="2660" w:type="dxa"/>
            <w:shd w:val="clear" w:color="auto" w:fill="auto"/>
          </w:tcPr>
          <w:p w14:paraId="257DF661" w14:textId="530AAB7B" w:rsidR="00F276BC" w:rsidRPr="009C19C5" w:rsidRDefault="004E233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Усвојена о</w:t>
            </w:r>
            <w:r w:rsidR="000A0E4E" w:rsidRPr="009C19C5">
              <w:rPr>
                <w:rFonts w:ascii="Times New Roman" w:hAnsi="Times New Roman" w:cs="Times New Roman"/>
                <w:sz w:val="20"/>
                <w:szCs w:val="20"/>
                <w:lang w:val="sr-Cyrl-RS" w:eastAsia="en-GB"/>
              </w:rPr>
              <w:t>длука о могућностима примене</w:t>
            </w:r>
          </w:p>
        </w:tc>
      </w:tr>
      <w:tr w:rsidR="00F276BC" w:rsidRPr="009C19C5" w14:paraId="49C5C31F" w14:textId="77777777" w:rsidTr="008F6A13">
        <w:trPr>
          <w:jc w:val="center"/>
        </w:trPr>
        <w:tc>
          <w:tcPr>
            <w:tcW w:w="10460" w:type="dxa"/>
            <w:gridSpan w:val="5"/>
            <w:shd w:val="clear" w:color="auto" w:fill="auto"/>
          </w:tcPr>
          <w:p w14:paraId="3166A49C" w14:textId="77777777" w:rsidR="00F276BC" w:rsidRPr="009C19C5" w:rsidRDefault="000A0E4E">
            <w:pPr>
              <w:spacing w:after="0" w:line="240" w:lineRule="auto"/>
              <w:jc w:val="center"/>
              <w:rPr>
                <w:rFonts w:ascii="Times New Roman" w:hAnsi="Times New Roman" w:cs="Times New Roman"/>
                <w:bCs/>
                <w:sz w:val="20"/>
                <w:szCs w:val="20"/>
                <w:lang w:val="sr-Cyrl-RS"/>
              </w:rPr>
            </w:pPr>
            <w:r w:rsidRPr="009C19C5">
              <w:rPr>
                <w:rFonts w:ascii="Times New Roman" w:hAnsi="Times New Roman" w:cs="Times New Roman"/>
                <w:bCs/>
                <w:sz w:val="20"/>
                <w:szCs w:val="20"/>
                <w:lang w:val="sr-Cyrl-RS"/>
              </w:rPr>
              <w:t>Краткорочне активности на локалном нивоу</w:t>
            </w:r>
          </w:p>
        </w:tc>
      </w:tr>
      <w:tr w:rsidR="00D91B53" w:rsidRPr="009C19C5" w14:paraId="1D15DED8" w14:textId="77777777" w:rsidTr="008F6A13">
        <w:trPr>
          <w:trHeight w:val="143"/>
          <w:jc w:val="center"/>
        </w:trPr>
        <w:tc>
          <w:tcPr>
            <w:tcW w:w="2105" w:type="dxa"/>
            <w:shd w:val="clear" w:color="auto" w:fill="auto"/>
          </w:tcPr>
          <w:p w14:paraId="2ADDB4BF" w14:textId="23A3FE23" w:rsidR="00600EEC" w:rsidRPr="009C19C5" w:rsidRDefault="00600EEC" w:rsidP="00600EEC">
            <w:pPr>
              <w:spacing w:after="0" w:line="240" w:lineRule="auto"/>
              <w:jc w:val="both"/>
              <w:rPr>
                <w:rFonts w:ascii="Times New Roman" w:hAnsi="Times New Roman"/>
                <w:sz w:val="20"/>
                <w:szCs w:val="20"/>
                <w:lang w:val="sr-Cyrl-RS"/>
              </w:rPr>
            </w:pPr>
            <w:r w:rsidRPr="009C19C5">
              <w:rPr>
                <w:rFonts w:ascii="Times New Roman" w:eastAsia="Times New Roman" w:hAnsi="Times New Roman"/>
                <w:sz w:val="20"/>
                <w:szCs w:val="20"/>
                <w:lang w:val="sr-Cyrl-RS"/>
              </w:rPr>
              <w:t>„</w:t>
            </w:r>
            <w:r w:rsidRPr="009C19C5">
              <w:rPr>
                <w:rFonts w:ascii="Times New Roman" w:hAnsi="Times New Roman"/>
                <w:sz w:val="20"/>
                <w:szCs w:val="20"/>
                <w:lang w:val="sr-Cyrl-RS"/>
              </w:rPr>
              <w:t>Израда Анализе структуре запослених (потенцијалних вишкова) и потреба за запошљ</w:t>
            </w:r>
            <w:r w:rsidR="006E0538" w:rsidRPr="009C19C5">
              <w:rPr>
                <w:rFonts w:ascii="Times New Roman" w:hAnsi="Times New Roman"/>
                <w:sz w:val="20"/>
                <w:szCs w:val="20"/>
                <w:lang w:val="sr-Cyrl-RS"/>
              </w:rPr>
              <w:t>авањем на локалном тржишту рада</w:t>
            </w:r>
            <w:r w:rsidR="006E0538" w:rsidRPr="009C19C5">
              <w:rPr>
                <w:rFonts w:ascii="Times New Roman" w:hAnsi="Times New Roman"/>
                <w:bCs/>
                <w:color w:val="000000"/>
                <w:sz w:val="20"/>
                <w:szCs w:val="20"/>
                <w:lang w:val="sr-Cyrl-RS" w:eastAsia="sr-Latn-CS"/>
              </w:rPr>
              <w:t>”</w:t>
            </w:r>
          </w:p>
          <w:p w14:paraId="42DB5CEB" w14:textId="73B02684" w:rsidR="00F276BC" w:rsidRPr="009C19C5" w:rsidRDefault="00F276BC">
            <w:pPr>
              <w:spacing w:after="0" w:line="240" w:lineRule="auto"/>
              <w:jc w:val="center"/>
              <w:rPr>
                <w:rFonts w:ascii="Times New Roman" w:hAnsi="Times New Roman" w:cs="Times New Roman"/>
                <w:sz w:val="20"/>
                <w:szCs w:val="20"/>
                <w:lang w:val="sr-Cyrl-RS"/>
              </w:rPr>
            </w:pPr>
          </w:p>
        </w:tc>
        <w:tc>
          <w:tcPr>
            <w:tcW w:w="1809" w:type="dxa"/>
            <w:shd w:val="clear" w:color="auto" w:fill="auto"/>
          </w:tcPr>
          <w:p w14:paraId="4C5C6E20" w14:textId="644D26C3" w:rsidR="00600EEC" w:rsidRPr="009C19C5" w:rsidRDefault="00600EEC" w:rsidP="00600EEC">
            <w:pPr>
              <w:spacing w:after="0" w:line="240" w:lineRule="auto"/>
              <w:jc w:val="both"/>
              <w:rPr>
                <w:rFonts w:ascii="Times New Roman" w:hAnsi="Times New Roman"/>
                <w:sz w:val="20"/>
                <w:szCs w:val="20"/>
                <w:lang w:val="sr-Cyrl-RS"/>
              </w:rPr>
            </w:pPr>
            <w:r w:rsidRPr="009C19C5">
              <w:rPr>
                <w:rFonts w:ascii="Times New Roman" w:hAnsi="Times New Roman" w:cs="Times New Roman"/>
                <w:sz w:val="20"/>
                <w:szCs w:val="20"/>
                <w:lang w:val="sr-Cyrl-RS" w:eastAsia="en-GB"/>
              </w:rPr>
              <w:t>„</w:t>
            </w:r>
            <w:r w:rsidRPr="009C19C5">
              <w:rPr>
                <w:rFonts w:ascii="Times New Roman" w:hAnsi="Times New Roman"/>
                <w:sz w:val="20"/>
                <w:szCs w:val="20"/>
                <w:lang w:val="sr-Cyrl-RS"/>
              </w:rPr>
              <w:t>Израђени прегледи структуре запослених (потенцијалних вишкова) по карактеристикама од значаја за реинтеграцију на тржиште рада</w:t>
            </w:r>
            <w:r w:rsidR="006E0538" w:rsidRPr="009C19C5">
              <w:rPr>
                <w:rFonts w:ascii="Times New Roman" w:hAnsi="Times New Roman"/>
                <w:bCs/>
                <w:color w:val="000000"/>
                <w:sz w:val="20"/>
                <w:szCs w:val="20"/>
                <w:lang w:val="sr-Cyrl-RS" w:eastAsia="sr-Latn-CS"/>
              </w:rPr>
              <w:t>”</w:t>
            </w:r>
            <w:r w:rsidRPr="009C19C5">
              <w:rPr>
                <w:rFonts w:ascii="Times New Roman" w:hAnsi="Times New Roman"/>
                <w:sz w:val="20"/>
                <w:szCs w:val="20"/>
                <w:lang w:val="sr-Cyrl-RS"/>
              </w:rPr>
              <w:t xml:space="preserve">, </w:t>
            </w:r>
          </w:p>
          <w:p w14:paraId="10F9A7D5" w14:textId="676AEA76" w:rsidR="00600EEC" w:rsidRPr="009C19C5" w:rsidRDefault="00600EEC" w:rsidP="00600EEC">
            <w:pPr>
              <w:spacing w:after="0" w:line="240" w:lineRule="auto"/>
              <w:jc w:val="both"/>
              <w:rPr>
                <w:rFonts w:ascii="Times New Roman" w:hAnsi="Times New Roman"/>
                <w:sz w:val="20"/>
                <w:szCs w:val="20"/>
                <w:lang w:val="sr-Cyrl-RS"/>
              </w:rPr>
            </w:pPr>
            <w:r w:rsidRPr="009C19C5">
              <w:rPr>
                <w:rFonts w:ascii="Times New Roman" w:hAnsi="Times New Roman"/>
                <w:sz w:val="20"/>
                <w:szCs w:val="20"/>
                <w:lang w:val="sr-Cyrl-RS"/>
              </w:rPr>
              <w:t xml:space="preserve">„Израђени прегледи потреба за запошљавањем </w:t>
            </w:r>
            <w:r w:rsidR="006E0538" w:rsidRPr="009C19C5">
              <w:rPr>
                <w:rFonts w:ascii="Times New Roman" w:hAnsi="Times New Roman"/>
                <w:sz w:val="20"/>
                <w:szCs w:val="20"/>
                <w:lang w:val="sr-Cyrl-RS"/>
              </w:rPr>
              <w:t>послодаваца на локалном ниво</w:t>
            </w:r>
            <w:r w:rsidR="006B706C" w:rsidRPr="009C19C5">
              <w:rPr>
                <w:rFonts w:ascii="Times New Roman" w:hAnsi="Times New Roman"/>
                <w:sz w:val="20"/>
                <w:szCs w:val="20"/>
                <w:lang w:val="sr-Cyrl-RS"/>
              </w:rPr>
              <w:t>у</w:t>
            </w:r>
            <w:r w:rsidR="006E0538" w:rsidRPr="009C19C5">
              <w:rPr>
                <w:rFonts w:ascii="Times New Roman" w:hAnsi="Times New Roman"/>
                <w:bCs/>
                <w:color w:val="000000"/>
                <w:sz w:val="20"/>
                <w:szCs w:val="20"/>
                <w:lang w:val="sr-Cyrl-RS" w:eastAsia="sr-Latn-CS"/>
              </w:rPr>
              <w:t>”</w:t>
            </w:r>
          </w:p>
          <w:p w14:paraId="74888958" w14:textId="0D5541BC" w:rsidR="00F276BC" w:rsidRPr="009C19C5" w:rsidRDefault="00F276BC">
            <w:pPr>
              <w:spacing w:after="0" w:line="240" w:lineRule="auto"/>
              <w:jc w:val="center"/>
              <w:rPr>
                <w:rFonts w:ascii="Times New Roman" w:hAnsi="Times New Roman" w:cs="Times New Roman"/>
                <w:sz w:val="20"/>
                <w:szCs w:val="20"/>
                <w:lang w:val="sr-Cyrl-RS"/>
              </w:rPr>
            </w:pPr>
          </w:p>
        </w:tc>
        <w:tc>
          <w:tcPr>
            <w:tcW w:w="2291" w:type="dxa"/>
            <w:shd w:val="clear" w:color="auto" w:fill="auto"/>
          </w:tcPr>
          <w:p w14:paraId="075FC717" w14:textId="4507C645" w:rsidR="00600EEC" w:rsidRPr="009C19C5" w:rsidRDefault="00600EEC" w:rsidP="00600EEC">
            <w:pPr>
              <w:spacing w:after="0" w:line="240" w:lineRule="auto"/>
              <w:rPr>
                <w:rFonts w:ascii="Times New Roman" w:hAnsi="Times New Roman"/>
                <w:sz w:val="20"/>
                <w:szCs w:val="20"/>
                <w:lang w:val="sr-Cyrl-RS" w:eastAsia="en-GB"/>
              </w:rPr>
            </w:pPr>
            <w:r w:rsidRPr="009C19C5">
              <w:rPr>
                <w:rFonts w:ascii="Times New Roman" w:hAnsi="Times New Roman"/>
                <w:sz w:val="20"/>
                <w:szCs w:val="20"/>
                <w:lang w:val="sr-Cyrl-RS" w:eastAsia="en-GB"/>
              </w:rPr>
              <w:t>„Израђена анализа</w:t>
            </w:r>
            <w:r w:rsidR="00F94E9A" w:rsidRPr="009C19C5">
              <w:rPr>
                <w:rFonts w:ascii="Times New Roman" w:hAnsi="Times New Roman" w:cs="Times New Roman"/>
                <w:sz w:val="20"/>
                <w:szCs w:val="20"/>
                <w:lang w:val="sr-Cyrl-RS"/>
              </w:rPr>
              <w:t>”</w:t>
            </w:r>
            <w:r w:rsidRPr="009C19C5">
              <w:rPr>
                <w:rFonts w:ascii="Times New Roman" w:hAnsi="Times New Roman"/>
                <w:sz w:val="20"/>
                <w:szCs w:val="20"/>
                <w:lang w:val="sr-Cyrl-RS" w:eastAsia="en-GB"/>
              </w:rPr>
              <w:t>.</w:t>
            </w:r>
          </w:p>
          <w:p w14:paraId="3509FD57" w14:textId="7662B00D" w:rsidR="00F276BC" w:rsidRPr="009C19C5" w:rsidRDefault="00600EEC" w:rsidP="00600EEC">
            <w:pPr>
              <w:spacing w:after="0" w:line="240" w:lineRule="auto"/>
              <w:jc w:val="center"/>
              <w:rPr>
                <w:rFonts w:ascii="Times New Roman" w:hAnsi="Times New Roman" w:cs="Times New Roman"/>
                <w:sz w:val="20"/>
                <w:szCs w:val="20"/>
                <w:lang w:val="sr-Cyrl-RS"/>
              </w:rPr>
            </w:pPr>
            <w:r w:rsidRPr="009C19C5">
              <w:rPr>
                <w:rFonts w:ascii="Times New Roman" w:hAnsi="Times New Roman"/>
                <w:sz w:val="20"/>
                <w:szCs w:val="20"/>
                <w:lang w:val="sr-Cyrl-RS" w:eastAsia="en-GB"/>
              </w:rPr>
              <w:t>:</w:t>
            </w:r>
          </w:p>
        </w:tc>
        <w:tc>
          <w:tcPr>
            <w:tcW w:w="1595" w:type="dxa"/>
            <w:shd w:val="clear" w:color="auto" w:fill="auto"/>
          </w:tcPr>
          <w:p w14:paraId="10769E82" w14:textId="63387A80" w:rsidR="00F276BC" w:rsidRPr="009C19C5" w:rsidRDefault="00600EEC" w:rsidP="006E0538">
            <w:pPr>
              <w:spacing w:after="0" w:line="240" w:lineRule="auto"/>
              <w:jc w:val="center"/>
              <w:rPr>
                <w:rFonts w:ascii="Times New Roman" w:hAnsi="Times New Roman" w:cs="Times New Roman"/>
                <w:sz w:val="20"/>
                <w:szCs w:val="20"/>
                <w:lang w:val="sr-Cyrl-RS"/>
              </w:rPr>
            </w:pPr>
            <w:r w:rsidRPr="009C19C5">
              <w:rPr>
                <w:rFonts w:ascii="Times New Roman" w:hAnsi="Times New Roman" w:cs="Times New Roman"/>
                <w:sz w:val="20"/>
                <w:szCs w:val="20"/>
                <w:lang w:val="sr-Cyrl-RS" w:eastAsia="en-GB"/>
              </w:rPr>
              <w:t xml:space="preserve">„Расположиви актуелни подаци и информације о карактеристикама запослених у </w:t>
            </w:r>
            <w:r w:rsidR="00A7582E" w:rsidRPr="009C19C5">
              <w:rPr>
                <w:rFonts w:ascii="Times New Roman" w:hAnsi="Times New Roman" w:cs="Times New Roman"/>
                <w:sz w:val="20"/>
                <w:szCs w:val="20"/>
                <w:lang w:val="sr-Cyrl-RS" w:eastAsia="en-GB"/>
              </w:rPr>
              <w:t>ЕПС АД</w:t>
            </w:r>
            <w:r w:rsidRPr="009C19C5">
              <w:rPr>
                <w:rFonts w:ascii="Times New Roman" w:hAnsi="Times New Roman" w:cs="Times New Roman"/>
                <w:sz w:val="20"/>
                <w:szCs w:val="20"/>
                <w:lang w:val="sr-Cyrl-RS" w:eastAsia="en-GB"/>
              </w:rPr>
              <w:t xml:space="preserve"> (потенцијалним вишковима) од важности за реинтеграцију на тржиште рада</w:t>
            </w:r>
            <w:r w:rsidR="006E0538" w:rsidRPr="009C19C5">
              <w:rPr>
                <w:rFonts w:ascii="Times New Roman" w:hAnsi="Times New Roman" w:cs="Times New Roman"/>
                <w:bCs/>
                <w:color w:val="000000"/>
                <w:sz w:val="20"/>
                <w:szCs w:val="20"/>
                <w:lang w:val="sr-Cyrl-RS" w:eastAsia="sr-Latn-CS"/>
              </w:rPr>
              <w:t>”</w:t>
            </w:r>
          </w:p>
        </w:tc>
        <w:tc>
          <w:tcPr>
            <w:tcW w:w="2660" w:type="dxa"/>
            <w:shd w:val="clear" w:color="auto" w:fill="auto"/>
          </w:tcPr>
          <w:p w14:paraId="1871C7C8" w14:textId="68D1CC84" w:rsidR="00F276BC" w:rsidRPr="009C19C5" w:rsidRDefault="00600EEC" w:rsidP="006E0538">
            <w:pPr>
              <w:spacing w:after="0" w:line="240" w:lineRule="auto"/>
              <w:jc w:val="center"/>
              <w:rPr>
                <w:rFonts w:ascii="Times New Roman" w:hAnsi="Times New Roman"/>
                <w:bCs/>
                <w:color w:val="000000"/>
                <w:sz w:val="20"/>
                <w:szCs w:val="20"/>
                <w:lang w:val="sr-Cyrl-RS" w:eastAsia="sr-Latn-CS"/>
              </w:rPr>
            </w:pPr>
            <w:r w:rsidRPr="009C19C5">
              <w:rPr>
                <w:rFonts w:ascii="Times New Roman" w:hAnsi="Times New Roman"/>
                <w:sz w:val="20"/>
                <w:szCs w:val="20"/>
                <w:lang w:val="sr-Cyrl-RS" w:eastAsia="en-GB"/>
              </w:rPr>
              <w:t>„Дефинисањ</w:t>
            </w:r>
            <w:r w:rsidR="009A25DF">
              <w:rPr>
                <w:rFonts w:ascii="Times New Roman" w:hAnsi="Times New Roman"/>
                <w:sz w:val="20"/>
                <w:szCs w:val="20"/>
                <w:lang w:val="sr-Cyrl-RS" w:eastAsia="en-GB"/>
              </w:rPr>
              <w:t>е</w:t>
            </w:r>
            <w:r w:rsidRPr="009C19C5">
              <w:rPr>
                <w:rFonts w:ascii="Times New Roman" w:hAnsi="Times New Roman"/>
                <w:sz w:val="20"/>
                <w:szCs w:val="20"/>
                <w:lang w:val="sr-Cyrl-RS" w:eastAsia="en-GB"/>
              </w:rPr>
              <w:t xml:space="preserve"> мера за реинтеграцију на тржиште рада вишкова запослених</w:t>
            </w:r>
            <w:r w:rsidR="006E0538" w:rsidRPr="009C19C5">
              <w:rPr>
                <w:rFonts w:ascii="Times New Roman" w:hAnsi="Times New Roman"/>
                <w:sz w:val="20"/>
                <w:szCs w:val="20"/>
                <w:lang w:val="sr-Cyrl-RS" w:eastAsia="en-GB"/>
              </w:rPr>
              <w:t xml:space="preserve"> заснива се на налазима Анализе</w:t>
            </w:r>
            <w:r w:rsidR="006E0538" w:rsidRPr="009C19C5">
              <w:rPr>
                <w:rFonts w:ascii="Times New Roman" w:hAnsi="Times New Roman"/>
                <w:bCs/>
                <w:color w:val="000000"/>
                <w:sz w:val="20"/>
                <w:szCs w:val="20"/>
                <w:lang w:val="sr-Cyrl-RS" w:eastAsia="sr-Latn-CS"/>
              </w:rPr>
              <w:t>”</w:t>
            </w:r>
          </w:p>
          <w:p w14:paraId="31AB8B90" w14:textId="0E3B6A82" w:rsidR="006B706C" w:rsidRPr="009C19C5" w:rsidRDefault="006B706C" w:rsidP="006E0538">
            <w:pPr>
              <w:spacing w:after="0" w:line="240" w:lineRule="auto"/>
              <w:jc w:val="center"/>
              <w:rPr>
                <w:rFonts w:ascii="Times New Roman" w:hAnsi="Times New Roman" w:cs="Times New Roman"/>
                <w:sz w:val="20"/>
                <w:szCs w:val="20"/>
                <w:lang w:val="sr-Cyrl-RS" w:eastAsia="en-GB"/>
              </w:rPr>
            </w:pPr>
          </w:p>
        </w:tc>
      </w:tr>
      <w:tr w:rsidR="00D91B53" w:rsidRPr="009C19C5" w14:paraId="5FFB5507" w14:textId="77777777" w:rsidTr="008F6A13">
        <w:trPr>
          <w:trHeight w:val="491"/>
          <w:jc w:val="center"/>
        </w:trPr>
        <w:tc>
          <w:tcPr>
            <w:tcW w:w="2105" w:type="dxa"/>
            <w:shd w:val="clear" w:color="auto" w:fill="auto"/>
          </w:tcPr>
          <w:p w14:paraId="37990BDB" w14:textId="77777777" w:rsidR="006B706C" w:rsidRPr="009C19C5" w:rsidRDefault="006B706C" w:rsidP="004B238C">
            <w:pPr>
              <w:spacing w:after="0" w:line="240" w:lineRule="auto"/>
              <w:jc w:val="both"/>
              <w:rPr>
                <w:rFonts w:ascii="Times New Roman" w:hAnsi="Times New Roman"/>
                <w:bCs/>
                <w:sz w:val="20"/>
                <w:szCs w:val="20"/>
                <w:lang w:val="sr-Cyrl-RS" w:eastAsia="el-GR"/>
              </w:rPr>
            </w:pPr>
          </w:p>
          <w:p w14:paraId="2252A9F1" w14:textId="508FCC2F" w:rsidR="004B238C" w:rsidRPr="009C19C5" w:rsidRDefault="00846A6F" w:rsidP="004B238C">
            <w:pPr>
              <w:spacing w:after="0" w:line="240" w:lineRule="auto"/>
              <w:jc w:val="both"/>
              <w:rPr>
                <w:rFonts w:ascii="Times New Roman" w:hAnsi="Times New Roman"/>
                <w:bCs/>
                <w:sz w:val="20"/>
                <w:szCs w:val="20"/>
                <w:lang w:val="sr-Cyrl-RS" w:eastAsia="el-GR"/>
              </w:rPr>
            </w:pPr>
            <w:r w:rsidRPr="009C19C5">
              <w:rPr>
                <w:rFonts w:ascii="Times New Roman" w:hAnsi="Times New Roman"/>
                <w:bCs/>
                <w:sz w:val="20"/>
                <w:szCs w:val="20"/>
                <w:lang w:val="sr-Cyrl-RS" w:eastAsia="el-GR"/>
              </w:rPr>
              <w:t>Истраживање</w:t>
            </w:r>
            <w:r w:rsidR="004B238C" w:rsidRPr="009C19C5">
              <w:rPr>
                <w:rFonts w:ascii="Times New Roman" w:hAnsi="Times New Roman"/>
                <w:bCs/>
                <w:sz w:val="20"/>
                <w:szCs w:val="20"/>
                <w:lang w:val="sr-Cyrl-RS" w:eastAsia="el-GR"/>
              </w:rPr>
              <w:t xml:space="preserve"> мера за реинтеграцију на тржиште рада вишкова запослених, на основу налаза Анализе структуре </w:t>
            </w:r>
            <w:r w:rsidR="004B238C" w:rsidRPr="009C19C5">
              <w:rPr>
                <w:rFonts w:ascii="Times New Roman" w:hAnsi="Times New Roman"/>
                <w:bCs/>
                <w:sz w:val="20"/>
                <w:szCs w:val="20"/>
                <w:lang w:val="sr-Cyrl-RS" w:eastAsia="el-GR"/>
              </w:rPr>
              <w:lastRenderedPageBreak/>
              <w:t>запослених (потенцијалних вишкова) и потреба за запошљавањем на локалном тржишту рада</w:t>
            </w:r>
            <w:r w:rsidR="006E0538" w:rsidRPr="009C19C5">
              <w:rPr>
                <w:rFonts w:ascii="Times New Roman" w:hAnsi="Times New Roman"/>
                <w:bCs/>
                <w:color w:val="000000"/>
                <w:sz w:val="20"/>
                <w:szCs w:val="20"/>
                <w:lang w:val="sr-Cyrl-RS" w:eastAsia="sr-Latn-CS"/>
              </w:rPr>
              <w:t xml:space="preserve">” </w:t>
            </w:r>
          </w:p>
          <w:p w14:paraId="6B12BB8A" w14:textId="3BB71746" w:rsidR="00F276BC" w:rsidRPr="009C19C5" w:rsidRDefault="00F276BC">
            <w:pPr>
              <w:spacing w:after="0" w:line="240" w:lineRule="auto"/>
              <w:jc w:val="center"/>
              <w:rPr>
                <w:rFonts w:ascii="Times New Roman" w:hAnsi="Times New Roman" w:cs="Times New Roman"/>
                <w:sz w:val="20"/>
                <w:szCs w:val="20"/>
                <w:lang w:val="sr-Cyrl-RS"/>
              </w:rPr>
            </w:pPr>
          </w:p>
        </w:tc>
        <w:tc>
          <w:tcPr>
            <w:tcW w:w="1809" w:type="dxa"/>
            <w:shd w:val="clear" w:color="auto" w:fill="auto"/>
          </w:tcPr>
          <w:p w14:paraId="2BA2E7A0" w14:textId="77777777" w:rsidR="006B706C" w:rsidRPr="009C19C5" w:rsidRDefault="006B706C" w:rsidP="004B238C">
            <w:pPr>
              <w:spacing w:after="0" w:line="240" w:lineRule="auto"/>
              <w:jc w:val="both"/>
              <w:rPr>
                <w:rFonts w:ascii="Times New Roman" w:hAnsi="Times New Roman"/>
                <w:sz w:val="20"/>
                <w:szCs w:val="20"/>
                <w:lang w:val="sr-Cyrl-RS" w:eastAsia="en-GB"/>
              </w:rPr>
            </w:pPr>
          </w:p>
          <w:p w14:paraId="4DA64AB9" w14:textId="108A7B25" w:rsidR="004B238C" w:rsidRPr="009C19C5" w:rsidRDefault="004B238C" w:rsidP="004B238C">
            <w:pPr>
              <w:spacing w:after="0" w:line="240" w:lineRule="auto"/>
              <w:jc w:val="both"/>
              <w:rPr>
                <w:rFonts w:ascii="Times New Roman" w:hAnsi="Times New Roman"/>
                <w:sz w:val="20"/>
                <w:szCs w:val="20"/>
                <w:lang w:val="sr-Cyrl-RS"/>
              </w:rPr>
            </w:pPr>
            <w:r w:rsidRPr="009C19C5">
              <w:rPr>
                <w:rFonts w:ascii="Times New Roman" w:hAnsi="Times New Roman"/>
                <w:sz w:val="20"/>
                <w:szCs w:val="20"/>
                <w:lang w:val="sr-Cyrl-RS" w:eastAsia="en-GB"/>
              </w:rPr>
              <w:t>„</w:t>
            </w:r>
            <w:r w:rsidRPr="009C19C5">
              <w:rPr>
                <w:rFonts w:ascii="Times New Roman" w:hAnsi="Times New Roman"/>
                <w:sz w:val="20"/>
                <w:szCs w:val="20"/>
                <w:lang w:val="sr-Cyrl-RS"/>
              </w:rPr>
              <w:t xml:space="preserve">Дефинисане мере из система додатног образовања и обуке и система подршке </w:t>
            </w:r>
            <w:r w:rsidRPr="009C19C5">
              <w:rPr>
                <w:rFonts w:ascii="Times New Roman" w:hAnsi="Times New Roman"/>
                <w:sz w:val="20"/>
                <w:szCs w:val="20"/>
                <w:lang w:val="sr-Cyrl-RS"/>
              </w:rPr>
              <w:lastRenderedPageBreak/>
              <w:t xml:space="preserve">запошљавању и самозапошљавању које могу да користе вишкови запослених из система </w:t>
            </w:r>
            <w:r w:rsidR="00A7582E" w:rsidRPr="009C19C5">
              <w:rPr>
                <w:rFonts w:ascii="Times New Roman" w:hAnsi="Times New Roman"/>
                <w:sz w:val="20"/>
                <w:szCs w:val="20"/>
                <w:lang w:val="sr-Cyrl-RS"/>
              </w:rPr>
              <w:t>ЕПС АД</w:t>
            </w:r>
            <w:r w:rsidR="006E0538" w:rsidRPr="009C19C5">
              <w:rPr>
                <w:rFonts w:ascii="Times New Roman" w:hAnsi="Times New Roman"/>
                <w:bCs/>
                <w:color w:val="000000"/>
                <w:sz w:val="20"/>
                <w:szCs w:val="20"/>
                <w:lang w:val="sr-Cyrl-RS" w:eastAsia="sr-Latn-CS"/>
              </w:rPr>
              <w:t>”</w:t>
            </w:r>
          </w:p>
          <w:p w14:paraId="5E167EC8" w14:textId="759D92E0" w:rsidR="00F276BC" w:rsidRPr="009C19C5" w:rsidRDefault="00F276BC">
            <w:pPr>
              <w:spacing w:after="0" w:line="240" w:lineRule="auto"/>
              <w:jc w:val="center"/>
              <w:rPr>
                <w:rFonts w:ascii="Times New Roman" w:hAnsi="Times New Roman" w:cs="Times New Roman"/>
                <w:sz w:val="20"/>
                <w:szCs w:val="20"/>
                <w:lang w:val="sr-Cyrl-RS"/>
              </w:rPr>
            </w:pPr>
          </w:p>
        </w:tc>
        <w:tc>
          <w:tcPr>
            <w:tcW w:w="2291" w:type="dxa"/>
            <w:shd w:val="clear" w:color="auto" w:fill="auto"/>
          </w:tcPr>
          <w:p w14:paraId="77B1F8CA" w14:textId="77777777" w:rsidR="006B706C" w:rsidRPr="009C19C5" w:rsidRDefault="006B706C" w:rsidP="004B238C">
            <w:pPr>
              <w:spacing w:after="0" w:line="240" w:lineRule="auto"/>
              <w:jc w:val="both"/>
              <w:rPr>
                <w:rFonts w:ascii="Times New Roman" w:hAnsi="Times New Roman"/>
                <w:sz w:val="20"/>
                <w:szCs w:val="20"/>
                <w:lang w:val="sr-Cyrl-RS" w:eastAsia="en-GB"/>
              </w:rPr>
            </w:pPr>
          </w:p>
          <w:p w14:paraId="3482B943" w14:textId="471B26F2" w:rsidR="004B238C" w:rsidRPr="009C19C5" w:rsidRDefault="004B238C" w:rsidP="004B238C">
            <w:pPr>
              <w:spacing w:after="0" w:line="240" w:lineRule="auto"/>
              <w:jc w:val="both"/>
              <w:rPr>
                <w:rFonts w:ascii="Times New Roman" w:hAnsi="Times New Roman"/>
                <w:sz w:val="20"/>
                <w:szCs w:val="20"/>
                <w:lang w:val="sr-Cyrl-RS" w:eastAsia="el-GR"/>
              </w:rPr>
            </w:pPr>
            <w:r w:rsidRPr="009C19C5">
              <w:rPr>
                <w:rFonts w:ascii="Times New Roman" w:hAnsi="Times New Roman"/>
                <w:sz w:val="20"/>
                <w:szCs w:val="20"/>
                <w:lang w:val="sr-Cyrl-RS" w:eastAsia="en-GB"/>
              </w:rPr>
              <w:t>„</w:t>
            </w:r>
            <w:r w:rsidRPr="009C19C5">
              <w:rPr>
                <w:rFonts w:ascii="Times New Roman" w:hAnsi="Times New Roman"/>
                <w:sz w:val="20"/>
                <w:szCs w:val="20"/>
                <w:lang w:val="sr-Cyrl-RS" w:eastAsia="el-GR"/>
              </w:rPr>
              <w:t xml:space="preserve">Број вишкова запослених из система </w:t>
            </w:r>
            <w:r w:rsidR="00A7582E" w:rsidRPr="009C19C5">
              <w:rPr>
                <w:rFonts w:ascii="Times New Roman" w:hAnsi="Times New Roman"/>
                <w:sz w:val="20"/>
                <w:szCs w:val="20"/>
                <w:lang w:val="sr-Cyrl-RS" w:eastAsia="el-GR"/>
              </w:rPr>
              <w:t>ЕПС АД</w:t>
            </w:r>
            <w:r w:rsidRPr="009C19C5">
              <w:rPr>
                <w:rFonts w:ascii="Times New Roman" w:hAnsi="Times New Roman"/>
                <w:sz w:val="20"/>
                <w:szCs w:val="20"/>
                <w:lang w:val="sr-Cyrl-RS" w:eastAsia="el-GR"/>
              </w:rPr>
              <w:t xml:space="preserve"> којима је унапређена запошљивост, подржано </w:t>
            </w:r>
            <w:r w:rsidRPr="009C19C5">
              <w:rPr>
                <w:rFonts w:ascii="Times New Roman" w:hAnsi="Times New Roman"/>
                <w:sz w:val="20"/>
                <w:szCs w:val="20"/>
                <w:lang w:val="sr-Cyrl-RS" w:eastAsia="el-GR"/>
              </w:rPr>
              <w:lastRenderedPageBreak/>
              <w:t>запошљавање код другог послодавца</w:t>
            </w:r>
            <w:r w:rsidR="006E0538" w:rsidRPr="009C19C5">
              <w:rPr>
                <w:rFonts w:ascii="Times New Roman" w:hAnsi="Times New Roman"/>
                <w:sz w:val="20"/>
                <w:szCs w:val="20"/>
                <w:lang w:val="sr-Cyrl-RS" w:eastAsia="el-GR"/>
              </w:rPr>
              <w:t xml:space="preserve"> или покретање сопственог посла</w:t>
            </w:r>
            <w:r w:rsidR="006E0538" w:rsidRPr="009C19C5">
              <w:rPr>
                <w:rFonts w:ascii="Times New Roman" w:hAnsi="Times New Roman"/>
                <w:bCs/>
                <w:color w:val="000000"/>
                <w:sz w:val="20"/>
                <w:szCs w:val="20"/>
                <w:lang w:val="sr-Cyrl-RS" w:eastAsia="sr-Latn-CS"/>
              </w:rPr>
              <w:t>”</w:t>
            </w:r>
          </w:p>
          <w:p w14:paraId="200AACCE" w14:textId="6FB92851" w:rsidR="00F276BC" w:rsidRPr="009C19C5" w:rsidRDefault="00F276BC">
            <w:pPr>
              <w:spacing w:after="0" w:line="240" w:lineRule="auto"/>
              <w:jc w:val="center"/>
              <w:rPr>
                <w:rFonts w:ascii="Times New Roman" w:hAnsi="Times New Roman" w:cs="Times New Roman"/>
                <w:sz w:val="20"/>
                <w:szCs w:val="20"/>
                <w:lang w:val="sr-Cyrl-RS"/>
              </w:rPr>
            </w:pPr>
          </w:p>
        </w:tc>
        <w:tc>
          <w:tcPr>
            <w:tcW w:w="1595" w:type="dxa"/>
            <w:shd w:val="clear" w:color="auto" w:fill="auto"/>
          </w:tcPr>
          <w:p w14:paraId="2E0FA2CD" w14:textId="77777777" w:rsidR="006B706C" w:rsidRPr="009C19C5" w:rsidRDefault="006B706C" w:rsidP="004B238C">
            <w:pPr>
              <w:spacing w:after="0" w:line="240" w:lineRule="auto"/>
              <w:jc w:val="both"/>
              <w:rPr>
                <w:rFonts w:ascii="Times New Roman" w:hAnsi="Times New Roman"/>
                <w:sz w:val="20"/>
                <w:szCs w:val="20"/>
                <w:lang w:val="sr-Cyrl-RS" w:eastAsia="el-GR"/>
              </w:rPr>
            </w:pPr>
          </w:p>
          <w:p w14:paraId="01438D09" w14:textId="381C3AFC" w:rsidR="004B238C" w:rsidRPr="009C19C5" w:rsidRDefault="004B238C" w:rsidP="004B238C">
            <w:pPr>
              <w:spacing w:after="0" w:line="240" w:lineRule="auto"/>
              <w:jc w:val="both"/>
              <w:rPr>
                <w:rFonts w:ascii="Times New Roman" w:hAnsi="Times New Roman"/>
                <w:sz w:val="20"/>
                <w:szCs w:val="20"/>
                <w:lang w:val="sr-Cyrl-RS" w:eastAsia="en-GB"/>
              </w:rPr>
            </w:pPr>
            <w:r w:rsidRPr="009C19C5">
              <w:rPr>
                <w:rFonts w:ascii="Times New Roman" w:hAnsi="Times New Roman"/>
                <w:sz w:val="20"/>
                <w:szCs w:val="20"/>
                <w:lang w:val="sr-Cyrl-RS" w:eastAsia="el-GR"/>
              </w:rPr>
              <w:t>„</w:t>
            </w:r>
            <w:r w:rsidRPr="009C19C5">
              <w:rPr>
                <w:rFonts w:ascii="Times New Roman" w:hAnsi="Times New Roman"/>
                <w:sz w:val="20"/>
                <w:szCs w:val="20"/>
                <w:lang w:val="sr-Cyrl-RS" w:eastAsia="en-GB"/>
              </w:rPr>
              <w:t xml:space="preserve">Превенција пасивизације на тржишту рада, дугорочне незапослености и зависности из </w:t>
            </w:r>
            <w:r w:rsidRPr="009C19C5">
              <w:rPr>
                <w:rFonts w:ascii="Times New Roman" w:hAnsi="Times New Roman"/>
                <w:sz w:val="20"/>
                <w:szCs w:val="20"/>
                <w:lang w:val="sr-Cyrl-RS" w:eastAsia="en-GB"/>
              </w:rPr>
              <w:lastRenderedPageBreak/>
              <w:t>система социјалне заштите кроз благовремену и одрживу</w:t>
            </w:r>
            <w:r w:rsidR="006E0538" w:rsidRPr="009C19C5">
              <w:rPr>
                <w:rFonts w:ascii="Times New Roman" w:hAnsi="Times New Roman"/>
                <w:sz w:val="20"/>
                <w:szCs w:val="20"/>
                <w:lang w:val="sr-Cyrl-RS" w:eastAsia="en-GB"/>
              </w:rPr>
              <w:t xml:space="preserve"> реинтеграцију на тржиште рада</w:t>
            </w:r>
            <w:r w:rsidR="006E0538" w:rsidRPr="009C19C5">
              <w:rPr>
                <w:rFonts w:ascii="Times New Roman" w:hAnsi="Times New Roman"/>
                <w:bCs/>
                <w:color w:val="000000"/>
                <w:sz w:val="20"/>
                <w:szCs w:val="20"/>
                <w:lang w:val="sr-Cyrl-RS" w:eastAsia="sr-Latn-CS"/>
              </w:rPr>
              <w:t>”</w:t>
            </w:r>
          </w:p>
          <w:p w14:paraId="54940EC3" w14:textId="6D5EDF7A" w:rsidR="00F276BC" w:rsidRPr="009C19C5" w:rsidRDefault="00F276BC">
            <w:pPr>
              <w:spacing w:after="0" w:line="240" w:lineRule="auto"/>
              <w:jc w:val="center"/>
              <w:rPr>
                <w:rFonts w:ascii="Times New Roman" w:hAnsi="Times New Roman" w:cs="Times New Roman"/>
                <w:sz w:val="20"/>
                <w:szCs w:val="20"/>
                <w:lang w:val="sr-Cyrl-RS"/>
              </w:rPr>
            </w:pPr>
          </w:p>
        </w:tc>
        <w:tc>
          <w:tcPr>
            <w:tcW w:w="2660" w:type="dxa"/>
            <w:shd w:val="clear" w:color="auto" w:fill="auto"/>
          </w:tcPr>
          <w:p w14:paraId="6B911E64" w14:textId="77777777" w:rsidR="006B706C" w:rsidRPr="009C19C5" w:rsidRDefault="006B706C" w:rsidP="006E0538">
            <w:pPr>
              <w:spacing w:after="0" w:line="240" w:lineRule="auto"/>
              <w:jc w:val="center"/>
              <w:rPr>
                <w:rFonts w:ascii="Times New Roman" w:hAnsi="Times New Roman"/>
                <w:sz w:val="20"/>
                <w:szCs w:val="20"/>
                <w:lang w:val="sr-Cyrl-RS" w:eastAsia="en-GB"/>
              </w:rPr>
            </w:pPr>
          </w:p>
          <w:p w14:paraId="4F0723F5" w14:textId="05F38DBC" w:rsidR="00F276BC" w:rsidRPr="009C19C5" w:rsidRDefault="004B238C" w:rsidP="006E0538">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sz w:val="20"/>
                <w:szCs w:val="20"/>
                <w:lang w:val="sr-Cyrl-RS" w:eastAsia="en-GB"/>
              </w:rPr>
              <w:t xml:space="preserve">„Мере за реинтеграцију на тржиште рада вишкова запослених из система </w:t>
            </w:r>
            <w:r w:rsidR="00A7582E" w:rsidRPr="009C19C5">
              <w:rPr>
                <w:rFonts w:ascii="Times New Roman" w:hAnsi="Times New Roman"/>
                <w:sz w:val="20"/>
                <w:szCs w:val="20"/>
                <w:lang w:val="sr-Cyrl-RS" w:eastAsia="en-GB"/>
              </w:rPr>
              <w:t>ЕПС АД</w:t>
            </w:r>
            <w:r w:rsidRPr="009C19C5">
              <w:rPr>
                <w:rFonts w:ascii="Times New Roman" w:hAnsi="Times New Roman"/>
                <w:sz w:val="20"/>
                <w:szCs w:val="20"/>
                <w:lang w:val="sr-Cyrl-RS" w:eastAsia="en-GB"/>
              </w:rPr>
              <w:t xml:space="preserve"> су расположиве</w:t>
            </w:r>
            <w:r w:rsidR="006E0538" w:rsidRPr="009C19C5">
              <w:rPr>
                <w:rFonts w:ascii="Times New Roman" w:hAnsi="Times New Roman"/>
                <w:bCs/>
                <w:color w:val="000000"/>
                <w:sz w:val="20"/>
                <w:szCs w:val="20"/>
                <w:lang w:val="sr-Cyrl-RS" w:eastAsia="sr-Latn-CS"/>
              </w:rPr>
              <w:t>”</w:t>
            </w:r>
          </w:p>
        </w:tc>
      </w:tr>
      <w:tr w:rsidR="00D91B53" w:rsidRPr="009C19C5" w14:paraId="75DD3CD0" w14:textId="77777777" w:rsidTr="008F6A13">
        <w:trPr>
          <w:jc w:val="center"/>
        </w:trPr>
        <w:tc>
          <w:tcPr>
            <w:tcW w:w="2105" w:type="dxa"/>
            <w:shd w:val="clear" w:color="auto" w:fill="auto"/>
          </w:tcPr>
          <w:p w14:paraId="47F9E461" w14:textId="5B84C47C" w:rsidR="00F276BC" w:rsidRPr="009C19C5" w:rsidRDefault="000A0E4E">
            <w:pPr>
              <w:spacing w:after="0" w:line="240" w:lineRule="auto"/>
              <w:jc w:val="center"/>
              <w:rPr>
                <w:rFonts w:ascii="Times New Roman" w:hAnsi="Times New Roman" w:cs="Times New Roman"/>
                <w:sz w:val="20"/>
                <w:szCs w:val="20"/>
                <w:lang w:val="sr-Cyrl-RS" w:eastAsia="en-GB"/>
              </w:rPr>
            </w:pPr>
            <w:r w:rsidRPr="009C19C5">
              <w:rPr>
                <w:rFonts w:ascii="Times New Roman" w:eastAsia="Times New Roman" w:hAnsi="Times New Roman" w:cs="Times New Roman"/>
                <w:kern w:val="0"/>
                <w:sz w:val="20"/>
                <w:szCs w:val="20"/>
                <w:lang w:val="sr-Cyrl-RS"/>
                <w14:ligatures w14:val="none"/>
              </w:rPr>
              <w:t xml:space="preserve">План прерасподеле </w:t>
            </w:r>
            <w:r w:rsidR="000029F9" w:rsidRPr="009C19C5">
              <w:rPr>
                <w:rFonts w:ascii="Times New Roman" w:eastAsia="Times New Roman" w:hAnsi="Times New Roman" w:cs="Times New Roman"/>
                <w:kern w:val="0"/>
                <w:sz w:val="20"/>
                <w:szCs w:val="20"/>
                <w:lang w:val="sr-Cyrl-RS"/>
                <w14:ligatures w14:val="none"/>
              </w:rPr>
              <w:t xml:space="preserve">запослених </w:t>
            </w:r>
            <w:r w:rsidRPr="009C19C5">
              <w:rPr>
                <w:rFonts w:ascii="Times New Roman" w:eastAsia="Times New Roman" w:hAnsi="Times New Roman" w:cs="Times New Roman"/>
                <w:kern w:val="0"/>
                <w:sz w:val="20"/>
                <w:szCs w:val="20"/>
                <w:lang w:val="sr-Cyrl-RS"/>
                <w14:ligatures w14:val="none"/>
              </w:rPr>
              <w:t>унутар компанија</w:t>
            </w:r>
            <w:r w:rsidR="000029F9" w:rsidRPr="009C19C5">
              <w:rPr>
                <w:rFonts w:ascii="Times New Roman" w:eastAsia="Times New Roman" w:hAnsi="Times New Roman" w:cs="Times New Roman"/>
                <w:kern w:val="0"/>
                <w:sz w:val="20"/>
                <w:szCs w:val="20"/>
                <w:lang w:val="sr-Cyrl-RS"/>
                <w14:ligatures w14:val="none"/>
              </w:rPr>
              <w:t xml:space="preserve"> у</w:t>
            </w:r>
            <w:r w:rsidRPr="009C19C5">
              <w:rPr>
                <w:rFonts w:ascii="Times New Roman" w:eastAsia="Times New Roman" w:hAnsi="Times New Roman" w:cs="Times New Roman"/>
                <w:kern w:val="0"/>
                <w:sz w:val="20"/>
                <w:szCs w:val="20"/>
                <w:lang w:val="sr-Cyrl-RS"/>
                <w14:ligatures w14:val="none"/>
              </w:rPr>
              <w:t xml:space="preserve"> ланц</w:t>
            </w:r>
            <w:r w:rsidR="000029F9" w:rsidRPr="009C19C5">
              <w:rPr>
                <w:rFonts w:ascii="Times New Roman" w:eastAsia="Times New Roman" w:hAnsi="Times New Roman" w:cs="Times New Roman"/>
                <w:kern w:val="0"/>
                <w:sz w:val="20"/>
                <w:szCs w:val="20"/>
                <w:lang w:val="sr-Cyrl-RS"/>
                <w14:ligatures w14:val="none"/>
              </w:rPr>
              <w:t>у</w:t>
            </w:r>
            <w:r w:rsidRPr="009C19C5">
              <w:rPr>
                <w:rFonts w:ascii="Times New Roman" w:eastAsia="Times New Roman" w:hAnsi="Times New Roman" w:cs="Times New Roman"/>
                <w:kern w:val="0"/>
                <w:sz w:val="20"/>
                <w:szCs w:val="20"/>
                <w:lang w:val="sr-Cyrl-RS"/>
                <w14:ligatures w14:val="none"/>
              </w:rPr>
              <w:t xml:space="preserve"> вредности производњ</w:t>
            </w:r>
            <w:r w:rsidR="000029F9" w:rsidRPr="009C19C5">
              <w:rPr>
                <w:rFonts w:ascii="Times New Roman" w:eastAsia="Times New Roman" w:hAnsi="Times New Roman" w:cs="Times New Roman"/>
                <w:kern w:val="0"/>
                <w:sz w:val="20"/>
                <w:szCs w:val="20"/>
                <w:lang w:val="sr-Cyrl-RS"/>
                <w14:ligatures w14:val="none"/>
              </w:rPr>
              <w:t xml:space="preserve">е </w:t>
            </w:r>
            <w:r w:rsidRPr="009C19C5">
              <w:rPr>
                <w:rFonts w:ascii="Times New Roman" w:eastAsia="Times New Roman" w:hAnsi="Times New Roman" w:cs="Times New Roman"/>
                <w:kern w:val="0"/>
                <w:sz w:val="20"/>
                <w:szCs w:val="20"/>
                <w:lang w:val="sr-Cyrl-RS"/>
                <w14:ligatures w14:val="none"/>
              </w:rPr>
              <w:t xml:space="preserve">енергије </w:t>
            </w:r>
            <w:r w:rsidR="000029F9" w:rsidRPr="009C19C5">
              <w:rPr>
                <w:rFonts w:ascii="Times New Roman" w:eastAsia="Times New Roman" w:hAnsi="Times New Roman" w:cs="Times New Roman"/>
                <w:kern w:val="0"/>
                <w:sz w:val="20"/>
                <w:szCs w:val="20"/>
                <w:lang w:val="sr-Cyrl-RS"/>
                <w14:ligatures w14:val="none"/>
              </w:rPr>
              <w:t xml:space="preserve">из </w:t>
            </w:r>
            <w:r w:rsidRPr="009C19C5">
              <w:rPr>
                <w:rFonts w:ascii="Times New Roman" w:eastAsia="Times New Roman" w:hAnsi="Times New Roman" w:cs="Times New Roman"/>
                <w:kern w:val="0"/>
                <w:sz w:val="20"/>
                <w:szCs w:val="20"/>
                <w:lang w:val="sr-Cyrl-RS"/>
                <w14:ligatures w14:val="none"/>
              </w:rPr>
              <w:t>угљ</w:t>
            </w:r>
            <w:r w:rsidR="000029F9" w:rsidRPr="009C19C5">
              <w:rPr>
                <w:rFonts w:ascii="Times New Roman" w:eastAsia="Times New Roman" w:hAnsi="Times New Roman" w:cs="Times New Roman"/>
                <w:kern w:val="0"/>
                <w:sz w:val="20"/>
                <w:szCs w:val="20"/>
                <w:lang w:val="sr-Cyrl-RS"/>
                <w14:ligatures w14:val="none"/>
              </w:rPr>
              <w:t>а</w:t>
            </w:r>
          </w:p>
        </w:tc>
        <w:tc>
          <w:tcPr>
            <w:tcW w:w="1809" w:type="dxa"/>
            <w:shd w:val="clear" w:color="auto" w:fill="auto"/>
          </w:tcPr>
          <w:p w14:paraId="58BB3A39" w14:textId="77777777" w:rsidR="00F276BC" w:rsidRPr="009C19C5" w:rsidRDefault="000A0E4E">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Дефинисани планови за прерасподелу радне снаге</w:t>
            </w:r>
          </w:p>
        </w:tc>
        <w:tc>
          <w:tcPr>
            <w:tcW w:w="2291" w:type="dxa"/>
            <w:shd w:val="clear" w:color="auto" w:fill="auto"/>
          </w:tcPr>
          <w:p w14:paraId="21B58682" w14:textId="77777777" w:rsidR="00F276BC" w:rsidRPr="009C19C5" w:rsidRDefault="000A0E4E">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Радници су прерасподељени, са или без преквалификације / усавршавања</w:t>
            </w:r>
          </w:p>
        </w:tc>
        <w:tc>
          <w:tcPr>
            <w:tcW w:w="1595" w:type="dxa"/>
            <w:shd w:val="clear" w:color="auto" w:fill="auto"/>
          </w:tcPr>
          <w:p w14:paraId="4DED9F86" w14:textId="77777777" w:rsidR="000029F9" w:rsidRPr="009C19C5" w:rsidRDefault="000A0E4E">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Континуирана производња електричне енергије</w:t>
            </w:r>
          </w:p>
          <w:p w14:paraId="4BF5EEFC" w14:textId="3B8DE742" w:rsidR="00F276BC" w:rsidRPr="009C19C5" w:rsidRDefault="000A0E4E">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 xml:space="preserve"> </w:t>
            </w:r>
          </w:p>
          <w:p w14:paraId="19E41B88" w14:textId="77777777" w:rsidR="000029F9" w:rsidRPr="009C19C5" w:rsidRDefault="000A0E4E">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Одржавање локалних радних места</w:t>
            </w:r>
          </w:p>
          <w:p w14:paraId="42FEE692" w14:textId="77777777" w:rsidR="000029F9" w:rsidRPr="009C19C5" w:rsidRDefault="000029F9">
            <w:pPr>
              <w:spacing w:after="0" w:line="240" w:lineRule="auto"/>
              <w:jc w:val="center"/>
              <w:rPr>
                <w:rFonts w:ascii="Times New Roman" w:hAnsi="Times New Roman" w:cs="Times New Roman"/>
                <w:sz w:val="20"/>
                <w:szCs w:val="20"/>
                <w:lang w:val="sr-Cyrl-RS" w:eastAsia="en-GB"/>
              </w:rPr>
            </w:pPr>
          </w:p>
          <w:p w14:paraId="34DE1782" w14:textId="3ED999B0" w:rsidR="00F276BC" w:rsidRPr="009C19C5" w:rsidRDefault="000A0E4E">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Обезбеђена територијална кохезија</w:t>
            </w:r>
            <w:r w:rsidR="003F2E15" w:rsidRPr="009C19C5">
              <w:rPr>
                <w:rFonts w:ascii="Times New Roman" w:hAnsi="Times New Roman" w:cs="Times New Roman"/>
                <w:sz w:val="20"/>
                <w:szCs w:val="20"/>
                <w:lang w:val="sr-Cyrl-RS" w:eastAsia="en-GB"/>
              </w:rPr>
              <w:t>.</w:t>
            </w:r>
          </w:p>
        </w:tc>
        <w:tc>
          <w:tcPr>
            <w:tcW w:w="2660" w:type="dxa"/>
            <w:shd w:val="clear" w:color="auto" w:fill="auto"/>
          </w:tcPr>
          <w:p w14:paraId="4738A786" w14:textId="3EF34174" w:rsidR="00F276BC" w:rsidRPr="009C19C5" w:rsidRDefault="000A0E4E">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 xml:space="preserve">Израђени планови прерасподеле за сваку јединицу </w:t>
            </w:r>
            <w:r w:rsidR="00A7582E" w:rsidRPr="009C19C5">
              <w:rPr>
                <w:rFonts w:ascii="Times New Roman" w:hAnsi="Times New Roman" w:cs="Times New Roman"/>
                <w:sz w:val="20"/>
                <w:szCs w:val="20"/>
                <w:lang w:val="sr-Cyrl-RS" w:eastAsia="en-GB"/>
              </w:rPr>
              <w:t xml:space="preserve">ЕПС АД </w:t>
            </w:r>
            <w:r w:rsidRPr="009C19C5">
              <w:rPr>
                <w:rFonts w:ascii="Times New Roman" w:hAnsi="Times New Roman" w:cs="Times New Roman"/>
                <w:sz w:val="20"/>
                <w:szCs w:val="20"/>
                <w:lang w:val="sr-Cyrl-RS" w:eastAsia="en-GB"/>
              </w:rPr>
              <w:t xml:space="preserve">и </w:t>
            </w:r>
            <w:r w:rsidR="000029F9" w:rsidRPr="009C19C5">
              <w:rPr>
                <w:rFonts w:ascii="Times New Roman" w:hAnsi="Times New Roman" w:cs="Times New Roman"/>
                <w:sz w:val="20"/>
                <w:szCs w:val="20"/>
                <w:lang w:val="sr-Cyrl-RS" w:eastAsia="en-GB"/>
              </w:rPr>
              <w:t xml:space="preserve">ЈП </w:t>
            </w:r>
            <w:r w:rsidRPr="009C19C5">
              <w:rPr>
                <w:rFonts w:ascii="Times New Roman" w:hAnsi="Times New Roman" w:cs="Times New Roman"/>
                <w:sz w:val="20"/>
                <w:szCs w:val="20"/>
                <w:lang w:val="sr-Cyrl-RS" w:eastAsia="en-GB"/>
              </w:rPr>
              <w:t>ПЕУ Ресавице у зеленој транзицији / ЕПС и ПЕУ Ресавица</w:t>
            </w:r>
          </w:p>
          <w:p w14:paraId="5FA9CFC6" w14:textId="77777777" w:rsidR="000029F9" w:rsidRPr="009C19C5" w:rsidRDefault="000029F9">
            <w:pPr>
              <w:spacing w:after="0" w:line="240" w:lineRule="auto"/>
              <w:jc w:val="center"/>
              <w:rPr>
                <w:rFonts w:ascii="Times New Roman" w:hAnsi="Times New Roman" w:cs="Times New Roman"/>
                <w:sz w:val="20"/>
                <w:szCs w:val="20"/>
                <w:lang w:val="sr-Cyrl-RS" w:eastAsia="en-GB"/>
              </w:rPr>
            </w:pPr>
          </w:p>
          <w:p w14:paraId="637F9C97" w14:textId="70D52F76" w:rsidR="00F276BC" w:rsidRPr="009C19C5" w:rsidRDefault="000A0E4E">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 xml:space="preserve">Одређени број прераспоређених радника уз преквалификацију и доквалификацију / </w:t>
            </w:r>
            <w:r w:rsidR="00A7582E" w:rsidRPr="009C19C5">
              <w:rPr>
                <w:rFonts w:ascii="Times New Roman" w:hAnsi="Times New Roman" w:cs="Times New Roman"/>
                <w:sz w:val="20"/>
                <w:szCs w:val="20"/>
                <w:lang w:val="sr-Cyrl-RS" w:eastAsia="en-GB"/>
              </w:rPr>
              <w:t>ЕПС АД</w:t>
            </w:r>
            <w:r w:rsidRPr="009C19C5">
              <w:rPr>
                <w:rFonts w:ascii="Times New Roman" w:hAnsi="Times New Roman" w:cs="Times New Roman"/>
                <w:sz w:val="20"/>
                <w:szCs w:val="20"/>
                <w:lang w:val="sr-Cyrl-RS" w:eastAsia="en-GB"/>
              </w:rPr>
              <w:t xml:space="preserve"> и </w:t>
            </w:r>
            <w:r w:rsidR="006335D0" w:rsidRPr="009C19C5">
              <w:rPr>
                <w:rFonts w:ascii="Times New Roman" w:hAnsi="Times New Roman" w:cs="Times New Roman"/>
                <w:sz w:val="20"/>
                <w:szCs w:val="20"/>
                <w:lang w:val="sr-Cyrl-RS" w:eastAsia="en-GB"/>
              </w:rPr>
              <w:t xml:space="preserve">ЈП </w:t>
            </w:r>
            <w:r w:rsidRPr="009C19C5">
              <w:rPr>
                <w:rFonts w:ascii="Times New Roman" w:hAnsi="Times New Roman" w:cs="Times New Roman"/>
                <w:sz w:val="20"/>
                <w:szCs w:val="20"/>
                <w:lang w:val="sr-Cyrl-RS" w:eastAsia="en-GB"/>
              </w:rPr>
              <w:t>ПЕУ Ресавица</w:t>
            </w:r>
          </w:p>
          <w:p w14:paraId="37CE4938" w14:textId="77777777" w:rsidR="000029F9" w:rsidRPr="009C19C5" w:rsidRDefault="000029F9">
            <w:pPr>
              <w:spacing w:after="0" w:line="240" w:lineRule="auto"/>
              <w:jc w:val="center"/>
              <w:rPr>
                <w:rFonts w:ascii="Times New Roman" w:hAnsi="Times New Roman" w:cs="Times New Roman"/>
                <w:sz w:val="20"/>
                <w:szCs w:val="20"/>
                <w:lang w:val="sr-Cyrl-RS" w:eastAsia="en-GB"/>
              </w:rPr>
            </w:pPr>
          </w:p>
          <w:p w14:paraId="31A72FB0" w14:textId="04C867E0" w:rsidR="00F276BC" w:rsidRPr="009C19C5" w:rsidRDefault="000A0E4E">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 xml:space="preserve">Одређени број прераспоређених радника без преквалификација и доквалификација / </w:t>
            </w:r>
            <w:r w:rsidR="00A7582E" w:rsidRPr="009C19C5">
              <w:rPr>
                <w:rFonts w:ascii="Times New Roman" w:hAnsi="Times New Roman" w:cs="Times New Roman"/>
                <w:sz w:val="20"/>
                <w:szCs w:val="20"/>
                <w:lang w:val="sr-Cyrl-RS" w:eastAsia="en-GB"/>
              </w:rPr>
              <w:t>ЕПС АД</w:t>
            </w:r>
            <w:r w:rsidRPr="009C19C5">
              <w:rPr>
                <w:rFonts w:ascii="Times New Roman" w:hAnsi="Times New Roman" w:cs="Times New Roman"/>
                <w:sz w:val="20"/>
                <w:szCs w:val="20"/>
                <w:lang w:val="sr-Cyrl-RS" w:eastAsia="en-GB"/>
              </w:rPr>
              <w:t xml:space="preserve"> и </w:t>
            </w:r>
            <w:r w:rsidR="006335D0" w:rsidRPr="009C19C5">
              <w:rPr>
                <w:rFonts w:ascii="Times New Roman" w:hAnsi="Times New Roman" w:cs="Times New Roman"/>
                <w:sz w:val="20"/>
                <w:szCs w:val="20"/>
                <w:lang w:val="sr-Cyrl-RS" w:eastAsia="en-GB"/>
              </w:rPr>
              <w:t xml:space="preserve">ЈП </w:t>
            </w:r>
            <w:r w:rsidRPr="009C19C5">
              <w:rPr>
                <w:rFonts w:ascii="Times New Roman" w:hAnsi="Times New Roman" w:cs="Times New Roman"/>
                <w:sz w:val="20"/>
                <w:szCs w:val="20"/>
                <w:lang w:val="sr-Cyrl-RS" w:eastAsia="en-GB"/>
              </w:rPr>
              <w:t>ПЕУ Ресавица</w:t>
            </w:r>
          </w:p>
        </w:tc>
      </w:tr>
      <w:tr w:rsidR="00D91B53" w:rsidRPr="009C19C5" w14:paraId="12912E4D" w14:textId="77777777" w:rsidTr="008F6A13">
        <w:trPr>
          <w:jc w:val="center"/>
        </w:trPr>
        <w:tc>
          <w:tcPr>
            <w:tcW w:w="2105" w:type="dxa"/>
            <w:shd w:val="clear" w:color="auto" w:fill="auto"/>
          </w:tcPr>
          <w:p w14:paraId="4372FB83" w14:textId="0229B0B4" w:rsidR="00F276BC" w:rsidRPr="009C19C5" w:rsidRDefault="00AB40D7">
            <w:pPr>
              <w:spacing w:after="0" w:line="240" w:lineRule="auto"/>
              <w:jc w:val="center"/>
              <w:rPr>
                <w:rFonts w:ascii="Times New Roman" w:hAnsi="Times New Roman" w:cs="Times New Roman"/>
                <w:sz w:val="20"/>
                <w:szCs w:val="20"/>
                <w:lang w:val="sr-Cyrl-RS" w:eastAsia="en-GB"/>
              </w:rPr>
            </w:pPr>
            <w:r w:rsidRPr="009C19C5">
              <w:rPr>
                <w:rFonts w:ascii="Times New Roman" w:eastAsia="Times New Roman" w:hAnsi="Times New Roman" w:cs="Times New Roman"/>
                <w:kern w:val="0"/>
                <w:sz w:val="20"/>
                <w:szCs w:val="20"/>
                <w:shd w:val="clear" w:color="auto" w:fill="FFFFFF" w:themeFill="background1"/>
                <w:lang w:val="sr-Cyrl-RS"/>
                <w14:ligatures w14:val="none"/>
              </w:rPr>
              <w:t>Мастер план за руднике угља у циљу потенцијалне пренамене њихове делатности ради отварања нових радних места и сагледавање утицаја на локалну привреду, образовање и демографију</w:t>
            </w:r>
          </w:p>
        </w:tc>
        <w:tc>
          <w:tcPr>
            <w:tcW w:w="1809" w:type="dxa"/>
            <w:shd w:val="clear" w:color="auto" w:fill="auto"/>
          </w:tcPr>
          <w:p w14:paraId="2D27A57C" w14:textId="2087508B" w:rsidR="00F276BC" w:rsidRPr="009C19C5" w:rsidRDefault="000A0E4E">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Планови за стављање ван употребе/ затварање/ ремедијациј</w:t>
            </w:r>
            <w:r w:rsidR="00A175AC" w:rsidRPr="009C19C5">
              <w:rPr>
                <w:rFonts w:ascii="Times New Roman" w:hAnsi="Times New Roman" w:cs="Times New Roman"/>
                <w:sz w:val="20"/>
                <w:szCs w:val="20"/>
                <w:lang w:val="sr-Cyrl-RS" w:eastAsia="en-GB"/>
              </w:rPr>
              <w:t>у</w:t>
            </w:r>
            <w:r w:rsidRPr="009C19C5">
              <w:rPr>
                <w:rFonts w:ascii="Times New Roman" w:hAnsi="Times New Roman" w:cs="Times New Roman"/>
                <w:sz w:val="20"/>
                <w:szCs w:val="20"/>
                <w:lang w:val="sr-Cyrl-RS" w:eastAsia="en-GB"/>
              </w:rPr>
              <w:t xml:space="preserve"> земљишта, са буџетом и временским оквиром</w:t>
            </w:r>
            <w:r w:rsidR="002D2F02" w:rsidRPr="009C19C5">
              <w:rPr>
                <w:rFonts w:ascii="Times New Roman" w:hAnsi="Times New Roman" w:cs="Times New Roman"/>
                <w:sz w:val="20"/>
                <w:szCs w:val="20"/>
                <w:lang w:val="sr-Cyrl-RS" w:eastAsia="en-GB"/>
              </w:rPr>
              <w:t xml:space="preserve"> и планови развоја других привредних активности у циљу отварања нових радних места</w:t>
            </w:r>
          </w:p>
        </w:tc>
        <w:tc>
          <w:tcPr>
            <w:tcW w:w="2291" w:type="dxa"/>
            <w:shd w:val="clear" w:color="auto" w:fill="auto"/>
          </w:tcPr>
          <w:p w14:paraId="6504582B" w14:textId="146C9274" w:rsidR="00F276BC" w:rsidRPr="009C19C5" w:rsidRDefault="000A0E4E">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 xml:space="preserve">Омогућавање рехабилитације и санације земљишта за различите намене </w:t>
            </w:r>
            <w:r w:rsidR="00A175AC" w:rsidRPr="009C19C5">
              <w:rPr>
                <w:rFonts w:ascii="Times New Roman" w:hAnsi="Times New Roman" w:cs="Times New Roman"/>
                <w:sz w:val="20"/>
                <w:szCs w:val="20"/>
                <w:lang w:val="sr-Cyrl-RS" w:eastAsia="en-GB"/>
              </w:rPr>
              <w:t xml:space="preserve">које </w:t>
            </w:r>
            <w:r w:rsidRPr="009C19C5">
              <w:rPr>
                <w:rFonts w:ascii="Times New Roman" w:hAnsi="Times New Roman" w:cs="Times New Roman"/>
                <w:sz w:val="20"/>
                <w:szCs w:val="20"/>
                <w:lang w:val="sr-Cyrl-RS" w:eastAsia="en-GB"/>
              </w:rPr>
              <w:t>ће привући инвестиције</w:t>
            </w:r>
          </w:p>
        </w:tc>
        <w:tc>
          <w:tcPr>
            <w:tcW w:w="1595" w:type="dxa"/>
            <w:shd w:val="clear" w:color="auto" w:fill="auto"/>
          </w:tcPr>
          <w:p w14:paraId="72B74674" w14:textId="243B344D" w:rsidR="00F276BC" w:rsidRPr="009C19C5" w:rsidRDefault="000A0E4E">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 xml:space="preserve">Омогућавање трансформације </w:t>
            </w:r>
            <w:r w:rsidR="003F2E15" w:rsidRPr="009C19C5">
              <w:rPr>
                <w:rFonts w:ascii="Times New Roman" w:hAnsi="Times New Roman" w:cs="Times New Roman"/>
                <w:sz w:val="20"/>
                <w:szCs w:val="20"/>
                <w:lang w:val="sr-Cyrl-RS" w:eastAsia="en-GB"/>
              </w:rPr>
              <w:t>и препорода</w:t>
            </w:r>
            <w:r w:rsidR="00A175AC" w:rsidRPr="009C19C5">
              <w:rPr>
                <w:rFonts w:ascii="Times New Roman" w:hAnsi="Times New Roman" w:cs="Times New Roman"/>
                <w:sz w:val="20"/>
                <w:szCs w:val="20"/>
                <w:lang w:val="sr-Cyrl-RS" w:eastAsia="en-GB"/>
              </w:rPr>
              <w:t xml:space="preserve"> привреде</w:t>
            </w:r>
            <w:r w:rsidRPr="009C19C5">
              <w:rPr>
                <w:rFonts w:ascii="Times New Roman" w:hAnsi="Times New Roman" w:cs="Times New Roman"/>
                <w:sz w:val="20"/>
                <w:szCs w:val="20"/>
                <w:lang w:val="sr-Cyrl-RS" w:eastAsia="en-GB"/>
              </w:rPr>
              <w:t xml:space="preserve"> погођених територија у зелене и </w:t>
            </w:r>
            <w:r w:rsidR="00A175AC" w:rsidRPr="009C19C5">
              <w:rPr>
                <w:rFonts w:ascii="Times New Roman" w:hAnsi="Times New Roman" w:cs="Times New Roman"/>
                <w:sz w:val="20"/>
                <w:szCs w:val="20"/>
                <w:lang w:val="sr-Cyrl-RS" w:eastAsia="en-GB"/>
              </w:rPr>
              <w:t xml:space="preserve">циркуларне </w:t>
            </w:r>
            <w:r w:rsidRPr="009C19C5">
              <w:rPr>
                <w:rFonts w:ascii="Times New Roman" w:hAnsi="Times New Roman" w:cs="Times New Roman"/>
                <w:sz w:val="20"/>
                <w:szCs w:val="20"/>
                <w:lang w:val="sr-Cyrl-RS" w:eastAsia="en-GB"/>
              </w:rPr>
              <w:t>економије</w:t>
            </w:r>
            <w:r w:rsidR="00A175AC" w:rsidRPr="009C19C5">
              <w:rPr>
                <w:rFonts w:ascii="Times New Roman" w:hAnsi="Times New Roman" w:cs="Times New Roman"/>
                <w:sz w:val="20"/>
                <w:szCs w:val="20"/>
                <w:lang w:val="sr-Cyrl-RS" w:eastAsia="en-GB"/>
              </w:rPr>
              <w:t xml:space="preserve">, </w:t>
            </w:r>
            <w:r w:rsidRPr="009C19C5">
              <w:rPr>
                <w:rFonts w:ascii="Times New Roman" w:hAnsi="Times New Roman" w:cs="Times New Roman"/>
                <w:sz w:val="20"/>
                <w:szCs w:val="20"/>
                <w:lang w:val="sr-Cyrl-RS" w:eastAsia="en-GB"/>
              </w:rPr>
              <w:t>уз у потпуности ублажене друштвено-економске последице</w:t>
            </w:r>
          </w:p>
        </w:tc>
        <w:tc>
          <w:tcPr>
            <w:tcW w:w="2660" w:type="dxa"/>
            <w:shd w:val="clear" w:color="auto" w:fill="auto"/>
          </w:tcPr>
          <w:p w14:paraId="7C16D25D" w14:textId="0E523562" w:rsidR="00F276BC" w:rsidRPr="009C19C5" w:rsidRDefault="000A0E4E">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 xml:space="preserve">Конкретни планови за </w:t>
            </w:r>
            <w:r w:rsidR="00A175AC" w:rsidRPr="009C19C5">
              <w:rPr>
                <w:rFonts w:ascii="Times New Roman" w:hAnsi="Times New Roman" w:cs="Times New Roman"/>
                <w:sz w:val="20"/>
                <w:szCs w:val="20"/>
                <w:lang w:val="sr-Cyrl-RS" w:eastAsia="en-GB"/>
              </w:rPr>
              <w:t xml:space="preserve">спровођење </w:t>
            </w:r>
            <w:r w:rsidRPr="009C19C5">
              <w:rPr>
                <w:rFonts w:ascii="Times New Roman" w:hAnsi="Times New Roman" w:cs="Times New Roman"/>
                <w:sz w:val="20"/>
                <w:szCs w:val="20"/>
                <w:lang w:val="sr-Cyrl-RS" w:eastAsia="en-GB"/>
              </w:rPr>
              <w:t xml:space="preserve">декарбонизације у складу са </w:t>
            </w:r>
            <w:r w:rsidR="00A175AC" w:rsidRPr="009C19C5">
              <w:rPr>
                <w:rFonts w:ascii="Times New Roman" w:hAnsi="Times New Roman" w:cs="Times New Roman"/>
                <w:sz w:val="20"/>
                <w:szCs w:val="20"/>
                <w:lang w:val="sr-Cyrl-RS" w:eastAsia="en-GB"/>
              </w:rPr>
              <w:t>И</w:t>
            </w:r>
            <w:r w:rsidRPr="009C19C5">
              <w:rPr>
                <w:rFonts w:ascii="Times New Roman" w:hAnsi="Times New Roman" w:cs="Times New Roman"/>
                <w:sz w:val="20"/>
                <w:szCs w:val="20"/>
                <w:lang w:val="sr-Cyrl-RS" w:eastAsia="en-GB"/>
              </w:rPr>
              <w:t>НЕКП</w:t>
            </w:r>
            <w:r w:rsidR="00A04C0A" w:rsidRPr="009C19C5">
              <w:rPr>
                <w:rFonts w:ascii="Times New Roman" w:hAnsi="Times New Roman" w:cs="Times New Roman"/>
                <w:sz w:val="20"/>
                <w:szCs w:val="20"/>
                <w:lang w:val="sr-Cyrl-RS" w:eastAsia="en-GB"/>
              </w:rPr>
              <w:t>,</w:t>
            </w:r>
            <w:r w:rsidRPr="009C19C5">
              <w:rPr>
                <w:rFonts w:ascii="Times New Roman" w:hAnsi="Times New Roman" w:cs="Times New Roman"/>
                <w:sz w:val="20"/>
                <w:szCs w:val="20"/>
                <w:lang w:val="sr-Cyrl-RS" w:eastAsia="en-GB"/>
              </w:rPr>
              <w:t xml:space="preserve"> Париским споразумом / </w:t>
            </w:r>
            <w:r w:rsidR="00835F3D" w:rsidRPr="009C19C5">
              <w:rPr>
                <w:rFonts w:ascii="Times New Roman" w:hAnsi="Times New Roman" w:cs="Times New Roman"/>
                <w:sz w:val="20"/>
                <w:szCs w:val="20"/>
                <w:lang w:val="sr-Cyrl-RS" w:eastAsia="en-GB"/>
              </w:rPr>
              <w:t>З</w:t>
            </w:r>
            <w:r w:rsidRPr="009C19C5">
              <w:rPr>
                <w:rFonts w:ascii="Times New Roman" w:hAnsi="Times New Roman" w:cs="Times New Roman"/>
                <w:sz w:val="20"/>
                <w:szCs w:val="20"/>
                <w:lang w:val="sr-Cyrl-RS" w:eastAsia="en-GB"/>
              </w:rPr>
              <w:t>атварање рудника и санација земљишта</w:t>
            </w:r>
          </w:p>
        </w:tc>
      </w:tr>
      <w:tr w:rsidR="00F276BC" w:rsidRPr="009C19C5" w14:paraId="23883673" w14:textId="77777777" w:rsidTr="008F6A13">
        <w:trPr>
          <w:jc w:val="center"/>
        </w:trPr>
        <w:tc>
          <w:tcPr>
            <w:tcW w:w="10460" w:type="dxa"/>
            <w:gridSpan w:val="5"/>
            <w:shd w:val="clear" w:color="auto" w:fill="auto"/>
          </w:tcPr>
          <w:p w14:paraId="66AA04D4" w14:textId="77777777" w:rsidR="00F276BC" w:rsidRPr="009C19C5" w:rsidRDefault="000A0E4E">
            <w:pPr>
              <w:spacing w:after="0" w:line="240" w:lineRule="auto"/>
              <w:jc w:val="center"/>
              <w:rPr>
                <w:rFonts w:ascii="Times New Roman" w:hAnsi="Times New Roman" w:cs="Times New Roman"/>
                <w:bCs/>
                <w:sz w:val="20"/>
                <w:szCs w:val="20"/>
                <w:lang w:val="sr-Cyrl-RS"/>
              </w:rPr>
            </w:pPr>
            <w:r w:rsidRPr="009C19C5">
              <w:rPr>
                <w:rFonts w:ascii="Times New Roman" w:hAnsi="Times New Roman" w:cs="Times New Roman"/>
                <w:bCs/>
                <w:sz w:val="20"/>
                <w:szCs w:val="20"/>
                <w:lang w:val="sr-Cyrl-RS"/>
              </w:rPr>
              <w:t>Припремне активности на локалном нивоу</w:t>
            </w:r>
          </w:p>
        </w:tc>
      </w:tr>
      <w:tr w:rsidR="00D91B53" w:rsidRPr="009C19C5" w14:paraId="088408CB" w14:textId="77777777" w:rsidTr="008F6A13">
        <w:trPr>
          <w:jc w:val="center"/>
        </w:trPr>
        <w:tc>
          <w:tcPr>
            <w:tcW w:w="2105" w:type="dxa"/>
            <w:shd w:val="clear" w:color="auto" w:fill="auto"/>
          </w:tcPr>
          <w:p w14:paraId="3B9D8FCD" w14:textId="20D6B6BD" w:rsidR="00F276BC" w:rsidRPr="009C19C5" w:rsidRDefault="00927BF2">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 xml:space="preserve">Локални </w:t>
            </w:r>
            <w:r w:rsidR="000A0E4E" w:rsidRPr="009C19C5">
              <w:rPr>
                <w:rFonts w:ascii="Times New Roman" w:hAnsi="Times New Roman" w:cs="Times New Roman"/>
                <w:sz w:val="20"/>
                <w:szCs w:val="20"/>
                <w:lang w:val="sr-Cyrl-RS" w:eastAsia="en-GB"/>
              </w:rPr>
              <w:t>планови развоја</w:t>
            </w:r>
          </w:p>
        </w:tc>
        <w:tc>
          <w:tcPr>
            <w:tcW w:w="1809" w:type="dxa"/>
            <w:shd w:val="clear" w:color="auto" w:fill="auto"/>
          </w:tcPr>
          <w:p w14:paraId="26A283E4" w14:textId="7FF9BE14" w:rsidR="00F276BC" w:rsidRPr="009C19C5" w:rsidRDefault="00927BF2">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Лок</w:t>
            </w:r>
            <w:r w:rsidR="00B10FC0" w:rsidRPr="009C19C5">
              <w:rPr>
                <w:rFonts w:ascii="Times New Roman" w:hAnsi="Times New Roman" w:cs="Times New Roman"/>
                <w:sz w:val="20"/>
                <w:szCs w:val="20"/>
                <w:lang w:val="sr-Cyrl-RS" w:eastAsia="en-GB"/>
              </w:rPr>
              <w:t>а</w:t>
            </w:r>
            <w:r w:rsidRPr="009C19C5">
              <w:rPr>
                <w:rFonts w:ascii="Times New Roman" w:hAnsi="Times New Roman" w:cs="Times New Roman"/>
                <w:sz w:val="20"/>
                <w:szCs w:val="20"/>
                <w:lang w:val="sr-Cyrl-RS" w:eastAsia="en-GB"/>
              </w:rPr>
              <w:t xml:space="preserve">лни </w:t>
            </w:r>
            <w:r w:rsidR="000A0E4E" w:rsidRPr="009C19C5">
              <w:rPr>
                <w:rFonts w:ascii="Times New Roman" w:hAnsi="Times New Roman" w:cs="Times New Roman"/>
                <w:sz w:val="20"/>
                <w:szCs w:val="20"/>
                <w:lang w:val="sr-Cyrl-RS" w:eastAsia="en-GB"/>
              </w:rPr>
              <w:t>планови развоја</w:t>
            </w:r>
            <w:r w:rsidR="00B83C03" w:rsidRPr="009C19C5">
              <w:rPr>
                <w:rFonts w:ascii="Times New Roman" w:hAnsi="Times New Roman" w:cs="Times New Roman"/>
                <w:sz w:val="20"/>
                <w:szCs w:val="20"/>
                <w:lang w:val="sr-Cyrl-RS" w:eastAsia="en-GB"/>
              </w:rPr>
              <w:t xml:space="preserve"> са опцијама развоја нових привредних активности или оживљавања постојећих</w:t>
            </w:r>
          </w:p>
        </w:tc>
        <w:tc>
          <w:tcPr>
            <w:tcW w:w="2291" w:type="dxa"/>
            <w:shd w:val="clear" w:color="auto" w:fill="auto"/>
          </w:tcPr>
          <w:p w14:paraId="43AA8231" w14:textId="2817D5A5" w:rsidR="00F276BC" w:rsidRPr="009C19C5" w:rsidRDefault="000A0E4E">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 xml:space="preserve">Прилагођавање </w:t>
            </w:r>
            <w:r w:rsidR="00927BF2" w:rsidRPr="009C19C5">
              <w:rPr>
                <w:rFonts w:ascii="Times New Roman" w:hAnsi="Times New Roman" w:cs="Times New Roman"/>
                <w:sz w:val="20"/>
                <w:szCs w:val="20"/>
                <w:lang w:val="sr-Cyrl-RS" w:eastAsia="en-GB"/>
              </w:rPr>
              <w:t xml:space="preserve">локалних </w:t>
            </w:r>
            <w:r w:rsidRPr="009C19C5">
              <w:rPr>
                <w:rFonts w:ascii="Times New Roman" w:hAnsi="Times New Roman" w:cs="Times New Roman"/>
                <w:sz w:val="20"/>
                <w:szCs w:val="20"/>
                <w:lang w:val="sr-Cyrl-RS" w:eastAsia="en-GB"/>
              </w:rPr>
              <w:t>планова у складу са потребама локалног развоја</w:t>
            </w:r>
          </w:p>
        </w:tc>
        <w:tc>
          <w:tcPr>
            <w:tcW w:w="1595" w:type="dxa"/>
            <w:shd w:val="clear" w:color="auto" w:fill="auto"/>
          </w:tcPr>
          <w:p w14:paraId="7F516CC3" w14:textId="4EEA19E4" w:rsidR="00F276BC" w:rsidRPr="009C19C5" w:rsidRDefault="000A0E4E">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 xml:space="preserve">Планирање будућих инвестиција и акција на локалном нивоу у складу је са потребама </w:t>
            </w:r>
            <w:r w:rsidR="00A175AC" w:rsidRPr="009C19C5">
              <w:rPr>
                <w:rFonts w:ascii="Times New Roman" w:hAnsi="Times New Roman" w:cs="Times New Roman"/>
                <w:sz w:val="20"/>
                <w:szCs w:val="20"/>
                <w:lang w:val="sr-Cyrl-RS" w:eastAsia="en-GB"/>
              </w:rPr>
              <w:t xml:space="preserve">праведне транзиције </w:t>
            </w:r>
            <w:r w:rsidRPr="009C19C5">
              <w:rPr>
                <w:rFonts w:ascii="Times New Roman" w:hAnsi="Times New Roman" w:cs="Times New Roman"/>
                <w:sz w:val="20"/>
                <w:szCs w:val="20"/>
                <w:lang w:val="sr-Cyrl-RS" w:eastAsia="en-GB"/>
              </w:rPr>
              <w:t>и локалне економске и социјалне кохезије</w:t>
            </w:r>
          </w:p>
        </w:tc>
        <w:tc>
          <w:tcPr>
            <w:tcW w:w="2660" w:type="dxa"/>
            <w:shd w:val="clear" w:color="auto" w:fill="auto"/>
          </w:tcPr>
          <w:p w14:paraId="71C6624F" w14:textId="7DAD78CA" w:rsidR="00F276BC" w:rsidRPr="009C19C5" w:rsidRDefault="004E2330">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Д</w:t>
            </w:r>
            <w:r w:rsidR="00B83C03" w:rsidRPr="009C19C5">
              <w:rPr>
                <w:rFonts w:ascii="Times New Roman" w:hAnsi="Times New Roman" w:cs="Times New Roman"/>
                <w:sz w:val="20"/>
                <w:szCs w:val="20"/>
                <w:lang w:val="sr-Cyrl-RS" w:eastAsia="en-GB"/>
              </w:rPr>
              <w:t>ефиниса</w:t>
            </w:r>
            <w:r w:rsidR="00C7316F">
              <w:rPr>
                <w:rFonts w:ascii="Times New Roman" w:hAnsi="Times New Roman" w:cs="Times New Roman"/>
                <w:sz w:val="20"/>
                <w:szCs w:val="20"/>
                <w:lang w:val="sr-Cyrl-RS" w:eastAsia="en-GB"/>
              </w:rPr>
              <w:t>њ</w:t>
            </w:r>
            <w:r w:rsidR="00B83C03" w:rsidRPr="009C19C5">
              <w:rPr>
                <w:rFonts w:ascii="Times New Roman" w:hAnsi="Times New Roman" w:cs="Times New Roman"/>
                <w:sz w:val="20"/>
                <w:szCs w:val="20"/>
                <w:lang w:val="sr-Cyrl-RS" w:eastAsia="en-GB"/>
              </w:rPr>
              <w:t>е</w:t>
            </w:r>
            <w:r w:rsidRPr="009C19C5">
              <w:rPr>
                <w:rFonts w:ascii="Times New Roman" w:hAnsi="Times New Roman" w:cs="Times New Roman"/>
                <w:sz w:val="20"/>
                <w:szCs w:val="20"/>
                <w:lang w:val="sr-Cyrl-RS" w:eastAsia="en-GB"/>
              </w:rPr>
              <w:t xml:space="preserve"> нових</w:t>
            </w:r>
            <w:r w:rsidR="00B83C03" w:rsidRPr="009C19C5">
              <w:rPr>
                <w:rFonts w:ascii="Times New Roman" w:hAnsi="Times New Roman" w:cs="Times New Roman"/>
                <w:sz w:val="20"/>
                <w:szCs w:val="20"/>
                <w:lang w:val="sr-Cyrl-RS" w:eastAsia="en-GB"/>
              </w:rPr>
              <w:t xml:space="preserve"> делатности, број нових радних места и динамика локалног развоја</w:t>
            </w:r>
          </w:p>
          <w:p w14:paraId="4D1B1A1C" w14:textId="77777777" w:rsidR="00A175AC" w:rsidRPr="009C19C5" w:rsidRDefault="00A175AC">
            <w:pPr>
              <w:spacing w:after="0" w:line="240" w:lineRule="auto"/>
              <w:jc w:val="center"/>
              <w:rPr>
                <w:rFonts w:ascii="Times New Roman" w:hAnsi="Times New Roman" w:cs="Times New Roman"/>
                <w:sz w:val="20"/>
                <w:szCs w:val="20"/>
                <w:lang w:val="sr-Cyrl-RS" w:eastAsia="en-GB"/>
              </w:rPr>
            </w:pPr>
          </w:p>
          <w:p w14:paraId="62B65913" w14:textId="7CEE112A" w:rsidR="00F276BC" w:rsidRPr="009C19C5" w:rsidRDefault="000A0E4E">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 xml:space="preserve">Број консултација с локалним актерима за развој </w:t>
            </w:r>
            <w:r w:rsidR="00927BF2" w:rsidRPr="009C19C5">
              <w:rPr>
                <w:rFonts w:ascii="Times New Roman" w:hAnsi="Times New Roman" w:cs="Times New Roman"/>
                <w:sz w:val="20"/>
                <w:szCs w:val="20"/>
                <w:lang w:val="sr-Cyrl-RS" w:eastAsia="en-GB"/>
              </w:rPr>
              <w:t xml:space="preserve">Локалног </w:t>
            </w:r>
            <w:r w:rsidRPr="009C19C5">
              <w:rPr>
                <w:rFonts w:ascii="Times New Roman" w:hAnsi="Times New Roman" w:cs="Times New Roman"/>
                <w:sz w:val="20"/>
                <w:szCs w:val="20"/>
                <w:lang w:val="sr-Cyrl-RS" w:eastAsia="en-GB"/>
              </w:rPr>
              <w:t>плана развоја / Општине</w:t>
            </w:r>
          </w:p>
        </w:tc>
      </w:tr>
      <w:tr w:rsidR="00D91B53" w:rsidRPr="009C19C5" w14:paraId="37BE843D" w14:textId="77777777" w:rsidTr="008F6A13">
        <w:trPr>
          <w:jc w:val="center"/>
        </w:trPr>
        <w:tc>
          <w:tcPr>
            <w:tcW w:w="2105" w:type="dxa"/>
            <w:shd w:val="clear" w:color="auto" w:fill="auto"/>
          </w:tcPr>
          <w:p w14:paraId="4C5213E2" w14:textId="6A29235B" w:rsidR="00F276BC" w:rsidRPr="009C19C5" w:rsidRDefault="000A0E4E">
            <w:pPr>
              <w:spacing w:after="0" w:line="240" w:lineRule="auto"/>
              <w:jc w:val="center"/>
              <w:rPr>
                <w:rFonts w:ascii="Times New Roman" w:hAnsi="Times New Roman" w:cs="Times New Roman"/>
                <w:sz w:val="20"/>
                <w:szCs w:val="20"/>
                <w:lang w:val="sr-Cyrl-RS"/>
              </w:rPr>
            </w:pPr>
            <w:r w:rsidRPr="009C19C5">
              <w:rPr>
                <w:rFonts w:ascii="Times New Roman" w:eastAsia="Times New Roman" w:hAnsi="Times New Roman" w:cs="Times New Roman"/>
                <w:kern w:val="0"/>
                <w:sz w:val="20"/>
                <w:szCs w:val="20"/>
                <w:lang w:val="sr-Cyrl-RS"/>
                <w14:ligatures w14:val="none"/>
              </w:rPr>
              <w:t>Програм за подстица</w:t>
            </w:r>
            <w:r w:rsidR="00A175AC" w:rsidRPr="009C19C5">
              <w:rPr>
                <w:rFonts w:ascii="Times New Roman" w:eastAsia="Times New Roman" w:hAnsi="Times New Roman" w:cs="Times New Roman"/>
                <w:kern w:val="0"/>
                <w:sz w:val="20"/>
                <w:szCs w:val="20"/>
                <w:lang w:val="sr-Cyrl-RS"/>
                <w14:ligatures w14:val="none"/>
              </w:rPr>
              <w:t>ње</w:t>
            </w:r>
            <w:r w:rsidRPr="009C19C5">
              <w:rPr>
                <w:rFonts w:ascii="Times New Roman" w:eastAsia="Times New Roman" w:hAnsi="Times New Roman" w:cs="Times New Roman"/>
                <w:kern w:val="0"/>
                <w:sz w:val="20"/>
                <w:szCs w:val="20"/>
                <w:lang w:val="sr-Cyrl-RS"/>
                <w14:ligatures w14:val="none"/>
              </w:rPr>
              <w:t xml:space="preserve"> предузетништва и самозапошљавања</w:t>
            </w:r>
          </w:p>
        </w:tc>
        <w:tc>
          <w:tcPr>
            <w:tcW w:w="1809" w:type="dxa"/>
            <w:shd w:val="clear" w:color="auto" w:fill="auto"/>
          </w:tcPr>
          <w:p w14:paraId="03D1B187" w14:textId="7DD5225C" w:rsidR="00F276BC" w:rsidRPr="009C19C5" w:rsidRDefault="00A175AC">
            <w:pPr>
              <w:spacing w:after="0" w:line="240" w:lineRule="auto"/>
              <w:jc w:val="center"/>
              <w:rPr>
                <w:rFonts w:ascii="Times New Roman" w:hAnsi="Times New Roman" w:cs="Times New Roman"/>
                <w:sz w:val="20"/>
                <w:szCs w:val="20"/>
                <w:lang w:val="sr-Cyrl-RS"/>
              </w:rPr>
            </w:pPr>
            <w:r w:rsidRPr="009C19C5">
              <w:rPr>
                <w:rFonts w:ascii="Times New Roman" w:hAnsi="Times New Roman" w:cs="Times New Roman"/>
                <w:sz w:val="20"/>
                <w:szCs w:val="20"/>
                <w:lang w:val="sr-Cyrl-RS" w:eastAsia="en-GB"/>
              </w:rPr>
              <w:t xml:space="preserve">Грантови </w:t>
            </w:r>
            <w:r w:rsidR="005C0DD1" w:rsidRPr="009C19C5">
              <w:rPr>
                <w:rFonts w:ascii="Times New Roman" w:hAnsi="Times New Roman" w:cs="Times New Roman"/>
                <w:sz w:val="20"/>
                <w:szCs w:val="20"/>
                <w:lang w:val="sr-Cyrl-RS" w:eastAsia="en-GB"/>
              </w:rPr>
              <w:t xml:space="preserve">и пореске олакшице за отварање нових предузећа са </w:t>
            </w:r>
            <w:r w:rsidRPr="009C19C5">
              <w:rPr>
                <w:rFonts w:ascii="Times New Roman" w:hAnsi="Times New Roman" w:cs="Times New Roman"/>
                <w:sz w:val="20"/>
                <w:szCs w:val="20"/>
                <w:lang w:val="sr-Cyrl-RS" w:eastAsia="en-GB"/>
              </w:rPr>
              <w:t xml:space="preserve">најмање </w:t>
            </w:r>
            <w:r w:rsidR="000A0E4E" w:rsidRPr="009C19C5">
              <w:rPr>
                <w:rFonts w:ascii="Times New Roman" w:hAnsi="Times New Roman" w:cs="Times New Roman"/>
                <w:sz w:val="20"/>
                <w:szCs w:val="20"/>
                <w:lang w:val="sr-Cyrl-RS" w:eastAsia="en-GB"/>
              </w:rPr>
              <w:t xml:space="preserve">50 </w:t>
            </w:r>
            <w:r w:rsidR="005C0DD1" w:rsidRPr="009C19C5">
              <w:rPr>
                <w:rFonts w:ascii="Times New Roman" w:hAnsi="Times New Roman" w:cs="Times New Roman"/>
                <w:sz w:val="20"/>
                <w:szCs w:val="20"/>
                <w:lang w:val="sr-Cyrl-RS" w:eastAsia="en-GB"/>
              </w:rPr>
              <w:t xml:space="preserve">хиљада </w:t>
            </w:r>
            <w:r w:rsidRPr="009C19C5">
              <w:rPr>
                <w:rFonts w:ascii="Times New Roman" w:hAnsi="Times New Roman" w:cs="Times New Roman"/>
                <w:sz w:val="20"/>
                <w:szCs w:val="20"/>
                <w:lang w:val="sr-Cyrl-RS" w:eastAsia="en-GB"/>
              </w:rPr>
              <w:t xml:space="preserve">евра инвестиција </w:t>
            </w:r>
            <w:r w:rsidR="005C0DD1" w:rsidRPr="009C19C5">
              <w:rPr>
                <w:rFonts w:ascii="Times New Roman" w:hAnsi="Times New Roman" w:cs="Times New Roman"/>
                <w:sz w:val="20"/>
                <w:szCs w:val="20"/>
                <w:lang w:val="sr-Cyrl-RS" w:eastAsia="en-GB"/>
              </w:rPr>
              <w:t xml:space="preserve">за </w:t>
            </w:r>
            <w:r w:rsidRPr="009C19C5">
              <w:rPr>
                <w:rFonts w:ascii="Times New Roman" w:hAnsi="Times New Roman" w:cs="Times New Roman"/>
                <w:sz w:val="20"/>
                <w:szCs w:val="20"/>
                <w:lang w:val="sr-Cyrl-RS" w:eastAsia="en-GB"/>
              </w:rPr>
              <w:lastRenderedPageBreak/>
              <w:t xml:space="preserve">мала и средња предузећа и </w:t>
            </w:r>
            <w:r w:rsidR="000A0E4E" w:rsidRPr="009C19C5">
              <w:rPr>
                <w:rFonts w:ascii="Times New Roman" w:hAnsi="Times New Roman" w:cs="Times New Roman"/>
                <w:sz w:val="20"/>
                <w:szCs w:val="20"/>
                <w:lang w:val="sr-Cyrl-RS" w:eastAsia="en-GB"/>
              </w:rPr>
              <w:t xml:space="preserve">10 </w:t>
            </w:r>
            <w:r w:rsidR="005C0DD1" w:rsidRPr="009C19C5">
              <w:rPr>
                <w:rFonts w:ascii="Times New Roman" w:hAnsi="Times New Roman" w:cs="Times New Roman"/>
                <w:sz w:val="20"/>
                <w:szCs w:val="20"/>
                <w:lang w:val="sr-Cyrl-RS" w:eastAsia="en-GB"/>
              </w:rPr>
              <w:t xml:space="preserve">хиљада </w:t>
            </w:r>
            <w:r w:rsidRPr="009C19C5">
              <w:rPr>
                <w:rFonts w:ascii="Times New Roman" w:hAnsi="Times New Roman" w:cs="Times New Roman"/>
                <w:sz w:val="20"/>
                <w:szCs w:val="20"/>
                <w:lang w:val="sr-Cyrl-RS" w:eastAsia="en-GB"/>
              </w:rPr>
              <w:t xml:space="preserve">евра </w:t>
            </w:r>
            <w:r w:rsidR="005C0DD1" w:rsidRPr="009C19C5">
              <w:rPr>
                <w:rFonts w:ascii="Times New Roman" w:hAnsi="Times New Roman" w:cs="Times New Roman"/>
                <w:sz w:val="20"/>
                <w:szCs w:val="20"/>
                <w:lang w:val="sr-Cyrl-RS" w:eastAsia="en-GB"/>
              </w:rPr>
              <w:t>за самозапошљавање</w:t>
            </w:r>
          </w:p>
        </w:tc>
        <w:tc>
          <w:tcPr>
            <w:tcW w:w="2291" w:type="dxa"/>
            <w:shd w:val="clear" w:color="auto" w:fill="auto"/>
          </w:tcPr>
          <w:p w14:paraId="1E943527" w14:textId="77777777" w:rsidR="00F276BC" w:rsidRPr="009C19C5" w:rsidRDefault="00F276BC">
            <w:pPr>
              <w:spacing w:after="0" w:line="240" w:lineRule="auto"/>
              <w:jc w:val="center"/>
              <w:rPr>
                <w:rFonts w:ascii="Times New Roman" w:hAnsi="Times New Roman" w:cs="Times New Roman"/>
                <w:sz w:val="20"/>
                <w:szCs w:val="20"/>
                <w:lang w:val="sr-Cyrl-RS"/>
              </w:rPr>
            </w:pPr>
          </w:p>
          <w:p w14:paraId="1C25EBCF" w14:textId="74942592" w:rsidR="00A175AC" w:rsidRPr="009C19C5" w:rsidRDefault="000A0E4E">
            <w:pPr>
              <w:spacing w:after="0" w:line="240" w:lineRule="auto"/>
              <w:jc w:val="center"/>
              <w:rPr>
                <w:rFonts w:ascii="Times New Roman" w:hAnsi="Times New Roman" w:cs="Times New Roman"/>
                <w:sz w:val="20"/>
                <w:szCs w:val="20"/>
                <w:lang w:val="sr-Cyrl-RS"/>
              </w:rPr>
            </w:pPr>
            <w:r w:rsidRPr="009C19C5">
              <w:rPr>
                <w:rFonts w:ascii="Times New Roman" w:hAnsi="Times New Roman" w:cs="Times New Roman"/>
                <w:sz w:val="20"/>
                <w:szCs w:val="20"/>
                <w:lang w:val="sr-Cyrl-RS"/>
              </w:rPr>
              <w:t xml:space="preserve">Најмање 200 предузећа је </w:t>
            </w:r>
            <w:r w:rsidR="00A175AC" w:rsidRPr="009C19C5">
              <w:rPr>
                <w:rFonts w:ascii="Times New Roman" w:hAnsi="Times New Roman" w:cs="Times New Roman"/>
                <w:sz w:val="20"/>
                <w:szCs w:val="20"/>
                <w:lang w:val="sr-Cyrl-RS"/>
              </w:rPr>
              <w:t>о</w:t>
            </w:r>
            <w:r w:rsidRPr="009C19C5">
              <w:rPr>
                <w:rFonts w:ascii="Times New Roman" w:hAnsi="Times New Roman" w:cs="Times New Roman"/>
                <w:sz w:val="20"/>
                <w:szCs w:val="20"/>
                <w:lang w:val="sr-Cyrl-RS"/>
              </w:rPr>
              <w:t xml:space="preserve">творено на погођеним територијама и наставља са радом две </w:t>
            </w:r>
            <w:r w:rsidRPr="009C19C5">
              <w:rPr>
                <w:rFonts w:ascii="Times New Roman" w:hAnsi="Times New Roman" w:cs="Times New Roman"/>
                <w:sz w:val="20"/>
                <w:szCs w:val="20"/>
                <w:lang w:val="sr-Cyrl-RS"/>
              </w:rPr>
              <w:lastRenderedPageBreak/>
              <w:t>године након пружене подршке</w:t>
            </w:r>
          </w:p>
          <w:p w14:paraId="36C7D9FB" w14:textId="72723F82" w:rsidR="00F276BC" w:rsidRPr="009C19C5" w:rsidRDefault="00F276BC">
            <w:pPr>
              <w:spacing w:after="0" w:line="240" w:lineRule="auto"/>
              <w:jc w:val="center"/>
              <w:rPr>
                <w:rFonts w:ascii="Times New Roman" w:hAnsi="Times New Roman" w:cs="Times New Roman"/>
                <w:sz w:val="20"/>
                <w:szCs w:val="20"/>
                <w:lang w:val="sr-Cyrl-RS"/>
              </w:rPr>
            </w:pPr>
          </w:p>
          <w:p w14:paraId="2C025098" w14:textId="77777777" w:rsidR="00F276BC" w:rsidRPr="009C19C5" w:rsidRDefault="000A0E4E">
            <w:pPr>
              <w:spacing w:after="0" w:line="240" w:lineRule="auto"/>
              <w:jc w:val="center"/>
              <w:rPr>
                <w:rFonts w:ascii="Times New Roman" w:hAnsi="Times New Roman" w:cs="Times New Roman"/>
                <w:sz w:val="20"/>
                <w:szCs w:val="20"/>
                <w:lang w:val="sr-Cyrl-RS"/>
              </w:rPr>
            </w:pPr>
            <w:r w:rsidRPr="009C19C5">
              <w:rPr>
                <w:rFonts w:ascii="Times New Roman" w:hAnsi="Times New Roman" w:cs="Times New Roman"/>
                <w:sz w:val="20"/>
                <w:szCs w:val="20"/>
                <w:lang w:val="sr-Cyrl-RS"/>
              </w:rPr>
              <w:t>Подржано је најмање 200 самозапослених лица</w:t>
            </w:r>
          </w:p>
        </w:tc>
        <w:tc>
          <w:tcPr>
            <w:tcW w:w="1595" w:type="dxa"/>
            <w:shd w:val="clear" w:color="auto" w:fill="auto"/>
          </w:tcPr>
          <w:p w14:paraId="6FDAABF6" w14:textId="77777777" w:rsidR="00F276BC" w:rsidRPr="009C19C5" w:rsidRDefault="000A0E4E">
            <w:pPr>
              <w:spacing w:after="0" w:line="240" w:lineRule="auto"/>
              <w:jc w:val="center"/>
              <w:rPr>
                <w:rFonts w:ascii="Times New Roman" w:hAnsi="Times New Roman" w:cs="Times New Roman"/>
                <w:sz w:val="20"/>
                <w:szCs w:val="20"/>
                <w:lang w:val="sr-Cyrl-RS"/>
              </w:rPr>
            </w:pPr>
            <w:r w:rsidRPr="009C19C5">
              <w:rPr>
                <w:rFonts w:ascii="Times New Roman" w:hAnsi="Times New Roman" w:cs="Times New Roman"/>
                <w:sz w:val="20"/>
                <w:szCs w:val="20"/>
                <w:lang w:val="sr-Cyrl-RS" w:eastAsia="en-GB"/>
              </w:rPr>
              <w:lastRenderedPageBreak/>
              <w:t>Диверзификација локалне економије и стварање нових радних места на погођеним територијама</w:t>
            </w:r>
          </w:p>
        </w:tc>
        <w:tc>
          <w:tcPr>
            <w:tcW w:w="2660" w:type="dxa"/>
            <w:shd w:val="clear" w:color="auto" w:fill="auto"/>
          </w:tcPr>
          <w:p w14:paraId="3303E6EB" w14:textId="14A86753" w:rsidR="00F276BC" w:rsidRPr="009C19C5" w:rsidRDefault="000A0E4E">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12 милиона</w:t>
            </w:r>
            <w:r w:rsidR="00A175AC" w:rsidRPr="009C19C5">
              <w:rPr>
                <w:rFonts w:ascii="Times New Roman" w:hAnsi="Times New Roman" w:cs="Times New Roman"/>
                <w:sz w:val="20"/>
                <w:szCs w:val="20"/>
                <w:lang w:val="sr-Cyrl-RS" w:eastAsia="en-GB"/>
              </w:rPr>
              <w:t xml:space="preserve"> евра</w:t>
            </w:r>
            <w:r w:rsidRPr="009C19C5">
              <w:rPr>
                <w:rFonts w:ascii="Times New Roman" w:hAnsi="Times New Roman" w:cs="Times New Roman"/>
                <w:sz w:val="20"/>
                <w:szCs w:val="20"/>
                <w:lang w:val="sr-Cyrl-RS" w:eastAsia="en-GB"/>
              </w:rPr>
              <w:t xml:space="preserve"> је доступно предузетницима / Министарство </w:t>
            </w:r>
            <w:r w:rsidR="00A175AC" w:rsidRPr="009C19C5">
              <w:rPr>
                <w:rFonts w:ascii="Times New Roman" w:hAnsi="Times New Roman" w:cs="Times New Roman"/>
                <w:sz w:val="20"/>
                <w:szCs w:val="20"/>
                <w:lang w:val="sr-Cyrl-RS" w:eastAsia="en-GB"/>
              </w:rPr>
              <w:t>привреде</w:t>
            </w:r>
          </w:p>
        </w:tc>
      </w:tr>
      <w:tr w:rsidR="00D91B53" w:rsidRPr="009C19C5" w14:paraId="28AF1CC9" w14:textId="77777777" w:rsidTr="008F6A13">
        <w:trPr>
          <w:jc w:val="center"/>
        </w:trPr>
        <w:tc>
          <w:tcPr>
            <w:tcW w:w="2105" w:type="dxa"/>
            <w:shd w:val="clear" w:color="auto" w:fill="auto"/>
          </w:tcPr>
          <w:p w14:paraId="22E3DAD9" w14:textId="49863DE1" w:rsidR="00F276BC" w:rsidRPr="009C19C5" w:rsidRDefault="000A0E4E">
            <w:pPr>
              <w:spacing w:after="0" w:line="240" w:lineRule="auto"/>
              <w:jc w:val="center"/>
              <w:rPr>
                <w:rFonts w:ascii="Times New Roman" w:hAnsi="Times New Roman" w:cs="Times New Roman"/>
                <w:sz w:val="20"/>
                <w:szCs w:val="20"/>
                <w:lang w:val="sr-Cyrl-RS" w:eastAsia="en-GB"/>
              </w:rPr>
            </w:pPr>
            <w:r w:rsidRPr="009C19C5">
              <w:rPr>
                <w:rFonts w:ascii="Times New Roman" w:eastAsia="Times New Roman" w:hAnsi="Times New Roman" w:cs="Times New Roman"/>
                <w:kern w:val="0"/>
                <w:sz w:val="20"/>
                <w:szCs w:val="20"/>
                <w:lang w:val="sr-Cyrl-RS"/>
                <w14:ligatures w14:val="none"/>
              </w:rPr>
              <w:t xml:space="preserve">Побољшање </w:t>
            </w:r>
            <w:r w:rsidR="00A175AC" w:rsidRPr="009C19C5">
              <w:rPr>
                <w:rFonts w:ascii="Times New Roman" w:eastAsia="Times New Roman" w:hAnsi="Times New Roman" w:cs="Times New Roman"/>
                <w:kern w:val="0"/>
                <w:sz w:val="20"/>
                <w:szCs w:val="20"/>
                <w:lang w:val="sr-Cyrl-RS"/>
                <w14:ligatures w14:val="none"/>
              </w:rPr>
              <w:t xml:space="preserve">привредне </w:t>
            </w:r>
            <w:r w:rsidRPr="009C19C5">
              <w:rPr>
                <w:rFonts w:ascii="Times New Roman" w:eastAsia="Times New Roman" w:hAnsi="Times New Roman" w:cs="Times New Roman"/>
                <w:kern w:val="0"/>
                <w:sz w:val="20"/>
                <w:szCs w:val="20"/>
                <w:lang w:val="sr-Cyrl-RS"/>
                <w14:ligatures w14:val="none"/>
              </w:rPr>
              <w:t>инфраструктуре у постојећим индустријским парковима</w:t>
            </w:r>
          </w:p>
        </w:tc>
        <w:tc>
          <w:tcPr>
            <w:tcW w:w="1809" w:type="dxa"/>
            <w:shd w:val="clear" w:color="auto" w:fill="auto"/>
          </w:tcPr>
          <w:p w14:paraId="1A4F83A3" w14:textId="081EFF67" w:rsidR="00F276BC" w:rsidRPr="009C19C5" w:rsidRDefault="00A175AC">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 xml:space="preserve">Грантови </w:t>
            </w:r>
            <w:r w:rsidR="00927BF2" w:rsidRPr="009C19C5">
              <w:rPr>
                <w:rFonts w:ascii="Times New Roman" w:hAnsi="Times New Roman" w:cs="Times New Roman"/>
                <w:sz w:val="20"/>
                <w:szCs w:val="20"/>
                <w:lang w:val="sr-Cyrl-RS" w:eastAsia="en-GB"/>
              </w:rPr>
              <w:t xml:space="preserve">локалним самоуправама </w:t>
            </w:r>
            <w:r w:rsidR="000A0E4E" w:rsidRPr="009C19C5">
              <w:rPr>
                <w:rFonts w:ascii="Times New Roman" w:hAnsi="Times New Roman" w:cs="Times New Roman"/>
                <w:sz w:val="20"/>
                <w:szCs w:val="20"/>
                <w:lang w:val="sr-Cyrl-RS" w:eastAsia="en-GB"/>
              </w:rPr>
              <w:t>за побољшање индустријских паркова с просечним улагањем од 12 милиона</w:t>
            </w:r>
            <w:r w:rsidRPr="009C19C5">
              <w:rPr>
                <w:rFonts w:ascii="Times New Roman" w:hAnsi="Times New Roman" w:cs="Times New Roman"/>
                <w:sz w:val="20"/>
                <w:szCs w:val="20"/>
                <w:lang w:val="sr-Cyrl-RS" w:eastAsia="en-GB"/>
              </w:rPr>
              <w:t xml:space="preserve"> евра</w:t>
            </w:r>
          </w:p>
        </w:tc>
        <w:tc>
          <w:tcPr>
            <w:tcW w:w="2291" w:type="dxa"/>
            <w:shd w:val="clear" w:color="auto" w:fill="auto"/>
          </w:tcPr>
          <w:p w14:paraId="7779BEA8" w14:textId="77777777" w:rsidR="00F276BC" w:rsidRPr="009C19C5" w:rsidRDefault="000A0E4E">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Олакшано је функционисање до пет индустријских паркова на погођеним територијама</w:t>
            </w:r>
          </w:p>
        </w:tc>
        <w:tc>
          <w:tcPr>
            <w:tcW w:w="1595" w:type="dxa"/>
            <w:shd w:val="clear" w:color="auto" w:fill="auto"/>
          </w:tcPr>
          <w:p w14:paraId="149426F3" w14:textId="07DE32C8" w:rsidR="00F276BC" w:rsidRPr="009C19C5" w:rsidRDefault="000A0E4E">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Диверзификација локалне економије и привлачење нових инвестиција у оквиру индустријских паркова</w:t>
            </w:r>
          </w:p>
        </w:tc>
        <w:tc>
          <w:tcPr>
            <w:tcW w:w="2660" w:type="dxa"/>
            <w:shd w:val="clear" w:color="auto" w:fill="auto"/>
          </w:tcPr>
          <w:p w14:paraId="12A6EBC2" w14:textId="77777777" w:rsidR="00F276BC" w:rsidRPr="009C19C5" w:rsidRDefault="000A0E4E">
            <w:pPr>
              <w:spacing w:after="0" w:line="240" w:lineRule="auto"/>
              <w:jc w:val="center"/>
              <w:rPr>
                <w:rFonts w:ascii="Times New Roman" w:hAnsi="Times New Roman" w:cs="Times New Roman"/>
                <w:sz w:val="20"/>
                <w:szCs w:val="20"/>
                <w:lang w:val="sr-Cyrl-RS" w:eastAsia="en-GB"/>
              </w:rPr>
            </w:pPr>
            <w:r w:rsidRPr="009C19C5">
              <w:rPr>
                <w:rFonts w:ascii="Times New Roman" w:hAnsi="Times New Roman" w:cs="Times New Roman"/>
                <w:sz w:val="20"/>
                <w:szCs w:val="20"/>
                <w:lang w:val="sr-Cyrl-RS" w:eastAsia="en-GB"/>
              </w:rPr>
              <w:t>Подржано је до пет индустријских паркова/ Општине</w:t>
            </w:r>
          </w:p>
        </w:tc>
      </w:tr>
    </w:tbl>
    <w:p w14:paraId="60F02468" w14:textId="480C1A0F" w:rsidR="00F276BC" w:rsidRPr="009C19C5" w:rsidRDefault="00F276BC">
      <w:pPr>
        <w:rPr>
          <w:rFonts w:ascii="Times New Roman" w:eastAsia="Times New Roman" w:hAnsi="Times New Roman" w:cs="Times New Roman"/>
          <w:kern w:val="0"/>
          <w:lang w:val="sr-Cyrl-RS"/>
          <w14:ligatures w14:val="none"/>
        </w:rPr>
      </w:pPr>
    </w:p>
    <w:tbl>
      <w:tblPr>
        <w:tblW w:w="11200" w:type="dxa"/>
        <w:tblLayout w:type="fixed"/>
        <w:tblLook w:val="0000" w:firstRow="0" w:lastRow="0" w:firstColumn="0" w:lastColumn="0" w:noHBand="0" w:noVBand="0"/>
      </w:tblPr>
      <w:tblGrid>
        <w:gridCol w:w="6840"/>
        <w:gridCol w:w="4360"/>
      </w:tblGrid>
      <w:tr w:rsidR="00B1463A" w:rsidRPr="009C19C5" w14:paraId="3C4C26F0" w14:textId="77777777" w:rsidTr="00B1463A">
        <w:tc>
          <w:tcPr>
            <w:tcW w:w="6840" w:type="dxa"/>
          </w:tcPr>
          <w:p w14:paraId="22D8C59D" w14:textId="77777777" w:rsidR="00B1463A" w:rsidRPr="009C19C5" w:rsidRDefault="00B1463A" w:rsidP="00835F3D">
            <w:pPr>
              <w:spacing w:after="0" w:line="240" w:lineRule="auto"/>
              <w:rPr>
                <w:rFonts w:ascii="Times New Roman" w:hAnsi="Times New Roman" w:cs="Times New Roman"/>
                <w:lang w:val="sr-Cyrl-RS"/>
              </w:rPr>
            </w:pPr>
          </w:p>
        </w:tc>
        <w:tc>
          <w:tcPr>
            <w:tcW w:w="4360" w:type="dxa"/>
          </w:tcPr>
          <w:p w14:paraId="7121E49C" w14:textId="77777777" w:rsidR="00B1463A" w:rsidRPr="009C19C5" w:rsidRDefault="00B1463A" w:rsidP="00507A51">
            <w:pPr>
              <w:spacing w:after="0" w:line="240" w:lineRule="auto"/>
              <w:jc w:val="center"/>
              <w:rPr>
                <w:rFonts w:ascii="Times New Roman" w:hAnsi="Times New Roman" w:cs="Times New Roman"/>
                <w:lang w:val="sr-Cyrl-RS"/>
              </w:rPr>
            </w:pPr>
          </w:p>
        </w:tc>
      </w:tr>
    </w:tbl>
    <w:p w14:paraId="5B4EAC98" w14:textId="77777777" w:rsidR="00562BAD" w:rsidRPr="009C19C5" w:rsidRDefault="00562BAD">
      <w:pPr>
        <w:rPr>
          <w:rFonts w:ascii="Times New Roman" w:eastAsia="Times New Roman" w:hAnsi="Times New Roman" w:cs="Times New Roman"/>
          <w:kern w:val="0"/>
          <w:lang w:val="sr-Cyrl-RS"/>
          <w14:ligatures w14:val="none"/>
        </w:rPr>
      </w:pPr>
    </w:p>
    <w:sectPr w:rsidR="00562BAD" w:rsidRPr="009C19C5" w:rsidSect="00A51779">
      <w:pgSz w:w="11910" w:h="16840"/>
      <w:pgMar w:top="720" w:right="720" w:bottom="720" w:left="720" w:header="720" w:footer="720" w:gutter="0"/>
      <w:pgNumType w:start="3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94E600" w14:textId="77777777" w:rsidR="00705FC8" w:rsidRDefault="00705FC8">
      <w:pPr>
        <w:spacing w:line="240" w:lineRule="auto"/>
      </w:pPr>
    </w:p>
  </w:endnote>
  <w:endnote w:type="continuationSeparator" w:id="0">
    <w:p w14:paraId="2A384928" w14:textId="77777777" w:rsidR="00705FC8" w:rsidRDefault="00705FC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45 Light">
    <w:altName w:val="Calibri"/>
    <w:charset w:val="00"/>
    <w:family w:val="auto"/>
    <w:pitch w:val="variable"/>
    <w:sig w:usb0="80000023" w:usb1="00000000" w:usb2="00000000" w:usb3="00000000" w:csb0="00000001" w:csb1="00000000"/>
  </w:font>
  <w:font w:name="Yu Mincho">
    <w:charset w:val="80"/>
    <w:family w:val="roman"/>
    <w:pitch w:val="variable"/>
    <w:sig w:usb0="800002E7" w:usb1="2AC7FCFF"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40C26" w14:textId="77777777" w:rsidR="00F23FC4" w:rsidRDefault="00F23FC4">
    <w:pPr>
      <w:pStyle w:val="Footer"/>
    </w:pPr>
    <w:r>
      <w:rPr>
        <w:noProof/>
        <w:lang w:val="en-US"/>
      </w:rPr>
      <mc:AlternateContent>
        <mc:Choice Requires="wps">
          <w:drawing>
            <wp:anchor distT="0" distB="0" distL="0" distR="0" simplePos="0" relativeHeight="251689984" behindDoc="0" locked="0" layoutInCell="1" allowOverlap="1" wp14:anchorId="4B7D3919" wp14:editId="1E0456B1">
              <wp:simplePos x="0" y="0"/>
              <wp:positionH relativeFrom="page">
                <wp:align>center</wp:align>
              </wp:positionH>
              <wp:positionV relativeFrom="page">
                <wp:align>bottom</wp:align>
              </wp:positionV>
              <wp:extent cx="666750" cy="342900"/>
              <wp:effectExtent l="0" t="0" r="0" b="0"/>
              <wp:wrapNone/>
              <wp:docPr id="12" name="Text Box 12" descr="OFFICIAL USE"/>
              <wp:cNvGraphicFramePr/>
              <a:graphic xmlns:a="http://schemas.openxmlformats.org/drawingml/2006/main">
                <a:graphicData uri="http://schemas.microsoft.com/office/word/2010/wordprocessingShape">
                  <wps:wsp>
                    <wps:cNvSpPr txBox="1"/>
                    <wps:spPr>
                      <a:xfrm>
                        <a:off x="0" y="0"/>
                        <a:ext cx="666750" cy="342900"/>
                      </a:xfrm>
                      <a:prstGeom prst="rect">
                        <a:avLst/>
                      </a:prstGeom>
                      <a:noFill/>
                      <a:ln>
                        <a:noFill/>
                      </a:ln>
                    </wps:spPr>
                    <wps:txbx>
                      <w:txbxContent>
                        <w:p w14:paraId="699B5580" w14:textId="77777777" w:rsidR="00F23FC4" w:rsidRDefault="00F23FC4">
                          <w:pPr>
                            <w:spacing w:after="0"/>
                            <w:rPr>
                              <w:rFonts w:ascii="Calibri" w:eastAsia="Calibri" w:hAnsi="Calibri" w:cs="Calibri"/>
                              <w:color w:val="0000FF"/>
                              <w:sz w:val="20"/>
                              <w:szCs w:val="20"/>
                            </w:rPr>
                          </w:pPr>
                          <w:r>
                            <w:rPr>
                              <w:rFonts w:ascii="Calibri" w:eastAsia="Calibri" w:hAnsi="Calibri" w:cs="Calibri"/>
                              <w:color w:val="0000FF"/>
                              <w:sz w:val="20"/>
                              <w:szCs w:val="20"/>
                            </w:rPr>
                            <w:t>OFFICIAL USE</w:t>
                          </w:r>
                        </w:p>
                      </w:txbxContent>
                    </wps:txbx>
                    <wps:bodyPr rot="0" spcFirstLastPara="0" vertOverflow="overflow" horzOverflow="overflow" vert="horz" wrap="none" lIns="0" tIns="0" rIns="0" bIns="190500" numCol="1" spcCol="0" rtlCol="0" fromWordArt="0" anchor="b" anchorCtr="0" forceAA="0" compatLnSpc="1">
                      <a:spAutoFit/>
                    </wps:bodyPr>
                  </wps:wsp>
                </a:graphicData>
              </a:graphic>
            </wp:anchor>
          </w:drawing>
        </mc:Choice>
        <mc:Fallback>
          <w:pict>
            <v:shapetype w14:anchorId="4B7D3919" id="_x0000_t202" coordsize="21600,21600" o:spt="202" path="m,l,21600r21600,l21600,xe">
              <v:stroke joinstyle="miter"/>
              <v:path gradientshapeok="t" o:connecttype="rect"/>
            </v:shapetype>
            <v:shape id="Text Box 12" o:spid="_x0000_s1027" type="#_x0000_t202" alt="OFFICIAL USE" style="position:absolute;margin-left:0;margin-top:0;width:52.5pt;height:27pt;z-index:25168998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" filled="f" stroked="f">
              <v:textbox style="mso-fit-shape-to-text:t" inset="0,0,0,15pt">
                <w:txbxContent>
                  <w:p w14:paraId="699B5580" w14:textId="77777777" w:rsidR="00F23FC4" w:rsidRDefault="00F23FC4">
                    <w:pPr>
                      <w:spacing w:after="0"/>
                      <w:rPr>
                        <w:rFonts w:ascii="Calibri" w:eastAsia="Calibri" w:hAnsi="Calibri" w:cs="Calibri"/>
                        <w:color w:val="0000FF"/>
                        <w:sz w:val="20"/>
                        <w:szCs w:val="20"/>
                      </w:rPr>
                    </w:pPr>
                    <w:r>
                      <w:rPr>
                        <w:rFonts w:ascii="Calibri" w:eastAsia="Calibri" w:hAnsi="Calibri" w:cs="Calibri"/>
                        <w:color w:val="0000FF"/>
                        <w:sz w:val="20"/>
                        <w:szCs w:val="20"/>
                      </w:rPr>
                      <w:t>OFFICIAL USE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76FCF" w14:textId="198D9E0A" w:rsidR="00BC369C" w:rsidRDefault="00BC369C">
    <w:pPr>
      <w:pStyle w:val="Footer"/>
    </w:pPr>
    <w:r>
      <w:rPr>
        <w:noProof/>
        <w:lang w:val="en-US"/>
      </w:rPr>
      <mc:AlternateContent>
        <mc:Choice Requires="wps">
          <w:drawing>
            <wp:anchor distT="0" distB="0" distL="0" distR="0" simplePos="0" relativeHeight="251693056" behindDoc="0" locked="0" layoutInCell="1" allowOverlap="1" wp14:anchorId="0A7AC267" wp14:editId="69F29010">
              <wp:simplePos x="0" y="0"/>
              <wp:positionH relativeFrom="page">
                <wp:align>center</wp:align>
              </wp:positionH>
              <wp:positionV relativeFrom="page">
                <wp:align>bottom</wp:align>
              </wp:positionV>
              <wp:extent cx="666750" cy="342900"/>
              <wp:effectExtent l="0" t="0" r="15240" b="0"/>
              <wp:wrapNone/>
              <wp:docPr id="1" name="Text Box 1" descr="OFFICIAL US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6750" cy="342900"/>
                      </a:xfrm>
                      <a:prstGeom prst="rect">
                        <a:avLst/>
                      </a:prstGeom>
                      <a:noFill/>
                      <a:ln>
                        <a:noFill/>
                      </a:ln>
                    </wps:spPr>
                    <wps:txbx>
                      <w:txbxContent>
                        <w:p w14:paraId="3A3558B1" w14:textId="77777777" w:rsidR="00BC369C" w:rsidRDefault="00BC369C">
                          <w:pPr>
                            <w:spacing w:after="0"/>
                            <w:rPr>
                              <w:rFonts w:cs="Calibri"/>
                              <w:color w:val="0000FF"/>
                              <w:sz w:val="20"/>
                              <w:szCs w:val="20"/>
                            </w:rPr>
                          </w:pPr>
                          <w:r>
                            <w:rPr>
                              <w:rFonts w:cs="Calibri"/>
                              <w:color w:val="0000FF"/>
                              <w:sz w:val="20"/>
                              <w:szCs w:val="20"/>
                            </w:rPr>
                            <w:t>OFFICIAL USE</w:t>
                          </w:r>
                        </w:p>
                      </w:txbxContent>
                    </wps:txbx>
                    <wps:bodyPr rot="0" spcFirstLastPara="0" vertOverflow="overflow" horzOverflow="overflow" vert="horz" wrap="none" lIns="0" tIns="0" rIns="0" bIns="190500" numCol="1" spcCol="0" rtlCol="0" fromWordArt="0" anchor="b"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0A7AC267" id="_x0000_t202" coordsize="21600,21600" o:spt="202" path="m,l,21600r21600,l21600,xe">
              <v:stroke joinstyle="miter"/>
              <v:path gradientshapeok="t" o:connecttype="rect"/>
            </v:shapetype>
            <v:shape id="Text Box 1" o:spid="_x0000_s1029" type="#_x0000_t202" alt="OFFICIAL USE" style="position:absolute;margin-left:0;margin-top:0;width:52.5pt;height:27pt;z-index:251693056;visibility:visible;mso-wrap-style:none;mso-width-percent:0;mso-height-percent:0;mso-wrap-distance-left:0;mso-wrap-distance-top:0;mso-wrap-distance-right:0;mso-wrap-distance-bottom:0;mso-position-horizontal:center;mso-position-horizontal-relative:page;mso-position-vertical:bottom;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" filled="f" stroked="f">
              <v:textbox style="mso-fit-shape-to-text:t" inset="0,0,0,15pt">
                <w:txbxContent>
                  <w:p w14:paraId="3A3558B1" w14:textId="77777777" w:rsidR="00BC369C" w:rsidRDefault="00BC369C">
                    <w:pPr>
                      <w:spacing w:after="0"/>
                      <w:rPr>
                        <w:rFonts w:cs="Calibri"/>
                        <w:color w:val="0000FF"/>
                        <w:sz w:val="20"/>
                        <w:szCs w:val="20"/>
                      </w:rPr>
                    </w:pPr>
                    <w:r>
                      <w:rPr>
                        <w:rFonts w:cs="Calibri"/>
                        <w:color w:val="0000FF"/>
                        <w:sz w:val="20"/>
                        <w:szCs w:val="20"/>
                      </w:rPr>
                      <w:t>OFFICIAL USE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C5C4F7" w14:textId="77777777" w:rsidR="00705FC8" w:rsidRDefault="00705FC8">
      <w:pPr>
        <w:spacing w:after="0"/>
      </w:pPr>
    </w:p>
  </w:footnote>
  <w:footnote w:type="continuationSeparator" w:id="0">
    <w:p w14:paraId="6AF189B9" w14:textId="77777777" w:rsidR="00705FC8" w:rsidRDefault="00705FC8">
      <w:pPr>
        <w:spacing w:after="0"/>
      </w:pPr>
    </w:p>
  </w:footnote>
  <w:footnote w:id="1">
    <w:p w14:paraId="34806DC5" w14:textId="77777777" w:rsidR="00F23FC4" w:rsidRPr="001A632B" w:rsidRDefault="00F23FC4">
      <w:pPr>
        <w:pStyle w:val="FootnoteText"/>
        <w:rPr>
          <w:rFonts w:ascii="Arial" w:hAnsi="Arial"/>
          <w:sz w:val="16"/>
          <w:szCs w:val="16"/>
          <w:lang w:val="pl-PL"/>
        </w:rPr>
      </w:pPr>
      <w:r w:rsidRPr="001A632B">
        <w:rPr>
          <w:rStyle w:val="FootnoteReference"/>
          <w:rFonts w:ascii="Arial" w:hAnsi="Arial"/>
          <w:sz w:val="16"/>
          <w:szCs w:val="16"/>
        </w:rPr>
        <w:footnoteRef/>
      </w:r>
      <w:r w:rsidRPr="001A632B">
        <w:rPr>
          <w:rFonts w:ascii="Arial" w:hAnsi="Arial"/>
          <w:sz w:val="16"/>
          <w:szCs w:val="16"/>
          <w:lang w:val="pl-PL"/>
        </w:rPr>
        <w:t xml:space="preserve"> </w:t>
      </w:r>
      <w:hyperlink r:id="rId1" w:history="1">
        <w:r w:rsidRPr="001A632B">
          <w:rPr>
            <w:rStyle w:val="Hyperlink"/>
            <w:rFonts w:ascii="Arial" w:hAnsi="Arial"/>
            <w:color w:val="auto"/>
            <w:sz w:val="16"/>
            <w:szCs w:val="16"/>
            <w:lang w:val="pl-PL"/>
          </w:rPr>
          <w:t>INFORMATOR-O-RADU-JP-PEU-</w:t>
        </w:r>
        <w:r w:rsidRPr="001A632B">
          <w:rPr>
            <w:rStyle w:val="Hyperlink"/>
            <w:rFonts w:ascii="Arial" w:hAnsi="Arial"/>
            <w:color w:val="auto"/>
            <w:sz w:val="16"/>
            <w:szCs w:val="16"/>
            <w:lang w:val="sr-Cyrl-RS"/>
          </w:rPr>
          <w:t>Ресавица</w:t>
        </w:r>
        <w:r w:rsidRPr="001A632B">
          <w:rPr>
            <w:rStyle w:val="Hyperlink"/>
            <w:rFonts w:ascii="Arial" w:hAnsi="Arial"/>
            <w:color w:val="auto"/>
            <w:sz w:val="16"/>
            <w:szCs w:val="16"/>
            <w:lang w:val="pl-PL"/>
          </w:rPr>
          <w:t>.pdf (jppeu.rs)</w:t>
        </w:r>
      </w:hyperlink>
    </w:p>
  </w:footnote>
  <w:footnote w:id="2">
    <w:p w14:paraId="3DFFEC31" w14:textId="77777777" w:rsidR="00F23FC4" w:rsidRDefault="00F23FC4">
      <w:pPr>
        <w:pStyle w:val="FootnoteText"/>
        <w:rPr>
          <w:sz w:val="16"/>
          <w:szCs w:val="16"/>
          <w:lang w:val="it-IT"/>
        </w:rPr>
      </w:pPr>
      <w:r w:rsidRPr="001A632B">
        <w:rPr>
          <w:rStyle w:val="FootnoteReference"/>
          <w:sz w:val="16"/>
          <w:szCs w:val="16"/>
        </w:rPr>
        <w:footnoteRef/>
      </w:r>
      <w:r w:rsidRPr="001A632B">
        <w:rPr>
          <w:sz w:val="16"/>
          <w:szCs w:val="16"/>
          <w:lang w:val="it-IT"/>
        </w:rPr>
        <w:t xml:space="preserve"> </w:t>
      </w:r>
      <w:hyperlink r:id="rId2" w:history="1">
        <w:r w:rsidRPr="001A632B">
          <w:rPr>
            <w:rStyle w:val="Hyperlink"/>
            <w:color w:val="auto"/>
            <w:sz w:val="16"/>
            <w:szCs w:val="16"/>
            <w:lang w:val="it-IT"/>
          </w:rPr>
          <w:t>INFORMATOR-O-RADU-JP-PEU-</w:t>
        </w:r>
        <w:r w:rsidRPr="001A632B">
          <w:rPr>
            <w:rStyle w:val="Hyperlink"/>
            <w:color w:val="auto"/>
            <w:sz w:val="16"/>
            <w:szCs w:val="16"/>
            <w:lang w:val="sr-Cyrl-RS"/>
          </w:rPr>
          <w:t>Ресавица</w:t>
        </w:r>
        <w:r w:rsidRPr="001A632B">
          <w:rPr>
            <w:rStyle w:val="Hyperlink"/>
            <w:color w:val="auto"/>
            <w:sz w:val="16"/>
            <w:szCs w:val="16"/>
            <w:lang w:val="it-IT"/>
          </w:rPr>
          <w:t>.pdf (jppeu.rs)</w:t>
        </w:r>
      </w:hyperlink>
    </w:p>
  </w:footnote>
  <w:footnote w:id="3">
    <w:p w14:paraId="16CD5FC9" w14:textId="77777777" w:rsidR="00F23FC4" w:rsidRPr="001A632B" w:rsidRDefault="00F23FC4" w:rsidP="00BA7CED">
      <w:pPr>
        <w:pStyle w:val="FootnoteText"/>
        <w:spacing w:line="240" w:lineRule="auto"/>
        <w:jc w:val="both"/>
        <w:rPr>
          <w:rFonts w:ascii="Arial" w:hAnsi="Arial"/>
          <w:sz w:val="16"/>
          <w:szCs w:val="16"/>
          <w:lang w:val="en-US"/>
        </w:rPr>
      </w:pPr>
      <w:r w:rsidRPr="001A632B">
        <w:rPr>
          <w:rStyle w:val="FootnoteReference"/>
          <w:rFonts w:ascii="Arial" w:hAnsi="Arial"/>
          <w:sz w:val="16"/>
          <w:szCs w:val="16"/>
        </w:rPr>
        <w:footnoteRef/>
      </w:r>
      <w:r w:rsidRPr="001A632B">
        <w:rPr>
          <w:rFonts w:ascii="Arial" w:hAnsi="Arial"/>
          <w:sz w:val="16"/>
          <w:szCs w:val="16"/>
          <w:lang w:val="en-US"/>
        </w:rPr>
        <w:t xml:space="preserve"> </w:t>
      </w:r>
      <w:r w:rsidRPr="001A632B">
        <w:rPr>
          <w:rFonts w:ascii="Arial" w:hAnsi="Arial"/>
          <w:sz w:val="16"/>
          <w:szCs w:val="16"/>
          <w:lang w:val="sr-Cyrl-RS"/>
        </w:rPr>
        <w:t xml:space="preserve">Уредба </w:t>
      </w:r>
      <w:r w:rsidRPr="001A632B">
        <w:rPr>
          <w:rFonts w:ascii="Arial" w:hAnsi="Arial"/>
          <w:sz w:val="16"/>
          <w:szCs w:val="16"/>
          <w:lang w:val="en-US"/>
        </w:rPr>
        <w:t>(</w:t>
      </w:r>
      <w:r w:rsidRPr="001A632B">
        <w:rPr>
          <w:rFonts w:ascii="Arial" w:hAnsi="Arial"/>
          <w:sz w:val="16"/>
          <w:szCs w:val="16"/>
          <w:lang w:val="sr-Cyrl-RS"/>
        </w:rPr>
        <w:t>ЕУ</w:t>
      </w:r>
      <w:r w:rsidRPr="001A632B">
        <w:rPr>
          <w:rFonts w:ascii="Arial" w:hAnsi="Arial"/>
          <w:sz w:val="16"/>
          <w:szCs w:val="16"/>
          <w:lang w:val="en-US"/>
        </w:rPr>
        <w:t xml:space="preserve">) 2021/1056 </w:t>
      </w:r>
      <w:r w:rsidRPr="001A632B">
        <w:rPr>
          <w:rFonts w:ascii="Arial" w:hAnsi="Arial"/>
          <w:sz w:val="16"/>
          <w:szCs w:val="16"/>
          <w:lang w:val="sr-Cyrl-RS"/>
        </w:rPr>
        <w:t xml:space="preserve">европског парламента и савета донета 24. јуна </w:t>
      </w:r>
      <w:r w:rsidRPr="001A632B">
        <w:rPr>
          <w:rFonts w:ascii="Arial" w:hAnsi="Arial"/>
          <w:sz w:val="16"/>
          <w:szCs w:val="16"/>
          <w:lang w:val="en-US"/>
        </w:rPr>
        <w:t>2021</w:t>
      </w:r>
      <w:r w:rsidRPr="001A632B">
        <w:rPr>
          <w:rFonts w:ascii="Arial" w:hAnsi="Arial"/>
          <w:sz w:val="16"/>
          <w:szCs w:val="16"/>
          <w:lang w:val="sr-Cyrl-RS"/>
        </w:rPr>
        <w:t>. којом се успоставља Фонд за праведну транзицију</w:t>
      </w:r>
      <w:r w:rsidRPr="001A632B">
        <w:rPr>
          <w:rFonts w:ascii="Arial" w:hAnsi="Arial"/>
          <w:sz w:val="16"/>
          <w:szCs w:val="16"/>
          <w:lang w:val="en-US"/>
        </w:rPr>
        <w:t xml:space="preserve"> </w:t>
      </w:r>
      <w:hyperlink r:id="rId3" w:history="1">
        <w:r w:rsidRPr="001A632B">
          <w:rPr>
            <w:rStyle w:val="Hyperlink"/>
            <w:rFonts w:ascii="Arial" w:hAnsi="Arial"/>
            <w:color w:val="auto"/>
            <w:sz w:val="16"/>
            <w:szCs w:val="16"/>
            <w:lang w:val="en-US"/>
          </w:rPr>
          <w:t>https://eur-lex.europa.eu/legal-content/EN/TXT/?uri=CELEX%3A32021R1056</w:t>
        </w:r>
      </w:hyperlink>
    </w:p>
  </w:footnote>
  <w:footnote w:id="4">
    <w:p w14:paraId="5FE04E13" w14:textId="77777777" w:rsidR="00F23FC4" w:rsidRPr="001A632B" w:rsidRDefault="00F23FC4" w:rsidP="00BA7CED">
      <w:pPr>
        <w:pStyle w:val="FootnoteText"/>
        <w:spacing w:line="240" w:lineRule="auto"/>
        <w:jc w:val="both"/>
        <w:rPr>
          <w:rFonts w:ascii="Arial" w:hAnsi="Arial"/>
          <w:sz w:val="16"/>
          <w:szCs w:val="16"/>
          <w:lang w:val="en-US"/>
        </w:rPr>
      </w:pPr>
      <w:r w:rsidRPr="001A632B">
        <w:rPr>
          <w:rStyle w:val="FootnoteReference"/>
          <w:rFonts w:ascii="Arial" w:hAnsi="Arial"/>
          <w:sz w:val="16"/>
          <w:szCs w:val="16"/>
        </w:rPr>
        <w:footnoteRef/>
      </w:r>
      <w:r w:rsidRPr="001A632B">
        <w:rPr>
          <w:rFonts w:ascii="Arial" w:hAnsi="Arial"/>
          <w:sz w:val="16"/>
          <w:szCs w:val="16"/>
          <w:lang w:val="en-US"/>
        </w:rPr>
        <w:t xml:space="preserve"> </w:t>
      </w:r>
      <w:hyperlink r:id="rId4" w:history="1">
        <w:r w:rsidRPr="001A632B">
          <w:rPr>
            <w:rStyle w:val="Hyperlink"/>
            <w:rFonts w:ascii="Arial" w:hAnsi="Arial"/>
            <w:color w:val="auto"/>
            <w:sz w:val="16"/>
            <w:szCs w:val="16"/>
            <w:lang w:val="en-US"/>
          </w:rPr>
          <w:t>https://ec.europa.eu/regional_policy/en/funding/jtf/just-transition-platform/</w:t>
        </w:r>
      </w:hyperlink>
      <w:r w:rsidRPr="001A632B">
        <w:rPr>
          <w:rFonts w:ascii="Arial" w:hAnsi="Arial"/>
          <w:sz w:val="16"/>
          <w:szCs w:val="16"/>
          <w:lang w:val="en-US"/>
        </w:rPr>
        <w:t xml:space="preserve"> </w:t>
      </w:r>
    </w:p>
  </w:footnote>
  <w:footnote w:id="5">
    <w:p w14:paraId="3B20279D" w14:textId="77777777" w:rsidR="00F23FC4" w:rsidRPr="001A632B" w:rsidRDefault="00F23FC4" w:rsidP="00BA7CED">
      <w:pPr>
        <w:pStyle w:val="FootnoteText"/>
        <w:spacing w:line="240" w:lineRule="auto"/>
        <w:jc w:val="both"/>
        <w:rPr>
          <w:rFonts w:ascii="Arial" w:hAnsi="Arial"/>
          <w:sz w:val="16"/>
          <w:szCs w:val="16"/>
          <w:lang w:val="en-US"/>
        </w:rPr>
      </w:pPr>
      <w:r w:rsidRPr="001A632B">
        <w:rPr>
          <w:rStyle w:val="FootnoteReference"/>
          <w:rFonts w:ascii="Arial" w:hAnsi="Arial"/>
          <w:sz w:val="16"/>
          <w:szCs w:val="16"/>
        </w:rPr>
        <w:footnoteRef/>
      </w:r>
      <w:r w:rsidRPr="001A632B">
        <w:rPr>
          <w:rStyle w:val="Hyperlink"/>
          <w:rFonts w:ascii="Arial" w:hAnsi="Arial"/>
          <w:color w:val="auto"/>
          <w:sz w:val="16"/>
          <w:szCs w:val="16"/>
          <w:lang w:val="en-US"/>
        </w:rPr>
        <w:t xml:space="preserve"> </w:t>
      </w:r>
      <w:hyperlink r:id="rId5" w:history="1">
        <w:r w:rsidRPr="001A632B">
          <w:rPr>
            <w:rStyle w:val="Hyperlink"/>
            <w:rFonts w:ascii="Arial" w:hAnsi="Arial"/>
            <w:color w:val="auto"/>
            <w:sz w:val="16"/>
            <w:szCs w:val="16"/>
            <w:lang w:val="en-US"/>
          </w:rPr>
          <w:t>wcms_826060.pdf (ilo.org)</w:t>
        </w:r>
      </w:hyperlink>
    </w:p>
  </w:footnote>
  <w:footnote w:id="6">
    <w:p w14:paraId="5B9C7D69" w14:textId="77777777" w:rsidR="00F23FC4" w:rsidRPr="001A632B" w:rsidRDefault="00F23FC4" w:rsidP="00BA7CED">
      <w:pPr>
        <w:pStyle w:val="FootnoteText"/>
        <w:spacing w:line="240" w:lineRule="auto"/>
        <w:jc w:val="both"/>
        <w:rPr>
          <w:rFonts w:ascii="Arial" w:hAnsi="Arial"/>
          <w:sz w:val="16"/>
          <w:szCs w:val="16"/>
          <w:shd w:val="clear" w:color="auto" w:fill="FFFFFF"/>
          <w:lang w:val="sr-Cyrl-RS"/>
        </w:rPr>
      </w:pPr>
      <w:r w:rsidRPr="001A632B">
        <w:rPr>
          <w:rStyle w:val="FootnoteReference"/>
          <w:rFonts w:ascii="Arial" w:hAnsi="Arial"/>
          <w:sz w:val="16"/>
          <w:szCs w:val="16"/>
        </w:rPr>
        <w:footnoteRef/>
      </w:r>
      <w:r w:rsidRPr="001A632B">
        <w:rPr>
          <w:rFonts w:ascii="Arial" w:hAnsi="Arial"/>
          <w:sz w:val="16"/>
          <w:szCs w:val="16"/>
          <w:lang w:val="en-US"/>
        </w:rPr>
        <w:t xml:space="preserve"> </w:t>
      </w:r>
      <w:r w:rsidRPr="001A632B">
        <w:rPr>
          <w:rFonts w:ascii="Arial" w:hAnsi="Arial"/>
          <w:sz w:val="16"/>
          <w:szCs w:val="16"/>
          <w:shd w:val="clear" w:color="auto" w:fill="FFFFFF"/>
          <w:lang w:val="sr-Cyrl-RS"/>
        </w:rPr>
        <w:t>Акциони план</w:t>
      </w:r>
      <w:r w:rsidRPr="001A632B">
        <w:rPr>
          <w:rFonts w:ascii="Arial" w:hAnsi="Arial"/>
          <w:sz w:val="16"/>
          <w:szCs w:val="16"/>
          <w:shd w:val="clear" w:color="auto" w:fill="FFFFFF"/>
          <w:lang w:val="en-US"/>
        </w:rPr>
        <w:t xml:space="preserve"> </w:t>
      </w:r>
      <w:r w:rsidRPr="001A632B">
        <w:rPr>
          <w:rFonts w:ascii="Arial" w:hAnsi="Arial"/>
          <w:sz w:val="16"/>
          <w:szCs w:val="16"/>
          <w:shd w:val="clear" w:color="auto" w:fill="FFFFFF"/>
          <w:lang w:val="sr-Cyrl-RS"/>
        </w:rPr>
        <w:t xml:space="preserve">за имплементацију Софијског споразума за Западни Балкан </w:t>
      </w:r>
      <w:r w:rsidRPr="001A632B">
        <w:rPr>
          <w:rFonts w:ascii="Arial" w:hAnsi="Arial"/>
          <w:sz w:val="16"/>
          <w:szCs w:val="16"/>
          <w:shd w:val="clear" w:color="auto" w:fill="FFFFFF"/>
          <w:lang w:val="en-US"/>
        </w:rPr>
        <w:t>2021-2030</w:t>
      </w:r>
      <w:r w:rsidRPr="001A632B">
        <w:rPr>
          <w:rFonts w:ascii="Arial" w:hAnsi="Arial"/>
          <w:sz w:val="16"/>
          <w:szCs w:val="16"/>
          <w:shd w:val="clear" w:color="auto" w:fill="FFFFFF"/>
          <w:lang w:val="sr-Cyrl-RS"/>
        </w:rPr>
        <w:t>. ЕБРД-ов концепт према коме функционална тржишна економија треба да буде више од комбинације тржишта; она треба да је конкурентна, инклузивна, добро руковођена, еколошки одржва, отпорна и интегрисана.</w:t>
      </w:r>
    </w:p>
  </w:footnote>
  <w:footnote w:id="7">
    <w:p w14:paraId="2379397E" w14:textId="77777777" w:rsidR="00F23FC4" w:rsidRPr="001A632B" w:rsidRDefault="00F23FC4">
      <w:pPr>
        <w:spacing w:after="0" w:line="240" w:lineRule="auto"/>
        <w:rPr>
          <w:rFonts w:ascii="Arial" w:hAnsi="Arial" w:cs="Arial"/>
          <w:sz w:val="16"/>
          <w:szCs w:val="16"/>
          <w:lang w:val="en-US"/>
        </w:rPr>
      </w:pPr>
      <w:r w:rsidRPr="001A632B">
        <w:rPr>
          <w:rStyle w:val="FootnoteReference"/>
          <w:rFonts w:ascii="Arial" w:hAnsi="Arial"/>
          <w:sz w:val="16"/>
          <w:szCs w:val="16"/>
        </w:rPr>
        <w:footnoteRef/>
      </w:r>
      <w:r w:rsidRPr="001A632B">
        <w:rPr>
          <w:rFonts w:ascii="Arial" w:hAnsi="Arial" w:cs="Arial"/>
          <w:sz w:val="16"/>
          <w:szCs w:val="16"/>
          <w:lang w:val="en-US"/>
        </w:rPr>
        <w:t xml:space="preserve"> </w:t>
      </w:r>
      <w:hyperlink r:id="rId6" w:history="1">
        <w:r w:rsidRPr="001A632B">
          <w:rPr>
            <w:rStyle w:val="Hyperlink"/>
            <w:rFonts w:ascii="Arial" w:eastAsia="Times New Roman" w:hAnsi="Arial" w:cs="Arial"/>
            <w:color w:val="auto"/>
            <w:sz w:val="16"/>
            <w:szCs w:val="16"/>
            <w:lang w:val="en-US"/>
          </w:rPr>
          <w:t>Results of Horizon 2020 European Green Deal call: following up to the kick-off event to celebrate the 73 projects selected for funding - European Commission (europa.eu)</w:t>
        </w:r>
      </w:hyperlink>
    </w:p>
    <w:p w14:paraId="7C9F6BAA" w14:textId="77777777" w:rsidR="00F23FC4" w:rsidRPr="001A632B" w:rsidRDefault="00F23FC4">
      <w:pPr>
        <w:spacing w:after="0" w:line="240" w:lineRule="auto"/>
        <w:rPr>
          <w:rFonts w:ascii="Arial" w:hAnsi="Arial" w:cs="Arial"/>
          <w:sz w:val="16"/>
          <w:szCs w:val="16"/>
          <w:lang w:val="en-US"/>
        </w:rPr>
      </w:pPr>
      <w:hyperlink r:id="rId7" w:history="1">
        <w:r w:rsidRPr="001A632B">
          <w:rPr>
            <w:rStyle w:val="Hyperlink"/>
            <w:rFonts w:ascii="Arial" w:eastAsia="Times New Roman" w:hAnsi="Arial" w:cs="Arial"/>
            <w:color w:val="auto"/>
            <w:sz w:val="16"/>
            <w:szCs w:val="16"/>
            <w:lang w:val="en-US"/>
          </w:rPr>
          <w:t>Overview - Instrument for Pre-accession Assistance - European Commission (europa.eu)</w:t>
        </w:r>
      </w:hyperlink>
    </w:p>
  </w:footnote>
  <w:footnote w:id="8">
    <w:p w14:paraId="0AF2513F" w14:textId="77777777" w:rsidR="00F23FC4" w:rsidRPr="001A632B" w:rsidRDefault="00F23FC4">
      <w:pPr>
        <w:pStyle w:val="FootnoteText"/>
        <w:rPr>
          <w:lang w:val="en-US"/>
        </w:rPr>
      </w:pPr>
      <w:r w:rsidRPr="001A632B">
        <w:rPr>
          <w:rStyle w:val="FootnoteReference"/>
        </w:rPr>
        <w:footnoteRef/>
      </w:r>
      <w:r w:rsidRPr="001A632B">
        <w:rPr>
          <w:lang w:val="en-US"/>
        </w:rPr>
        <w:t xml:space="preserve"> </w:t>
      </w:r>
      <w:hyperlink r:id="rId8" w:history="1">
        <w:r w:rsidRPr="001A632B">
          <w:rPr>
            <w:rStyle w:val="Hyperlink"/>
            <w:color w:val="auto"/>
            <w:sz w:val="16"/>
            <w:szCs w:val="16"/>
            <w:lang w:val="en-US"/>
          </w:rPr>
          <w:t>Economic &amp; Investment Plan for the Western Balkans 2023</w:t>
        </w:r>
      </w:hyperlink>
      <w:r w:rsidRPr="001A632B">
        <w:rPr>
          <w:sz w:val="16"/>
          <w:szCs w:val="16"/>
          <w:lang w:val="en-US"/>
        </w:rPr>
        <w:t xml:space="preserve"> </w:t>
      </w:r>
    </w:p>
  </w:footnote>
  <w:footnote w:id="9">
    <w:p w14:paraId="0D23945D" w14:textId="77777777" w:rsidR="00F23FC4" w:rsidRPr="001A632B" w:rsidRDefault="00F23FC4">
      <w:pPr>
        <w:pStyle w:val="FootnoteText"/>
        <w:spacing w:line="240" w:lineRule="auto"/>
        <w:rPr>
          <w:rFonts w:ascii="Arial" w:hAnsi="Arial"/>
          <w:sz w:val="16"/>
          <w:szCs w:val="16"/>
          <w:lang w:val="en-US"/>
        </w:rPr>
      </w:pPr>
      <w:r w:rsidRPr="001A632B">
        <w:rPr>
          <w:rStyle w:val="FootnoteReference"/>
          <w:rFonts w:ascii="Arial" w:hAnsi="Arial"/>
          <w:sz w:val="16"/>
          <w:szCs w:val="16"/>
        </w:rPr>
        <w:footnoteRef/>
      </w:r>
      <w:r w:rsidRPr="001A632B">
        <w:rPr>
          <w:rFonts w:ascii="Arial" w:hAnsi="Arial"/>
          <w:sz w:val="16"/>
          <w:szCs w:val="16"/>
          <w:lang w:val="en-US"/>
        </w:rPr>
        <w:t xml:space="preserve"> </w:t>
      </w:r>
      <w:r w:rsidRPr="001A632B">
        <w:rPr>
          <w:rStyle w:val="Hyperlink"/>
          <w:rFonts w:ascii="Arial" w:hAnsi="Arial"/>
          <w:color w:val="auto"/>
          <w:sz w:val="16"/>
          <w:szCs w:val="16"/>
          <w:lang w:val="en-US"/>
        </w:rPr>
        <w:t>https://www.EBRD.com/where-we-are/serbia/data.html</w:t>
      </w:r>
    </w:p>
  </w:footnote>
  <w:footnote w:id="10">
    <w:p w14:paraId="64ECDC53" w14:textId="58C0AA6B" w:rsidR="00F23FC4" w:rsidRPr="00711558" w:rsidRDefault="00F23FC4">
      <w:pPr>
        <w:pStyle w:val="FootnoteText"/>
        <w:rPr>
          <w:rFonts w:ascii="Times New Roman" w:hAnsi="Times New Roman" w:cs="Times New Roman"/>
          <w:sz w:val="18"/>
          <w:szCs w:val="18"/>
          <w:lang w:val="sr-Cyrl-CS"/>
        </w:rPr>
      </w:pPr>
      <w:r>
        <w:rPr>
          <w:rStyle w:val="FootnoteReference"/>
        </w:rPr>
        <w:t>*</w:t>
      </w:r>
      <w:r>
        <w:t xml:space="preserve"> </w:t>
      </w:r>
      <w:r w:rsidRPr="00711558">
        <w:rPr>
          <w:rFonts w:ascii="Times New Roman" w:hAnsi="Times New Roman" w:cs="Times New Roman"/>
          <w:sz w:val="18"/>
          <w:szCs w:val="18"/>
          <w:lang w:val="sr-Cyrl-CS"/>
        </w:rPr>
        <w:t>Привремене Мисије Уједињених нација на Косову у складу са Резолуцијом 1244 Савета безбедности Уједињених нација („Службени гласник РС</w:t>
      </w:r>
      <w:r w:rsidR="00FA289C" w:rsidRPr="00FA289C">
        <w:rPr>
          <w:rFonts w:ascii="Times New Roman" w:hAnsi="Times New Roman" w:cs="Times New Roman"/>
          <w:bCs/>
          <w:color w:val="000000"/>
          <w:sz w:val="18"/>
          <w:szCs w:val="18"/>
          <w:lang w:val="sr-Cyrl-CS" w:eastAsia="sr-Latn-CS"/>
        </w:rPr>
        <w:t>”</w:t>
      </w:r>
      <w:r w:rsidRPr="00711558">
        <w:rPr>
          <w:rFonts w:ascii="Times New Roman" w:hAnsi="Times New Roman" w:cs="Times New Roman"/>
          <w:sz w:val="18"/>
          <w:szCs w:val="18"/>
          <w:lang w:val="sr-Cyrl-CS"/>
        </w:rPr>
        <w:t>, број 62</w:t>
      </w:r>
      <w:r w:rsidR="00FA289C">
        <w:rPr>
          <w:rFonts w:ascii="Times New Roman" w:hAnsi="Times New Roman" w:cs="Times New Roman"/>
          <w:sz w:val="18"/>
          <w:szCs w:val="18"/>
          <w:lang w:val="sr-Cyrl-CS"/>
        </w:rPr>
        <w:t>/06</w:t>
      </w:r>
      <w:r w:rsidRPr="00711558">
        <w:rPr>
          <w:rFonts w:ascii="Times New Roman" w:hAnsi="Times New Roman" w:cs="Times New Roman"/>
          <w:sz w:val="18"/>
          <w:szCs w:val="18"/>
          <w:lang w:val="sr-Cyrl-CS"/>
        </w:rPr>
        <w:t xml:space="preserve"> од 19. јула 2006.)</w:t>
      </w:r>
    </w:p>
  </w:footnote>
  <w:footnote w:id="11">
    <w:p w14:paraId="28FF6949" w14:textId="77777777" w:rsidR="00F23FC4" w:rsidRPr="001A632B" w:rsidRDefault="00F23FC4">
      <w:pPr>
        <w:pStyle w:val="FootnoteText"/>
        <w:rPr>
          <w:lang w:val="en-US"/>
        </w:rPr>
      </w:pPr>
      <w:r w:rsidRPr="001A632B">
        <w:rPr>
          <w:rStyle w:val="FootnoteReference"/>
        </w:rPr>
        <w:footnoteRef/>
      </w:r>
      <w:r w:rsidRPr="001A632B">
        <w:rPr>
          <w:sz w:val="16"/>
          <w:szCs w:val="16"/>
          <w:lang w:val="en-US"/>
        </w:rPr>
        <w:t xml:space="preserve"> </w:t>
      </w:r>
      <w:hyperlink r:id="rId9" w:history="1">
        <w:r w:rsidRPr="001A632B">
          <w:rPr>
            <w:rStyle w:val="Hyperlink"/>
            <w:color w:val="auto"/>
            <w:sz w:val="16"/>
            <w:szCs w:val="16"/>
            <w:lang w:val="en-US"/>
          </w:rPr>
          <w:t>Western Balkans GEFF III</w:t>
        </w:r>
      </w:hyperlink>
    </w:p>
  </w:footnote>
  <w:footnote w:id="12">
    <w:p w14:paraId="6976E385" w14:textId="77777777" w:rsidR="00F23FC4" w:rsidRPr="001A632B" w:rsidRDefault="00F23FC4">
      <w:pPr>
        <w:pStyle w:val="FootnoteText"/>
        <w:rPr>
          <w:lang w:val="en-US"/>
        </w:rPr>
      </w:pPr>
      <w:r w:rsidRPr="001A632B">
        <w:rPr>
          <w:rStyle w:val="FootnoteReference"/>
        </w:rPr>
        <w:footnoteRef/>
      </w:r>
      <w:hyperlink r:id="rId10" w:history="1">
        <w:r w:rsidRPr="001A632B">
          <w:rPr>
            <w:rStyle w:val="Hyperlink"/>
            <w:color w:val="auto"/>
            <w:sz w:val="16"/>
            <w:szCs w:val="16"/>
            <w:lang w:val="en-US"/>
          </w:rPr>
          <w:t>Endorsed Flagship Investments 2020-2024</w:t>
        </w:r>
      </w:hyperlink>
    </w:p>
  </w:footnote>
  <w:footnote w:id="13">
    <w:p w14:paraId="11034288" w14:textId="77777777" w:rsidR="00F23FC4" w:rsidRPr="001A632B" w:rsidRDefault="00F23FC4">
      <w:pPr>
        <w:pStyle w:val="FootnoteText"/>
        <w:spacing w:line="240" w:lineRule="auto"/>
        <w:rPr>
          <w:rFonts w:ascii="Arial" w:hAnsi="Arial"/>
          <w:sz w:val="16"/>
          <w:szCs w:val="16"/>
          <w:lang w:val="en-US"/>
        </w:rPr>
      </w:pPr>
      <w:r w:rsidRPr="001A632B">
        <w:rPr>
          <w:rStyle w:val="FootnoteReference"/>
          <w:rFonts w:ascii="Arial" w:hAnsi="Arial"/>
          <w:sz w:val="16"/>
          <w:szCs w:val="16"/>
        </w:rPr>
        <w:footnoteRef/>
      </w:r>
      <w:r w:rsidRPr="001A632B">
        <w:rPr>
          <w:rFonts w:ascii="Arial" w:hAnsi="Arial"/>
          <w:sz w:val="16"/>
          <w:szCs w:val="16"/>
          <w:lang w:val="en-US"/>
        </w:rPr>
        <w:t xml:space="preserve"> </w:t>
      </w:r>
      <w:hyperlink r:id="rId11" w:history="1">
        <w:r w:rsidRPr="001A632B">
          <w:rPr>
            <w:rStyle w:val="Hyperlink"/>
            <w:rFonts w:ascii="Arial" w:hAnsi="Arial"/>
            <w:color w:val="auto"/>
            <w:sz w:val="16"/>
            <w:szCs w:val="16"/>
            <w:lang w:val="en-US"/>
          </w:rPr>
          <w:t>World Bank Document</w:t>
        </w:r>
      </w:hyperlink>
    </w:p>
  </w:footnote>
  <w:footnote w:id="14">
    <w:p w14:paraId="451C0D62" w14:textId="77777777" w:rsidR="00F23FC4" w:rsidRPr="001A632B" w:rsidRDefault="00F23FC4">
      <w:pPr>
        <w:pStyle w:val="FootnoteText"/>
        <w:spacing w:line="240" w:lineRule="auto"/>
        <w:rPr>
          <w:rFonts w:ascii="Arial" w:hAnsi="Arial"/>
          <w:sz w:val="16"/>
          <w:szCs w:val="16"/>
          <w:lang w:val="en-US"/>
        </w:rPr>
      </w:pPr>
      <w:r w:rsidRPr="001A632B">
        <w:rPr>
          <w:rStyle w:val="FootnoteReference"/>
          <w:rFonts w:ascii="Arial" w:hAnsi="Arial"/>
          <w:sz w:val="16"/>
          <w:szCs w:val="16"/>
        </w:rPr>
        <w:footnoteRef/>
      </w:r>
      <w:r w:rsidRPr="001A632B">
        <w:rPr>
          <w:rFonts w:ascii="Arial" w:hAnsi="Arial"/>
          <w:sz w:val="16"/>
          <w:szCs w:val="16"/>
          <w:lang w:val="en-US"/>
        </w:rPr>
        <w:t xml:space="preserve"> </w:t>
      </w:r>
      <w:hyperlink r:id="rId12" w:history="1">
        <w:r w:rsidRPr="001A632B">
          <w:rPr>
            <w:rStyle w:val="Hyperlink"/>
            <w:rFonts w:ascii="Arial" w:hAnsi="Arial"/>
            <w:color w:val="auto"/>
            <w:sz w:val="16"/>
            <w:szCs w:val="16"/>
            <w:lang w:val="en-US"/>
          </w:rPr>
          <w:t>EU for Green Agenda in Serbia presented | United Nations Development Programme (undp.org)</w:t>
        </w:r>
      </w:hyperlink>
    </w:p>
  </w:footnote>
  <w:footnote w:id="15">
    <w:p w14:paraId="35A9D1F6" w14:textId="77777777" w:rsidR="00F23FC4" w:rsidRPr="001A632B" w:rsidRDefault="00F23FC4">
      <w:pPr>
        <w:pStyle w:val="FootnoteText"/>
        <w:spacing w:line="240" w:lineRule="auto"/>
        <w:rPr>
          <w:rFonts w:ascii="Arial" w:hAnsi="Arial"/>
          <w:sz w:val="16"/>
          <w:szCs w:val="16"/>
          <w:lang w:val="en-US"/>
        </w:rPr>
      </w:pPr>
      <w:r w:rsidRPr="001A632B">
        <w:rPr>
          <w:rStyle w:val="FootnoteReference"/>
          <w:rFonts w:ascii="Arial" w:hAnsi="Arial"/>
          <w:sz w:val="16"/>
          <w:szCs w:val="16"/>
        </w:rPr>
        <w:footnoteRef/>
      </w:r>
      <w:r w:rsidRPr="001A632B">
        <w:rPr>
          <w:rFonts w:ascii="Arial" w:hAnsi="Arial"/>
          <w:sz w:val="16"/>
          <w:szCs w:val="16"/>
          <w:lang w:val="en-US"/>
        </w:rPr>
        <w:t xml:space="preserve"> </w:t>
      </w:r>
      <w:hyperlink r:id="rId13" w:history="1">
        <w:r w:rsidRPr="001A632B">
          <w:rPr>
            <w:rStyle w:val="Hyperlink"/>
            <w:rFonts w:ascii="Arial" w:hAnsi="Arial"/>
            <w:color w:val="auto"/>
            <w:sz w:val="16"/>
            <w:szCs w:val="16"/>
            <w:lang w:val="en-US" w:eastAsia="el-GR"/>
          </w:rPr>
          <w:t>Overview: Implementation of the cohesion part of the second Swiss contribution to selected EU member states (admin.ch)</w:t>
        </w:r>
      </w:hyperlink>
    </w:p>
  </w:footnote>
  <w:footnote w:id="16">
    <w:p w14:paraId="4EE88FD3" w14:textId="77777777" w:rsidR="00F23FC4" w:rsidRPr="001A632B" w:rsidRDefault="00F23FC4">
      <w:pPr>
        <w:pStyle w:val="FootnoteText"/>
        <w:spacing w:line="240" w:lineRule="auto"/>
        <w:rPr>
          <w:rFonts w:ascii="Arial" w:hAnsi="Arial"/>
          <w:sz w:val="16"/>
          <w:szCs w:val="16"/>
          <w:lang w:val="en-US"/>
        </w:rPr>
      </w:pPr>
      <w:r w:rsidRPr="001A632B">
        <w:rPr>
          <w:rStyle w:val="FootnoteReference"/>
          <w:rFonts w:ascii="Arial" w:hAnsi="Arial"/>
          <w:sz w:val="16"/>
          <w:szCs w:val="16"/>
        </w:rPr>
        <w:footnoteRef/>
      </w:r>
      <w:r w:rsidRPr="001A632B">
        <w:rPr>
          <w:rFonts w:ascii="Arial" w:hAnsi="Arial"/>
          <w:sz w:val="16"/>
          <w:szCs w:val="16"/>
          <w:lang w:val="en-US"/>
        </w:rPr>
        <w:t xml:space="preserve"> </w:t>
      </w:r>
      <w:hyperlink r:id="rId14" w:history="1">
        <w:r w:rsidRPr="001A632B">
          <w:rPr>
            <w:rStyle w:val="Hyperlink"/>
            <w:rFonts w:ascii="Arial" w:hAnsi="Arial"/>
            <w:color w:val="auto"/>
            <w:sz w:val="16"/>
            <w:szCs w:val="16"/>
            <w:lang w:val="en-US" w:eastAsia="el-GR"/>
          </w:rPr>
          <w:t>Open Society Foundations to Commit $400 million to Support Economic and Climate Prosperity - Open Society Foundations</w:t>
        </w:r>
      </w:hyperlink>
    </w:p>
  </w:footnote>
  <w:footnote w:id="17">
    <w:p w14:paraId="4AE27A1A" w14:textId="77777777" w:rsidR="00F23FC4" w:rsidRPr="001A632B" w:rsidRDefault="00F23FC4">
      <w:pPr>
        <w:pStyle w:val="FootnoteText"/>
        <w:rPr>
          <w:b/>
          <w:bCs/>
          <w:lang w:val="en-US"/>
        </w:rPr>
      </w:pPr>
      <w:r w:rsidRPr="001A632B">
        <w:rPr>
          <w:rStyle w:val="FootnoteReference"/>
        </w:rPr>
        <w:footnoteRef/>
      </w:r>
      <w:r w:rsidRPr="001A632B">
        <w:rPr>
          <w:lang w:val="en-US"/>
        </w:rPr>
        <w:t xml:space="preserve"> </w:t>
      </w:r>
      <w:hyperlink r:id="rId15" w:history="1">
        <w:r w:rsidRPr="001A632B">
          <w:rPr>
            <w:rStyle w:val="Hyperlink"/>
            <w:color w:val="auto"/>
            <w:sz w:val="16"/>
            <w:szCs w:val="16"/>
            <w:lang w:val="en-US"/>
          </w:rPr>
          <w:t xml:space="preserve">Open Society Foundations to Commit $400 </w:t>
        </w:r>
        <w:r w:rsidRPr="001A632B">
          <w:rPr>
            <w:rStyle w:val="Hyperlink"/>
            <w:color w:val="auto"/>
            <w:sz w:val="16"/>
            <w:szCs w:val="16"/>
            <w:lang w:val="sr-Cyrl-RS"/>
          </w:rPr>
          <w:t>милиона</w:t>
        </w:r>
        <w:r w:rsidRPr="001A632B">
          <w:rPr>
            <w:rStyle w:val="Hyperlink"/>
            <w:color w:val="auto"/>
            <w:sz w:val="16"/>
            <w:szCs w:val="16"/>
            <w:lang w:val="en-US"/>
          </w:rPr>
          <w:t xml:space="preserve"> to Support Economic and Climate Prosperity</w:t>
        </w:r>
      </w:hyperlink>
    </w:p>
  </w:footnote>
  <w:footnote w:id="18">
    <w:p w14:paraId="6D731939" w14:textId="77777777" w:rsidR="00F23FC4" w:rsidRPr="001A632B" w:rsidRDefault="00F23FC4">
      <w:pPr>
        <w:pStyle w:val="FootnoteText"/>
        <w:rPr>
          <w:b/>
          <w:bCs/>
          <w:lang w:val="en-US"/>
        </w:rPr>
      </w:pPr>
      <w:r w:rsidRPr="001A632B">
        <w:rPr>
          <w:rStyle w:val="FootnoteReference"/>
        </w:rPr>
        <w:footnoteRef/>
      </w:r>
      <w:r w:rsidRPr="001A632B">
        <w:rPr>
          <w:lang w:val="en-US"/>
        </w:rPr>
        <w:t xml:space="preserve"> </w:t>
      </w:r>
      <w:hyperlink r:id="rId16" w:history="1">
        <w:r w:rsidRPr="001A632B">
          <w:rPr>
            <w:rStyle w:val="Hyperlink"/>
            <w:color w:val="auto"/>
            <w:sz w:val="16"/>
            <w:szCs w:val="16"/>
            <w:lang w:val="en-US"/>
          </w:rPr>
          <w:t xml:space="preserve">Open Society Invests $25 </w:t>
        </w:r>
        <w:r w:rsidRPr="001A632B">
          <w:rPr>
            <w:rStyle w:val="Hyperlink"/>
            <w:color w:val="auto"/>
            <w:sz w:val="16"/>
            <w:szCs w:val="16"/>
            <w:lang w:val="sr-Cyrl-RS"/>
          </w:rPr>
          <w:t>милиона</w:t>
        </w:r>
        <w:r w:rsidRPr="001A632B">
          <w:rPr>
            <w:rStyle w:val="Hyperlink"/>
            <w:color w:val="auto"/>
            <w:sz w:val="16"/>
            <w:szCs w:val="16"/>
            <w:lang w:val="en-US"/>
          </w:rPr>
          <w:t xml:space="preserve"> to Boost Global Climate Projects</w:t>
        </w:r>
      </w:hyperlink>
    </w:p>
  </w:footnote>
  <w:footnote w:id="19">
    <w:p w14:paraId="739BA17B" w14:textId="77777777" w:rsidR="00F23FC4" w:rsidRPr="001A632B" w:rsidRDefault="00F23FC4">
      <w:pPr>
        <w:pStyle w:val="FootnoteText"/>
        <w:spacing w:line="240" w:lineRule="auto"/>
        <w:rPr>
          <w:rFonts w:ascii="Arial" w:hAnsi="Arial"/>
          <w:sz w:val="16"/>
          <w:szCs w:val="16"/>
          <w:lang w:val="en-US"/>
        </w:rPr>
      </w:pPr>
      <w:r w:rsidRPr="001A632B">
        <w:rPr>
          <w:rStyle w:val="FootnoteReference"/>
          <w:rFonts w:ascii="Arial" w:hAnsi="Arial"/>
          <w:sz w:val="16"/>
          <w:szCs w:val="16"/>
        </w:rPr>
        <w:footnoteRef/>
      </w:r>
      <w:r w:rsidRPr="001A632B">
        <w:rPr>
          <w:rFonts w:ascii="Arial" w:hAnsi="Arial"/>
          <w:sz w:val="16"/>
          <w:szCs w:val="16"/>
          <w:lang w:val="en-US"/>
        </w:rPr>
        <w:t xml:space="preserve"> </w:t>
      </w:r>
      <w:hyperlink r:id="rId17" w:history="1">
        <w:r w:rsidRPr="001A632B">
          <w:rPr>
            <w:rStyle w:val="Hyperlink"/>
            <w:rFonts w:ascii="Arial" w:hAnsi="Arial"/>
            <w:color w:val="auto"/>
            <w:sz w:val="16"/>
            <w:szCs w:val="16"/>
            <w:lang w:val="en-US" w:eastAsia="el-GR"/>
          </w:rPr>
          <w:t>Spotlight Global Thematic Fund CEED.pdf.pdf (unicef.org)</w:t>
        </w:r>
      </w:hyperlink>
    </w:p>
  </w:footnote>
  <w:footnote w:id="20">
    <w:p w14:paraId="348EDC9A" w14:textId="77777777" w:rsidR="00F23FC4" w:rsidRPr="001A632B" w:rsidRDefault="00F23FC4">
      <w:pPr>
        <w:pStyle w:val="FootnoteText"/>
        <w:rPr>
          <w:lang w:val="en-US"/>
        </w:rPr>
      </w:pPr>
      <w:r w:rsidRPr="001A632B">
        <w:rPr>
          <w:rStyle w:val="FootnoteReference"/>
        </w:rPr>
        <w:footnoteRef/>
      </w:r>
      <w:r w:rsidRPr="001A632B">
        <w:rPr>
          <w:sz w:val="16"/>
          <w:szCs w:val="16"/>
          <w:lang w:val="en-US"/>
        </w:rPr>
        <w:t>UNICEF -</w:t>
      </w:r>
      <w:r w:rsidRPr="001A632B">
        <w:rPr>
          <w:lang w:val="en-US"/>
        </w:rPr>
        <w:t xml:space="preserve"> </w:t>
      </w:r>
      <w:hyperlink r:id="rId18" w:history="1">
        <w:r w:rsidRPr="001A632B">
          <w:rPr>
            <w:rStyle w:val="Hyperlink"/>
            <w:color w:val="auto"/>
            <w:sz w:val="16"/>
            <w:szCs w:val="16"/>
            <w:lang w:val="en-US"/>
          </w:rPr>
          <w:t>Spotlight Global Thematic Fund CEED</w:t>
        </w:r>
      </w:hyperlink>
    </w:p>
  </w:footnote>
  <w:footnote w:id="21">
    <w:p w14:paraId="67B1CF98" w14:textId="77777777" w:rsidR="00F23FC4" w:rsidRPr="001A632B" w:rsidRDefault="00F23FC4">
      <w:pPr>
        <w:spacing w:after="0" w:line="240" w:lineRule="auto"/>
        <w:rPr>
          <w:rFonts w:ascii="Arial" w:hAnsi="Arial" w:cs="Arial"/>
          <w:sz w:val="16"/>
          <w:szCs w:val="16"/>
          <w:lang w:val="da-DK" w:eastAsia="el-GR"/>
        </w:rPr>
      </w:pPr>
      <w:r w:rsidRPr="001A632B">
        <w:rPr>
          <w:rStyle w:val="FootnoteReference"/>
          <w:rFonts w:ascii="Arial" w:hAnsi="Arial"/>
          <w:sz w:val="16"/>
          <w:szCs w:val="16"/>
        </w:rPr>
        <w:footnoteRef/>
      </w:r>
      <w:r w:rsidRPr="001A632B">
        <w:rPr>
          <w:rFonts w:ascii="Arial" w:hAnsi="Arial" w:cs="Arial"/>
          <w:sz w:val="16"/>
          <w:szCs w:val="16"/>
          <w:lang w:val="da-DK"/>
        </w:rPr>
        <w:t xml:space="preserve"> </w:t>
      </w:r>
      <w:hyperlink r:id="rId19" w:history="1">
        <w:r w:rsidRPr="001A632B">
          <w:rPr>
            <w:rStyle w:val="Hyperlink"/>
            <w:rFonts w:ascii="Arial" w:hAnsi="Arial" w:cs="Arial"/>
            <w:color w:val="auto"/>
            <w:sz w:val="16"/>
            <w:szCs w:val="16"/>
            <w:lang w:val="da-DK" w:eastAsia="el-GR"/>
          </w:rPr>
          <w:t>giz2024-en-eu4et-western-balkans-türkiye.pdf</w:t>
        </w:r>
      </w:hyperlink>
    </w:p>
    <w:p w14:paraId="2B75D748" w14:textId="77777777" w:rsidR="00F23FC4" w:rsidRPr="001A632B" w:rsidRDefault="00F23FC4">
      <w:pPr>
        <w:spacing w:after="0" w:line="240" w:lineRule="auto"/>
        <w:rPr>
          <w:rFonts w:ascii="Arial" w:hAnsi="Arial" w:cs="Arial"/>
          <w:sz w:val="16"/>
          <w:szCs w:val="16"/>
          <w:lang w:val="en-US" w:eastAsia="el-GR"/>
        </w:rPr>
      </w:pPr>
      <w:hyperlink r:id="rId20" w:history="1">
        <w:r w:rsidRPr="001A632B">
          <w:rPr>
            <w:rStyle w:val="Hyperlink"/>
            <w:rFonts w:ascii="Arial" w:hAnsi="Arial" w:cs="Arial"/>
            <w:color w:val="auto"/>
            <w:sz w:val="16"/>
            <w:szCs w:val="16"/>
            <w:lang w:val="en-US" w:eastAsia="el-GR"/>
          </w:rPr>
          <w:t>giz2023-en-green-agenda-decarbonisation-of-the-electricity-sector-in-the-western-balkans.pdf</w:t>
        </w:r>
      </w:hyperlink>
    </w:p>
  </w:footnote>
  <w:footnote w:id="22">
    <w:p w14:paraId="62D0AF8F" w14:textId="77777777" w:rsidR="00F23FC4" w:rsidRPr="001A632B" w:rsidRDefault="00F23FC4">
      <w:pPr>
        <w:pStyle w:val="FootnoteText"/>
        <w:spacing w:line="240" w:lineRule="auto"/>
        <w:rPr>
          <w:rFonts w:ascii="Arial" w:hAnsi="Arial"/>
          <w:sz w:val="16"/>
          <w:szCs w:val="16"/>
          <w:lang w:val="en-US"/>
        </w:rPr>
      </w:pPr>
      <w:r w:rsidRPr="001A632B">
        <w:rPr>
          <w:rStyle w:val="FootnoteReference"/>
          <w:rFonts w:ascii="Arial" w:hAnsi="Arial"/>
          <w:sz w:val="16"/>
          <w:szCs w:val="16"/>
        </w:rPr>
        <w:footnoteRef/>
      </w:r>
      <w:r w:rsidRPr="001A632B">
        <w:rPr>
          <w:rFonts w:ascii="Arial" w:hAnsi="Arial"/>
          <w:sz w:val="16"/>
          <w:szCs w:val="16"/>
          <w:lang w:val="en-US"/>
        </w:rPr>
        <w:t xml:space="preserve"> </w:t>
      </w:r>
      <w:hyperlink r:id="rId21" w:history="1">
        <w:r w:rsidRPr="001A632B">
          <w:rPr>
            <w:rStyle w:val="Hyperlink"/>
            <w:rFonts w:ascii="Arial" w:hAnsi="Arial"/>
            <w:color w:val="auto"/>
            <w:sz w:val="16"/>
            <w:szCs w:val="16"/>
            <w:lang w:val="en-US" w:eastAsia="el-GR"/>
          </w:rPr>
          <w:t>Energy Overview 2024 (eib.org)</w:t>
        </w:r>
      </w:hyperlink>
    </w:p>
  </w:footnote>
  <w:footnote w:id="23">
    <w:p w14:paraId="7AEBE8F2" w14:textId="77777777" w:rsidR="00F23FC4" w:rsidRPr="001A632B" w:rsidRDefault="00F23FC4">
      <w:pPr>
        <w:pStyle w:val="FootnoteText"/>
        <w:rPr>
          <w:b/>
          <w:bCs/>
          <w:lang w:val="en-US"/>
        </w:rPr>
      </w:pPr>
      <w:r w:rsidRPr="001A632B">
        <w:rPr>
          <w:rStyle w:val="FootnoteReference"/>
        </w:rPr>
        <w:footnoteRef/>
      </w:r>
      <w:r w:rsidRPr="001A632B">
        <w:rPr>
          <w:lang w:val="en-US"/>
        </w:rPr>
        <w:t xml:space="preserve"> </w:t>
      </w:r>
      <w:hyperlink r:id="rId22" w:history="1">
        <w:r w:rsidRPr="001A632B">
          <w:rPr>
            <w:rStyle w:val="Hyperlink"/>
            <w:color w:val="auto"/>
            <w:sz w:val="16"/>
            <w:szCs w:val="16"/>
            <w:lang w:val="en-US"/>
          </w:rPr>
          <w:t>EIB Global to ramp up support for the green transition, digitalisation and connectivity in the Western Balkans, boosting convergence with the EU</w:t>
        </w:r>
      </w:hyperlink>
    </w:p>
    <w:p w14:paraId="4754909D" w14:textId="77777777" w:rsidR="00F23FC4" w:rsidRPr="001A632B" w:rsidRDefault="00F23FC4">
      <w:pPr>
        <w:pStyle w:val="FootnoteText"/>
        <w:rPr>
          <w:lang w:val="en-US"/>
        </w:rPr>
      </w:pPr>
    </w:p>
  </w:footnote>
  <w:footnote w:id="24">
    <w:p w14:paraId="123CA4E4" w14:textId="77777777" w:rsidR="00F23FC4" w:rsidRDefault="00F23FC4">
      <w:pPr>
        <w:pStyle w:val="FootnoteText"/>
        <w:spacing w:line="240" w:lineRule="auto"/>
        <w:rPr>
          <w:lang w:val="en-US"/>
        </w:rPr>
      </w:pPr>
      <w:r w:rsidRPr="001A632B">
        <w:rPr>
          <w:rStyle w:val="FootnoteReference"/>
          <w:rFonts w:ascii="Arial" w:hAnsi="Arial"/>
          <w:sz w:val="16"/>
          <w:szCs w:val="16"/>
        </w:rPr>
        <w:footnoteRef/>
      </w:r>
      <w:r w:rsidRPr="001A632B">
        <w:rPr>
          <w:rFonts w:ascii="Arial" w:hAnsi="Arial"/>
          <w:sz w:val="16"/>
          <w:szCs w:val="16"/>
          <w:lang w:val="en-US"/>
        </w:rPr>
        <w:t xml:space="preserve"> </w:t>
      </w:r>
      <w:hyperlink r:id="rId23" w:history="1">
        <w:r w:rsidRPr="001A632B">
          <w:rPr>
            <w:rStyle w:val="Hyperlink"/>
            <w:rFonts w:ascii="Arial" w:hAnsi="Arial"/>
            <w:color w:val="auto"/>
            <w:sz w:val="16"/>
            <w:szCs w:val="16"/>
            <w:lang w:val="en-US" w:eastAsia="el-GR"/>
          </w:rPr>
          <w:t>DEG has acquired 10 percent stake in Čibuk 1 wind farm in Serbia (balkangreenenergynews.com)</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D6E3B2" w14:textId="085316B6" w:rsidR="00AB6F97" w:rsidRDefault="00AB6F97" w:rsidP="0004285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C90461">
      <w:rPr>
        <w:rStyle w:val="PageNumber"/>
        <w:noProof/>
      </w:rPr>
      <w:t>20</w:t>
    </w:r>
    <w:r>
      <w:rPr>
        <w:rStyle w:val="PageNumber"/>
      </w:rPr>
      <w:fldChar w:fldCharType="end"/>
    </w:r>
  </w:p>
  <w:p w14:paraId="782BDBB9" w14:textId="77777777" w:rsidR="00F23FC4" w:rsidRDefault="00F23FC4">
    <w:pPr>
      <w:pStyle w:val="Header"/>
    </w:pPr>
    <w:r>
      <w:rPr>
        <w:noProof/>
        <w:lang w:val="en-US"/>
      </w:rPr>
      <mc:AlternateContent>
        <mc:Choice Requires="wps">
          <w:drawing>
            <wp:anchor distT="0" distB="0" distL="0" distR="0" simplePos="0" relativeHeight="251659264" behindDoc="0" locked="0" layoutInCell="1" allowOverlap="1" wp14:anchorId="59CA1869" wp14:editId="3917686F">
              <wp:simplePos x="0" y="0"/>
              <wp:positionH relativeFrom="page">
                <wp:align>center</wp:align>
              </wp:positionH>
              <wp:positionV relativeFrom="page">
                <wp:align>top</wp:align>
              </wp:positionV>
              <wp:extent cx="666750" cy="342900"/>
              <wp:effectExtent l="0" t="0" r="0" b="0"/>
              <wp:wrapNone/>
              <wp:docPr id="6" name="Text Box 6" descr="OFFICIAL USE"/>
              <wp:cNvGraphicFramePr/>
              <a:graphic xmlns:a="http://schemas.openxmlformats.org/drawingml/2006/main">
                <a:graphicData uri="http://schemas.microsoft.com/office/word/2010/wordprocessingShape">
                  <wps:wsp>
                    <wps:cNvSpPr txBox="1"/>
                    <wps:spPr>
                      <a:xfrm>
                        <a:off x="0" y="0"/>
                        <a:ext cx="666750" cy="342900"/>
                      </a:xfrm>
                      <a:prstGeom prst="rect">
                        <a:avLst/>
                      </a:prstGeom>
                      <a:noFill/>
                      <a:ln>
                        <a:noFill/>
                      </a:ln>
                    </wps:spPr>
                    <wps:txbx>
                      <w:txbxContent>
                        <w:p w14:paraId="6CC39E96" w14:textId="77777777" w:rsidR="00F23FC4" w:rsidRDefault="00F23FC4">
                          <w:pPr>
                            <w:spacing w:after="0"/>
                            <w:rPr>
                              <w:rFonts w:ascii="Calibri" w:eastAsia="Calibri" w:hAnsi="Calibri" w:cs="Calibri"/>
                              <w:color w:val="0000FF"/>
                              <w:sz w:val="20"/>
                              <w:szCs w:val="20"/>
                            </w:rPr>
                          </w:pPr>
                          <w:r>
                            <w:rPr>
                              <w:rFonts w:ascii="Calibri" w:eastAsia="Calibri" w:hAnsi="Calibri" w:cs="Calibri"/>
                              <w:color w:val="0000FF"/>
                              <w:sz w:val="20"/>
                              <w:szCs w:val="20"/>
                            </w:rPr>
                            <w:t>OFFICIAL USE</w:t>
                          </w:r>
                        </w:p>
                      </w:txbxContent>
                    </wps:txbx>
                    <wps:bodyPr rot="0" spcFirstLastPara="0" vertOverflow="overflow" horzOverflow="overflow" vert="horz" wrap="none" lIns="0" tIns="190500" rIns="0" bIns="0" numCol="1" spcCol="0" rtlCol="0" fromWordArt="0" anchor="t" anchorCtr="0" forceAA="0" compatLnSpc="1">
                      <a:spAutoFit/>
                    </wps:bodyPr>
                  </wps:wsp>
                </a:graphicData>
              </a:graphic>
            </wp:anchor>
          </w:drawing>
        </mc:Choice>
        <mc:Fallback>
          <w:pict>
            <v:shapetype w14:anchorId="59CA1869" id="_x0000_t202" coordsize="21600,21600" o:spt="202" path="m,l,21600r21600,l21600,xe">
              <v:stroke joinstyle="miter"/>
              <v:path gradientshapeok="t" o:connecttype="rect"/>
            </v:shapetype>
            <v:shape id="Text Box 6" o:spid="_x0000_s1026" type="#_x0000_t202" alt="OFFICIAL USE" style="position:absolute;margin-left:0;margin-top:0;width:52.5pt;height:27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" filled="f" stroked="f">
              <v:textbox style="mso-fit-shape-to-text:t" inset="0,15pt,0,0">
                <w:txbxContent>
                  <w:p w14:paraId="6CC39E96" w14:textId="77777777" w:rsidR="00F23FC4" w:rsidRDefault="00F23FC4">
                    <w:pPr>
                      <w:spacing w:after="0"/>
                      <w:rPr>
                        <w:rFonts w:ascii="Calibri" w:eastAsia="Calibri" w:hAnsi="Calibri" w:cs="Calibri"/>
                        <w:color w:val="0000FF"/>
                        <w:sz w:val="20"/>
                        <w:szCs w:val="20"/>
                      </w:rPr>
                    </w:pPr>
                    <w:r>
                      <w:rPr>
                        <w:rFonts w:ascii="Calibri" w:eastAsia="Calibri" w:hAnsi="Calibri" w:cs="Calibri"/>
                        <w:color w:val="0000FF"/>
                        <w:sz w:val="20"/>
                        <w:szCs w:val="20"/>
                      </w:rPr>
                      <w:t>OFFICIAL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2459430"/>
      <w:docPartObj>
        <w:docPartGallery w:val="Page Numbers (Top of Page)"/>
        <w:docPartUnique/>
      </w:docPartObj>
    </w:sdtPr>
    <w:sdtEndPr>
      <w:rPr>
        <w:noProof/>
      </w:rPr>
    </w:sdtEndPr>
    <w:sdtContent>
      <w:p w14:paraId="518CAE8C" w14:textId="1852B98E" w:rsidR="00B92B63" w:rsidRDefault="00B92B63">
        <w:pPr>
          <w:pStyle w:val="Header"/>
          <w:jc w:val="center"/>
        </w:pPr>
        <w:r>
          <w:fldChar w:fldCharType="begin"/>
        </w:r>
        <w:r>
          <w:instrText xml:space="preserve"> PAGE   \* MERGEFORMAT </w:instrText>
        </w:r>
        <w:r>
          <w:fldChar w:fldCharType="separate"/>
        </w:r>
        <w:r w:rsidR="00EC2636">
          <w:rPr>
            <w:noProof/>
          </w:rPr>
          <w:t>4</w:t>
        </w:r>
        <w:r>
          <w:rPr>
            <w:noProof/>
          </w:rPr>
          <w:fldChar w:fldCharType="end"/>
        </w:r>
      </w:p>
    </w:sdtContent>
  </w:sdt>
  <w:p w14:paraId="5AC4D4C6" w14:textId="77777777" w:rsidR="00B92B63" w:rsidRDefault="00B92B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E1D5F" w14:textId="251373AD" w:rsidR="00AC38E9" w:rsidRDefault="00AC38E9">
    <w:pPr>
      <w:pStyle w:val="Header"/>
      <w:jc w:val="center"/>
    </w:pPr>
  </w:p>
  <w:p w14:paraId="38206824" w14:textId="77777777" w:rsidR="00AC38E9" w:rsidRDefault="00AC38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85DFC" w14:textId="77777777" w:rsidR="00BC369C" w:rsidRDefault="00BC369C" w:rsidP="00AE5BAA">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0F5A64AA" w14:textId="521CC4A5" w:rsidR="00BC369C" w:rsidRDefault="00BC369C">
    <w:pPr>
      <w:pStyle w:val="Header"/>
    </w:pPr>
    <w:r>
      <w:rPr>
        <w:noProof/>
        <w:lang w:val="en-US"/>
      </w:rPr>
      <mc:AlternateContent>
        <mc:Choice Requires="wps">
          <w:drawing>
            <wp:anchor distT="0" distB="0" distL="0" distR="0" simplePos="0" relativeHeight="251692032" behindDoc="0" locked="0" layoutInCell="1" allowOverlap="1" wp14:anchorId="510A12A9" wp14:editId="5AB44DE2">
              <wp:simplePos x="0" y="0"/>
              <wp:positionH relativeFrom="page">
                <wp:align>center</wp:align>
              </wp:positionH>
              <wp:positionV relativeFrom="page">
                <wp:align>top</wp:align>
              </wp:positionV>
              <wp:extent cx="666750" cy="342900"/>
              <wp:effectExtent l="0" t="0" r="15240" b="12065"/>
              <wp:wrapNone/>
              <wp:docPr id="2" name="Text Box 2" descr="OFFICIAL US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6750" cy="342900"/>
                      </a:xfrm>
                      <a:prstGeom prst="rect">
                        <a:avLst/>
                      </a:prstGeom>
                      <a:noFill/>
                      <a:ln>
                        <a:noFill/>
                      </a:ln>
                    </wps:spPr>
                    <wps:txbx>
                      <w:txbxContent>
                        <w:p w14:paraId="22809734" w14:textId="77777777" w:rsidR="00BC369C" w:rsidRDefault="00BC369C">
                          <w:pPr>
                            <w:spacing w:after="0"/>
                            <w:rPr>
                              <w:rFonts w:cs="Calibri"/>
                              <w:color w:val="0000FF"/>
                              <w:sz w:val="20"/>
                              <w:szCs w:val="20"/>
                            </w:rPr>
                          </w:pPr>
                          <w:r>
                            <w:rPr>
                              <w:rFonts w:cs="Calibri"/>
                              <w:color w:val="0000FF"/>
                              <w:sz w:val="20"/>
                              <w:szCs w:val="20"/>
                            </w:rPr>
                            <w:t>OFFICIAL USE</w:t>
                          </w:r>
                        </w:p>
                      </w:txbxContent>
                    </wps:txbx>
                    <wps:bodyPr rot="0" spcFirstLastPara="0" vertOverflow="overflow" horzOverflow="overflow" vert="horz" wrap="none" lIns="0" tIns="19050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510A12A9" id="_x0000_t202" coordsize="21600,21600" o:spt="202" path="m,l,21600r21600,l21600,xe">
              <v:stroke joinstyle="miter"/>
              <v:path gradientshapeok="t" o:connecttype="rect"/>
            </v:shapetype>
            <v:shape id="Text Box 2" o:spid="_x0000_s1028" type="#_x0000_t202" alt="OFFICIAL USE" style="position:absolute;margin-left:0;margin-top:0;width:52.5pt;height:27pt;z-index:251692032;visibility:visible;mso-wrap-style:none;mso-width-percent:0;mso-height-percent:0;mso-wrap-distance-left:0;mso-wrap-distance-top:0;mso-wrap-distance-right:0;mso-wrap-distance-bottom:0;mso-position-horizontal:center;mso-position-horizontal-relative:page;mso-position-vertical:top;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" filled="f" stroked="f">
              <v:textbox style="mso-fit-shape-to-text:t" inset="0,15pt,0,0">
                <w:txbxContent>
                  <w:p w14:paraId="22809734" w14:textId="77777777" w:rsidR="00BC369C" w:rsidRDefault="00BC369C">
                    <w:pPr>
                      <w:spacing w:after="0"/>
                      <w:rPr>
                        <w:rFonts w:cs="Calibri"/>
                        <w:color w:val="0000FF"/>
                        <w:sz w:val="20"/>
                        <w:szCs w:val="20"/>
                      </w:rPr>
                    </w:pPr>
                    <w:r>
                      <w:rPr>
                        <w:rFonts w:cs="Calibri"/>
                        <w:color w:val="0000FF"/>
                        <w:sz w:val="20"/>
                        <w:szCs w:val="20"/>
                      </w:rPr>
                      <w:t>OFFICIAL USE</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08288846"/>
      <w:docPartObj>
        <w:docPartGallery w:val="Page Numbers (Top of Page)"/>
        <w:docPartUnique/>
      </w:docPartObj>
    </w:sdtPr>
    <w:sdtEndPr>
      <w:rPr>
        <w:noProof/>
      </w:rPr>
    </w:sdtEndPr>
    <w:sdtContent>
      <w:p w14:paraId="67514113" w14:textId="01E81562" w:rsidR="00AC38E9" w:rsidRDefault="00AC38E9">
        <w:pPr>
          <w:pStyle w:val="Header"/>
          <w:jc w:val="center"/>
        </w:pPr>
        <w:r>
          <w:fldChar w:fldCharType="begin"/>
        </w:r>
        <w:r>
          <w:instrText xml:space="preserve"> PAGE   \* MERGEFORMAT </w:instrText>
        </w:r>
        <w:r>
          <w:fldChar w:fldCharType="separate"/>
        </w:r>
        <w:r w:rsidR="00E948FB">
          <w:rPr>
            <w:noProof/>
          </w:rPr>
          <w:t>21</w:t>
        </w:r>
        <w:r>
          <w:rPr>
            <w:noProof/>
          </w:rPr>
          <w:fldChar w:fldCharType="end"/>
        </w:r>
      </w:p>
    </w:sdtContent>
  </w:sdt>
  <w:p w14:paraId="7EAC5EDE" w14:textId="77777777" w:rsidR="00BC369C" w:rsidRDefault="00BC369C" w:rsidP="00D137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F491D"/>
    <w:multiLevelType w:val="hybridMultilevel"/>
    <w:tmpl w:val="61E277E6"/>
    <w:lvl w:ilvl="0" w:tplc="18862440">
      <w:start w:val="1"/>
      <w:numFmt w:val="bullet"/>
      <w:lvlText w:val="-"/>
      <w:lvlJc w:val="left"/>
      <w:pPr>
        <w:ind w:left="810" w:hanging="360"/>
      </w:pPr>
      <w:rPr>
        <w:rFonts w:ascii="Times New Roman"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 w15:restartNumberingAfterBreak="0">
    <w:nsid w:val="0D3C7C13"/>
    <w:multiLevelType w:val="multilevel"/>
    <w:tmpl w:val="7D409DF6"/>
    <w:lvl w:ilvl="0">
      <w:start w:val="1"/>
      <w:numFmt w:val="bullet"/>
      <w:lvlText w:val="-"/>
      <w:lvlJc w:val="left"/>
      <w:pPr>
        <w:tabs>
          <w:tab w:val="left" w:pos="360"/>
        </w:tabs>
        <w:ind w:left="360" w:hanging="360"/>
      </w:pPr>
      <w:rPr>
        <w:rFonts w:ascii="Times New Roman" w:hAnsi="Times New Roman" w:cs="Times New Roman" w:hint="default"/>
        <w:color w:val="auto"/>
      </w:rPr>
    </w:lvl>
    <w:lvl w:ilvl="1">
      <w:start w:val="1"/>
      <w:numFmt w:val="bullet"/>
      <w:lvlText w:val="■"/>
      <w:lvlJc w:val="left"/>
      <w:pPr>
        <w:tabs>
          <w:tab w:val="left" w:pos="1080"/>
        </w:tabs>
        <w:ind w:left="1080" w:hanging="360"/>
      </w:pPr>
      <w:rPr>
        <w:rFonts w:ascii="Arial" w:hAnsi="Arial" w:cs="Times New Roman" w:hint="default"/>
      </w:rPr>
    </w:lvl>
    <w:lvl w:ilvl="2">
      <w:start w:val="1"/>
      <w:numFmt w:val="bullet"/>
      <w:lvlText w:val="■"/>
      <w:lvlJc w:val="left"/>
      <w:pPr>
        <w:tabs>
          <w:tab w:val="left" w:pos="1800"/>
        </w:tabs>
        <w:ind w:left="1800" w:hanging="360"/>
      </w:pPr>
      <w:rPr>
        <w:rFonts w:ascii="Arial" w:hAnsi="Arial" w:cs="Times New Roman" w:hint="default"/>
      </w:rPr>
    </w:lvl>
    <w:lvl w:ilvl="3">
      <w:start w:val="1"/>
      <w:numFmt w:val="bullet"/>
      <w:lvlText w:val="■"/>
      <w:lvlJc w:val="left"/>
      <w:pPr>
        <w:tabs>
          <w:tab w:val="left" w:pos="2520"/>
        </w:tabs>
        <w:ind w:left="2520" w:hanging="360"/>
      </w:pPr>
      <w:rPr>
        <w:rFonts w:ascii="Arial" w:hAnsi="Arial" w:cs="Times New Roman" w:hint="default"/>
      </w:rPr>
    </w:lvl>
    <w:lvl w:ilvl="4">
      <w:start w:val="1"/>
      <w:numFmt w:val="bullet"/>
      <w:lvlText w:val="■"/>
      <w:lvlJc w:val="left"/>
      <w:pPr>
        <w:tabs>
          <w:tab w:val="left" w:pos="3240"/>
        </w:tabs>
        <w:ind w:left="3240" w:hanging="360"/>
      </w:pPr>
      <w:rPr>
        <w:rFonts w:ascii="Arial" w:hAnsi="Arial" w:cs="Times New Roman" w:hint="default"/>
      </w:rPr>
    </w:lvl>
    <w:lvl w:ilvl="5">
      <w:start w:val="1"/>
      <w:numFmt w:val="bullet"/>
      <w:lvlText w:val="■"/>
      <w:lvlJc w:val="left"/>
      <w:pPr>
        <w:tabs>
          <w:tab w:val="left" w:pos="3960"/>
        </w:tabs>
        <w:ind w:left="3960" w:hanging="360"/>
      </w:pPr>
      <w:rPr>
        <w:rFonts w:ascii="Arial" w:hAnsi="Arial" w:cs="Times New Roman" w:hint="default"/>
      </w:rPr>
    </w:lvl>
    <w:lvl w:ilvl="6">
      <w:start w:val="1"/>
      <w:numFmt w:val="bullet"/>
      <w:lvlText w:val="■"/>
      <w:lvlJc w:val="left"/>
      <w:pPr>
        <w:tabs>
          <w:tab w:val="left" w:pos="4680"/>
        </w:tabs>
        <w:ind w:left="4680" w:hanging="360"/>
      </w:pPr>
      <w:rPr>
        <w:rFonts w:ascii="Arial" w:hAnsi="Arial" w:cs="Times New Roman" w:hint="default"/>
      </w:rPr>
    </w:lvl>
    <w:lvl w:ilvl="7">
      <w:start w:val="1"/>
      <w:numFmt w:val="bullet"/>
      <w:lvlText w:val="■"/>
      <w:lvlJc w:val="left"/>
      <w:pPr>
        <w:tabs>
          <w:tab w:val="left" w:pos="5400"/>
        </w:tabs>
        <w:ind w:left="5400" w:hanging="360"/>
      </w:pPr>
      <w:rPr>
        <w:rFonts w:ascii="Arial" w:hAnsi="Arial" w:cs="Times New Roman" w:hint="default"/>
      </w:rPr>
    </w:lvl>
    <w:lvl w:ilvl="8">
      <w:start w:val="1"/>
      <w:numFmt w:val="bullet"/>
      <w:lvlText w:val="■"/>
      <w:lvlJc w:val="left"/>
      <w:pPr>
        <w:tabs>
          <w:tab w:val="left" w:pos="6120"/>
        </w:tabs>
        <w:ind w:left="6120" w:hanging="360"/>
      </w:pPr>
      <w:rPr>
        <w:rFonts w:ascii="Arial" w:hAnsi="Arial" w:cs="Times New Roman" w:hint="default"/>
      </w:rPr>
    </w:lvl>
  </w:abstractNum>
  <w:abstractNum w:abstractNumId="2" w15:restartNumberingAfterBreak="0">
    <w:nsid w:val="0D7749D7"/>
    <w:multiLevelType w:val="hybridMultilevel"/>
    <w:tmpl w:val="7966A8A4"/>
    <w:lvl w:ilvl="0" w:tplc="FFFFFFFF">
      <w:start w:val="1"/>
      <w:numFmt w:val="bullet"/>
      <w:lvlText w:val="-"/>
      <w:lvlJc w:val="left"/>
      <w:pPr>
        <w:ind w:left="720" w:hanging="360"/>
      </w:pPr>
      <w:rPr>
        <w:rFonts w:ascii="Times New Roman" w:hAnsi="Times New Roman" w:cs="Times New Roman" w:hint="default"/>
      </w:rPr>
    </w:lvl>
    <w:lvl w:ilvl="1" w:tplc="A8A08812">
      <w:start w:val="1"/>
      <w:numFmt w:val="decimal"/>
      <w:lvlText w:val="%2)"/>
      <w:lvlJc w:val="left"/>
      <w:pPr>
        <w:ind w:left="1440" w:hanging="360"/>
      </w:pPr>
      <w:rPr>
        <w:rFonts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3682ECC"/>
    <w:multiLevelType w:val="hybridMultilevel"/>
    <w:tmpl w:val="8E8E6BC6"/>
    <w:lvl w:ilvl="0" w:tplc="18862440">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17597B"/>
    <w:multiLevelType w:val="hybridMultilevel"/>
    <w:tmpl w:val="1B9EBC9E"/>
    <w:lvl w:ilvl="0" w:tplc="82F8EC5E">
      <w:start w:val="1"/>
      <w:numFmt w:val="bullet"/>
      <w:lvlText w:val="-"/>
      <w:lvlJc w:val="left"/>
      <w:pPr>
        <w:ind w:left="630" w:hanging="360"/>
      </w:pPr>
      <w:rPr>
        <w:rFonts w:ascii="Times New Roman" w:eastAsia="Calibri" w:hAnsi="Times New Roman" w:cs="Times New Roman" w:hint="default"/>
        <w:b w:val="0"/>
      </w:rPr>
    </w:lvl>
    <w:lvl w:ilvl="1" w:tplc="04090003">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5" w15:restartNumberingAfterBreak="0">
    <w:nsid w:val="16C37537"/>
    <w:multiLevelType w:val="hybridMultilevel"/>
    <w:tmpl w:val="07F476F6"/>
    <w:lvl w:ilvl="0" w:tplc="A8A08812">
      <w:start w:val="1"/>
      <w:numFmt w:val="decimal"/>
      <w:lvlText w:val="%1)"/>
      <w:lvlJc w:val="left"/>
      <w:pPr>
        <w:ind w:left="1350" w:hanging="360"/>
      </w:pPr>
      <w:rPr>
        <w:rFonts w:hint="default"/>
        <w:color w:val="auto"/>
      </w:rPr>
    </w:lvl>
    <w:lvl w:ilvl="1" w:tplc="FFFFFFFF" w:tentative="1">
      <w:start w:val="1"/>
      <w:numFmt w:val="bullet"/>
      <w:lvlText w:val="o"/>
      <w:lvlJc w:val="left"/>
      <w:pPr>
        <w:ind w:left="2070" w:hanging="360"/>
      </w:pPr>
      <w:rPr>
        <w:rFonts w:ascii="Courier New" w:hAnsi="Courier New" w:cs="Courier New" w:hint="default"/>
      </w:rPr>
    </w:lvl>
    <w:lvl w:ilvl="2" w:tplc="FFFFFFFF" w:tentative="1">
      <w:start w:val="1"/>
      <w:numFmt w:val="bullet"/>
      <w:lvlText w:val=""/>
      <w:lvlJc w:val="left"/>
      <w:pPr>
        <w:ind w:left="2790" w:hanging="360"/>
      </w:pPr>
      <w:rPr>
        <w:rFonts w:ascii="Wingdings" w:hAnsi="Wingdings" w:hint="default"/>
      </w:rPr>
    </w:lvl>
    <w:lvl w:ilvl="3" w:tplc="FFFFFFFF" w:tentative="1">
      <w:start w:val="1"/>
      <w:numFmt w:val="bullet"/>
      <w:lvlText w:val=""/>
      <w:lvlJc w:val="left"/>
      <w:pPr>
        <w:ind w:left="3510" w:hanging="360"/>
      </w:pPr>
      <w:rPr>
        <w:rFonts w:ascii="Symbol" w:hAnsi="Symbol" w:hint="default"/>
      </w:rPr>
    </w:lvl>
    <w:lvl w:ilvl="4" w:tplc="FFFFFFFF" w:tentative="1">
      <w:start w:val="1"/>
      <w:numFmt w:val="bullet"/>
      <w:lvlText w:val="o"/>
      <w:lvlJc w:val="left"/>
      <w:pPr>
        <w:ind w:left="4230" w:hanging="360"/>
      </w:pPr>
      <w:rPr>
        <w:rFonts w:ascii="Courier New" w:hAnsi="Courier New" w:cs="Courier New" w:hint="default"/>
      </w:rPr>
    </w:lvl>
    <w:lvl w:ilvl="5" w:tplc="FFFFFFFF" w:tentative="1">
      <w:start w:val="1"/>
      <w:numFmt w:val="bullet"/>
      <w:lvlText w:val=""/>
      <w:lvlJc w:val="left"/>
      <w:pPr>
        <w:ind w:left="4950" w:hanging="360"/>
      </w:pPr>
      <w:rPr>
        <w:rFonts w:ascii="Wingdings" w:hAnsi="Wingdings" w:hint="default"/>
      </w:rPr>
    </w:lvl>
    <w:lvl w:ilvl="6" w:tplc="FFFFFFFF" w:tentative="1">
      <w:start w:val="1"/>
      <w:numFmt w:val="bullet"/>
      <w:lvlText w:val=""/>
      <w:lvlJc w:val="left"/>
      <w:pPr>
        <w:ind w:left="5670" w:hanging="360"/>
      </w:pPr>
      <w:rPr>
        <w:rFonts w:ascii="Symbol" w:hAnsi="Symbol" w:hint="default"/>
      </w:rPr>
    </w:lvl>
    <w:lvl w:ilvl="7" w:tplc="FFFFFFFF" w:tentative="1">
      <w:start w:val="1"/>
      <w:numFmt w:val="bullet"/>
      <w:lvlText w:val="o"/>
      <w:lvlJc w:val="left"/>
      <w:pPr>
        <w:ind w:left="6390" w:hanging="360"/>
      </w:pPr>
      <w:rPr>
        <w:rFonts w:ascii="Courier New" w:hAnsi="Courier New" w:cs="Courier New" w:hint="default"/>
      </w:rPr>
    </w:lvl>
    <w:lvl w:ilvl="8" w:tplc="FFFFFFFF" w:tentative="1">
      <w:start w:val="1"/>
      <w:numFmt w:val="bullet"/>
      <w:lvlText w:val=""/>
      <w:lvlJc w:val="left"/>
      <w:pPr>
        <w:ind w:left="7110" w:hanging="360"/>
      </w:pPr>
      <w:rPr>
        <w:rFonts w:ascii="Wingdings" w:hAnsi="Wingdings" w:hint="default"/>
      </w:rPr>
    </w:lvl>
  </w:abstractNum>
  <w:abstractNum w:abstractNumId="6" w15:restartNumberingAfterBreak="0">
    <w:nsid w:val="17A134C8"/>
    <w:multiLevelType w:val="hybridMultilevel"/>
    <w:tmpl w:val="1A4081F8"/>
    <w:lvl w:ilvl="0" w:tplc="18862440">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7F3722"/>
    <w:multiLevelType w:val="multilevel"/>
    <w:tmpl w:val="61BE24E8"/>
    <w:lvl w:ilvl="0">
      <w:start w:val="1"/>
      <w:numFmt w:val="bullet"/>
      <w:lvlText w:val="-"/>
      <w:lvlJc w:val="left"/>
      <w:pPr>
        <w:tabs>
          <w:tab w:val="left" w:pos="360"/>
        </w:tabs>
        <w:ind w:left="360" w:hanging="360"/>
      </w:pPr>
      <w:rPr>
        <w:rFonts w:ascii="Times New Roman" w:hAnsi="Times New Roman" w:cs="Times New Roman" w:hint="default"/>
        <w:color w:val="auto"/>
      </w:rPr>
    </w:lvl>
    <w:lvl w:ilvl="1">
      <w:start w:val="1"/>
      <w:numFmt w:val="bullet"/>
      <w:lvlText w:val="■"/>
      <w:lvlJc w:val="left"/>
      <w:pPr>
        <w:tabs>
          <w:tab w:val="left" w:pos="1080"/>
        </w:tabs>
        <w:ind w:left="1080" w:hanging="360"/>
      </w:pPr>
      <w:rPr>
        <w:rFonts w:ascii="Arial" w:hAnsi="Arial" w:cs="Times New Roman" w:hint="default"/>
      </w:rPr>
    </w:lvl>
    <w:lvl w:ilvl="2">
      <w:start w:val="1"/>
      <w:numFmt w:val="bullet"/>
      <w:lvlText w:val="■"/>
      <w:lvlJc w:val="left"/>
      <w:pPr>
        <w:tabs>
          <w:tab w:val="left" w:pos="1800"/>
        </w:tabs>
        <w:ind w:left="1800" w:hanging="360"/>
      </w:pPr>
      <w:rPr>
        <w:rFonts w:ascii="Arial" w:hAnsi="Arial" w:cs="Times New Roman" w:hint="default"/>
      </w:rPr>
    </w:lvl>
    <w:lvl w:ilvl="3">
      <w:start w:val="1"/>
      <w:numFmt w:val="bullet"/>
      <w:lvlText w:val="■"/>
      <w:lvlJc w:val="left"/>
      <w:pPr>
        <w:tabs>
          <w:tab w:val="left" w:pos="2520"/>
        </w:tabs>
        <w:ind w:left="2520" w:hanging="360"/>
      </w:pPr>
      <w:rPr>
        <w:rFonts w:ascii="Arial" w:hAnsi="Arial" w:cs="Times New Roman" w:hint="default"/>
      </w:rPr>
    </w:lvl>
    <w:lvl w:ilvl="4">
      <w:start w:val="1"/>
      <w:numFmt w:val="bullet"/>
      <w:lvlText w:val="■"/>
      <w:lvlJc w:val="left"/>
      <w:pPr>
        <w:tabs>
          <w:tab w:val="left" w:pos="3240"/>
        </w:tabs>
        <w:ind w:left="3240" w:hanging="360"/>
      </w:pPr>
      <w:rPr>
        <w:rFonts w:ascii="Arial" w:hAnsi="Arial" w:cs="Times New Roman" w:hint="default"/>
      </w:rPr>
    </w:lvl>
    <w:lvl w:ilvl="5">
      <w:start w:val="1"/>
      <w:numFmt w:val="bullet"/>
      <w:lvlText w:val="■"/>
      <w:lvlJc w:val="left"/>
      <w:pPr>
        <w:tabs>
          <w:tab w:val="left" w:pos="3960"/>
        </w:tabs>
        <w:ind w:left="3960" w:hanging="360"/>
      </w:pPr>
      <w:rPr>
        <w:rFonts w:ascii="Arial" w:hAnsi="Arial" w:cs="Times New Roman" w:hint="default"/>
      </w:rPr>
    </w:lvl>
    <w:lvl w:ilvl="6">
      <w:start w:val="1"/>
      <w:numFmt w:val="bullet"/>
      <w:lvlText w:val="■"/>
      <w:lvlJc w:val="left"/>
      <w:pPr>
        <w:tabs>
          <w:tab w:val="left" w:pos="4680"/>
        </w:tabs>
        <w:ind w:left="4680" w:hanging="360"/>
      </w:pPr>
      <w:rPr>
        <w:rFonts w:ascii="Arial" w:hAnsi="Arial" w:cs="Times New Roman" w:hint="default"/>
      </w:rPr>
    </w:lvl>
    <w:lvl w:ilvl="7">
      <w:start w:val="1"/>
      <w:numFmt w:val="bullet"/>
      <w:lvlText w:val="■"/>
      <w:lvlJc w:val="left"/>
      <w:pPr>
        <w:tabs>
          <w:tab w:val="left" w:pos="5400"/>
        </w:tabs>
        <w:ind w:left="5400" w:hanging="360"/>
      </w:pPr>
      <w:rPr>
        <w:rFonts w:ascii="Arial" w:hAnsi="Arial" w:cs="Times New Roman" w:hint="default"/>
      </w:rPr>
    </w:lvl>
    <w:lvl w:ilvl="8">
      <w:start w:val="1"/>
      <w:numFmt w:val="bullet"/>
      <w:lvlText w:val="■"/>
      <w:lvlJc w:val="left"/>
      <w:pPr>
        <w:tabs>
          <w:tab w:val="left" w:pos="6120"/>
        </w:tabs>
        <w:ind w:left="6120" w:hanging="360"/>
      </w:pPr>
      <w:rPr>
        <w:rFonts w:ascii="Arial" w:hAnsi="Arial" w:cs="Times New Roman" w:hint="default"/>
      </w:rPr>
    </w:lvl>
  </w:abstractNum>
  <w:abstractNum w:abstractNumId="8" w15:restartNumberingAfterBreak="0">
    <w:nsid w:val="1CDF4445"/>
    <w:multiLevelType w:val="multilevel"/>
    <w:tmpl w:val="B2505B64"/>
    <w:lvl w:ilvl="0">
      <w:start w:val="1"/>
      <w:numFmt w:val="decimal"/>
      <w:lvlText w:val="%1)"/>
      <w:lvlJc w:val="left"/>
      <w:pPr>
        <w:ind w:left="1040" w:hanging="360"/>
      </w:pPr>
      <w:rPr>
        <w:rFonts w:hint="default"/>
        <w:color w:val="auto"/>
      </w:rPr>
    </w:lvl>
    <w:lvl w:ilvl="1">
      <w:start w:val="1"/>
      <w:numFmt w:val="decimal"/>
      <w:isLgl/>
      <w:lvlText w:val="%1.%2"/>
      <w:lvlJc w:val="left"/>
      <w:pPr>
        <w:ind w:left="1085" w:hanging="405"/>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120" w:hanging="1440"/>
      </w:pPr>
      <w:rPr>
        <w:rFonts w:hint="default"/>
      </w:rPr>
    </w:lvl>
  </w:abstractNum>
  <w:abstractNum w:abstractNumId="9" w15:restartNumberingAfterBreak="0">
    <w:nsid w:val="1F024F1C"/>
    <w:multiLevelType w:val="multilevel"/>
    <w:tmpl w:val="79DE9E40"/>
    <w:lvl w:ilvl="0">
      <w:start w:val="1"/>
      <w:numFmt w:val="bullet"/>
      <w:lvlText w:val="-"/>
      <w:lvlJc w:val="left"/>
      <w:pPr>
        <w:tabs>
          <w:tab w:val="left" w:pos="360"/>
        </w:tabs>
        <w:ind w:left="360" w:hanging="360"/>
      </w:pPr>
      <w:rPr>
        <w:rFonts w:ascii="Times New Roman" w:hAnsi="Times New Roman" w:cs="Times New Roman" w:hint="default"/>
        <w:color w:val="auto"/>
      </w:rPr>
    </w:lvl>
    <w:lvl w:ilvl="1">
      <w:start w:val="1"/>
      <w:numFmt w:val="bullet"/>
      <w:lvlText w:val="■"/>
      <w:lvlJc w:val="left"/>
      <w:pPr>
        <w:tabs>
          <w:tab w:val="left" w:pos="1080"/>
        </w:tabs>
        <w:ind w:left="1080" w:hanging="360"/>
      </w:pPr>
      <w:rPr>
        <w:rFonts w:ascii="Arial" w:hAnsi="Arial" w:cs="Times New Roman" w:hint="default"/>
      </w:rPr>
    </w:lvl>
    <w:lvl w:ilvl="2">
      <w:start w:val="1"/>
      <w:numFmt w:val="bullet"/>
      <w:lvlText w:val="■"/>
      <w:lvlJc w:val="left"/>
      <w:pPr>
        <w:tabs>
          <w:tab w:val="left" w:pos="1800"/>
        </w:tabs>
        <w:ind w:left="1800" w:hanging="360"/>
      </w:pPr>
      <w:rPr>
        <w:rFonts w:ascii="Arial" w:hAnsi="Arial" w:cs="Times New Roman" w:hint="default"/>
      </w:rPr>
    </w:lvl>
    <w:lvl w:ilvl="3">
      <w:start w:val="1"/>
      <w:numFmt w:val="bullet"/>
      <w:lvlText w:val="■"/>
      <w:lvlJc w:val="left"/>
      <w:pPr>
        <w:tabs>
          <w:tab w:val="left" w:pos="2520"/>
        </w:tabs>
        <w:ind w:left="2520" w:hanging="360"/>
      </w:pPr>
      <w:rPr>
        <w:rFonts w:ascii="Arial" w:hAnsi="Arial" w:cs="Times New Roman" w:hint="default"/>
      </w:rPr>
    </w:lvl>
    <w:lvl w:ilvl="4">
      <w:start w:val="1"/>
      <w:numFmt w:val="bullet"/>
      <w:lvlText w:val="■"/>
      <w:lvlJc w:val="left"/>
      <w:pPr>
        <w:tabs>
          <w:tab w:val="left" w:pos="3240"/>
        </w:tabs>
        <w:ind w:left="3240" w:hanging="360"/>
      </w:pPr>
      <w:rPr>
        <w:rFonts w:ascii="Arial" w:hAnsi="Arial" w:cs="Times New Roman" w:hint="default"/>
      </w:rPr>
    </w:lvl>
    <w:lvl w:ilvl="5">
      <w:start w:val="1"/>
      <w:numFmt w:val="bullet"/>
      <w:lvlText w:val="■"/>
      <w:lvlJc w:val="left"/>
      <w:pPr>
        <w:tabs>
          <w:tab w:val="left" w:pos="3960"/>
        </w:tabs>
        <w:ind w:left="3960" w:hanging="360"/>
      </w:pPr>
      <w:rPr>
        <w:rFonts w:ascii="Arial" w:hAnsi="Arial" w:cs="Times New Roman" w:hint="default"/>
      </w:rPr>
    </w:lvl>
    <w:lvl w:ilvl="6">
      <w:start w:val="1"/>
      <w:numFmt w:val="bullet"/>
      <w:lvlText w:val="■"/>
      <w:lvlJc w:val="left"/>
      <w:pPr>
        <w:tabs>
          <w:tab w:val="left" w:pos="4680"/>
        </w:tabs>
        <w:ind w:left="4680" w:hanging="360"/>
      </w:pPr>
      <w:rPr>
        <w:rFonts w:ascii="Arial" w:hAnsi="Arial" w:cs="Times New Roman" w:hint="default"/>
      </w:rPr>
    </w:lvl>
    <w:lvl w:ilvl="7">
      <w:start w:val="1"/>
      <w:numFmt w:val="bullet"/>
      <w:lvlText w:val="■"/>
      <w:lvlJc w:val="left"/>
      <w:pPr>
        <w:tabs>
          <w:tab w:val="left" w:pos="5400"/>
        </w:tabs>
        <w:ind w:left="5400" w:hanging="360"/>
      </w:pPr>
      <w:rPr>
        <w:rFonts w:ascii="Arial" w:hAnsi="Arial" w:cs="Times New Roman" w:hint="default"/>
      </w:rPr>
    </w:lvl>
    <w:lvl w:ilvl="8">
      <w:start w:val="1"/>
      <w:numFmt w:val="bullet"/>
      <w:lvlText w:val="■"/>
      <w:lvlJc w:val="left"/>
      <w:pPr>
        <w:tabs>
          <w:tab w:val="left" w:pos="6120"/>
        </w:tabs>
        <w:ind w:left="6120" w:hanging="360"/>
      </w:pPr>
      <w:rPr>
        <w:rFonts w:ascii="Arial" w:hAnsi="Arial" w:cs="Times New Roman" w:hint="default"/>
      </w:rPr>
    </w:lvl>
  </w:abstractNum>
  <w:abstractNum w:abstractNumId="10" w15:restartNumberingAfterBreak="0">
    <w:nsid w:val="2276412E"/>
    <w:multiLevelType w:val="multilevel"/>
    <w:tmpl w:val="5464F994"/>
    <w:lvl w:ilvl="0">
      <w:start w:val="1"/>
      <w:numFmt w:val="bullet"/>
      <w:lvlText w:val="-"/>
      <w:lvlJc w:val="left"/>
      <w:pPr>
        <w:tabs>
          <w:tab w:val="left" w:pos="360"/>
        </w:tabs>
        <w:ind w:left="360" w:hanging="360"/>
      </w:pPr>
      <w:rPr>
        <w:rFonts w:ascii="Times New Roman" w:hAnsi="Times New Roman" w:cs="Times New Roman" w:hint="default"/>
        <w:color w:val="auto"/>
      </w:rPr>
    </w:lvl>
    <w:lvl w:ilvl="1">
      <w:start w:val="1"/>
      <w:numFmt w:val="bullet"/>
      <w:lvlText w:val="■"/>
      <w:lvlJc w:val="left"/>
      <w:pPr>
        <w:tabs>
          <w:tab w:val="left" w:pos="1080"/>
        </w:tabs>
        <w:ind w:left="1080" w:hanging="360"/>
      </w:pPr>
      <w:rPr>
        <w:rFonts w:ascii="Arial" w:hAnsi="Arial" w:cs="Times New Roman" w:hint="default"/>
      </w:rPr>
    </w:lvl>
    <w:lvl w:ilvl="2">
      <w:start w:val="1"/>
      <w:numFmt w:val="bullet"/>
      <w:lvlText w:val="■"/>
      <w:lvlJc w:val="left"/>
      <w:pPr>
        <w:tabs>
          <w:tab w:val="left" w:pos="1800"/>
        </w:tabs>
        <w:ind w:left="1800" w:hanging="360"/>
      </w:pPr>
      <w:rPr>
        <w:rFonts w:ascii="Arial" w:hAnsi="Arial" w:cs="Times New Roman" w:hint="default"/>
      </w:rPr>
    </w:lvl>
    <w:lvl w:ilvl="3">
      <w:start w:val="1"/>
      <w:numFmt w:val="bullet"/>
      <w:lvlText w:val="■"/>
      <w:lvlJc w:val="left"/>
      <w:pPr>
        <w:tabs>
          <w:tab w:val="left" w:pos="2520"/>
        </w:tabs>
        <w:ind w:left="2520" w:hanging="360"/>
      </w:pPr>
      <w:rPr>
        <w:rFonts w:ascii="Arial" w:hAnsi="Arial" w:cs="Times New Roman" w:hint="default"/>
      </w:rPr>
    </w:lvl>
    <w:lvl w:ilvl="4">
      <w:start w:val="1"/>
      <w:numFmt w:val="bullet"/>
      <w:lvlText w:val="■"/>
      <w:lvlJc w:val="left"/>
      <w:pPr>
        <w:tabs>
          <w:tab w:val="left" w:pos="3240"/>
        </w:tabs>
        <w:ind w:left="3240" w:hanging="360"/>
      </w:pPr>
      <w:rPr>
        <w:rFonts w:ascii="Arial" w:hAnsi="Arial" w:cs="Times New Roman" w:hint="default"/>
      </w:rPr>
    </w:lvl>
    <w:lvl w:ilvl="5">
      <w:start w:val="1"/>
      <w:numFmt w:val="bullet"/>
      <w:lvlText w:val="■"/>
      <w:lvlJc w:val="left"/>
      <w:pPr>
        <w:tabs>
          <w:tab w:val="left" w:pos="3960"/>
        </w:tabs>
        <w:ind w:left="3960" w:hanging="360"/>
      </w:pPr>
      <w:rPr>
        <w:rFonts w:ascii="Arial" w:hAnsi="Arial" w:cs="Times New Roman" w:hint="default"/>
      </w:rPr>
    </w:lvl>
    <w:lvl w:ilvl="6">
      <w:start w:val="1"/>
      <w:numFmt w:val="bullet"/>
      <w:lvlText w:val="■"/>
      <w:lvlJc w:val="left"/>
      <w:pPr>
        <w:tabs>
          <w:tab w:val="left" w:pos="4680"/>
        </w:tabs>
        <w:ind w:left="4680" w:hanging="360"/>
      </w:pPr>
      <w:rPr>
        <w:rFonts w:ascii="Arial" w:hAnsi="Arial" w:cs="Times New Roman" w:hint="default"/>
      </w:rPr>
    </w:lvl>
    <w:lvl w:ilvl="7">
      <w:start w:val="1"/>
      <w:numFmt w:val="bullet"/>
      <w:lvlText w:val="■"/>
      <w:lvlJc w:val="left"/>
      <w:pPr>
        <w:tabs>
          <w:tab w:val="left" w:pos="5400"/>
        </w:tabs>
        <w:ind w:left="5400" w:hanging="360"/>
      </w:pPr>
      <w:rPr>
        <w:rFonts w:ascii="Arial" w:hAnsi="Arial" w:cs="Times New Roman" w:hint="default"/>
      </w:rPr>
    </w:lvl>
    <w:lvl w:ilvl="8">
      <w:start w:val="1"/>
      <w:numFmt w:val="bullet"/>
      <w:lvlText w:val="■"/>
      <w:lvlJc w:val="left"/>
      <w:pPr>
        <w:tabs>
          <w:tab w:val="left" w:pos="6120"/>
        </w:tabs>
        <w:ind w:left="6120" w:hanging="360"/>
      </w:pPr>
      <w:rPr>
        <w:rFonts w:ascii="Arial" w:hAnsi="Arial" w:cs="Times New Roman" w:hint="default"/>
      </w:rPr>
    </w:lvl>
  </w:abstractNum>
  <w:abstractNum w:abstractNumId="11" w15:restartNumberingAfterBreak="0">
    <w:nsid w:val="283C3F44"/>
    <w:multiLevelType w:val="multilevel"/>
    <w:tmpl w:val="0F4E8EE6"/>
    <w:lvl w:ilvl="0">
      <w:start w:val="1"/>
      <w:numFmt w:val="bullet"/>
      <w:lvlText w:val="-"/>
      <w:lvlJc w:val="left"/>
      <w:pPr>
        <w:tabs>
          <w:tab w:val="left" w:pos="360"/>
        </w:tabs>
        <w:ind w:left="360" w:hanging="360"/>
      </w:pPr>
      <w:rPr>
        <w:rFonts w:ascii="Times New Roman" w:hAnsi="Times New Roman" w:cs="Times New Roman" w:hint="default"/>
        <w:color w:val="auto"/>
      </w:rPr>
    </w:lvl>
    <w:lvl w:ilvl="1">
      <w:start w:val="1"/>
      <w:numFmt w:val="bullet"/>
      <w:lvlText w:val="■"/>
      <w:lvlJc w:val="left"/>
      <w:pPr>
        <w:tabs>
          <w:tab w:val="left" w:pos="1080"/>
        </w:tabs>
        <w:ind w:left="1080" w:hanging="360"/>
      </w:pPr>
      <w:rPr>
        <w:rFonts w:ascii="Arial" w:hAnsi="Arial" w:cs="Times New Roman" w:hint="default"/>
      </w:rPr>
    </w:lvl>
    <w:lvl w:ilvl="2">
      <w:start w:val="1"/>
      <w:numFmt w:val="bullet"/>
      <w:lvlText w:val="■"/>
      <w:lvlJc w:val="left"/>
      <w:pPr>
        <w:tabs>
          <w:tab w:val="left" w:pos="1800"/>
        </w:tabs>
        <w:ind w:left="1800" w:hanging="360"/>
      </w:pPr>
      <w:rPr>
        <w:rFonts w:ascii="Arial" w:hAnsi="Arial" w:cs="Times New Roman" w:hint="default"/>
      </w:rPr>
    </w:lvl>
    <w:lvl w:ilvl="3">
      <w:start w:val="1"/>
      <w:numFmt w:val="bullet"/>
      <w:lvlText w:val="■"/>
      <w:lvlJc w:val="left"/>
      <w:pPr>
        <w:tabs>
          <w:tab w:val="left" w:pos="2520"/>
        </w:tabs>
        <w:ind w:left="2520" w:hanging="360"/>
      </w:pPr>
      <w:rPr>
        <w:rFonts w:ascii="Arial" w:hAnsi="Arial" w:cs="Times New Roman" w:hint="default"/>
      </w:rPr>
    </w:lvl>
    <w:lvl w:ilvl="4">
      <w:start w:val="1"/>
      <w:numFmt w:val="bullet"/>
      <w:lvlText w:val="■"/>
      <w:lvlJc w:val="left"/>
      <w:pPr>
        <w:tabs>
          <w:tab w:val="left" w:pos="3240"/>
        </w:tabs>
        <w:ind w:left="3240" w:hanging="360"/>
      </w:pPr>
      <w:rPr>
        <w:rFonts w:ascii="Arial" w:hAnsi="Arial" w:cs="Times New Roman" w:hint="default"/>
      </w:rPr>
    </w:lvl>
    <w:lvl w:ilvl="5">
      <w:start w:val="1"/>
      <w:numFmt w:val="bullet"/>
      <w:lvlText w:val="■"/>
      <w:lvlJc w:val="left"/>
      <w:pPr>
        <w:tabs>
          <w:tab w:val="left" w:pos="3960"/>
        </w:tabs>
        <w:ind w:left="3960" w:hanging="360"/>
      </w:pPr>
      <w:rPr>
        <w:rFonts w:ascii="Arial" w:hAnsi="Arial" w:cs="Times New Roman" w:hint="default"/>
      </w:rPr>
    </w:lvl>
    <w:lvl w:ilvl="6">
      <w:start w:val="1"/>
      <w:numFmt w:val="bullet"/>
      <w:lvlText w:val="■"/>
      <w:lvlJc w:val="left"/>
      <w:pPr>
        <w:tabs>
          <w:tab w:val="left" w:pos="4680"/>
        </w:tabs>
        <w:ind w:left="4680" w:hanging="360"/>
      </w:pPr>
      <w:rPr>
        <w:rFonts w:ascii="Arial" w:hAnsi="Arial" w:cs="Times New Roman" w:hint="default"/>
      </w:rPr>
    </w:lvl>
    <w:lvl w:ilvl="7">
      <w:start w:val="1"/>
      <w:numFmt w:val="bullet"/>
      <w:lvlText w:val="■"/>
      <w:lvlJc w:val="left"/>
      <w:pPr>
        <w:tabs>
          <w:tab w:val="left" w:pos="5400"/>
        </w:tabs>
        <w:ind w:left="5400" w:hanging="360"/>
      </w:pPr>
      <w:rPr>
        <w:rFonts w:ascii="Arial" w:hAnsi="Arial" w:cs="Times New Roman" w:hint="default"/>
      </w:rPr>
    </w:lvl>
    <w:lvl w:ilvl="8">
      <w:start w:val="1"/>
      <w:numFmt w:val="bullet"/>
      <w:lvlText w:val="■"/>
      <w:lvlJc w:val="left"/>
      <w:pPr>
        <w:tabs>
          <w:tab w:val="left" w:pos="6120"/>
        </w:tabs>
        <w:ind w:left="6120" w:hanging="360"/>
      </w:pPr>
      <w:rPr>
        <w:rFonts w:ascii="Arial" w:hAnsi="Arial" w:cs="Times New Roman" w:hint="default"/>
      </w:rPr>
    </w:lvl>
  </w:abstractNum>
  <w:abstractNum w:abstractNumId="12" w15:restartNumberingAfterBreak="0">
    <w:nsid w:val="30D6492C"/>
    <w:multiLevelType w:val="hybridMultilevel"/>
    <w:tmpl w:val="D24A0020"/>
    <w:lvl w:ilvl="0" w:tplc="4C9EA796">
      <w:start w:val="1"/>
      <w:numFmt w:val="bullet"/>
      <w:lvlText w:val="-"/>
      <w:lvlJc w:val="left"/>
      <w:pPr>
        <w:ind w:left="2160" w:hanging="360"/>
      </w:pPr>
      <w:rPr>
        <w:rFonts w:ascii="Times New Roman" w:eastAsia="Calibri" w:hAnsi="Times New Roman" w:cs="Times New Roman" w:hint="default"/>
        <w:b w:val="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31165630"/>
    <w:multiLevelType w:val="hybridMultilevel"/>
    <w:tmpl w:val="13D4EDD2"/>
    <w:lvl w:ilvl="0" w:tplc="18862440">
      <w:start w:val="1"/>
      <w:numFmt w:val="bullet"/>
      <w:lvlText w:val="-"/>
      <w:lvlJc w:val="left"/>
      <w:pPr>
        <w:ind w:left="1080" w:hanging="360"/>
      </w:pPr>
      <w:rPr>
        <w:rFonts w:ascii="Times New Roman"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4" w15:restartNumberingAfterBreak="0">
    <w:nsid w:val="32B21834"/>
    <w:multiLevelType w:val="hybridMultilevel"/>
    <w:tmpl w:val="1EF28102"/>
    <w:lvl w:ilvl="0" w:tplc="A8A08812">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C023D4"/>
    <w:multiLevelType w:val="hybridMultilevel"/>
    <w:tmpl w:val="D2908E78"/>
    <w:lvl w:ilvl="0" w:tplc="FFFFFFFF">
      <w:start w:val="1"/>
      <w:numFmt w:val="bullet"/>
      <w:lvlText w:val="o"/>
      <w:lvlJc w:val="left"/>
      <w:pPr>
        <w:ind w:left="720" w:hanging="360"/>
      </w:pPr>
      <w:rPr>
        <w:rFonts w:ascii="Courier New" w:hAnsi="Courier New" w:cs="Courier New" w:hint="default"/>
      </w:rPr>
    </w:lvl>
    <w:lvl w:ilvl="1" w:tplc="A8A08812">
      <w:start w:val="1"/>
      <w:numFmt w:val="decimal"/>
      <w:lvlText w:val="%2)"/>
      <w:lvlJc w:val="left"/>
      <w:pPr>
        <w:ind w:left="900" w:hanging="360"/>
      </w:pPr>
      <w:rPr>
        <w:rFonts w:hint="default"/>
        <w:color w:val="auto"/>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73A61C9"/>
    <w:multiLevelType w:val="hybridMultilevel"/>
    <w:tmpl w:val="657CCB7A"/>
    <w:lvl w:ilvl="0" w:tplc="18862440">
      <w:start w:val="1"/>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7767A0A"/>
    <w:multiLevelType w:val="hybridMultilevel"/>
    <w:tmpl w:val="D3CCCF66"/>
    <w:lvl w:ilvl="0" w:tplc="FFFFFFFF">
      <w:start w:val="1"/>
      <w:numFmt w:val="bullet"/>
      <w:lvlText w:val="-"/>
      <w:lvlJc w:val="left"/>
      <w:pPr>
        <w:ind w:left="1080" w:hanging="360"/>
      </w:pPr>
      <w:rPr>
        <w:rFonts w:ascii="Times New Roman" w:hAnsi="Times New Roman" w:cs="Times New Roman" w:hint="default"/>
      </w:rPr>
    </w:lvl>
    <w:lvl w:ilvl="1" w:tplc="A8A08812">
      <w:start w:val="1"/>
      <w:numFmt w:val="decimal"/>
      <w:lvlText w:val="%2)"/>
      <w:lvlJc w:val="left"/>
      <w:pPr>
        <w:ind w:left="720" w:hanging="360"/>
      </w:pPr>
      <w:rPr>
        <w:rFonts w:hint="default"/>
        <w:color w:val="auto"/>
      </w:rPr>
    </w:lvl>
    <w:lvl w:ilvl="2" w:tplc="FFFFFFFF">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8" w15:restartNumberingAfterBreak="0">
    <w:nsid w:val="3D6D3C4F"/>
    <w:multiLevelType w:val="hybridMultilevel"/>
    <w:tmpl w:val="3620E85A"/>
    <w:lvl w:ilvl="0" w:tplc="FFFFFFFF">
      <w:start w:val="1"/>
      <w:numFmt w:val="bullet"/>
      <w:lvlText w:val="-"/>
      <w:lvlJc w:val="left"/>
      <w:pPr>
        <w:ind w:left="630" w:hanging="360"/>
      </w:pPr>
      <w:rPr>
        <w:rFonts w:ascii="Times New Roman" w:eastAsia="Calibri" w:hAnsi="Times New Roman" w:cs="Times New Roman" w:hint="default"/>
        <w:b w:val="0"/>
      </w:rPr>
    </w:lvl>
    <w:lvl w:ilvl="1" w:tplc="18862440">
      <w:start w:val="1"/>
      <w:numFmt w:val="bullet"/>
      <w:lvlText w:val="-"/>
      <w:lvlJc w:val="left"/>
      <w:pPr>
        <w:ind w:left="1350" w:hanging="360"/>
      </w:pPr>
      <w:rPr>
        <w:rFonts w:ascii="Times New Roman" w:hAnsi="Times New Roman" w:cs="Times New Roman" w:hint="default"/>
      </w:rPr>
    </w:lvl>
    <w:lvl w:ilvl="2" w:tplc="FFFFFFFF" w:tentative="1">
      <w:start w:val="1"/>
      <w:numFmt w:val="bullet"/>
      <w:lvlText w:val=""/>
      <w:lvlJc w:val="left"/>
      <w:pPr>
        <w:ind w:left="2070" w:hanging="360"/>
      </w:pPr>
      <w:rPr>
        <w:rFonts w:ascii="Wingdings" w:hAnsi="Wingdings" w:hint="default"/>
      </w:rPr>
    </w:lvl>
    <w:lvl w:ilvl="3" w:tplc="FFFFFFFF">
      <w:start w:val="1"/>
      <w:numFmt w:val="bullet"/>
      <w:lvlText w:val=""/>
      <w:lvlJc w:val="left"/>
      <w:pPr>
        <w:ind w:left="2790" w:hanging="360"/>
      </w:pPr>
      <w:rPr>
        <w:rFonts w:ascii="Symbol" w:hAnsi="Symbol" w:hint="default"/>
      </w:rPr>
    </w:lvl>
    <w:lvl w:ilvl="4" w:tplc="FFFFFFFF" w:tentative="1">
      <w:start w:val="1"/>
      <w:numFmt w:val="bullet"/>
      <w:lvlText w:val="o"/>
      <w:lvlJc w:val="left"/>
      <w:pPr>
        <w:ind w:left="3510" w:hanging="360"/>
      </w:pPr>
      <w:rPr>
        <w:rFonts w:ascii="Courier New" w:hAnsi="Courier New" w:cs="Courier New" w:hint="default"/>
      </w:rPr>
    </w:lvl>
    <w:lvl w:ilvl="5" w:tplc="FFFFFFFF" w:tentative="1">
      <w:start w:val="1"/>
      <w:numFmt w:val="bullet"/>
      <w:lvlText w:val=""/>
      <w:lvlJc w:val="left"/>
      <w:pPr>
        <w:ind w:left="4230" w:hanging="360"/>
      </w:pPr>
      <w:rPr>
        <w:rFonts w:ascii="Wingdings" w:hAnsi="Wingdings" w:hint="default"/>
      </w:rPr>
    </w:lvl>
    <w:lvl w:ilvl="6" w:tplc="FFFFFFFF" w:tentative="1">
      <w:start w:val="1"/>
      <w:numFmt w:val="bullet"/>
      <w:lvlText w:val=""/>
      <w:lvlJc w:val="left"/>
      <w:pPr>
        <w:ind w:left="4950" w:hanging="360"/>
      </w:pPr>
      <w:rPr>
        <w:rFonts w:ascii="Symbol" w:hAnsi="Symbol" w:hint="default"/>
      </w:rPr>
    </w:lvl>
    <w:lvl w:ilvl="7" w:tplc="FFFFFFFF" w:tentative="1">
      <w:start w:val="1"/>
      <w:numFmt w:val="bullet"/>
      <w:lvlText w:val="o"/>
      <w:lvlJc w:val="left"/>
      <w:pPr>
        <w:ind w:left="5670" w:hanging="360"/>
      </w:pPr>
      <w:rPr>
        <w:rFonts w:ascii="Courier New" w:hAnsi="Courier New" w:cs="Courier New" w:hint="default"/>
      </w:rPr>
    </w:lvl>
    <w:lvl w:ilvl="8" w:tplc="FFFFFFFF" w:tentative="1">
      <w:start w:val="1"/>
      <w:numFmt w:val="bullet"/>
      <w:lvlText w:val=""/>
      <w:lvlJc w:val="left"/>
      <w:pPr>
        <w:ind w:left="6390" w:hanging="360"/>
      </w:pPr>
      <w:rPr>
        <w:rFonts w:ascii="Wingdings" w:hAnsi="Wingdings" w:hint="default"/>
      </w:rPr>
    </w:lvl>
  </w:abstractNum>
  <w:abstractNum w:abstractNumId="19" w15:restartNumberingAfterBreak="0">
    <w:nsid w:val="406B7788"/>
    <w:multiLevelType w:val="multilevel"/>
    <w:tmpl w:val="EC08706C"/>
    <w:lvl w:ilvl="0">
      <w:start w:val="1"/>
      <w:numFmt w:val="bullet"/>
      <w:lvlText w:val="-"/>
      <w:lvlJc w:val="left"/>
      <w:pPr>
        <w:ind w:left="1440" w:hanging="360"/>
      </w:pPr>
      <w:rPr>
        <w:rFonts w:ascii="Times New Roman" w:hAnsi="Times New Roman" w:cs="Times New Roman" w:hint="default"/>
        <w:color w:val="auto"/>
      </w:rPr>
    </w:lvl>
    <w:lvl w:ilvl="1">
      <w:start w:val="1"/>
      <w:numFmt w:val="bullet"/>
      <w:lvlText w:val="-"/>
      <w:lvlJc w:val="left"/>
      <w:pPr>
        <w:ind w:left="2520" w:hanging="360"/>
      </w:pPr>
      <w:rPr>
        <w:rFonts w:ascii="Times New Roman" w:hAnsi="Times New Roman" w:cs="Times New Roman"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0" w15:restartNumberingAfterBreak="0">
    <w:nsid w:val="431D67C7"/>
    <w:multiLevelType w:val="hybridMultilevel"/>
    <w:tmpl w:val="F208C85E"/>
    <w:lvl w:ilvl="0" w:tplc="18862440">
      <w:start w:val="1"/>
      <w:numFmt w:val="bullet"/>
      <w:lvlText w:val="-"/>
      <w:lvlJc w:val="left"/>
      <w:pPr>
        <w:ind w:left="900" w:hanging="360"/>
      </w:pPr>
      <w:rPr>
        <w:rFonts w:ascii="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 w15:restartNumberingAfterBreak="0">
    <w:nsid w:val="476D6FD9"/>
    <w:multiLevelType w:val="multilevel"/>
    <w:tmpl w:val="00482358"/>
    <w:lvl w:ilvl="0">
      <w:start w:val="1"/>
      <w:numFmt w:val="bullet"/>
      <w:lvlText w:val="-"/>
      <w:lvlJc w:val="left"/>
      <w:pPr>
        <w:tabs>
          <w:tab w:val="left" w:pos="360"/>
        </w:tabs>
        <w:ind w:left="360" w:hanging="360"/>
      </w:pPr>
      <w:rPr>
        <w:rFonts w:ascii="Times New Roman" w:hAnsi="Times New Roman" w:cs="Times New Roman" w:hint="default"/>
        <w:color w:val="auto"/>
      </w:rPr>
    </w:lvl>
    <w:lvl w:ilvl="1">
      <w:start w:val="1"/>
      <w:numFmt w:val="bullet"/>
      <w:lvlText w:val="■"/>
      <w:lvlJc w:val="left"/>
      <w:pPr>
        <w:tabs>
          <w:tab w:val="left" w:pos="1080"/>
        </w:tabs>
        <w:ind w:left="1080" w:hanging="360"/>
      </w:pPr>
      <w:rPr>
        <w:rFonts w:ascii="Arial" w:hAnsi="Arial" w:cs="Times New Roman" w:hint="default"/>
      </w:rPr>
    </w:lvl>
    <w:lvl w:ilvl="2">
      <w:start w:val="1"/>
      <w:numFmt w:val="bullet"/>
      <w:lvlText w:val="■"/>
      <w:lvlJc w:val="left"/>
      <w:pPr>
        <w:tabs>
          <w:tab w:val="left" w:pos="1800"/>
        </w:tabs>
        <w:ind w:left="1800" w:hanging="360"/>
      </w:pPr>
      <w:rPr>
        <w:rFonts w:ascii="Arial" w:hAnsi="Arial" w:cs="Times New Roman" w:hint="default"/>
      </w:rPr>
    </w:lvl>
    <w:lvl w:ilvl="3">
      <w:start w:val="1"/>
      <w:numFmt w:val="bullet"/>
      <w:lvlText w:val="■"/>
      <w:lvlJc w:val="left"/>
      <w:pPr>
        <w:tabs>
          <w:tab w:val="left" w:pos="2520"/>
        </w:tabs>
        <w:ind w:left="2520" w:hanging="360"/>
      </w:pPr>
      <w:rPr>
        <w:rFonts w:ascii="Arial" w:hAnsi="Arial" w:cs="Times New Roman" w:hint="default"/>
      </w:rPr>
    </w:lvl>
    <w:lvl w:ilvl="4">
      <w:start w:val="1"/>
      <w:numFmt w:val="bullet"/>
      <w:lvlText w:val="■"/>
      <w:lvlJc w:val="left"/>
      <w:pPr>
        <w:tabs>
          <w:tab w:val="left" w:pos="3240"/>
        </w:tabs>
        <w:ind w:left="3240" w:hanging="360"/>
      </w:pPr>
      <w:rPr>
        <w:rFonts w:ascii="Arial" w:hAnsi="Arial" w:cs="Times New Roman" w:hint="default"/>
      </w:rPr>
    </w:lvl>
    <w:lvl w:ilvl="5">
      <w:start w:val="1"/>
      <w:numFmt w:val="bullet"/>
      <w:lvlText w:val="■"/>
      <w:lvlJc w:val="left"/>
      <w:pPr>
        <w:tabs>
          <w:tab w:val="left" w:pos="3960"/>
        </w:tabs>
        <w:ind w:left="3960" w:hanging="360"/>
      </w:pPr>
      <w:rPr>
        <w:rFonts w:ascii="Arial" w:hAnsi="Arial" w:cs="Times New Roman" w:hint="default"/>
      </w:rPr>
    </w:lvl>
    <w:lvl w:ilvl="6">
      <w:start w:val="1"/>
      <w:numFmt w:val="bullet"/>
      <w:lvlText w:val="■"/>
      <w:lvlJc w:val="left"/>
      <w:pPr>
        <w:tabs>
          <w:tab w:val="left" w:pos="4680"/>
        </w:tabs>
        <w:ind w:left="4680" w:hanging="360"/>
      </w:pPr>
      <w:rPr>
        <w:rFonts w:ascii="Arial" w:hAnsi="Arial" w:cs="Times New Roman" w:hint="default"/>
      </w:rPr>
    </w:lvl>
    <w:lvl w:ilvl="7">
      <w:start w:val="1"/>
      <w:numFmt w:val="bullet"/>
      <w:lvlText w:val="■"/>
      <w:lvlJc w:val="left"/>
      <w:pPr>
        <w:tabs>
          <w:tab w:val="left" w:pos="5400"/>
        </w:tabs>
        <w:ind w:left="5400" w:hanging="360"/>
      </w:pPr>
      <w:rPr>
        <w:rFonts w:ascii="Arial" w:hAnsi="Arial" w:cs="Times New Roman" w:hint="default"/>
      </w:rPr>
    </w:lvl>
    <w:lvl w:ilvl="8">
      <w:start w:val="1"/>
      <w:numFmt w:val="bullet"/>
      <w:lvlText w:val="■"/>
      <w:lvlJc w:val="left"/>
      <w:pPr>
        <w:tabs>
          <w:tab w:val="left" w:pos="6120"/>
        </w:tabs>
        <w:ind w:left="6120" w:hanging="360"/>
      </w:pPr>
      <w:rPr>
        <w:rFonts w:ascii="Arial" w:hAnsi="Arial" w:cs="Times New Roman" w:hint="default"/>
      </w:rPr>
    </w:lvl>
  </w:abstractNum>
  <w:abstractNum w:abstractNumId="22" w15:restartNumberingAfterBreak="0">
    <w:nsid w:val="47CD5605"/>
    <w:multiLevelType w:val="hybridMultilevel"/>
    <w:tmpl w:val="34B2FE28"/>
    <w:lvl w:ilvl="0" w:tplc="A8A08812">
      <w:start w:val="1"/>
      <w:numFmt w:val="decimal"/>
      <w:lvlText w:val="%1)"/>
      <w:lvlJc w:val="left"/>
      <w:pPr>
        <w:ind w:left="1260" w:hanging="360"/>
      </w:pPr>
      <w:rPr>
        <w:rFonts w:hint="default"/>
        <w:color w:val="auto"/>
      </w:rPr>
    </w:lvl>
    <w:lvl w:ilvl="1" w:tplc="FFFFFFFF" w:tentative="1">
      <w:start w:val="1"/>
      <w:numFmt w:val="bullet"/>
      <w:lvlText w:val="o"/>
      <w:lvlJc w:val="left"/>
      <w:pPr>
        <w:ind w:left="1980" w:hanging="360"/>
      </w:pPr>
      <w:rPr>
        <w:rFonts w:ascii="Courier New" w:hAnsi="Courier New" w:cs="Courier New" w:hint="default"/>
      </w:rPr>
    </w:lvl>
    <w:lvl w:ilvl="2" w:tplc="FFFFFFFF" w:tentative="1">
      <w:start w:val="1"/>
      <w:numFmt w:val="bullet"/>
      <w:lvlText w:val=""/>
      <w:lvlJc w:val="left"/>
      <w:pPr>
        <w:ind w:left="2700" w:hanging="360"/>
      </w:pPr>
      <w:rPr>
        <w:rFonts w:ascii="Wingdings" w:hAnsi="Wingdings" w:hint="default"/>
      </w:rPr>
    </w:lvl>
    <w:lvl w:ilvl="3" w:tplc="FFFFFFFF" w:tentative="1">
      <w:start w:val="1"/>
      <w:numFmt w:val="bullet"/>
      <w:lvlText w:val=""/>
      <w:lvlJc w:val="left"/>
      <w:pPr>
        <w:ind w:left="3420" w:hanging="360"/>
      </w:pPr>
      <w:rPr>
        <w:rFonts w:ascii="Symbol" w:hAnsi="Symbol" w:hint="default"/>
      </w:rPr>
    </w:lvl>
    <w:lvl w:ilvl="4" w:tplc="FFFFFFFF" w:tentative="1">
      <w:start w:val="1"/>
      <w:numFmt w:val="bullet"/>
      <w:lvlText w:val="o"/>
      <w:lvlJc w:val="left"/>
      <w:pPr>
        <w:ind w:left="4140" w:hanging="360"/>
      </w:pPr>
      <w:rPr>
        <w:rFonts w:ascii="Courier New" w:hAnsi="Courier New" w:cs="Courier New" w:hint="default"/>
      </w:rPr>
    </w:lvl>
    <w:lvl w:ilvl="5" w:tplc="FFFFFFFF" w:tentative="1">
      <w:start w:val="1"/>
      <w:numFmt w:val="bullet"/>
      <w:lvlText w:val=""/>
      <w:lvlJc w:val="left"/>
      <w:pPr>
        <w:ind w:left="4860" w:hanging="360"/>
      </w:pPr>
      <w:rPr>
        <w:rFonts w:ascii="Wingdings" w:hAnsi="Wingdings" w:hint="default"/>
      </w:rPr>
    </w:lvl>
    <w:lvl w:ilvl="6" w:tplc="FFFFFFFF" w:tentative="1">
      <w:start w:val="1"/>
      <w:numFmt w:val="bullet"/>
      <w:lvlText w:val=""/>
      <w:lvlJc w:val="left"/>
      <w:pPr>
        <w:ind w:left="5580" w:hanging="360"/>
      </w:pPr>
      <w:rPr>
        <w:rFonts w:ascii="Symbol" w:hAnsi="Symbol" w:hint="default"/>
      </w:rPr>
    </w:lvl>
    <w:lvl w:ilvl="7" w:tplc="FFFFFFFF" w:tentative="1">
      <w:start w:val="1"/>
      <w:numFmt w:val="bullet"/>
      <w:lvlText w:val="o"/>
      <w:lvlJc w:val="left"/>
      <w:pPr>
        <w:ind w:left="6300" w:hanging="360"/>
      </w:pPr>
      <w:rPr>
        <w:rFonts w:ascii="Courier New" w:hAnsi="Courier New" w:cs="Courier New" w:hint="default"/>
      </w:rPr>
    </w:lvl>
    <w:lvl w:ilvl="8" w:tplc="FFFFFFFF" w:tentative="1">
      <w:start w:val="1"/>
      <w:numFmt w:val="bullet"/>
      <w:lvlText w:val=""/>
      <w:lvlJc w:val="left"/>
      <w:pPr>
        <w:ind w:left="7020" w:hanging="360"/>
      </w:pPr>
      <w:rPr>
        <w:rFonts w:ascii="Wingdings" w:hAnsi="Wingdings" w:hint="default"/>
      </w:rPr>
    </w:lvl>
  </w:abstractNum>
  <w:abstractNum w:abstractNumId="23" w15:restartNumberingAfterBreak="0">
    <w:nsid w:val="4AE15BBA"/>
    <w:multiLevelType w:val="multilevel"/>
    <w:tmpl w:val="BC8CD8FC"/>
    <w:lvl w:ilvl="0">
      <w:start w:val="1"/>
      <w:numFmt w:val="bullet"/>
      <w:lvlText w:val="-"/>
      <w:lvlJc w:val="left"/>
      <w:pPr>
        <w:ind w:left="720" w:hanging="360"/>
      </w:pPr>
      <w:rPr>
        <w:rFonts w:ascii="Times New Roman" w:hAnsi="Times New Roman" w:cs="Times New Roman" w:hint="default"/>
        <w:color w:val="auto"/>
      </w:rPr>
    </w:lvl>
    <w:lvl w:ilvl="1">
      <w:start w:val="1"/>
      <w:numFmt w:val="bullet"/>
      <w:lvlText w:val="•"/>
      <w:lvlJc w:val="left"/>
      <w:pPr>
        <w:ind w:left="720" w:hanging="360"/>
      </w:pPr>
      <w:rPr>
        <w:rFonts w:ascii="Times New Roman" w:hAnsi="Times New Roman" w:cs="Times New Roman" w:hint="default"/>
        <w:color w:val="auto"/>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4C36021C"/>
    <w:multiLevelType w:val="multilevel"/>
    <w:tmpl w:val="A530A46E"/>
    <w:lvl w:ilvl="0">
      <w:start w:val="1"/>
      <w:numFmt w:val="bullet"/>
      <w:lvlText w:val="-"/>
      <w:lvlJc w:val="left"/>
      <w:pPr>
        <w:ind w:left="720" w:hanging="360"/>
      </w:pPr>
      <w:rPr>
        <w:rFonts w:ascii="Times New Roman" w:hAnsi="Times New Roman" w:cs="Times New Roman" w:hint="default"/>
        <w:color w:val="auto"/>
      </w:rPr>
    </w:lvl>
    <w:lvl w:ilvl="1">
      <w:start w:val="1"/>
      <w:numFmt w:val="bullet"/>
      <w:lvlText w:val="•"/>
      <w:lvlJc w:val="left"/>
      <w:pPr>
        <w:ind w:left="720" w:hanging="360"/>
      </w:pPr>
      <w:rPr>
        <w:rFonts w:ascii="Times New Roman" w:hAnsi="Times New Roman" w:cs="Times New Roman" w:hint="default"/>
        <w:color w:val="auto"/>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4C5D4EB1"/>
    <w:multiLevelType w:val="multilevel"/>
    <w:tmpl w:val="8DB4D06E"/>
    <w:lvl w:ilvl="0">
      <w:start w:val="1"/>
      <w:numFmt w:val="bullet"/>
      <w:lvlText w:val="-"/>
      <w:lvlJc w:val="left"/>
      <w:pPr>
        <w:tabs>
          <w:tab w:val="left" w:pos="360"/>
        </w:tabs>
        <w:ind w:left="360" w:hanging="360"/>
      </w:pPr>
      <w:rPr>
        <w:rFonts w:ascii="Times New Roman" w:hAnsi="Times New Roman" w:cs="Times New Roman" w:hint="default"/>
        <w:color w:val="auto"/>
      </w:rPr>
    </w:lvl>
    <w:lvl w:ilvl="1">
      <w:start w:val="1"/>
      <w:numFmt w:val="bullet"/>
      <w:lvlText w:val="■"/>
      <w:lvlJc w:val="left"/>
      <w:pPr>
        <w:tabs>
          <w:tab w:val="left" w:pos="1080"/>
        </w:tabs>
        <w:ind w:left="1080" w:hanging="360"/>
      </w:pPr>
      <w:rPr>
        <w:rFonts w:ascii="Arial" w:hAnsi="Arial" w:cs="Times New Roman" w:hint="default"/>
      </w:rPr>
    </w:lvl>
    <w:lvl w:ilvl="2">
      <w:start w:val="1"/>
      <w:numFmt w:val="bullet"/>
      <w:lvlText w:val="■"/>
      <w:lvlJc w:val="left"/>
      <w:pPr>
        <w:tabs>
          <w:tab w:val="left" w:pos="1800"/>
        </w:tabs>
        <w:ind w:left="1800" w:hanging="360"/>
      </w:pPr>
      <w:rPr>
        <w:rFonts w:ascii="Arial" w:hAnsi="Arial" w:cs="Times New Roman" w:hint="default"/>
      </w:rPr>
    </w:lvl>
    <w:lvl w:ilvl="3">
      <w:start w:val="1"/>
      <w:numFmt w:val="bullet"/>
      <w:lvlText w:val="■"/>
      <w:lvlJc w:val="left"/>
      <w:pPr>
        <w:tabs>
          <w:tab w:val="left" w:pos="2520"/>
        </w:tabs>
        <w:ind w:left="2520" w:hanging="360"/>
      </w:pPr>
      <w:rPr>
        <w:rFonts w:ascii="Arial" w:hAnsi="Arial" w:cs="Times New Roman" w:hint="default"/>
      </w:rPr>
    </w:lvl>
    <w:lvl w:ilvl="4">
      <w:start w:val="1"/>
      <w:numFmt w:val="bullet"/>
      <w:lvlText w:val="■"/>
      <w:lvlJc w:val="left"/>
      <w:pPr>
        <w:tabs>
          <w:tab w:val="left" w:pos="3240"/>
        </w:tabs>
        <w:ind w:left="3240" w:hanging="360"/>
      </w:pPr>
      <w:rPr>
        <w:rFonts w:ascii="Arial" w:hAnsi="Arial" w:cs="Times New Roman" w:hint="default"/>
      </w:rPr>
    </w:lvl>
    <w:lvl w:ilvl="5">
      <w:start w:val="1"/>
      <w:numFmt w:val="bullet"/>
      <w:lvlText w:val="■"/>
      <w:lvlJc w:val="left"/>
      <w:pPr>
        <w:tabs>
          <w:tab w:val="left" w:pos="3960"/>
        </w:tabs>
        <w:ind w:left="3960" w:hanging="360"/>
      </w:pPr>
      <w:rPr>
        <w:rFonts w:ascii="Arial" w:hAnsi="Arial" w:cs="Times New Roman" w:hint="default"/>
      </w:rPr>
    </w:lvl>
    <w:lvl w:ilvl="6">
      <w:start w:val="1"/>
      <w:numFmt w:val="bullet"/>
      <w:lvlText w:val="■"/>
      <w:lvlJc w:val="left"/>
      <w:pPr>
        <w:tabs>
          <w:tab w:val="left" w:pos="4680"/>
        </w:tabs>
        <w:ind w:left="4680" w:hanging="360"/>
      </w:pPr>
      <w:rPr>
        <w:rFonts w:ascii="Arial" w:hAnsi="Arial" w:cs="Times New Roman" w:hint="default"/>
      </w:rPr>
    </w:lvl>
    <w:lvl w:ilvl="7">
      <w:start w:val="1"/>
      <w:numFmt w:val="bullet"/>
      <w:lvlText w:val="■"/>
      <w:lvlJc w:val="left"/>
      <w:pPr>
        <w:tabs>
          <w:tab w:val="left" w:pos="5400"/>
        </w:tabs>
        <w:ind w:left="5400" w:hanging="360"/>
      </w:pPr>
      <w:rPr>
        <w:rFonts w:ascii="Arial" w:hAnsi="Arial" w:cs="Times New Roman" w:hint="default"/>
      </w:rPr>
    </w:lvl>
    <w:lvl w:ilvl="8">
      <w:start w:val="1"/>
      <w:numFmt w:val="bullet"/>
      <w:lvlText w:val="■"/>
      <w:lvlJc w:val="left"/>
      <w:pPr>
        <w:tabs>
          <w:tab w:val="left" w:pos="6120"/>
        </w:tabs>
        <w:ind w:left="6120" w:hanging="360"/>
      </w:pPr>
      <w:rPr>
        <w:rFonts w:ascii="Arial" w:hAnsi="Arial" w:cs="Times New Roman" w:hint="default"/>
      </w:rPr>
    </w:lvl>
  </w:abstractNum>
  <w:abstractNum w:abstractNumId="26" w15:restartNumberingAfterBreak="0">
    <w:nsid w:val="4D4D3AB5"/>
    <w:multiLevelType w:val="hybridMultilevel"/>
    <w:tmpl w:val="EC028A1C"/>
    <w:lvl w:ilvl="0" w:tplc="A8A08812">
      <w:start w:val="1"/>
      <w:numFmt w:val="decimal"/>
      <w:lvlText w:val="%1)"/>
      <w:lvlJc w:val="left"/>
      <w:pPr>
        <w:ind w:left="1440" w:hanging="360"/>
      </w:pPr>
      <w:rPr>
        <w:rFonts w:hint="default"/>
        <w:color w:val="auto"/>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7" w15:restartNumberingAfterBreak="0">
    <w:nsid w:val="4E21204F"/>
    <w:multiLevelType w:val="hybridMultilevel"/>
    <w:tmpl w:val="5A40B0CE"/>
    <w:lvl w:ilvl="0" w:tplc="18862440">
      <w:start w:val="1"/>
      <w:numFmt w:val="bullet"/>
      <w:lvlText w:val="-"/>
      <w:lvlJc w:val="left"/>
      <w:pPr>
        <w:ind w:left="1080" w:hanging="360"/>
      </w:pPr>
      <w:rPr>
        <w:rFonts w:ascii="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06F7275"/>
    <w:multiLevelType w:val="hybridMultilevel"/>
    <w:tmpl w:val="635C38CE"/>
    <w:lvl w:ilvl="0" w:tplc="18862440">
      <w:start w:val="1"/>
      <w:numFmt w:val="bullet"/>
      <w:lvlText w:val="-"/>
      <w:lvlJc w:val="left"/>
      <w:pPr>
        <w:ind w:left="1980" w:hanging="360"/>
      </w:pPr>
      <w:rPr>
        <w:rFonts w:ascii="Times New Roman" w:hAnsi="Times New Roman" w:cs="Times New Roman"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9" w15:restartNumberingAfterBreak="0">
    <w:nsid w:val="525F5B34"/>
    <w:multiLevelType w:val="hybridMultilevel"/>
    <w:tmpl w:val="EC44924C"/>
    <w:lvl w:ilvl="0" w:tplc="A8A08812">
      <w:start w:val="1"/>
      <w:numFmt w:val="decimal"/>
      <w:lvlText w:val="%1)"/>
      <w:lvlJc w:val="left"/>
      <w:pPr>
        <w:ind w:left="720" w:hanging="360"/>
      </w:pPr>
      <w:rPr>
        <w:rFont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4C7241B"/>
    <w:multiLevelType w:val="multilevel"/>
    <w:tmpl w:val="CFB27894"/>
    <w:lvl w:ilvl="0">
      <w:start w:val="1"/>
      <w:numFmt w:val="decimal"/>
      <w:lvlText w:val="%1)"/>
      <w:lvlJc w:val="left"/>
      <w:pPr>
        <w:ind w:left="1080" w:hanging="360"/>
      </w:pPr>
      <w:rPr>
        <w:rFonts w:hint="default"/>
        <w:color w:val="auto"/>
      </w:rPr>
    </w:lvl>
    <w:lvl w:ilvl="1">
      <w:start w:val="1"/>
      <w:numFmt w:val="bullet"/>
      <w:lvlText w:val="-"/>
      <w:lvlJc w:val="left"/>
      <w:pPr>
        <w:ind w:left="2160" w:hanging="360"/>
      </w:pPr>
      <w:rPr>
        <w:rFonts w:ascii="Times New Roman" w:hAnsi="Times New Roman" w:cs="Times New Roman"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1" w15:restartNumberingAfterBreak="0">
    <w:nsid w:val="57924D6D"/>
    <w:multiLevelType w:val="multilevel"/>
    <w:tmpl w:val="57924D6D"/>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Style2"/>
      <w:lvlText w:val="%1.%2.%3"/>
      <w:lvlJc w:val="left"/>
      <w:pPr>
        <w:ind w:left="720" w:hanging="720"/>
      </w:pPr>
      <w:rPr>
        <w:b w:val="0"/>
        <w:bCs w:val="0"/>
        <w:i w:val="0"/>
        <w:iCs w:val="0"/>
        <w:caps w:val="0"/>
        <w:smallCaps w:val="0"/>
        <w:strike w:val="0"/>
        <w:dstrike w:val="0"/>
        <w:outline w:val="0"/>
        <w:shadow w:val="0"/>
        <w:emboss w:val="0"/>
        <w:imprint w:val="0"/>
        <w:vanish w:val="0"/>
        <w:color w:val="4F2D7F" w:themeColor="accent1"/>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58A7413A"/>
    <w:multiLevelType w:val="multilevel"/>
    <w:tmpl w:val="A3E86C76"/>
    <w:lvl w:ilvl="0">
      <w:start w:val="1"/>
      <w:numFmt w:val="decimal"/>
      <w:lvlText w:val="%1)"/>
      <w:lvlJc w:val="left"/>
      <w:pPr>
        <w:ind w:left="810" w:hanging="360"/>
      </w:pPr>
      <w:rPr>
        <w:rFonts w:hint="default"/>
        <w:color w:val="auto"/>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rPr>
        <w:rFonts w:hint="default"/>
        <w:color w:val="auto"/>
      </w:r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33" w15:restartNumberingAfterBreak="0">
    <w:nsid w:val="5B04644B"/>
    <w:multiLevelType w:val="multilevel"/>
    <w:tmpl w:val="5B04644B"/>
    <w:lvl w:ilvl="0">
      <w:start w:val="1"/>
      <w:numFmt w:val="bullet"/>
      <w:lvlText w:val="•"/>
      <w:lvlJc w:val="left"/>
      <w:pPr>
        <w:ind w:left="720" w:hanging="360"/>
      </w:pPr>
      <w:rPr>
        <w:rFonts w:ascii="Times New Roman" w:hAnsi="Times New Roman" w:cs="Times New Roman"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5EAE059D"/>
    <w:multiLevelType w:val="hybridMultilevel"/>
    <w:tmpl w:val="EE22179A"/>
    <w:lvl w:ilvl="0" w:tplc="18862440">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246590F"/>
    <w:multiLevelType w:val="multilevel"/>
    <w:tmpl w:val="C792E4C4"/>
    <w:lvl w:ilvl="0">
      <w:start w:val="2"/>
      <w:numFmt w:val="upperLetter"/>
      <w:lvlText w:val="%1."/>
      <w:lvlJc w:val="left"/>
      <w:pPr>
        <w:ind w:left="1495" w:hanging="360"/>
      </w:pPr>
      <w:rPr>
        <w:rFonts w:hint="default"/>
        <w:b w:val="0"/>
      </w:rPr>
    </w:lvl>
    <w:lvl w:ilvl="1">
      <w:start w:val="1"/>
      <w:numFmt w:val="lowerLetter"/>
      <w:lvlText w:val="%2."/>
      <w:lvlJc w:val="left"/>
      <w:pPr>
        <w:ind w:left="1855" w:hanging="360"/>
      </w:pPr>
    </w:lvl>
    <w:lvl w:ilvl="2">
      <w:start w:val="1"/>
      <w:numFmt w:val="lowerRoman"/>
      <w:lvlText w:val="%3."/>
      <w:lvlJc w:val="right"/>
      <w:pPr>
        <w:ind w:left="2575" w:hanging="180"/>
      </w:pPr>
    </w:lvl>
    <w:lvl w:ilvl="3">
      <w:start w:val="1"/>
      <w:numFmt w:val="decimal"/>
      <w:lvlText w:val="%4."/>
      <w:lvlJc w:val="left"/>
      <w:pPr>
        <w:ind w:left="3295" w:hanging="360"/>
      </w:pPr>
    </w:lvl>
    <w:lvl w:ilvl="4">
      <w:start w:val="1"/>
      <w:numFmt w:val="lowerLetter"/>
      <w:lvlText w:val="%5."/>
      <w:lvlJc w:val="left"/>
      <w:pPr>
        <w:ind w:left="4015" w:hanging="360"/>
      </w:pPr>
    </w:lvl>
    <w:lvl w:ilvl="5">
      <w:start w:val="1"/>
      <w:numFmt w:val="lowerRoman"/>
      <w:lvlText w:val="%6."/>
      <w:lvlJc w:val="right"/>
      <w:pPr>
        <w:ind w:left="4735" w:hanging="180"/>
      </w:pPr>
    </w:lvl>
    <w:lvl w:ilvl="6">
      <w:start w:val="1"/>
      <w:numFmt w:val="decimal"/>
      <w:lvlText w:val="%7."/>
      <w:lvlJc w:val="left"/>
      <w:pPr>
        <w:ind w:left="5455" w:hanging="360"/>
      </w:pPr>
    </w:lvl>
    <w:lvl w:ilvl="7">
      <w:start w:val="1"/>
      <w:numFmt w:val="lowerLetter"/>
      <w:lvlText w:val="%8."/>
      <w:lvlJc w:val="left"/>
      <w:pPr>
        <w:ind w:left="6175" w:hanging="360"/>
      </w:pPr>
    </w:lvl>
    <w:lvl w:ilvl="8">
      <w:start w:val="1"/>
      <w:numFmt w:val="lowerRoman"/>
      <w:lvlText w:val="%9."/>
      <w:lvlJc w:val="right"/>
      <w:pPr>
        <w:ind w:left="6895" w:hanging="180"/>
      </w:pPr>
    </w:lvl>
  </w:abstractNum>
  <w:abstractNum w:abstractNumId="36" w15:restartNumberingAfterBreak="0">
    <w:nsid w:val="655F3FD5"/>
    <w:multiLevelType w:val="hybridMultilevel"/>
    <w:tmpl w:val="326A5E8C"/>
    <w:lvl w:ilvl="0" w:tplc="18862440">
      <w:start w:val="1"/>
      <w:numFmt w:val="bullet"/>
      <w:lvlText w:val="-"/>
      <w:lvlJc w:val="left"/>
      <w:pPr>
        <w:ind w:left="1080" w:hanging="360"/>
      </w:pPr>
      <w:rPr>
        <w:rFonts w:ascii="Times New Roman"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 w15:restartNumberingAfterBreak="0">
    <w:nsid w:val="65774FA4"/>
    <w:multiLevelType w:val="hybridMultilevel"/>
    <w:tmpl w:val="AFD2A2CC"/>
    <w:lvl w:ilvl="0" w:tplc="A8A08812">
      <w:start w:val="1"/>
      <w:numFmt w:val="decimal"/>
      <w:lvlText w:val="%1)"/>
      <w:lvlJc w:val="left"/>
      <w:pPr>
        <w:ind w:left="900" w:hanging="360"/>
      </w:pPr>
      <w:rPr>
        <w:rFonts w:hint="default"/>
        <w:color w:val="auto"/>
      </w:rPr>
    </w:lvl>
    <w:lvl w:ilvl="1" w:tplc="FFFFFFFF" w:tentative="1">
      <w:start w:val="1"/>
      <w:numFmt w:val="bullet"/>
      <w:lvlText w:val="o"/>
      <w:lvlJc w:val="left"/>
      <w:pPr>
        <w:ind w:left="1620" w:hanging="360"/>
      </w:pPr>
      <w:rPr>
        <w:rFonts w:ascii="Courier New" w:hAnsi="Courier New" w:cs="Courier New" w:hint="default"/>
      </w:rPr>
    </w:lvl>
    <w:lvl w:ilvl="2" w:tplc="FFFFFFFF" w:tentative="1">
      <w:start w:val="1"/>
      <w:numFmt w:val="bullet"/>
      <w:lvlText w:val=""/>
      <w:lvlJc w:val="left"/>
      <w:pPr>
        <w:ind w:left="2340" w:hanging="360"/>
      </w:pPr>
      <w:rPr>
        <w:rFonts w:ascii="Wingdings" w:hAnsi="Wingdings" w:hint="default"/>
      </w:rPr>
    </w:lvl>
    <w:lvl w:ilvl="3" w:tplc="FFFFFFFF" w:tentative="1">
      <w:start w:val="1"/>
      <w:numFmt w:val="bullet"/>
      <w:lvlText w:val=""/>
      <w:lvlJc w:val="left"/>
      <w:pPr>
        <w:ind w:left="3060" w:hanging="360"/>
      </w:pPr>
      <w:rPr>
        <w:rFonts w:ascii="Symbol" w:hAnsi="Symbol" w:hint="default"/>
      </w:rPr>
    </w:lvl>
    <w:lvl w:ilvl="4" w:tplc="FFFFFFFF" w:tentative="1">
      <w:start w:val="1"/>
      <w:numFmt w:val="bullet"/>
      <w:lvlText w:val="o"/>
      <w:lvlJc w:val="left"/>
      <w:pPr>
        <w:ind w:left="3780" w:hanging="360"/>
      </w:pPr>
      <w:rPr>
        <w:rFonts w:ascii="Courier New" w:hAnsi="Courier New" w:cs="Courier New" w:hint="default"/>
      </w:rPr>
    </w:lvl>
    <w:lvl w:ilvl="5" w:tplc="FFFFFFFF" w:tentative="1">
      <w:start w:val="1"/>
      <w:numFmt w:val="bullet"/>
      <w:lvlText w:val=""/>
      <w:lvlJc w:val="left"/>
      <w:pPr>
        <w:ind w:left="4500" w:hanging="360"/>
      </w:pPr>
      <w:rPr>
        <w:rFonts w:ascii="Wingdings" w:hAnsi="Wingdings" w:hint="default"/>
      </w:rPr>
    </w:lvl>
    <w:lvl w:ilvl="6" w:tplc="FFFFFFFF" w:tentative="1">
      <w:start w:val="1"/>
      <w:numFmt w:val="bullet"/>
      <w:lvlText w:val=""/>
      <w:lvlJc w:val="left"/>
      <w:pPr>
        <w:ind w:left="5220" w:hanging="360"/>
      </w:pPr>
      <w:rPr>
        <w:rFonts w:ascii="Symbol" w:hAnsi="Symbol" w:hint="default"/>
      </w:rPr>
    </w:lvl>
    <w:lvl w:ilvl="7" w:tplc="FFFFFFFF" w:tentative="1">
      <w:start w:val="1"/>
      <w:numFmt w:val="bullet"/>
      <w:lvlText w:val="o"/>
      <w:lvlJc w:val="left"/>
      <w:pPr>
        <w:ind w:left="5940" w:hanging="360"/>
      </w:pPr>
      <w:rPr>
        <w:rFonts w:ascii="Courier New" w:hAnsi="Courier New" w:cs="Courier New" w:hint="default"/>
      </w:rPr>
    </w:lvl>
    <w:lvl w:ilvl="8" w:tplc="FFFFFFFF" w:tentative="1">
      <w:start w:val="1"/>
      <w:numFmt w:val="bullet"/>
      <w:lvlText w:val=""/>
      <w:lvlJc w:val="left"/>
      <w:pPr>
        <w:ind w:left="6660" w:hanging="360"/>
      </w:pPr>
      <w:rPr>
        <w:rFonts w:ascii="Wingdings" w:hAnsi="Wingdings" w:hint="default"/>
      </w:rPr>
    </w:lvl>
  </w:abstractNum>
  <w:abstractNum w:abstractNumId="38" w15:restartNumberingAfterBreak="0">
    <w:nsid w:val="6B7356C9"/>
    <w:multiLevelType w:val="hybridMultilevel"/>
    <w:tmpl w:val="42E01A10"/>
    <w:lvl w:ilvl="0" w:tplc="18862440">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4738E9"/>
    <w:multiLevelType w:val="multilevel"/>
    <w:tmpl w:val="C0A2BC90"/>
    <w:lvl w:ilvl="0">
      <w:start w:val="1"/>
      <w:numFmt w:val="bullet"/>
      <w:lvlText w:val="-"/>
      <w:lvlJc w:val="left"/>
      <w:pPr>
        <w:ind w:left="720" w:hanging="360"/>
      </w:pPr>
      <w:rPr>
        <w:rFonts w:ascii="Times New Roman" w:hAnsi="Times New Roman" w:cs="Times New Roman"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6C6D6474"/>
    <w:multiLevelType w:val="hybridMultilevel"/>
    <w:tmpl w:val="241EDC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CCF0B72"/>
    <w:multiLevelType w:val="multilevel"/>
    <w:tmpl w:val="E4F062F2"/>
    <w:lvl w:ilvl="0">
      <w:start w:val="1"/>
      <w:numFmt w:val="bullet"/>
      <w:lvlText w:val="-"/>
      <w:lvlJc w:val="left"/>
      <w:pPr>
        <w:tabs>
          <w:tab w:val="left" w:pos="360"/>
        </w:tabs>
        <w:ind w:left="360" w:hanging="360"/>
      </w:pPr>
      <w:rPr>
        <w:rFonts w:ascii="Times New Roman" w:hAnsi="Times New Roman" w:cs="Times New Roman" w:hint="default"/>
        <w:color w:val="auto"/>
      </w:rPr>
    </w:lvl>
    <w:lvl w:ilvl="1">
      <w:start w:val="1"/>
      <w:numFmt w:val="bullet"/>
      <w:lvlText w:val="■"/>
      <w:lvlJc w:val="left"/>
      <w:pPr>
        <w:tabs>
          <w:tab w:val="left" w:pos="1080"/>
        </w:tabs>
        <w:ind w:left="1080" w:hanging="360"/>
      </w:pPr>
      <w:rPr>
        <w:rFonts w:ascii="Arial" w:hAnsi="Arial" w:cs="Times New Roman" w:hint="default"/>
      </w:rPr>
    </w:lvl>
    <w:lvl w:ilvl="2">
      <w:start w:val="1"/>
      <w:numFmt w:val="bullet"/>
      <w:lvlText w:val="■"/>
      <w:lvlJc w:val="left"/>
      <w:pPr>
        <w:tabs>
          <w:tab w:val="left" w:pos="1800"/>
        </w:tabs>
        <w:ind w:left="1800" w:hanging="360"/>
      </w:pPr>
      <w:rPr>
        <w:rFonts w:ascii="Arial" w:hAnsi="Arial" w:cs="Times New Roman" w:hint="default"/>
      </w:rPr>
    </w:lvl>
    <w:lvl w:ilvl="3">
      <w:start w:val="1"/>
      <w:numFmt w:val="bullet"/>
      <w:lvlText w:val="■"/>
      <w:lvlJc w:val="left"/>
      <w:pPr>
        <w:tabs>
          <w:tab w:val="left" w:pos="2520"/>
        </w:tabs>
        <w:ind w:left="2520" w:hanging="360"/>
      </w:pPr>
      <w:rPr>
        <w:rFonts w:ascii="Arial" w:hAnsi="Arial" w:cs="Times New Roman" w:hint="default"/>
      </w:rPr>
    </w:lvl>
    <w:lvl w:ilvl="4">
      <w:start w:val="1"/>
      <w:numFmt w:val="bullet"/>
      <w:lvlText w:val="■"/>
      <w:lvlJc w:val="left"/>
      <w:pPr>
        <w:tabs>
          <w:tab w:val="left" w:pos="3240"/>
        </w:tabs>
        <w:ind w:left="3240" w:hanging="360"/>
      </w:pPr>
      <w:rPr>
        <w:rFonts w:ascii="Arial" w:hAnsi="Arial" w:cs="Times New Roman" w:hint="default"/>
      </w:rPr>
    </w:lvl>
    <w:lvl w:ilvl="5">
      <w:start w:val="1"/>
      <w:numFmt w:val="bullet"/>
      <w:lvlText w:val="■"/>
      <w:lvlJc w:val="left"/>
      <w:pPr>
        <w:tabs>
          <w:tab w:val="left" w:pos="3960"/>
        </w:tabs>
        <w:ind w:left="3960" w:hanging="360"/>
      </w:pPr>
      <w:rPr>
        <w:rFonts w:ascii="Arial" w:hAnsi="Arial" w:cs="Times New Roman" w:hint="default"/>
      </w:rPr>
    </w:lvl>
    <w:lvl w:ilvl="6">
      <w:start w:val="1"/>
      <w:numFmt w:val="bullet"/>
      <w:lvlText w:val="■"/>
      <w:lvlJc w:val="left"/>
      <w:pPr>
        <w:tabs>
          <w:tab w:val="left" w:pos="4680"/>
        </w:tabs>
        <w:ind w:left="4680" w:hanging="360"/>
      </w:pPr>
      <w:rPr>
        <w:rFonts w:ascii="Arial" w:hAnsi="Arial" w:cs="Times New Roman" w:hint="default"/>
      </w:rPr>
    </w:lvl>
    <w:lvl w:ilvl="7">
      <w:start w:val="1"/>
      <w:numFmt w:val="bullet"/>
      <w:lvlText w:val="■"/>
      <w:lvlJc w:val="left"/>
      <w:pPr>
        <w:tabs>
          <w:tab w:val="left" w:pos="5400"/>
        </w:tabs>
        <w:ind w:left="5400" w:hanging="360"/>
      </w:pPr>
      <w:rPr>
        <w:rFonts w:ascii="Arial" w:hAnsi="Arial" w:cs="Times New Roman" w:hint="default"/>
      </w:rPr>
    </w:lvl>
    <w:lvl w:ilvl="8">
      <w:start w:val="1"/>
      <w:numFmt w:val="bullet"/>
      <w:lvlText w:val="■"/>
      <w:lvlJc w:val="left"/>
      <w:pPr>
        <w:tabs>
          <w:tab w:val="left" w:pos="6120"/>
        </w:tabs>
        <w:ind w:left="6120" w:hanging="360"/>
      </w:pPr>
      <w:rPr>
        <w:rFonts w:ascii="Arial" w:hAnsi="Arial" w:cs="Times New Roman" w:hint="default"/>
      </w:rPr>
    </w:lvl>
  </w:abstractNum>
  <w:abstractNum w:abstractNumId="42" w15:restartNumberingAfterBreak="0">
    <w:nsid w:val="70DB4274"/>
    <w:multiLevelType w:val="multilevel"/>
    <w:tmpl w:val="673C08B8"/>
    <w:lvl w:ilvl="0">
      <w:start w:val="1"/>
      <w:numFmt w:val="bullet"/>
      <w:lvlText w:val="-"/>
      <w:lvlJc w:val="left"/>
      <w:pPr>
        <w:ind w:left="2520" w:hanging="360"/>
      </w:pPr>
      <w:rPr>
        <w:rFonts w:ascii="Times New Roman" w:hAnsi="Times New Roman" w:cs="Times New Roman" w:hint="default"/>
        <w:color w:val="auto"/>
      </w:rPr>
    </w:lvl>
    <w:lvl w:ilvl="1">
      <w:start w:val="1"/>
      <w:numFmt w:val="bullet"/>
      <w:lvlText w:val="o"/>
      <w:lvlJc w:val="left"/>
      <w:pPr>
        <w:ind w:left="3240" w:hanging="360"/>
      </w:pPr>
      <w:rPr>
        <w:rFonts w:ascii="Courier New" w:hAnsi="Courier New" w:cs="Courier New" w:hint="default"/>
      </w:rPr>
    </w:lvl>
    <w:lvl w:ilvl="2">
      <w:start w:val="1"/>
      <w:numFmt w:val="bullet"/>
      <w:lvlText w:val="o"/>
      <w:lvlJc w:val="left"/>
      <w:pPr>
        <w:ind w:left="2880" w:hanging="360"/>
      </w:pPr>
      <w:rPr>
        <w:rFonts w:ascii="Courier New" w:hAnsi="Courier New" w:cs="Courier New" w:hint="default"/>
      </w:rPr>
    </w:lvl>
    <w:lvl w:ilvl="3">
      <w:start w:val="1"/>
      <w:numFmt w:val="bullet"/>
      <w:lvlText w:val=""/>
      <w:lvlJc w:val="left"/>
      <w:pPr>
        <w:ind w:left="4680" w:hanging="360"/>
      </w:pPr>
      <w:rPr>
        <w:rFonts w:ascii="Symbol" w:hAnsi="Symbol" w:hint="default"/>
      </w:rPr>
    </w:lvl>
    <w:lvl w:ilvl="4">
      <w:start w:val="1"/>
      <w:numFmt w:val="bullet"/>
      <w:lvlText w:val="o"/>
      <w:lvlJc w:val="left"/>
      <w:pPr>
        <w:ind w:left="5400" w:hanging="360"/>
      </w:pPr>
      <w:rPr>
        <w:rFonts w:ascii="Courier New" w:hAnsi="Courier New" w:cs="Courier New" w:hint="default"/>
      </w:rPr>
    </w:lvl>
    <w:lvl w:ilvl="5">
      <w:start w:val="1"/>
      <w:numFmt w:val="bullet"/>
      <w:lvlText w:val=""/>
      <w:lvlJc w:val="left"/>
      <w:pPr>
        <w:ind w:left="6120" w:hanging="360"/>
      </w:pPr>
      <w:rPr>
        <w:rFonts w:ascii="Wingdings" w:hAnsi="Wingdings" w:hint="default"/>
      </w:rPr>
    </w:lvl>
    <w:lvl w:ilvl="6">
      <w:start w:val="1"/>
      <w:numFmt w:val="bullet"/>
      <w:lvlText w:val=""/>
      <w:lvlJc w:val="left"/>
      <w:pPr>
        <w:ind w:left="6840" w:hanging="360"/>
      </w:pPr>
      <w:rPr>
        <w:rFonts w:ascii="Symbol" w:hAnsi="Symbol" w:hint="default"/>
      </w:rPr>
    </w:lvl>
    <w:lvl w:ilvl="7">
      <w:start w:val="1"/>
      <w:numFmt w:val="bullet"/>
      <w:lvlText w:val="o"/>
      <w:lvlJc w:val="left"/>
      <w:pPr>
        <w:ind w:left="7560" w:hanging="360"/>
      </w:pPr>
      <w:rPr>
        <w:rFonts w:ascii="Courier New" w:hAnsi="Courier New" w:cs="Courier New" w:hint="default"/>
      </w:rPr>
    </w:lvl>
    <w:lvl w:ilvl="8">
      <w:start w:val="1"/>
      <w:numFmt w:val="bullet"/>
      <w:lvlText w:val=""/>
      <w:lvlJc w:val="left"/>
      <w:pPr>
        <w:ind w:left="8280" w:hanging="360"/>
      </w:pPr>
      <w:rPr>
        <w:rFonts w:ascii="Wingdings" w:hAnsi="Wingdings" w:hint="default"/>
      </w:rPr>
    </w:lvl>
  </w:abstractNum>
  <w:abstractNum w:abstractNumId="43" w15:restartNumberingAfterBreak="0">
    <w:nsid w:val="732C245E"/>
    <w:multiLevelType w:val="multilevel"/>
    <w:tmpl w:val="732C245E"/>
    <w:lvl w:ilvl="0">
      <w:start w:val="1"/>
      <w:numFmt w:val="decimal"/>
      <w:lvlText w:val="%1."/>
      <w:lvlJc w:val="left"/>
      <w:pPr>
        <w:ind w:left="810" w:hanging="360"/>
      </w:pPr>
      <w:rPr>
        <w:rFonts w:hint="default"/>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44" w15:restartNumberingAfterBreak="0">
    <w:nsid w:val="75BD303D"/>
    <w:multiLevelType w:val="multilevel"/>
    <w:tmpl w:val="F4B8F594"/>
    <w:lvl w:ilvl="0">
      <w:start w:val="1"/>
      <w:numFmt w:val="bullet"/>
      <w:lvlText w:val="-"/>
      <w:lvlJc w:val="left"/>
      <w:pPr>
        <w:ind w:left="720" w:hanging="360"/>
      </w:pPr>
      <w:rPr>
        <w:rFonts w:ascii="Times New Roman" w:hAnsi="Times New Roman" w:cs="Times New Roman"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5" w15:restartNumberingAfterBreak="0">
    <w:nsid w:val="76BA1E6B"/>
    <w:multiLevelType w:val="hybridMultilevel"/>
    <w:tmpl w:val="4D0C5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83D18C3"/>
    <w:multiLevelType w:val="hybridMultilevel"/>
    <w:tmpl w:val="CAFA6F4E"/>
    <w:lvl w:ilvl="0" w:tplc="18862440">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792E1B12"/>
    <w:multiLevelType w:val="hybridMultilevel"/>
    <w:tmpl w:val="5B46E60E"/>
    <w:lvl w:ilvl="0" w:tplc="18862440">
      <w:start w:val="1"/>
      <w:numFmt w:val="bullet"/>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7B4D1474"/>
    <w:multiLevelType w:val="hybridMultilevel"/>
    <w:tmpl w:val="F612C3D8"/>
    <w:lvl w:ilvl="0" w:tplc="18862440">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BCA4892"/>
    <w:multiLevelType w:val="hybridMultilevel"/>
    <w:tmpl w:val="7C36C02C"/>
    <w:lvl w:ilvl="0" w:tplc="18862440">
      <w:start w:val="1"/>
      <w:numFmt w:val="bullet"/>
      <w:lvlText w:val="-"/>
      <w:lvlJc w:val="left"/>
      <w:pPr>
        <w:ind w:left="0" w:hanging="360"/>
      </w:pPr>
      <w:rPr>
        <w:rFonts w:ascii="Times New Roman" w:hAnsi="Times New Roman"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num w:numId="1" w16cid:durableId="433134695">
    <w:abstractNumId w:val="31"/>
  </w:num>
  <w:num w:numId="2" w16cid:durableId="1475022529">
    <w:abstractNumId w:val="43"/>
  </w:num>
  <w:num w:numId="3" w16cid:durableId="475146628">
    <w:abstractNumId w:val="35"/>
  </w:num>
  <w:num w:numId="4" w16cid:durableId="636837120">
    <w:abstractNumId w:val="33"/>
  </w:num>
  <w:num w:numId="5" w16cid:durableId="1746104417">
    <w:abstractNumId w:val="23"/>
  </w:num>
  <w:num w:numId="6" w16cid:durableId="1824160671">
    <w:abstractNumId w:val="49"/>
  </w:num>
  <w:num w:numId="7" w16cid:durableId="640887888">
    <w:abstractNumId w:val="46"/>
  </w:num>
  <w:num w:numId="8" w16cid:durableId="340856391">
    <w:abstractNumId w:val="12"/>
  </w:num>
  <w:num w:numId="9" w16cid:durableId="1745641023">
    <w:abstractNumId w:val="38"/>
  </w:num>
  <w:num w:numId="10" w16cid:durableId="1223252311">
    <w:abstractNumId w:val="4"/>
  </w:num>
  <w:num w:numId="11" w16cid:durableId="1581258891">
    <w:abstractNumId w:val="45"/>
  </w:num>
  <w:num w:numId="12" w16cid:durableId="1129938084">
    <w:abstractNumId w:val="39"/>
  </w:num>
  <w:num w:numId="13" w16cid:durableId="68113553">
    <w:abstractNumId w:val="44"/>
  </w:num>
  <w:num w:numId="14" w16cid:durableId="937563397">
    <w:abstractNumId w:val="24"/>
  </w:num>
  <w:num w:numId="15" w16cid:durableId="679626977">
    <w:abstractNumId w:val="19"/>
  </w:num>
  <w:num w:numId="16" w16cid:durableId="1527254603">
    <w:abstractNumId w:val="3"/>
  </w:num>
  <w:num w:numId="17" w16cid:durableId="462042366">
    <w:abstractNumId w:val="14"/>
  </w:num>
  <w:num w:numId="18" w16cid:durableId="1675719721">
    <w:abstractNumId w:val="18"/>
  </w:num>
  <w:num w:numId="19" w16cid:durableId="857280309">
    <w:abstractNumId w:val="41"/>
  </w:num>
  <w:num w:numId="20" w16cid:durableId="657804014">
    <w:abstractNumId w:val="9"/>
  </w:num>
  <w:num w:numId="21" w16cid:durableId="1409376337">
    <w:abstractNumId w:val="11"/>
  </w:num>
  <w:num w:numId="22" w16cid:durableId="1025910954">
    <w:abstractNumId w:val="21"/>
  </w:num>
  <w:num w:numId="23" w16cid:durableId="228073681">
    <w:abstractNumId w:val="7"/>
  </w:num>
  <w:num w:numId="24" w16cid:durableId="2073918088">
    <w:abstractNumId w:val="1"/>
  </w:num>
  <w:num w:numId="25" w16cid:durableId="716514715">
    <w:abstractNumId w:val="25"/>
  </w:num>
  <w:num w:numId="26" w16cid:durableId="309016929">
    <w:abstractNumId w:val="10"/>
  </w:num>
  <w:num w:numId="27" w16cid:durableId="1052733289">
    <w:abstractNumId w:val="16"/>
  </w:num>
  <w:num w:numId="28" w16cid:durableId="371734210">
    <w:abstractNumId w:val="0"/>
  </w:num>
  <w:num w:numId="29" w16cid:durableId="1474639556">
    <w:abstractNumId w:val="6"/>
  </w:num>
  <w:num w:numId="30" w16cid:durableId="755055151">
    <w:abstractNumId w:val="32"/>
  </w:num>
  <w:num w:numId="31" w16cid:durableId="591814796">
    <w:abstractNumId w:val="47"/>
  </w:num>
  <w:num w:numId="32" w16cid:durableId="691951958">
    <w:abstractNumId w:val="42"/>
  </w:num>
  <w:num w:numId="33" w16cid:durableId="438066434">
    <w:abstractNumId w:val="13"/>
  </w:num>
  <w:num w:numId="34" w16cid:durableId="1829246142">
    <w:abstractNumId w:val="36"/>
  </w:num>
  <w:num w:numId="35" w16cid:durableId="1089542898">
    <w:abstractNumId w:val="27"/>
  </w:num>
  <w:num w:numId="36" w16cid:durableId="142354826">
    <w:abstractNumId w:val="17"/>
  </w:num>
  <w:num w:numId="37" w16cid:durableId="2145341871">
    <w:abstractNumId w:val="28"/>
  </w:num>
  <w:num w:numId="38" w16cid:durableId="1916819853">
    <w:abstractNumId w:val="29"/>
  </w:num>
  <w:num w:numId="39" w16cid:durableId="1862402641">
    <w:abstractNumId w:val="20"/>
  </w:num>
  <w:num w:numId="40" w16cid:durableId="1990935189">
    <w:abstractNumId w:val="37"/>
  </w:num>
  <w:num w:numId="41" w16cid:durableId="978732471">
    <w:abstractNumId w:val="15"/>
  </w:num>
  <w:num w:numId="42" w16cid:durableId="649138168">
    <w:abstractNumId w:val="34"/>
  </w:num>
  <w:num w:numId="43" w16cid:durableId="1542783939">
    <w:abstractNumId w:val="22"/>
  </w:num>
  <w:num w:numId="44" w16cid:durableId="1185290189">
    <w:abstractNumId w:val="5"/>
  </w:num>
  <w:num w:numId="45" w16cid:durableId="1156218869">
    <w:abstractNumId w:val="48"/>
  </w:num>
  <w:num w:numId="46" w16cid:durableId="650522942">
    <w:abstractNumId w:val="26"/>
  </w:num>
  <w:num w:numId="47" w16cid:durableId="1680081127">
    <w:abstractNumId w:val="2"/>
  </w:num>
  <w:num w:numId="48" w16cid:durableId="100077225">
    <w:abstractNumId w:val="8"/>
  </w:num>
  <w:num w:numId="49" w16cid:durableId="1436942971">
    <w:abstractNumId w:val="30"/>
  </w:num>
  <w:num w:numId="50" w16cid:durableId="439104995">
    <w:abstractNumId w:val="4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noPunctuationKerning/>
  <w:characterSpacingControl w:val="doNotCompress"/>
  <w:hdrShapeDefaults>
    <o:shapedefaults v:ext="edit" spidmax="2050" fillcolor="white">
      <v:fill color="white"/>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55F7"/>
    <w:rsid w:val="00000B6D"/>
    <w:rsid w:val="00000BB3"/>
    <w:rsid w:val="00000C3B"/>
    <w:rsid w:val="00001203"/>
    <w:rsid w:val="000015CA"/>
    <w:rsid w:val="00001682"/>
    <w:rsid w:val="0000168F"/>
    <w:rsid w:val="00001690"/>
    <w:rsid w:val="00001E3D"/>
    <w:rsid w:val="000029F9"/>
    <w:rsid w:val="0000334E"/>
    <w:rsid w:val="00003829"/>
    <w:rsid w:val="00003D20"/>
    <w:rsid w:val="00003EC3"/>
    <w:rsid w:val="00003F33"/>
    <w:rsid w:val="00004130"/>
    <w:rsid w:val="000044B7"/>
    <w:rsid w:val="00004693"/>
    <w:rsid w:val="000048FE"/>
    <w:rsid w:val="00004D86"/>
    <w:rsid w:val="000063B6"/>
    <w:rsid w:val="00007782"/>
    <w:rsid w:val="000078C2"/>
    <w:rsid w:val="00007A41"/>
    <w:rsid w:val="000114DC"/>
    <w:rsid w:val="000114EC"/>
    <w:rsid w:val="000116A8"/>
    <w:rsid w:val="00011780"/>
    <w:rsid w:val="0001181D"/>
    <w:rsid w:val="00011928"/>
    <w:rsid w:val="00011935"/>
    <w:rsid w:val="000121E9"/>
    <w:rsid w:val="000126C0"/>
    <w:rsid w:val="00012CA0"/>
    <w:rsid w:val="00013BAC"/>
    <w:rsid w:val="000141DC"/>
    <w:rsid w:val="0001457F"/>
    <w:rsid w:val="00014E06"/>
    <w:rsid w:val="000155C1"/>
    <w:rsid w:val="00015EAD"/>
    <w:rsid w:val="00017639"/>
    <w:rsid w:val="00017759"/>
    <w:rsid w:val="00017765"/>
    <w:rsid w:val="000177DC"/>
    <w:rsid w:val="00020092"/>
    <w:rsid w:val="000200DD"/>
    <w:rsid w:val="000200DF"/>
    <w:rsid w:val="0002054A"/>
    <w:rsid w:val="00020AA0"/>
    <w:rsid w:val="00020BC6"/>
    <w:rsid w:val="00021E0E"/>
    <w:rsid w:val="0002238D"/>
    <w:rsid w:val="00022612"/>
    <w:rsid w:val="00022DE6"/>
    <w:rsid w:val="00022E88"/>
    <w:rsid w:val="00022F62"/>
    <w:rsid w:val="00023278"/>
    <w:rsid w:val="00023916"/>
    <w:rsid w:val="00023C5A"/>
    <w:rsid w:val="00023E2C"/>
    <w:rsid w:val="00024108"/>
    <w:rsid w:val="000247AE"/>
    <w:rsid w:val="00024D5F"/>
    <w:rsid w:val="000252CE"/>
    <w:rsid w:val="0002598E"/>
    <w:rsid w:val="00025B84"/>
    <w:rsid w:val="00026151"/>
    <w:rsid w:val="00026A20"/>
    <w:rsid w:val="00026FF0"/>
    <w:rsid w:val="000273E4"/>
    <w:rsid w:val="000275C1"/>
    <w:rsid w:val="00030159"/>
    <w:rsid w:val="00030A4E"/>
    <w:rsid w:val="00030DD1"/>
    <w:rsid w:val="00030DD2"/>
    <w:rsid w:val="00030E5A"/>
    <w:rsid w:val="000313BC"/>
    <w:rsid w:val="0003175A"/>
    <w:rsid w:val="00031DE8"/>
    <w:rsid w:val="00031EE0"/>
    <w:rsid w:val="0003272F"/>
    <w:rsid w:val="00033C1F"/>
    <w:rsid w:val="000340CD"/>
    <w:rsid w:val="000343C2"/>
    <w:rsid w:val="000344CD"/>
    <w:rsid w:val="00034B98"/>
    <w:rsid w:val="00034BD8"/>
    <w:rsid w:val="00034C44"/>
    <w:rsid w:val="00034EEE"/>
    <w:rsid w:val="00034EF6"/>
    <w:rsid w:val="000354AD"/>
    <w:rsid w:val="0003586E"/>
    <w:rsid w:val="00035F07"/>
    <w:rsid w:val="0003694E"/>
    <w:rsid w:val="00036B75"/>
    <w:rsid w:val="00036BCE"/>
    <w:rsid w:val="00036C72"/>
    <w:rsid w:val="00036CE2"/>
    <w:rsid w:val="00036F79"/>
    <w:rsid w:val="00037163"/>
    <w:rsid w:val="000371C5"/>
    <w:rsid w:val="00037C77"/>
    <w:rsid w:val="0004036C"/>
    <w:rsid w:val="000416EE"/>
    <w:rsid w:val="0004198B"/>
    <w:rsid w:val="000422F5"/>
    <w:rsid w:val="000424BF"/>
    <w:rsid w:val="0004285F"/>
    <w:rsid w:val="000428A5"/>
    <w:rsid w:val="00042FBF"/>
    <w:rsid w:val="00043B08"/>
    <w:rsid w:val="00043C21"/>
    <w:rsid w:val="00043C44"/>
    <w:rsid w:val="00043E74"/>
    <w:rsid w:val="00043FAD"/>
    <w:rsid w:val="0004407A"/>
    <w:rsid w:val="00044C49"/>
    <w:rsid w:val="00044C93"/>
    <w:rsid w:val="000451E8"/>
    <w:rsid w:val="000453EA"/>
    <w:rsid w:val="00045CC6"/>
    <w:rsid w:val="000462FB"/>
    <w:rsid w:val="00046375"/>
    <w:rsid w:val="00046AAE"/>
    <w:rsid w:val="00046D7B"/>
    <w:rsid w:val="00047502"/>
    <w:rsid w:val="00047A7F"/>
    <w:rsid w:val="00047B4F"/>
    <w:rsid w:val="00047DAF"/>
    <w:rsid w:val="00047F75"/>
    <w:rsid w:val="0005038A"/>
    <w:rsid w:val="000503A5"/>
    <w:rsid w:val="000506EA"/>
    <w:rsid w:val="00051148"/>
    <w:rsid w:val="00051654"/>
    <w:rsid w:val="000519F6"/>
    <w:rsid w:val="00051CDE"/>
    <w:rsid w:val="00051D91"/>
    <w:rsid w:val="00052502"/>
    <w:rsid w:val="0005287D"/>
    <w:rsid w:val="00052E1C"/>
    <w:rsid w:val="00052FC3"/>
    <w:rsid w:val="000530D5"/>
    <w:rsid w:val="00053352"/>
    <w:rsid w:val="00053439"/>
    <w:rsid w:val="000544D3"/>
    <w:rsid w:val="000551FF"/>
    <w:rsid w:val="0005591A"/>
    <w:rsid w:val="00055F28"/>
    <w:rsid w:val="000562A0"/>
    <w:rsid w:val="00056864"/>
    <w:rsid w:val="00056908"/>
    <w:rsid w:val="000574DC"/>
    <w:rsid w:val="00060870"/>
    <w:rsid w:val="00060A9D"/>
    <w:rsid w:val="00060D39"/>
    <w:rsid w:val="00060DB1"/>
    <w:rsid w:val="0006103C"/>
    <w:rsid w:val="00061830"/>
    <w:rsid w:val="0006193A"/>
    <w:rsid w:val="0006251B"/>
    <w:rsid w:val="0006254D"/>
    <w:rsid w:val="000629B9"/>
    <w:rsid w:val="00062E50"/>
    <w:rsid w:val="000630E0"/>
    <w:rsid w:val="000635EE"/>
    <w:rsid w:val="000637A4"/>
    <w:rsid w:val="00063AA1"/>
    <w:rsid w:val="00063CBB"/>
    <w:rsid w:val="00065651"/>
    <w:rsid w:val="00065B86"/>
    <w:rsid w:val="00065C3F"/>
    <w:rsid w:val="00065C97"/>
    <w:rsid w:val="00066024"/>
    <w:rsid w:val="000660EC"/>
    <w:rsid w:val="000661DE"/>
    <w:rsid w:val="000666A6"/>
    <w:rsid w:val="00066704"/>
    <w:rsid w:val="00066708"/>
    <w:rsid w:val="00066C46"/>
    <w:rsid w:val="00067063"/>
    <w:rsid w:val="000674BD"/>
    <w:rsid w:val="00067B76"/>
    <w:rsid w:val="00067E35"/>
    <w:rsid w:val="00070528"/>
    <w:rsid w:val="00070B89"/>
    <w:rsid w:val="00070FDB"/>
    <w:rsid w:val="0007100F"/>
    <w:rsid w:val="0007108C"/>
    <w:rsid w:val="0007134F"/>
    <w:rsid w:val="000713FF"/>
    <w:rsid w:val="00071C86"/>
    <w:rsid w:val="00071E24"/>
    <w:rsid w:val="00073B0B"/>
    <w:rsid w:val="00073B3E"/>
    <w:rsid w:val="00074CCA"/>
    <w:rsid w:val="00074E6F"/>
    <w:rsid w:val="00075040"/>
    <w:rsid w:val="0007543C"/>
    <w:rsid w:val="00075686"/>
    <w:rsid w:val="00075707"/>
    <w:rsid w:val="00075EC6"/>
    <w:rsid w:val="0007649A"/>
    <w:rsid w:val="0007688E"/>
    <w:rsid w:val="00076F4C"/>
    <w:rsid w:val="00077AF0"/>
    <w:rsid w:val="000800B6"/>
    <w:rsid w:val="00080102"/>
    <w:rsid w:val="0008015F"/>
    <w:rsid w:val="00080188"/>
    <w:rsid w:val="00081089"/>
    <w:rsid w:val="0008218F"/>
    <w:rsid w:val="000826A5"/>
    <w:rsid w:val="00082F8E"/>
    <w:rsid w:val="00083380"/>
    <w:rsid w:val="000849B7"/>
    <w:rsid w:val="00084AEB"/>
    <w:rsid w:val="0008544C"/>
    <w:rsid w:val="0008561C"/>
    <w:rsid w:val="00085814"/>
    <w:rsid w:val="0008633D"/>
    <w:rsid w:val="00086A39"/>
    <w:rsid w:val="00086B8C"/>
    <w:rsid w:val="000870F4"/>
    <w:rsid w:val="00087532"/>
    <w:rsid w:val="00087AC2"/>
    <w:rsid w:val="000906C9"/>
    <w:rsid w:val="00091479"/>
    <w:rsid w:val="000920DB"/>
    <w:rsid w:val="00092BF1"/>
    <w:rsid w:val="000935B6"/>
    <w:rsid w:val="00093AD4"/>
    <w:rsid w:val="00094853"/>
    <w:rsid w:val="000950C8"/>
    <w:rsid w:val="0009552A"/>
    <w:rsid w:val="000957BC"/>
    <w:rsid w:val="0009590B"/>
    <w:rsid w:val="00095B40"/>
    <w:rsid w:val="00095CDD"/>
    <w:rsid w:val="00096FCB"/>
    <w:rsid w:val="00097D39"/>
    <w:rsid w:val="000A0347"/>
    <w:rsid w:val="000A035A"/>
    <w:rsid w:val="000A04E7"/>
    <w:rsid w:val="000A054A"/>
    <w:rsid w:val="000A0859"/>
    <w:rsid w:val="000A089D"/>
    <w:rsid w:val="000A0D81"/>
    <w:rsid w:val="000A0E4E"/>
    <w:rsid w:val="000A1D57"/>
    <w:rsid w:val="000A37A9"/>
    <w:rsid w:val="000A38F0"/>
    <w:rsid w:val="000A3E78"/>
    <w:rsid w:val="000A43C5"/>
    <w:rsid w:val="000A64CF"/>
    <w:rsid w:val="000A67D2"/>
    <w:rsid w:val="000A7D7E"/>
    <w:rsid w:val="000B031C"/>
    <w:rsid w:val="000B088D"/>
    <w:rsid w:val="000B09AD"/>
    <w:rsid w:val="000B09EB"/>
    <w:rsid w:val="000B162E"/>
    <w:rsid w:val="000B1B66"/>
    <w:rsid w:val="000B27D1"/>
    <w:rsid w:val="000B27E3"/>
    <w:rsid w:val="000B2FAD"/>
    <w:rsid w:val="000B3BCA"/>
    <w:rsid w:val="000B3E0B"/>
    <w:rsid w:val="000B3E72"/>
    <w:rsid w:val="000B4225"/>
    <w:rsid w:val="000B4355"/>
    <w:rsid w:val="000B488D"/>
    <w:rsid w:val="000B49CA"/>
    <w:rsid w:val="000B52B2"/>
    <w:rsid w:val="000B58E7"/>
    <w:rsid w:val="000B5D71"/>
    <w:rsid w:val="000B6D2E"/>
    <w:rsid w:val="000B7441"/>
    <w:rsid w:val="000B766D"/>
    <w:rsid w:val="000B7B8D"/>
    <w:rsid w:val="000C0046"/>
    <w:rsid w:val="000C0610"/>
    <w:rsid w:val="000C1BBC"/>
    <w:rsid w:val="000C1D55"/>
    <w:rsid w:val="000C2074"/>
    <w:rsid w:val="000C2EE8"/>
    <w:rsid w:val="000C392C"/>
    <w:rsid w:val="000C445C"/>
    <w:rsid w:val="000C4F1F"/>
    <w:rsid w:val="000C53B6"/>
    <w:rsid w:val="000C55A6"/>
    <w:rsid w:val="000C55EE"/>
    <w:rsid w:val="000C5655"/>
    <w:rsid w:val="000C5BAE"/>
    <w:rsid w:val="000C5E96"/>
    <w:rsid w:val="000C690C"/>
    <w:rsid w:val="000C6CE7"/>
    <w:rsid w:val="000C75FC"/>
    <w:rsid w:val="000D103A"/>
    <w:rsid w:val="000D1E81"/>
    <w:rsid w:val="000D2030"/>
    <w:rsid w:val="000D218F"/>
    <w:rsid w:val="000D2488"/>
    <w:rsid w:val="000D3B6C"/>
    <w:rsid w:val="000D3BED"/>
    <w:rsid w:val="000D3C7A"/>
    <w:rsid w:val="000D3F14"/>
    <w:rsid w:val="000D4538"/>
    <w:rsid w:val="000D46A2"/>
    <w:rsid w:val="000D47B8"/>
    <w:rsid w:val="000D49EC"/>
    <w:rsid w:val="000D533F"/>
    <w:rsid w:val="000D5403"/>
    <w:rsid w:val="000D55B7"/>
    <w:rsid w:val="000D5793"/>
    <w:rsid w:val="000D5AA6"/>
    <w:rsid w:val="000D5B0F"/>
    <w:rsid w:val="000D5EBD"/>
    <w:rsid w:val="000D5EEB"/>
    <w:rsid w:val="000D666F"/>
    <w:rsid w:val="000D6A82"/>
    <w:rsid w:val="000D6E50"/>
    <w:rsid w:val="000D76AD"/>
    <w:rsid w:val="000E01BF"/>
    <w:rsid w:val="000E058F"/>
    <w:rsid w:val="000E0783"/>
    <w:rsid w:val="000E127E"/>
    <w:rsid w:val="000E15B4"/>
    <w:rsid w:val="000E240E"/>
    <w:rsid w:val="000E344D"/>
    <w:rsid w:val="000E3793"/>
    <w:rsid w:val="000E3DF7"/>
    <w:rsid w:val="000E3E9F"/>
    <w:rsid w:val="000E43DB"/>
    <w:rsid w:val="000E4AEE"/>
    <w:rsid w:val="000E4CF8"/>
    <w:rsid w:val="000E4F9C"/>
    <w:rsid w:val="000E594E"/>
    <w:rsid w:val="000E6024"/>
    <w:rsid w:val="000E65F6"/>
    <w:rsid w:val="000F0CB4"/>
    <w:rsid w:val="000F0D68"/>
    <w:rsid w:val="000F145F"/>
    <w:rsid w:val="000F1833"/>
    <w:rsid w:val="000F1B67"/>
    <w:rsid w:val="000F2021"/>
    <w:rsid w:val="000F2159"/>
    <w:rsid w:val="000F2189"/>
    <w:rsid w:val="000F28EF"/>
    <w:rsid w:val="000F2F92"/>
    <w:rsid w:val="000F3381"/>
    <w:rsid w:val="000F3A66"/>
    <w:rsid w:val="000F467A"/>
    <w:rsid w:val="000F525D"/>
    <w:rsid w:val="000F5382"/>
    <w:rsid w:val="000F561D"/>
    <w:rsid w:val="000F58FB"/>
    <w:rsid w:val="000F6246"/>
    <w:rsid w:val="000F6652"/>
    <w:rsid w:val="000F68E1"/>
    <w:rsid w:val="000F6CA6"/>
    <w:rsid w:val="000F7106"/>
    <w:rsid w:val="000F78D5"/>
    <w:rsid w:val="000F7A84"/>
    <w:rsid w:val="000F7C84"/>
    <w:rsid w:val="0010016B"/>
    <w:rsid w:val="001001CB"/>
    <w:rsid w:val="00100218"/>
    <w:rsid w:val="00100353"/>
    <w:rsid w:val="0010144F"/>
    <w:rsid w:val="00101F39"/>
    <w:rsid w:val="00102653"/>
    <w:rsid w:val="00102C5E"/>
    <w:rsid w:val="001030B1"/>
    <w:rsid w:val="0010317C"/>
    <w:rsid w:val="0010376D"/>
    <w:rsid w:val="00103FA9"/>
    <w:rsid w:val="00104BB1"/>
    <w:rsid w:val="00104EA6"/>
    <w:rsid w:val="00105B18"/>
    <w:rsid w:val="00105EE7"/>
    <w:rsid w:val="00106325"/>
    <w:rsid w:val="00106A9A"/>
    <w:rsid w:val="001077F0"/>
    <w:rsid w:val="001079DD"/>
    <w:rsid w:val="00107FF6"/>
    <w:rsid w:val="00110183"/>
    <w:rsid w:val="00110A01"/>
    <w:rsid w:val="00110C12"/>
    <w:rsid w:val="00110D4A"/>
    <w:rsid w:val="00110D74"/>
    <w:rsid w:val="001115DB"/>
    <w:rsid w:val="00111DDF"/>
    <w:rsid w:val="00111E15"/>
    <w:rsid w:val="001121EF"/>
    <w:rsid w:val="001128C8"/>
    <w:rsid w:val="00112995"/>
    <w:rsid w:val="00113340"/>
    <w:rsid w:val="0011352F"/>
    <w:rsid w:val="00114590"/>
    <w:rsid w:val="001146A8"/>
    <w:rsid w:val="001155A4"/>
    <w:rsid w:val="00116ED2"/>
    <w:rsid w:val="0011782F"/>
    <w:rsid w:val="001179CC"/>
    <w:rsid w:val="00120DD7"/>
    <w:rsid w:val="0012207F"/>
    <w:rsid w:val="00122579"/>
    <w:rsid w:val="0012286A"/>
    <w:rsid w:val="00123012"/>
    <w:rsid w:val="00123157"/>
    <w:rsid w:val="00123707"/>
    <w:rsid w:val="001239EC"/>
    <w:rsid w:val="00123A56"/>
    <w:rsid w:val="00124D1C"/>
    <w:rsid w:val="00125857"/>
    <w:rsid w:val="001258AB"/>
    <w:rsid w:val="00125A7F"/>
    <w:rsid w:val="00127326"/>
    <w:rsid w:val="00127D52"/>
    <w:rsid w:val="00127DF7"/>
    <w:rsid w:val="001300A0"/>
    <w:rsid w:val="001305A9"/>
    <w:rsid w:val="00130956"/>
    <w:rsid w:val="00130CB0"/>
    <w:rsid w:val="0013107D"/>
    <w:rsid w:val="00131365"/>
    <w:rsid w:val="00131908"/>
    <w:rsid w:val="00132703"/>
    <w:rsid w:val="00132B17"/>
    <w:rsid w:val="00132BD7"/>
    <w:rsid w:val="00132FB0"/>
    <w:rsid w:val="00133687"/>
    <w:rsid w:val="0013395C"/>
    <w:rsid w:val="001339DC"/>
    <w:rsid w:val="00133D9B"/>
    <w:rsid w:val="00133E05"/>
    <w:rsid w:val="00134120"/>
    <w:rsid w:val="001347A1"/>
    <w:rsid w:val="00134BAB"/>
    <w:rsid w:val="00135247"/>
    <w:rsid w:val="00135607"/>
    <w:rsid w:val="00135848"/>
    <w:rsid w:val="00135AF7"/>
    <w:rsid w:val="00135C38"/>
    <w:rsid w:val="00135C94"/>
    <w:rsid w:val="001364EA"/>
    <w:rsid w:val="001364F2"/>
    <w:rsid w:val="00136C55"/>
    <w:rsid w:val="0013711E"/>
    <w:rsid w:val="00137BFF"/>
    <w:rsid w:val="001403ED"/>
    <w:rsid w:val="001408EC"/>
    <w:rsid w:val="00140D3B"/>
    <w:rsid w:val="00140FEA"/>
    <w:rsid w:val="00141228"/>
    <w:rsid w:val="001417E8"/>
    <w:rsid w:val="00141C95"/>
    <w:rsid w:val="00141DFC"/>
    <w:rsid w:val="00142282"/>
    <w:rsid w:val="0014260F"/>
    <w:rsid w:val="001429EB"/>
    <w:rsid w:val="00142B2B"/>
    <w:rsid w:val="00142C7D"/>
    <w:rsid w:val="00143FA6"/>
    <w:rsid w:val="00144299"/>
    <w:rsid w:val="0014433A"/>
    <w:rsid w:val="001443B4"/>
    <w:rsid w:val="00144A64"/>
    <w:rsid w:val="00145231"/>
    <w:rsid w:val="001455CB"/>
    <w:rsid w:val="00145ECB"/>
    <w:rsid w:val="00147644"/>
    <w:rsid w:val="0014773D"/>
    <w:rsid w:val="00150BCC"/>
    <w:rsid w:val="00150DDE"/>
    <w:rsid w:val="00151056"/>
    <w:rsid w:val="0015186C"/>
    <w:rsid w:val="0015192C"/>
    <w:rsid w:val="001521DF"/>
    <w:rsid w:val="00152234"/>
    <w:rsid w:val="00152286"/>
    <w:rsid w:val="0015250F"/>
    <w:rsid w:val="00152AA1"/>
    <w:rsid w:val="00153017"/>
    <w:rsid w:val="00153460"/>
    <w:rsid w:val="0015354D"/>
    <w:rsid w:val="00153639"/>
    <w:rsid w:val="00153F9E"/>
    <w:rsid w:val="001542E8"/>
    <w:rsid w:val="00154AD3"/>
    <w:rsid w:val="00154EA3"/>
    <w:rsid w:val="00155FFE"/>
    <w:rsid w:val="00156649"/>
    <w:rsid w:val="0015681E"/>
    <w:rsid w:val="00156AD0"/>
    <w:rsid w:val="00156DE4"/>
    <w:rsid w:val="00157180"/>
    <w:rsid w:val="00157255"/>
    <w:rsid w:val="0015782F"/>
    <w:rsid w:val="00157E93"/>
    <w:rsid w:val="00160797"/>
    <w:rsid w:val="0016093F"/>
    <w:rsid w:val="00160B9F"/>
    <w:rsid w:val="00160C3B"/>
    <w:rsid w:val="00160CB4"/>
    <w:rsid w:val="00160F94"/>
    <w:rsid w:val="001613F8"/>
    <w:rsid w:val="001613FE"/>
    <w:rsid w:val="0016161E"/>
    <w:rsid w:val="00162056"/>
    <w:rsid w:val="00162271"/>
    <w:rsid w:val="001622BE"/>
    <w:rsid w:val="001625F5"/>
    <w:rsid w:val="001628BE"/>
    <w:rsid w:val="00162B6B"/>
    <w:rsid w:val="00162C84"/>
    <w:rsid w:val="0016451C"/>
    <w:rsid w:val="00164CDD"/>
    <w:rsid w:val="00164E6F"/>
    <w:rsid w:val="00165681"/>
    <w:rsid w:val="00166192"/>
    <w:rsid w:val="00166937"/>
    <w:rsid w:val="00166CCB"/>
    <w:rsid w:val="00166DC1"/>
    <w:rsid w:val="00166DF7"/>
    <w:rsid w:val="00166F3A"/>
    <w:rsid w:val="0016C4EF"/>
    <w:rsid w:val="001700C0"/>
    <w:rsid w:val="001704DB"/>
    <w:rsid w:val="001708D4"/>
    <w:rsid w:val="001713F3"/>
    <w:rsid w:val="001716D7"/>
    <w:rsid w:val="001727C5"/>
    <w:rsid w:val="00172C32"/>
    <w:rsid w:val="00172C80"/>
    <w:rsid w:val="00172E17"/>
    <w:rsid w:val="0017301D"/>
    <w:rsid w:val="0017364C"/>
    <w:rsid w:val="0017460B"/>
    <w:rsid w:val="001753C8"/>
    <w:rsid w:val="00175573"/>
    <w:rsid w:val="00175CE9"/>
    <w:rsid w:val="00175D28"/>
    <w:rsid w:val="00175FF7"/>
    <w:rsid w:val="001769FD"/>
    <w:rsid w:val="00176AA3"/>
    <w:rsid w:val="00176B14"/>
    <w:rsid w:val="00176C61"/>
    <w:rsid w:val="00177E41"/>
    <w:rsid w:val="001815C2"/>
    <w:rsid w:val="001818A5"/>
    <w:rsid w:val="00181CD5"/>
    <w:rsid w:val="00181FB3"/>
    <w:rsid w:val="001836CC"/>
    <w:rsid w:val="001838F8"/>
    <w:rsid w:val="00183961"/>
    <w:rsid w:val="00183D2F"/>
    <w:rsid w:val="0018464D"/>
    <w:rsid w:val="001855C7"/>
    <w:rsid w:val="00185F5E"/>
    <w:rsid w:val="001861E9"/>
    <w:rsid w:val="001863F3"/>
    <w:rsid w:val="0018670B"/>
    <w:rsid w:val="001868FE"/>
    <w:rsid w:val="00186EFE"/>
    <w:rsid w:val="0018728F"/>
    <w:rsid w:val="00187671"/>
    <w:rsid w:val="00187A52"/>
    <w:rsid w:val="00187F90"/>
    <w:rsid w:val="001900B7"/>
    <w:rsid w:val="001907D9"/>
    <w:rsid w:val="001908C1"/>
    <w:rsid w:val="00190DEE"/>
    <w:rsid w:val="00190E9D"/>
    <w:rsid w:val="001917B1"/>
    <w:rsid w:val="001920EF"/>
    <w:rsid w:val="0019258A"/>
    <w:rsid w:val="00192C29"/>
    <w:rsid w:val="00192DCF"/>
    <w:rsid w:val="0019395E"/>
    <w:rsid w:val="00193DDE"/>
    <w:rsid w:val="00193E1F"/>
    <w:rsid w:val="001940EC"/>
    <w:rsid w:val="001949DA"/>
    <w:rsid w:val="00194BC3"/>
    <w:rsid w:val="00194CAE"/>
    <w:rsid w:val="00194FCF"/>
    <w:rsid w:val="00195230"/>
    <w:rsid w:val="00195410"/>
    <w:rsid w:val="00195599"/>
    <w:rsid w:val="00195612"/>
    <w:rsid w:val="00195BB4"/>
    <w:rsid w:val="00196263"/>
    <w:rsid w:val="00196477"/>
    <w:rsid w:val="001965B3"/>
    <w:rsid w:val="00196623"/>
    <w:rsid w:val="00196629"/>
    <w:rsid w:val="00196E32"/>
    <w:rsid w:val="00197914"/>
    <w:rsid w:val="00197A70"/>
    <w:rsid w:val="00197CE1"/>
    <w:rsid w:val="001A0064"/>
    <w:rsid w:val="001A0172"/>
    <w:rsid w:val="001A04CC"/>
    <w:rsid w:val="001A054C"/>
    <w:rsid w:val="001A0AB9"/>
    <w:rsid w:val="001A0C9E"/>
    <w:rsid w:val="001A0D39"/>
    <w:rsid w:val="001A1BD6"/>
    <w:rsid w:val="001A1FFC"/>
    <w:rsid w:val="001A272C"/>
    <w:rsid w:val="001A283C"/>
    <w:rsid w:val="001A2D85"/>
    <w:rsid w:val="001A2DB4"/>
    <w:rsid w:val="001A2E55"/>
    <w:rsid w:val="001A2F6F"/>
    <w:rsid w:val="001A3D63"/>
    <w:rsid w:val="001A4476"/>
    <w:rsid w:val="001A4534"/>
    <w:rsid w:val="001A48A4"/>
    <w:rsid w:val="001A4E17"/>
    <w:rsid w:val="001A4FAD"/>
    <w:rsid w:val="001A5135"/>
    <w:rsid w:val="001A5267"/>
    <w:rsid w:val="001A5293"/>
    <w:rsid w:val="001A53DB"/>
    <w:rsid w:val="001A5738"/>
    <w:rsid w:val="001A585B"/>
    <w:rsid w:val="001A5897"/>
    <w:rsid w:val="001A5DFA"/>
    <w:rsid w:val="001A5ED2"/>
    <w:rsid w:val="001A5FFC"/>
    <w:rsid w:val="001A609B"/>
    <w:rsid w:val="001A632B"/>
    <w:rsid w:val="001A63E0"/>
    <w:rsid w:val="001A6A79"/>
    <w:rsid w:val="001A6CE0"/>
    <w:rsid w:val="001A7587"/>
    <w:rsid w:val="001A77E7"/>
    <w:rsid w:val="001B0492"/>
    <w:rsid w:val="001B0AEF"/>
    <w:rsid w:val="001B0BE1"/>
    <w:rsid w:val="001B209F"/>
    <w:rsid w:val="001B21EB"/>
    <w:rsid w:val="001B2775"/>
    <w:rsid w:val="001B2B5B"/>
    <w:rsid w:val="001B2C6A"/>
    <w:rsid w:val="001B2C81"/>
    <w:rsid w:val="001B31F4"/>
    <w:rsid w:val="001B3317"/>
    <w:rsid w:val="001B3935"/>
    <w:rsid w:val="001B50D5"/>
    <w:rsid w:val="001B5154"/>
    <w:rsid w:val="001B51E9"/>
    <w:rsid w:val="001B55C9"/>
    <w:rsid w:val="001B6415"/>
    <w:rsid w:val="001B6908"/>
    <w:rsid w:val="001B6E08"/>
    <w:rsid w:val="001B6EA4"/>
    <w:rsid w:val="001B6EB8"/>
    <w:rsid w:val="001B73A7"/>
    <w:rsid w:val="001B7D91"/>
    <w:rsid w:val="001C0271"/>
    <w:rsid w:val="001C037C"/>
    <w:rsid w:val="001C05F9"/>
    <w:rsid w:val="001C0708"/>
    <w:rsid w:val="001C0761"/>
    <w:rsid w:val="001C0FB5"/>
    <w:rsid w:val="001C19E6"/>
    <w:rsid w:val="001C224F"/>
    <w:rsid w:val="001C306C"/>
    <w:rsid w:val="001C3378"/>
    <w:rsid w:val="001C3532"/>
    <w:rsid w:val="001C362D"/>
    <w:rsid w:val="001C3C14"/>
    <w:rsid w:val="001C44CE"/>
    <w:rsid w:val="001C5001"/>
    <w:rsid w:val="001C5441"/>
    <w:rsid w:val="001C57F2"/>
    <w:rsid w:val="001C58E2"/>
    <w:rsid w:val="001C58F5"/>
    <w:rsid w:val="001C5A3D"/>
    <w:rsid w:val="001C5ACB"/>
    <w:rsid w:val="001C638B"/>
    <w:rsid w:val="001C6D2E"/>
    <w:rsid w:val="001C70A7"/>
    <w:rsid w:val="001C7415"/>
    <w:rsid w:val="001C7523"/>
    <w:rsid w:val="001C7789"/>
    <w:rsid w:val="001C7E93"/>
    <w:rsid w:val="001D01E9"/>
    <w:rsid w:val="001D023C"/>
    <w:rsid w:val="001D0267"/>
    <w:rsid w:val="001D0314"/>
    <w:rsid w:val="001D0518"/>
    <w:rsid w:val="001D0B7D"/>
    <w:rsid w:val="001D15CB"/>
    <w:rsid w:val="001D1986"/>
    <w:rsid w:val="001D201C"/>
    <w:rsid w:val="001D23AC"/>
    <w:rsid w:val="001D2FCF"/>
    <w:rsid w:val="001D319A"/>
    <w:rsid w:val="001D3240"/>
    <w:rsid w:val="001D332C"/>
    <w:rsid w:val="001D420D"/>
    <w:rsid w:val="001D42EF"/>
    <w:rsid w:val="001D444A"/>
    <w:rsid w:val="001D4BE9"/>
    <w:rsid w:val="001D4E90"/>
    <w:rsid w:val="001D518B"/>
    <w:rsid w:val="001D5D36"/>
    <w:rsid w:val="001D60A1"/>
    <w:rsid w:val="001D61BE"/>
    <w:rsid w:val="001D74CA"/>
    <w:rsid w:val="001D7A4B"/>
    <w:rsid w:val="001D7BDF"/>
    <w:rsid w:val="001D7E26"/>
    <w:rsid w:val="001D7F78"/>
    <w:rsid w:val="001E1A4C"/>
    <w:rsid w:val="001E1D78"/>
    <w:rsid w:val="001E2303"/>
    <w:rsid w:val="001E308C"/>
    <w:rsid w:val="001E329F"/>
    <w:rsid w:val="001E38E0"/>
    <w:rsid w:val="001E3BF1"/>
    <w:rsid w:val="001E3DA5"/>
    <w:rsid w:val="001E3E4B"/>
    <w:rsid w:val="001E4250"/>
    <w:rsid w:val="001E43AE"/>
    <w:rsid w:val="001E4F90"/>
    <w:rsid w:val="001E5573"/>
    <w:rsid w:val="001E5E33"/>
    <w:rsid w:val="001E618E"/>
    <w:rsid w:val="001E6459"/>
    <w:rsid w:val="001E65F6"/>
    <w:rsid w:val="001E67DA"/>
    <w:rsid w:val="001E6918"/>
    <w:rsid w:val="001E6A8C"/>
    <w:rsid w:val="001E6C88"/>
    <w:rsid w:val="001E6D27"/>
    <w:rsid w:val="001E6E63"/>
    <w:rsid w:val="001E717E"/>
    <w:rsid w:val="001E7262"/>
    <w:rsid w:val="001E72AF"/>
    <w:rsid w:val="001E744F"/>
    <w:rsid w:val="001E747E"/>
    <w:rsid w:val="001E7953"/>
    <w:rsid w:val="001F0180"/>
    <w:rsid w:val="001F0844"/>
    <w:rsid w:val="001F15C1"/>
    <w:rsid w:val="001F25A8"/>
    <w:rsid w:val="001F25AA"/>
    <w:rsid w:val="001F394D"/>
    <w:rsid w:val="001F39DF"/>
    <w:rsid w:val="001F3CC1"/>
    <w:rsid w:val="001F449D"/>
    <w:rsid w:val="001F5715"/>
    <w:rsid w:val="001F576C"/>
    <w:rsid w:val="001F606A"/>
    <w:rsid w:val="001F6571"/>
    <w:rsid w:val="001F6A19"/>
    <w:rsid w:val="001F6A22"/>
    <w:rsid w:val="001F6E50"/>
    <w:rsid w:val="001F76D5"/>
    <w:rsid w:val="001F79C9"/>
    <w:rsid w:val="001F7B69"/>
    <w:rsid w:val="001F7F04"/>
    <w:rsid w:val="00200375"/>
    <w:rsid w:val="0020068E"/>
    <w:rsid w:val="002007B1"/>
    <w:rsid w:val="00200AEC"/>
    <w:rsid w:val="00200E5A"/>
    <w:rsid w:val="002011E9"/>
    <w:rsid w:val="00201235"/>
    <w:rsid w:val="00201535"/>
    <w:rsid w:val="00201843"/>
    <w:rsid w:val="002019B4"/>
    <w:rsid w:val="00201CB0"/>
    <w:rsid w:val="00201FCB"/>
    <w:rsid w:val="00202381"/>
    <w:rsid w:val="0020243D"/>
    <w:rsid w:val="00203ABF"/>
    <w:rsid w:val="00203FAF"/>
    <w:rsid w:val="00204547"/>
    <w:rsid w:val="00204802"/>
    <w:rsid w:val="00204BD0"/>
    <w:rsid w:val="00204CED"/>
    <w:rsid w:val="00205B76"/>
    <w:rsid w:val="00206E3B"/>
    <w:rsid w:val="002072F1"/>
    <w:rsid w:val="002079B5"/>
    <w:rsid w:val="00210000"/>
    <w:rsid w:val="0021050B"/>
    <w:rsid w:val="00211320"/>
    <w:rsid w:val="00211D54"/>
    <w:rsid w:val="00212620"/>
    <w:rsid w:val="0021277F"/>
    <w:rsid w:val="00212788"/>
    <w:rsid w:val="00212FB0"/>
    <w:rsid w:val="00213321"/>
    <w:rsid w:val="00213BBE"/>
    <w:rsid w:val="002143FC"/>
    <w:rsid w:val="00214630"/>
    <w:rsid w:val="002147DF"/>
    <w:rsid w:val="0021486A"/>
    <w:rsid w:val="002149AB"/>
    <w:rsid w:val="00214B1F"/>
    <w:rsid w:val="00215A05"/>
    <w:rsid w:val="00215B8B"/>
    <w:rsid w:val="0021657E"/>
    <w:rsid w:val="00216E40"/>
    <w:rsid w:val="002171C3"/>
    <w:rsid w:val="00217A10"/>
    <w:rsid w:val="00217B37"/>
    <w:rsid w:val="00217CEF"/>
    <w:rsid w:val="00221508"/>
    <w:rsid w:val="002215B1"/>
    <w:rsid w:val="002218F3"/>
    <w:rsid w:val="00221B30"/>
    <w:rsid w:val="00221DC3"/>
    <w:rsid w:val="00222428"/>
    <w:rsid w:val="00222675"/>
    <w:rsid w:val="00222CAD"/>
    <w:rsid w:val="002230CE"/>
    <w:rsid w:val="002235CE"/>
    <w:rsid w:val="00223734"/>
    <w:rsid w:val="00223813"/>
    <w:rsid w:val="0022383D"/>
    <w:rsid w:val="00223916"/>
    <w:rsid w:val="002246ED"/>
    <w:rsid w:val="00224778"/>
    <w:rsid w:val="00224820"/>
    <w:rsid w:val="00224D4E"/>
    <w:rsid w:val="0022543D"/>
    <w:rsid w:val="00225952"/>
    <w:rsid w:val="00225E48"/>
    <w:rsid w:val="00226DC1"/>
    <w:rsid w:val="0022706A"/>
    <w:rsid w:val="002274E1"/>
    <w:rsid w:val="00227515"/>
    <w:rsid w:val="00227763"/>
    <w:rsid w:val="002278C3"/>
    <w:rsid w:val="00227A9B"/>
    <w:rsid w:val="00227E4D"/>
    <w:rsid w:val="00227F59"/>
    <w:rsid w:val="002305FE"/>
    <w:rsid w:val="00230B1B"/>
    <w:rsid w:val="00230DD5"/>
    <w:rsid w:val="00230E2E"/>
    <w:rsid w:val="00230FE9"/>
    <w:rsid w:val="002314EC"/>
    <w:rsid w:val="002317FD"/>
    <w:rsid w:val="00231DB1"/>
    <w:rsid w:val="00231DCA"/>
    <w:rsid w:val="00232B9F"/>
    <w:rsid w:val="002332E9"/>
    <w:rsid w:val="00233678"/>
    <w:rsid w:val="0023395C"/>
    <w:rsid w:val="002342BD"/>
    <w:rsid w:val="002344A8"/>
    <w:rsid w:val="0023497A"/>
    <w:rsid w:val="00234A6D"/>
    <w:rsid w:val="00234AF3"/>
    <w:rsid w:val="0023510C"/>
    <w:rsid w:val="002351D2"/>
    <w:rsid w:val="002353A7"/>
    <w:rsid w:val="002354A3"/>
    <w:rsid w:val="00235897"/>
    <w:rsid w:val="00235F7E"/>
    <w:rsid w:val="002365A0"/>
    <w:rsid w:val="00236E96"/>
    <w:rsid w:val="0024055E"/>
    <w:rsid w:val="00241BC1"/>
    <w:rsid w:val="00242DEA"/>
    <w:rsid w:val="00242E96"/>
    <w:rsid w:val="00242F1E"/>
    <w:rsid w:val="0024432A"/>
    <w:rsid w:val="00244748"/>
    <w:rsid w:val="002448F9"/>
    <w:rsid w:val="00244CCF"/>
    <w:rsid w:val="00244D52"/>
    <w:rsid w:val="00244F4D"/>
    <w:rsid w:val="002459AA"/>
    <w:rsid w:val="002459C7"/>
    <w:rsid w:val="00245C5E"/>
    <w:rsid w:val="00245CDB"/>
    <w:rsid w:val="0024606E"/>
    <w:rsid w:val="00246D1E"/>
    <w:rsid w:val="00246F02"/>
    <w:rsid w:val="002476EA"/>
    <w:rsid w:val="002478EC"/>
    <w:rsid w:val="00247EE9"/>
    <w:rsid w:val="00247F9E"/>
    <w:rsid w:val="0025011B"/>
    <w:rsid w:val="0025052B"/>
    <w:rsid w:val="00250848"/>
    <w:rsid w:val="00250A6C"/>
    <w:rsid w:val="0025193D"/>
    <w:rsid w:val="00251E6A"/>
    <w:rsid w:val="00252314"/>
    <w:rsid w:val="00252983"/>
    <w:rsid w:val="002532A3"/>
    <w:rsid w:val="00253361"/>
    <w:rsid w:val="002540DF"/>
    <w:rsid w:val="0025438B"/>
    <w:rsid w:val="0025449C"/>
    <w:rsid w:val="002549E2"/>
    <w:rsid w:val="00254A34"/>
    <w:rsid w:val="00254C09"/>
    <w:rsid w:val="00254D0B"/>
    <w:rsid w:val="00254D20"/>
    <w:rsid w:val="00254FCC"/>
    <w:rsid w:val="0025561B"/>
    <w:rsid w:val="0025691E"/>
    <w:rsid w:val="00257102"/>
    <w:rsid w:val="00257632"/>
    <w:rsid w:val="00257FE9"/>
    <w:rsid w:val="002605BE"/>
    <w:rsid w:val="002608EA"/>
    <w:rsid w:val="0026129B"/>
    <w:rsid w:val="0026146A"/>
    <w:rsid w:val="002617B0"/>
    <w:rsid w:val="00261CAC"/>
    <w:rsid w:val="00262225"/>
    <w:rsid w:val="00262866"/>
    <w:rsid w:val="00262D12"/>
    <w:rsid w:val="0026313C"/>
    <w:rsid w:val="0026356D"/>
    <w:rsid w:val="00263E9A"/>
    <w:rsid w:val="0026403A"/>
    <w:rsid w:val="00264077"/>
    <w:rsid w:val="002645C7"/>
    <w:rsid w:val="00264701"/>
    <w:rsid w:val="00264C92"/>
    <w:rsid w:val="00265BBE"/>
    <w:rsid w:val="00265CBE"/>
    <w:rsid w:val="00266CD6"/>
    <w:rsid w:val="00266ED6"/>
    <w:rsid w:val="00267458"/>
    <w:rsid w:val="00267C55"/>
    <w:rsid w:val="00267D96"/>
    <w:rsid w:val="00270022"/>
    <w:rsid w:val="00270944"/>
    <w:rsid w:val="00270C5F"/>
    <w:rsid w:val="00270D58"/>
    <w:rsid w:val="00271026"/>
    <w:rsid w:val="002711DC"/>
    <w:rsid w:val="0027121C"/>
    <w:rsid w:val="002717D8"/>
    <w:rsid w:val="00271D7E"/>
    <w:rsid w:val="00272437"/>
    <w:rsid w:val="002724FC"/>
    <w:rsid w:val="00272822"/>
    <w:rsid w:val="00272856"/>
    <w:rsid w:val="00272C6F"/>
    <w:rsid w:val="00273070"/>
    <w:rsid w:val="0027342C"/>
    <w:rsid w:val="00273862"/>
    <w:rsid w:val="00273AF6"/>
    <w:rsid w:val="00273BF6"/>
    <w:rsid w:val="00273EC1"/>
    <w:rsid w:val="00274843"/>
    <w:rsid w:val="00274914"/>
    <w:rsid w:val="00274FAC"/>
    <w:rsid w:val="00275A3E"/>
    <w:rsid w:val="00275AF9"/>
    <w:rsid w:val="00275D51"/>
    <w:rsid w:val="0027608B"/>
    <w:rsid w:val="002760E6"/>
    <w:rsid w:val="00276595"/>
    <w:rsid w:val="00276748"/>
    <w:rsid w:val="00276AB9"/>
    <w:rsid w:val="00276B74"/>
    <w:rsid w:val="00276F3B"/>
    <w:rsid w:val="0027700E"/>
    <w:rsid w:val="002773E0"/>
    <w:rsid w:val="0027749F"/>
    <w:rsid w:val="002800CB"/>
    <w:rsid w:val="00280994"/>
    <w:rsid w:val="00280BBD"/>
    <w:rsid w:val="0028159C"/>
    <w:rsid w:val="002817BE"/>
    <w:rsid w:val="0028247D"/>
    <w:rsid w:val="00282711"/>
    <w:rsid w:val="00282C5C"/>
    <w:rsid w:val="00283317"/>
    <w:rsid w:val="00283368"/>
    <w:rsid w:val="002833F9"/>
    <w:rsid w:val="002834F1"/>
    <w:rsid w:val="00283FF2"/>
    <w:rsid w:val="002844C3"/>
    <w:rsid w:val="002847CD"/>
    <w:rsid w:val="00284C09"/>
    <w:rsid w:val="00284DCE"/>
    <w:rsid w:val="00284E69"/>
    <w:rsid w:val="00284F79"/>
    <w:rsid w:val="00285521"/>
    <w:rsid w:val="00286271"/>
    <w:rsid w:val="00286352"/>
    <w:rsid w:val="00286600"/>
    <w:rsid w:val="00286A25"/>
    <w:rsid w:val="00287575"/>
    <w:rsid w:val="00287BFD"/>
    <w:rsid w:val="00287DA8"/>
    <w:rsid w:val="0028A378"/>
    <w:rsid w:val="0029021B"/>
    <w:rsid w:val="0029025F"/>
    <w:rsid w:val="00290DA3"/>
    <w:rsid w:val="00290EC7"/>
    <w:rsid w:val="00290EF5"/>
    <w:rsid w:val="00291230"/>
    <w:rsid w:val="002914B6"/>
    <w:rsid w:val="002916B7"/>
    <w:rsid w:val="0029171C"/>
    <w:rsid w:val="0029214C"/>
    <w:rsid w:val="0029251C"/>
    <w:rsid w:val="00292C6F"/>
    <w:rsid w:val="00292C98"/>
    <w:rsid w:val="00292D2C"/>
    <w:rsid w:val="00292E3A"/>
    <w:rsid w:val="0029356D"/>
    <w:rsid w:val="00294102"/>
    <w:rsid w:val="0029431A"/>
    <w:rsid w:val="00294702"/>
    <w:rsid w:val="002950BA"/>
    <w:rsid w:val="0029526D"/>
    <w:rsid w:val="0029562F"/>
    <w:rsid w:val="0029576A"/>
    <w:rsid w:val="00295AA0"/>
    <w:rsid w:val="00295EC5"/>
    <w:rsid w:val="0029608D"/>
    <w:rsid w:val="00296A67"/>
    <w:rsid w:val="00296BF8"/>
    <w:rsid w:val="00296D16"/>
    <w:rsid w:val="00297493"/>
    <w:rsid w:val="002974E4"/>
    <w:rsid w:val="002A08DE"/>
    <w:rsid w:val="002A09E4"/>
    <w:rsid w:val="002A0A2B"/>
    <w:rsid w:val="002A1082"/>
    <w:rsid w:val="002A124E"/>
    <w:rsid w:val="002A1711"/>
    <w:rsid w:val="002A1747"/>
    <w:rsid w:val="002A1C0C"/>
    <w:rsid w:val="002A1C9F"/>
    <w:rsid w:val="002A216C"/>
    <w:rsid w:val="002A27CA"/>
    <w:rsid w:val="002A2C65"/>
    <w:rsid w:val="002A2C87"/>
    <w:rsid w:val="002A2F1D"/>
    <w:rsid w:val="002A3820"/>
    <w:rsid w:val="002A3D29"/>
    <w:rsid w:val="002A410D"/>
    <w:rsid w:val="002A43B8"/>
    <w:rsid w:val="002A5042"/>
    <w:rsid w:val="002A5B23"/>
    <w:rsid w:val="002A5B9A"/>
    <w:rsid w:val="002A61B3"/>
    <w:rsid w:val="002A66DF"/>
    <w:rsid w:val="002A6A77"/>
    <w:rsid w:val="002A6AF7"/>
    <w:rsid w:val="002A6BA9"/>
    <w:rsid w:val="002A75C9"/>
    <w:rsid w:val="002B0303"/>
    <w:rsid w:val="002B03E4"/>
    <w:rsid w:val="002B0905"/>
    <w:rsid w:val="002B0E78"/>
    <w:rsid w:val="002B0FE5"/>
    <w:rsid w:val="002B1BB5"/>
    <w:rsid w:val="002B28DD"/>
    <w:rsid w:val="002B2925"/>
    <w:rsid w:val="002B2DCA"/>
    <w:rsid w:val="002B369B"/>
    <w:rsid w:val="002B425F"/>
    <w:rsid w:val="002B44FA"/>
    <w:rsid w:val="002B4D78"/>
    <w:rsid w:val="002B4F28"/>
    <w:rsid w:val="002B50F8"/>
    <w:rsid w:val="002B5C9D"/>
    <w:rsid w:val="002B5EE0"/>
    <w:rsid w:val="002B6234"/>
    <w:rsid w:val="002B6763"/>
    <w:rsid w:val="002B69F3"/>
    <w:rsid w:val="002B6D81"/>
    <w:rsid w:val="002B6DFD"/>
    <w:rsid w:val="002B704B"/>
    <w:rsid w:val="002B74BF"/>
    <w:rsid w:val="002B7B0C"/>
    <w:rsid w:val="002C0031"/>
    <w:rsid w:val="002C0091"/>
    <w:rsid w:val="002C0446"/>
    <w:rsid w:val="002C0703"/>
    <w:rsid w:val="002C0F44"/>
    <w:rsid w:val="002C1114"/>
    <w:rsid w:val="002C13EA"/>
    <w:rsid w:val="002C143E"/>
    <w:rsid w:val="002C15B3"/>
    <w:rsid w:val="002C22B6"/>
    <w:rsid w:val="002C262B"/>
    <w:rsid w:val="002C2CEB"/>
    <w:rsid w:val="002C2D30"/>
    <w:rsid w:val="002C30CB"/>
    <w:rsid w:val="002C30D6"/>
    <w:rsid w:val="002C33BB"/>
    <w:rsid w:val="002C347D"/>
    <w:rsid w:val="002C3499"/>
    <w:rsid w:val="002C4CE3"/>
    <w:rsid w:val="002C573E"/>
    <w:rsid w:val="002C5FF3"/>
    <w:rsid w:val="002C6052"/>
    <w:rsid w:val="002C60C9"/>
    <w:rsid w:val="002C619C"/>
    <w:rsid w:val="002C66E6"/>
    <w:rsid w:val="002C670D"/>
    <w:rsid w:val="002C6B03"/>
    <w:rsid w:val="002C6CBA"/>
    <w:rsid w:val="002C6DD1"/>
    <w:rsid w:val="002C7090"/>
    <w:rsid w:val="002C7335"/>
    <w:rsid w:val="002C7810"/>
    <w:rsid w:val="002C7D3A"/>
    <w:rsid w:val="002C7D7B"/>
    <w:rsid w:val="002D0228"/>
    <w:rsid w:val="002D0F09"/>
    <w:rsid w:val="002D1589"/>
    <w:rsid w:val="002D1A29"/>
    <w:rsid w:val="002D1BE1"/>
    <w:rsid w:val="002D1C49"/>
    <w:rsid w:val="002D1E8C"/>
    <w:rsid w:val="002D1EA7"/>
    <w:rsid w:val="002D224B"/>
    <w:rsid w:val="002D22A5"/>
    <w:rsid w:val="002D271B"/>
    <w:rsid w:val="002D2C5A"/>
    <w:rsid w:val="002D2F02"/>
    <w:rsid w:val="002D30CA"/>
    <w:rsid w:val="002D318C"/>
    <w:rsid w:val="002D34B1"/>
    <w:rsid w:val="002D3D51"/>
    <w:rsid w:val="002D3D91"/>
    <w:rsid w:val="002D3F45"/>
    <w:rsid w:val="002D3FBD"/>
    <w:rsid w:val="002D41E5"/>
    <w:rsid w:val="002D4790"/>
    <w:rsid w:val="002D4A0A"/>
    <w:rsid w:val="002D54D7"/>
    <w:rsid w:val="002D63A5"/>
    <w:rsid w:val="002D6AF4"/>
    <w:rsid w:val="002D6B83"/>
    <w:rsid w:val="002D6F5A"/>
    <w:rsid w:val="002D77AA"/>
    <w:rsid w:val="002D7B39"/>
    <w:rsid w:val="002E0DB7"/>
    <w:rsid w:val="002E0DED"/>
    <w:rsid w:val="002E184C"/>
    <w:rsid w:val="002E1CDC"/>
    <w:rsid w:val="002E2A2B"/>
    <w:rsid w:val="002E2FD7"/>
    <w:rsid w:val="002E309E"/>
    <w:rsid w:val="002E33E9"/>
    <w:rsid w:val="002E35D0"/>
    <w:rsid w:val="002E37AC"/>
    <w:rsid w:val="002E3C77"/>
    <w:rsid w:val="002E4021"/>
    <w:rsid w:val="002E4755"/>
    <w:rsid w:val="002E4A1D"/>
    <w:rsid w:val="002E4AA2"/>
    <w:rsid w:val="002E50CC"/>
    <w:rsid w:val="002E5118"/>
    <w:rsid w:val="002E5185"/>
    <w:rsid w:val="002E5612"/>
    <w:rsid w:val="002E5B4D"/>
    <w:rsid w:val="002E5ED2"/>
    <w:rsid w:val="002E6ACC"/>
    <w:rsid w:val="002E6B2E"/>
    <w:rsid w:val="002E6D66"/>
    <w:rsid w:val="002E6F26"/>
    <w:rsid w:val="002E6FEF"/>
    <w:rsid w:val="002E7305"/>
    <w:rsid w:val="002E739B"/>
    <w:rsid w:val="002E7AC3"/>
    <w:rsid w:val="002E7D91"/>
    <w:rsid w:val="002E7F59"/>
    <w:rsid w:val="002F1030"/>
    <w:rsid w:val="002F1C3F"/>
    <w:rsid w:val="002F2AD1"/>
    <w:rsid w:val="002F358C"/>
    <w:rsid w:val="002F3AC0"/>
    <w:rsid w:val="002F3F48"/>
    <w:rsid w:val="002F42E7"/>
    <w:rsid w:val="002F4BD5"/>
    <w:rsid w:val="002F5158"/>
    <w:rsid w:val="002F54BA"/>
    <w:rsid w:val="002F6A41"/>
    <w:rsid w:val="002F6DF8"/>
    <w:rsid w:val="002F6F18"/>
    <w:rsid w:val="002F716B"/>
    <w:rsid w:val="002F78E8"/>
    <w:rsid w:val="00300133"/>
    <w:rsid w:val="00300460"/>
    <w:rsid w:val="00300991"/>
    <w:rsid w:val="00300DFC"/>
    <w:rsid w:val="003013AA"/>
    <w:rsid w:val="003018C6"/>
    <w:rsid w:val="00301D8C"/>
    <w:rsid w:val="00302083"/>
    <w:rsid w:val="0030234E"/>
    <w:rsid w:val="003028F4"/>
    <w:rsid w:val="00302E44"/>
    <w:rsid w:val="00303124"/>
    <w:rsid w:val="00303687"/>
    <w:rsid w:val="00304042"/>
    <w:rsid w:val="003045BA"/>
    <w:rsid w:val="0030466B"/>
    <w:rsid w:val="0030520A"/>
    <w:rsid w:val="00305BCC"/>
    <w:rsid w:val="00306552"/>
    <w:rsid w:val="0030683D"/>
    <w:rsid w:val="00310A4C"/>
    <w:rsid w:val="00310AEC"/>
    <w:rsid w:val="00310EA8"/>
    <w:rsid w:val="003117B7"/>
    <w:rsid w:val="003118AA"/>
    <w:rsid w:val="0031194D"/>
    <w:rsid w:val="00311AE2"/>
    <w:rsid w:val="00311B1D"/>
    <w:rsid w:val="00311CAB"/>
    <w:rsid w:val="003122DA"/>
    <w:rsid w:val="0031231D"/>
    <w:rsid w:val="00313352"/>
    <w:rsid w:val="00313A32"/>
    <w:rsid w:val="00314061"/>
    <w:rsid w:val="003140EA"/>
    <w:rsid w:val="00314C9D"/>
    <w:rsid w:val="00315A43"/>
    <w:rsid w:val="00315A47"/>
    <w:rsid w:val="00315EAA"/>
    <w:rsid w:val="00316097"/>
    <w:rsid w:val="0031634F"/>
    <w:rsid w:val="0031639C"/>
    <w:rsid w:val="003166E5"/>
    <w:rsid w:val="003167CC"/>
    <w:rsid w:val="0031687D"/>
    <w:rsid w:val="00316896"/>
    <w:rsid w:val="00316BDA"/>
    <w:rsid w:val="00317492"/>
    <w:rsid w:val="00317998"/>
    <w:rsid w:val="003179DD"/>
    <w:rsid w:val="003201D2"/>
    <w:rsid w:val="003201D7"/>
    <w:rsid w:val="0032060E"/>
    <w:rsid w:val="0032119E"/>
    <w:rsid w:val="00321252"/>
    <w:rsid w:val="0032126F"/>
    <w:rsid w:val="00321B9A"/>
    <w:rsid w:val="00321F5B"/>
    <w:rsid w:val="00321FEC"/>
    <w:rsid w:val="003220C7"/>
    <w:rsid w:val="003235AF"/>
    <w:rsid w:val="00323FC3"/>
    <w:rsid w:val="003243DF"/>
    <w:rsid w:val="00324A2A"/>
    <w:rsid w:val="003250CD"/>
    <w:rsid w:val="003254AA"/>
    <w:rsid w:val="00325523"/>
    <w:rsid w:val="00325D8B"/>
    <w:rsid w:val="00326230"/>
    <w:rsid w:val="00327016"/>
    <w:rsid w:val="0032730A"/>
    <w:rsid w:val="00327B45"/>
    <w:rsid w:val="00330D1D"/>
    <w:rsid w:val="00331227"/>
    <w:rsid w:val="00331B81"/>
    <w:rsid w:val="00331C4A"/>
    <w:rsid w:val="00331D48"/>
    <w:rsid w:val="00332641"/>
    <w:rsid w:val="00332A76"/>
    <w:rsid w:val="003332F1"/>
    <w:rsid w:val="00333A2A"/>
    <w:rsid w:val="00333E24"/>
    <w:rsid w:val="0033418D"/>
    <w:rsid w:val="00334407"/>
    <w:rsid w:val="0033454A"/>
    <w:rsid w:val="00334838"/>
    <w:rsid w:val="00334D04"/>
    <w:rsid w:val="00334E0D"/>
    <w:rsid w:val="0033515A"/>
    <w:rsid w:val="003351F0"/>
    <w:rsid w:val="0033529A"/>
    <w:rsid w:val="00335B0D"/>
    <w:rsid w:val="00336843"/>
    <w:rsid w:val="0033697E"/>
    <w:rsid w:val="003372AF"/>
    <w:rsid w:val="00337A99"/>
    <w:rsid w:val="00337EFB"/>
    <w:rsid w:val="00337F9F"/>
    <w:rsid w:val="003401E5"/>
    <w:rsid w:val="003413FA"/>
    <w:rsid w:val="00342626"/>
    <w:rsid w:val="0034265E"/>
    <w:rsid w:val="0034275A"/>
    <w:rsid w:val="003427B8"/>
    <w:rsid w:val="00342C3B"/>
    <w:rsid w:val="003435AB"/>
    <w:rsid w:val="003438D7"/>
    <w:rsid w:val="00343C82"/>
    <w:rsid w:val="00343F9B"/>
    <w:rsid w:val="0034447D"/>
    <w:rsid w:val="0034526E"/>
    <w:rsid w:val="00345460"/>
    <w:rsid w:val="003457AB"/>
    <w:rsid w:val="00345850"/>
    <w:rsid w:val="00345B7C"/>
    <w:rsid w:val="00346573"/>
    <w:rsid w:val="00346F0C"/>
    <w:rsid w:val="003472A8"/>
    <w:rsid w:val="00347460"/>
    <w:rsid w:val="003474BE"/>
    <w:rsid w:val="003474D5"/>
    <w:rsid w:val="003504AB"/>
    <w:rsid w:val="00350CC3"/>
    <w:rsid w:val="00350F65"/>
    <w:rsid w:val="00350FAE"/>
    <w:rsid w:val="00352139"/>
    <w:rsid w:val="003523F1"/>
    <w:rsid w:val="0035322A"/>
    <w:rsid w:val="00353EA0"/>
    <w:rsid w:val="0035459B"/>
    <w:rsid w:val="00354DA3"/>
    <w:rsid w:val="00355296"/>
    <w:rsid w:val="0035547A"/>
    <w:rsid w:val="00355B55"/>
    <w:rsid w:val="00356103"/>
    <w:rsid w:val="00356566"/>
    <w:rsid w:val="0035669A"/>
    <w:rsid w:val="00356A4E"/>
    <w:rsid w:val="00356C2F"/>
    <w:rsid w:val="00357ECA"/>
    <w:rsid w:val="00360036"/>
    <w:rsid w:val="00360252"/>
    <w:rsid w:val="0036028F"/>
    <w:rsid w:val="00360D40"/>
    <w:rsid w:val="00361455"/>
    <w:rsid w:val="0036195A"/>
    <w:rsid w:val="00361A18"/>
    <w:rsid w:val="00361BEB"/>
    <w:rsid w:val="00361E7A"/>
    <w:rsid w:val="0036233F"/>
    <w:rsid w:val="003624C5"/>
    <w:rsid w:val="003627C3"/>
    <w:rsid w:val="003631D4"/>
    <w:rsid w:val="003638FC"/>
    <w:rsid w:val="0036423C"/>
    <w:rsid w:val="00364345"/>
    <w:rsid w:val="003646EB"/>
    <w:rsid w:val="00364989"/>
    <w:rsid w:val="00364F1B"/>
    <w:rsid w:val="00364F94"/>
    <w:rsid w:val="00365C3B"/>
    <w:rsid w:val="00365DF2"/>
    <w:rsid w:val="00365FA0"/>
    <w:rsid w:val="003661C9"/>
    <w:rsid w:val="003663DE"/>
    <w:rsid w:val="00366CDA"/>
    <w:rsid w:val="00366F9E"/>
    <w:rsid w:val="0036734B"/>
    <w:rsid w:val="00367680"/>
    <w:rsid w:val="0036781D"/>
    <w:rsid w:val="00370761"/>
    <w:rsid w:val="0037077B"/>
    <w:rsid w:val="00370BEA"/>
    <w:rsid w:val="003713A8"/>
    <w:rsid w:val="0037148D"/>
    <w:rsid w:val="00371FCA"/>
    <w:rsid w:val="00372016"/>
    <w:rsid w:val="003723E4"/>
    <w:rsid w:val="00372697"/>
    <w:rsid w:val="00372F83"/>
    <w:rsid w:val="00373072"/>
    <w:rsid w:val="003730F3"/>
    <w:rsid w:val="003732C5"/>
    <w:rsid w:val="003739F7"/>
    <w:rsid w:val="00373B6E"/>
    <w:rsid w:val="00373CCF"/>
    <w:rsid w:val="00374221"/>
    <w:rsid w:val="00374824"/>
    <w:rsid w:val="00374B66"/>
    <w:rsid w:val="0037519C"/>
    <w:rsid w:val="00375CE5"/>
    <w:rsid w:val="00375EDF"/>
    <w:rsid w:val="00376693"/>
    <w:rsid w:val="0037670E"/>
    <w:rsid w:val="00376A13"/>
    <w:rsid w:val="003774F1"/>
    <w:rsid w:val="003779A5"/>
    <w:rsid w:val="00377D60"/>
    <w:rsid w:val="00377D78"/>
    <w:rsid w:val="00377EBE"/>
    <w:rsid w:val="00380FFB"/>
    <w:rsid w:val="00381965"/>
    <w:rsid w:val="00382480"/>
    <w:rsid w:val="0038259D"/>
    <w:rsid w:val="003830F1"/>
    <w:rsid w:val="00383699"/>
    <w:rsid w:val="00384735"/>
    <w:rsid w:val="003847E9"/>
    <w:rsid w:val="00384BAB"/>
    <w:rsid w:val="003853DA"/>
    <w:rsid w:val="00385D88"/>
    <w:rsid w:val="0038640A"/>
    <w:rsid w:val="00386578"/>
    <w:rsid w:val="003865A9"/>
    <w:rsid w:val="00387017"/>
    <w:rsid w:val="00387499"/>
    <w:rsid w:val="00387807"/>
    <w:rsid w:val="00387940"/>
    <w:rsid w:val="003907F0"/>
    <w:rsid w:val="00391072"/>
    <w:rsid w:val="0039120F"/>
    <w:rsid w:val="003915A1"/>
    <w:rsid w:val="00393245"/>
    <w:rsid w:val="00393353"/>
    <w:rsid w:val="003939EA"/>
    <w:rsid w:val="00393E80"/>
    <w:rsid w:val="0039458F"/>
    <w:rsid w:val="00395246"/>
    <w:rsid w:val="00395948"/>
    <w:rsid w:val="00396066"/>
    <w:rsid w:val="00396399"/>
    <w:rsid w:val="00396714"/>
    <w:rsid w:val="00396F84"/>
    <w:rsid w:val="003971A9"/>
    <w:rsid w:val="003977C5"/>
    <w:rsid w:val="00397A4C"/>
    <w:rsid w:val="00397C64"/>
    <w:rsid w:val="003A0126"/>
    <w:rsid w:val="003A0228"/>
    <w:rsid w:val="003A0466"/>
    <w:rsid w:val="003A0C40"/>
    <w:rsid w:val="003A0D55"/>
    <w:rsid w:val="003A1781"/>
    <w:rsid w:val="003A1850"/>
    <w:rsid w:val="003A1A11"/>
    <w:rsid w:val="003A2420"/>
    <w:rsid w:val="003A3377"/>
    <w:rsid w:val="003A339D"/>
    <w:rsid w:val="003A3C0A"/>
    <w:rsid w:val="003A3D7C"/>
    <w:rsid w:val="003A419A"/>
    <w:rsid w:val="003A46E1"/>
    <w:rsid w:val="003A49AD"/>
    <w:rsid w:val="003A4B98"/>
    <w:rsid w:val="003A4EFE"/>
    <w:rsid w:val="003A4F7B"/>
    <w:rsid w:val="003A54AD"/>
    <w:rsid w:val="003A5C9D"/>
    <w:rsid w:val="003A5E52"/>
    <w:rsid w:val="003A7089"/>
    <w:rsid w:val="003A7540"/>
    <w:rsid w:val="003A781B"/>
    <w:rsid w:val="003A7A21"/>
    <w:rsid w:val="003A7A4B"/>
    <w:rsid w:val="003A7CAC"/>
    <w:rsid w:val="003A7D06"/>
    <w:rsid w:val="003B0BB1"/>
    <w:rsid w:val="003B187D"/>
    <w:rsid w:val="003B3423"/>
    <w:rsid w:val="003B53D3"/>
    <w:rsid w:val="003B5F3D"/>
    <w:rsid w:val="003B6183"/>
    <w:rsid w:val="003B61B6"/>
    <w:rsid w:val="003B71F7"/>
    <w:rsid w:val="003B733C"/>
    <w:rsid w:val="003B748D"/>
    <w:rsid w:val="003B7F70"/>
    <w:rsid w:val="003C0B99"/>
    <w:rsid w:val="003C0D8A"/>
    <w:rsid w:val="003C15F8"/>
    <w:rsid w:val="003C2725"/>
    <w:rsid w:val="003C28FD"/>
    <w:rsid w:val="003C2ABE"/>
    <w:rsid w:val="003C2E33"/>
    <w:rsid w:val="003C32C3"/>
    <w:rsid w:val="003C33FA"/>
    <w:rsid w:val="003C355E"/>
    <w:rsid w:val="003C4898"/>
    <w:rsid w:val="003C5BF3"/>
    <w:rsid w:val="003C5D33"/>
    <w:rsid w:val="003C644D"/>
    <w:rsid w:val="003C6499"/>
    <w:rsid w:val="003C6BC2"/>
    <w:rsid w:val="003C6CD3"/>
    <w:rsid w:val="003C734E"/>
    <w:rsid w:val="003C7A64"/>
    <w:rsid w:val="003C7B2B"/>
    <w:rsid w:val="003C7F97"/>
    <w:rsid w:val="003D0EDC"/>
    <w:rsid w:val="003D1204"/>
    <w:rsid w:val="003D1969"/>
    <w:rsid w:val="003D1CD0"/>
    <w:rsid w:val="003D2674"/>
    <w:rsid w:val="003D2930"/>
    <w:rsid w:val="003D2ACA"/>
    <w:rsid w:val="003D2B36"/>
    <w:rsid w:val="003D35D6"/>
    <w:rsid w:val="003D39FB"/>
    <w:rsid w:val="003D3E3B"/>
    <w:rsid w:val="003D4060"/>
    <w:rsid w:val="003D415E"/>
    <w:rsid w:val="003D4343"/>
    <w:rsid w:val="003D4640"/>
    <w:rsid w:val="003D4D59"/>
    <w:rsid w:val="003D59D2"/>
    <w:rsid w:val="003D5A64"/>
    <w:rsid w:val="003D5B3C"/>
    <w:rsid w:val="003D5BA7"/>
    <w:rsid w:val="003D6479"/>
    <w:rsid w:val="003D649E"/>
    <w:rsid w:val="003D66CE"/>
    <w:rsid w:val="003D66E4"/>
    <w:rsid w:val="003D6B13"/>
    <w:rsid w:val="003D6F17"/>
    <w:rsid w:val="003D7067"/>
    <w:rsid w:val="003D7715"/>
    <w:rsid w:val="003D790E"/>
    <w:rsid w:val="003E00C3"/>
    <w:rsid w:val="003E0B23"/>
    <w:rsid w:val="003E101E"/>
    <w:rsid w:val="003E1152"/>
    <w:rsid w:val="003E1183"/>
    <w:rsid w:val="003E1E7C"/>
    <w:rsid w:val="003E1FF6"/>
    <w:rsid w:val="003E282A"/>
    <w:rsid w:val="003E2B67"/>
    <w:rsid w:val="003E2CB9"/>
    <w:rsid w:val="003E350E"/>
    <w:rsid w:val="003E37BA"/>
    <w:rsid w:val="003E3B64"/>
    <w:rsid w:val="003E3E26"/>
    <w:rsid w:val="003E41EA"/>
    <w:rsid w:val="003E456C"/>
    <w:rsid w:val="003E472F"/>
    <w:rsid w:val="003E47BB"/>
    <w:rsid w:val="003E498C"/>
    <w:rsid w:val="003E5153"/>
    <w:rsid w:val="003E5900"/>
    <w:rsid w:val="003E5BE2"/>
    <w:rsid w:val="003E5FB1"/>
    <w:rsid w:val="003E613C"/>
    <w:rsid w:val="003E638A"/>
    <w:rsid w:val="003E6779"/>
    <w:rsid w:val="003E6945"/>
    <w:rsid w:val="003E6DAB"/>
    <w:rsid w:val="003E72A8"/>
    <w:rsid w:val="003E7678"/>
    <w:rsid w:val="003E7B25"/>
    <w:rsid w:val="003E7B59"/>
    <w:rsid w:val="003F0295"/>
    <w:rsid w:val="003F086F"/>
    <w:rsid w:val="003F1014"/>
    <w:rsid w:val="003F11EB"/>
    <w:rsid w:val="003F1A95"/>
    <w:rsid w:val="003F2E15"/>
    <w:rsid w:val="003F3146"/>
    <w:rsid w:val="003F3157"/>
    <w:rsid w:val="003F3237"/>
    <w:rsid w:val="003F34C8"/>
    <w:rsid w:val="003F357D"/>
    <w:rsid w:val="003F3B2E"/>
    <w:rsid w:val="003F3FD3"/>
    <w:rsid w:val="003F44FD"/>
    <w:rsid w:val="003F4579"/>
    <w:rsid w:val="003F4993"/>
    <w:rsid w:val="003F51B8"/>
    <w:rsid w:val="003F5216"/>
    <w:rsid w:val="003F6770"/>
    <w:rsid w:val="003F6D5C"/>
    <w:rsid w:val="003F798F"/>
    <w:rsid w:val="003F7EBB"/>
    <w:rsid w:val="00400363"/>
    <w:rsid w:val="00400AAF"/>
    <w:rsid w:val="004031B4"/>
    <w:rsid w:val="00403438"/>
    <w:rsid w:val="00403AC9"/>
    <w:rsid w:val="00403CD9"/>
    <w:rsid w:val="00403D0B"/>
    <w:rsid w:val="0040429E"/>
    <w:rsid w:val="00404B95"/>
    <w:rsid w:val="00405162"/>
    <w:rsid w:val="00405499"/>
    <w:rsid w:val="00405A95"/>
    <w:rsid w:val="00405D96"/>
    <w:rsid w:val="004069E1"/>
    <w:rsid w:val="00406F4E"/>
    <w:rsid w:val="00407341"/>
    <w:rsid w:val="00407D83"/>
    <w:rsid w:val="0041097E"/>
    <w:rsid w:val="00411306"/>
    <w:rsid w:val="0041135D"/>
    <w:rsid w:val="00412415"/>
    <w:rsid w:val="0041259E"/>
    <w:rsid w:val="00413182"/>
    <w:rsid w:val="00413442"/>
    <w:rsid w:val="00413555"/>
    <w:rsid w:val="00413C62"/>
    <w:rsid w:val="00413C64"/>
    <w:rsid w:val="00413D2F"/>
    <w:rsid w:val="00413DC2"/>
    <w:rsid w:val="0041417F"/>
    <w:rsid w:val="0041496E"/>
    <w:rsid w:val="00415182"/>
    <w:rsid w:val="0041556D"/>
    <w:rsid w:val="00415EE9"/>
    <w:rsid w:val="00415EF6"/>
    <w:rsid w:val="0041619C"/>
    <w:rsid w:val="00416313"/>
    <w:rsid w:val="0041676A"/>
    <w:rsid w:val="00416979"/>
    <w:rsid w:val="00416C75"/>
    <w:rsid w:val="00416CF9"/>
    <w:rsid w:val="0041781C"/>
    <w:rsid w:val="004208FE"/>
    <w:rsid w:val="00420AFB"/>
    <w:rsid w:val="0042188E"/>
    <w:rsid w:val="0042191A"/>
    <w:rsid w:val="00421D34"/>
    <w:rsid w:val="00421EC6"/>
    <w:rsid w:val="00423DAA"/>
    <w:rsid w:val="00423F5E"/>
    <w:rsid w:val="00423FF5"/>
    <w:rsid w:val="004242B8"/>
    <w:rsid w:val="0042454E"/>
    <w:rsid w:val="004245AB"/>
    <w:rsid w:val="00424844"/>
    <w:rsid w:val="00424CE7"/>
    <w:rsid w:val="00424E89"/>
    <w:rsid w:val="0042505D"/>
    <w:rsid w:val="004250AB"/>
    <w:rsid w:val="0042517D"/>
    <w:rsid w:val="0042537A"/>
    <w:rsid w:val="00426040"/>
    <w:rsid w:val="004260E7"/>
    <w:rsid w:val="00426209"/>
    <w:rsid w:val="004262D0"/>
    <w:rsid w:val="00430566"/>
    <w:rsid w:val="0043088F"/>
    <w:rsid w:val="00431406"/>
    <w:rsid w:val="004314F8"/>
    <w:rsid w:val="00431523"/>
    <w:rsid w:val="004318D2"/>
    <w:rsid w:val="00431A36"/>
    <w:rsid w:val="00431C12"/>
    <w:rsid w:val="00431E56"/>
    <w:rsid w:val="00432004"/>
    <w:rsid w:val="004320AD"/>
    <w:rsid w:val="0043213B"/>
    <w:rsid w:val="00432343"/>
    <w:rsid w:val="00432631"/>
    <w:rsid w:val="0043291E"/>
    <w:rsid w:val="00432DC9"/>
    <w:rsid w:val="00432DFD"/>
    <w:rsid w:val="0043361C"/>
    <w:rsid w:val="00433FE0"/>
    <w:rsid w:val="004354D0"/>
    <w:rsid w:val="0043563A"/>
    <w:rsid w:val="0043579B"/>
    <w:rsid w:val="004359C2"/>
    <w:rsid w:val="00435B30"/>
    <w:rsid w:val="00435B5B"/>
    <w:rsid w:val="00435D73"/>
    <w:rsid w:val="004365A6"/>
    <w:rsid w:val="00436FF8"/>
    <w:rsid w:val="00437142"/>
    <w:rsid w:val="00437A8A"/>
    <w:rsid w:val="00437C57"/>
    <w:rsid w:val="00437EE3"/>
    <w:rsid w:val="0044006A"/>
    <w:rsid w:val="00440912"/>
    <w:rsid w:val="00440AF8"/>
    <w:rsid w:val="004412BF"/>
    <w:rsid w:val="00441332"/>
    <w:rsid w:val="0044147D"/>
    <w:rsid w:val="00441874"/>
    <w:rsid w:val="00441A4C"/>
    <w:rsid w:val="00441C0B"/>
    <w:rsid w:val="0044207E"/>
    <w:rsid w:val="0044284E"/>
    <w:rsid w:val="00442AAE"/>
    <w:rsid w:val="00442E37"/>
    <w:rsid w:val="00443005"/>
    <w:rsid w:val="0044345D"/>
    <w:rsid w:val="00443672"/>
    <w:rsid w:val="00443989"/>
    <w:rsid w:val="004439C0"/>
    <w:rsid w:val="004448D5"/>
    <w:rsid w:val="00444D9F"/>
    <w:rsid w:val="0044582D"/>
    <w:rsid w:val="0044603C"/>
    <w:rsid w:val="00447066"/>
    <w:rsid w:val="00447B0D"/>
    <w:rsid w:val="00447B6A"/>
    <w:rsid w:val="00447BD5"/>
    <w:rsid w:val="004508F2"/>
    <w:rsid w:val="00451170"/>
    <w:rsid w:val="004511EA"/>
    <w:rsid w:val="00451D14"/>
    <w:rsid w:val="004521C5"/>
    <w:rsid w:val="00452421"/>
    <w:rsid w:val="004526D4"/>
    <w:rsid w:val="00452CCC"/>
    <w:rsid w:val="0045300D"/>
    <w:rsid w:val="0045337E"/>
    <w:rsid w:val="00453758"/>
    <w:rsid w:val="00453963"/>
    <w:rsid w:val="0045438E"/>
    <w:rsid w:val="004556E9"/>
    <w:rsid w:val="0045591D"/>
    <w:rsid w:val="00456A2E"/>
    <w:rsid w:val="00456D48"/>
    <w:rsid w:val="00456E8F"/>
    <w:rsid w:val="0045700C"/>
    <w:rsid w:val="0045734E"/>
    <w:rsid w:val="00457EDF"/>
    <w:rsid w:val="004608DC"/>
    <w:rsid w:val="00460B8C"/>
    <w:rsid w:val="00461367"/>
    <w:rsid w:val="004623EF"/>
    <w:rsid w:val="0046245E"/>
    <w:rsid w:val="004625C8"/>
    <w:rsid w:val="00462A6F"/>
    <w:rsid w:val="00462AAE"/>
    <w:rsid w:val="004634D1"/>
    <w:rsid w:val="00463631"/>
    <w:rsid w:val="004637A4"/>
    <w:rsid w:val="00464368"/>
    <w:rsid w:val="004643E0"/>
    <w:rsid w:val="00464434"/>
    <w:rsid w:val="0046463C"/>
    <w:rsid w:val="00464FFC"/>
    <w:rsid w:val="004651BC"/>
    <w:rsid w:val="00465459"/>
    <w:rsid w:val="00465550"/>
    <w:rsid w:val="00465613"/>
    <w:rsid w:val="004657DB"/>
    <w:rsid w:val="00465A79"/>
    <w:rsid w:val="00465FDE"/>
    <w:rsid w:val="00466216"/>
    <w:rsid w:val="004662FB"/>
    <w:rsid w:val="0046642B"/>
    <w:rsid w:val="00466D0F"/>
    <w:rsid w:val="0046705A"/>
    <w:rsid w:val="00467194"/>
    <w:rsid w:val="004677D1"/>
    <w:rsid w:val="00467A05"/>
    <w:rsid w:val="00467E25"/>
    <w:rsid w:val="00467E2A"/>
    <w:rsid w:val="00470967"/>
    <w:rsid w:val="004714D5"/>
    <w:rsid w:val="004720A8"/>
    <w:rsid w:val="00472405"/>
    <w:rsid w:val="00472B9D"/>
    <w:rsid w:val="00472E1C"/>
    <w:rsid w:val="00472F0F"/>
    <w:rsid w:val="004745A5"/>
    <w:rsid w:val="00474CB9"/>
    <w:rsid w:val="00474E2C"/>
    <w:rsid w:val="00475835"/>
    <w:rsid w:val="00475896"/>
    <w:rsid w:val="00475B77"/>
    <w:rsid w:val="00475E3F"/>
    <w:rsid w:val="00475F95"/>
    <w:rsid w:val="00476661"/>
    <w:rsid w:val="00476778"/>
    <w:rsid w:val="00476853"/>
    <w:rsid w:val="00477659"/>
    <w:rsid w:val="00477A65"/>
    <w:rsid w:val="0048073A"/>
    <w:rsid w:val="004811FE"/>
    <w:rsid w:val="004813FE"/>
    <w:rsid w:val="00481586"/>
    <w:rsid w:val="00481DB7"/>
    <w:rsid w:val="00481DE0"/>
    <w:rsid w:val="004821C6"/>
    <w:rsid w:val="00482638"/>
    <w:rsid w:val="00482BEA"/>
    <w:rsid w:val="0048314A"/>
    <w:rsid w:val="00484612"/>
    <w:rsid w:val="00484BEB"/>
    <w:rsid w:val="00484D79"/>
    <w:rsid w:val="00485FB7"/>
    <w:rsid w:val="00486120"/>
    <w:rsid w:val="00486401"/>
    <w:rsid w:val="00487AB0"/>
    <w:rsid w:val="0049006E"/>
    <w:rsid w:val="004902C9"/>
    <w:rsid w:val="00490548"/>
    <w:rsid w:val="00490865"/>
    <w:rsid w:val="00490AB6"/>
    <w:rsid w:val="00490BF8"/>
    <w:rsid w:val="00491217"/>
    <w:rsid w:val="00491567"/>
    <w:rsid w:val="00491EC8"/>
    <w:rsid w:val="00492152"/>
    <w:rsid w:val="00492192"/>
    <w:rsid w:val="004923F5"/>
    <w:rsid w:val="004923F8"/>
    <w:rsid w:val="0049261C"/>
    <w:rsid w:val="00492A2C"/>
    <w:rsid w:val="00492DDE"/>
    <w:rsid w:val="00493A44"/>
    <w:rsid w:val="00494060"/>
    <w:rsid w:val="00494860"/>
    <w:rsid w:val="00494FFE"/>
    <w:rsid w:val="004953F2"/>
    <w:rsid w:val="00495711"/>
    <w:rsid w:val="00495775"/>
    <w:rsid w:val="00497235"/>
    <w:rsid w:val="00497619"/>
    <w:rsid w:val="004977FB"/>
    <w:rsid w:val="00497A4A"/>
    <w:rsid w:val="00497C28"/>
    <w:rsid w:val="004A0576"/>
    <w:rsid w:val="004A07D7"/>
    <w:rsid w:val="004A1438"/>
    <w:rsid w:val="004A17B4"/>
    <w:rsid w:val="004A1837"/>
    <w:rsid w:val="004A1B5D"/>
    <w:rsid w:val="004A1E84"/>
    <w:rsid w:val="004A2885"/>
    <w:rsid w:val="004A2B57"/>
    <w:rsid w:val="004A2BD8"/>
    <w:rsid w:val="004A32D5"/>
    <w:rsid w:val="004A32F3"/>
    <w:rsid w:val="004A3C85"/>
    <w:rsid w:val="004A479C"/>
    <w:rsid w:val="004A4A56"/>
    <w:rsid w:val="004A4AB6"/>
    <w:rsid w:val="004A4D31"/>
    <w:rsid w:val="004A4DE9"/>
    <w:rsid w:val="004A5626"/>
    <w:rsid w:val="004A5AEC"/>
    <w:rsid w:val="004A5C8A"/>
    <w:rsid w:val="004A6596"/>
    <w:rsid w:val="004A6804"/>
    <w:rsid w:val="004A6870"/>
    <w:rsid w:val="004A6955"/>
    <w:rsid w:val="004A6CB7"/>
    <w:rsid w:val="004A75F7"/>
    <w:rsid w:val="004A7A61"/>
    <w:rsid w:val="004B00B8"/>
    <w:rsid w:val="004B08C1"/>
    <w:rsid w:val="004B1574"/>
    <w:rsid w:val="004B196A"/>
    <w:rsid w:val="004B1B8E"/>
    <w:rsid w:val="004B238C"/>
    <w:rsid w:val="004B272E"/>
    <w:rsid w:val="004B2940"/>
    <w:rsid w:val="004B2A9A"/>
    <w:rsid w:val="004B3883"/>
    <w:rsid w:val="004B3B7A"/>
    <w:rsid w:val="004B3BD6"/>
    <w:rsid w:val="004B3D72"/>
    <w:rsid w:val="004B456C"/>
    <w:rsid w:val="004B4772"/>
    <w:rsid w:val="004B4DE5"/>
    <w:rsid w:val="004B4F4A"/>
    <w:rsid w:val="004B5146"/>
    <w:rsid w:val="004B57A3"/>
    <w:rsid w:val="004B57F8"/>
    <w:rsid w:val="004B5854"/>
    <w:rsid w:val="004B5A69"/>
    <w:rsid w:val="004B6030"/>
    <w:rsid w:val="004B6508"/>
    <w:rsid w:val="004B686E"/>
    <w:rsid w:val="004B69BE"/>
    <w:rsid w:val="004B6B3D"/>
    <w:rsid w:val="004B6B71"/>
    <w:rsid w:val="004B6CE0"/>
    <w:rsid w:val="004B6D58"/>
    <w:rsid w:val="004B6E9F"/>
    <w:rsid w:val="004B706C"/>
    <w:rsid w:val="004B758D"/>
    <w:rsid w:val="004B77D0"/>
    <w:rsid w:val="004C0022"/>
    <w:rsid w:val="004C1C87"/>
    <w:rsid w:val="004C1EB3"/>
    <w:rsid w:val="004C21E9"/>
    <w:rsid w:val="004C2B07"/>
    <w:rsid w:val="004C317B"/>
    <w:rsid w:val="004C3272"/>
    <w:rsid w:val="004C3439"/>
    <w:rsid w:val="004C3B25"/>
    <w:rsid w:val="004C3B90"/>
    <w:rsid w:val="004C3E62"/>
    <w:rsid w:val="004C3F3E"/>
    <w:rsid w:val="004C4651"/>
    <w:rsid w:val="004C4709"/>
    <w:rsid w:val="004C4E67"/>
    <w:rsid w:val="004C531E"/>
    <w:rsid w:val="004C532C"/>
    <w:rsid w:val="004C5345"/>
    <w:rsid w:val="004C5870"/>
    <w:rsid w:val="004C5E24"/>
    <w:rsid w:val="004C6275"/>
    <w:rsid w:val="004C687B"/>
    <w:rsid w:val="004C6C3C"/>
    <w:rsid w:val="004C6E1C"/>
    <w:rsid w:val="004C6EA5"/>
    <w:rsid w:val="004C7058"/>
    <w:rsid w:val="004C705B"/>
    <w:rsid w:val="004C78B1"/>
    <w:rsid w:val="004C7BD7"/>
    <w:rsid w:val="004D02F9"/>
    <w:rsid w:val="004D1084"/>
    <w:rsid w:val="004D131C"/>
    <w:rsid w:val="004D1889"/>
    <w:rsid w:val="004D1D9A"/>
    <w:rsid w:val="004D2336"/>
    <w:rsid w:val="004D23FE"/>
    <w:rsid w:val="004D2777"/>
    <w:rsid w:val="004D33BF"/>
    <w:rsid w:val="004D3888"/>
    <w:rsid w:val="004D3D13"/>
    <w:rsid w:val="004D4098"/>
    <w:rsid w:val="004D4488"/>
    <w:rsid w:val="004D486D"/>
    <w:rsid w:val="004D4876"/>
    <w:rsid w:val="004D4EA2"/>
    <w:rsid w:val="004D51FF"/>
    <w:rsid w:val="004D539A"/>
    <w:rsid w:val="004D5C5E"/>
    <w:rsid w:val="004D5C6E"/>
    <w:rsid w:val="004D6133"/>
    <w:rsid w:val="004D6281"/>
    <w:rsid w:val="004D6431"/>
    <w:rsid w:val="004D6464"/>
    <w:rsid w:val="004D6493"/>
    <w:rsid w:val="004D6F0D"/>
    <w:rsid w:val="004D749C"/>
    <w:rsid w:val="004D7955"/>
    <w:rsid w:val="004D7A84"/>
    <w:rsid w:val="004D7D4D"/>
    <w:rsid w:val="004E00C8"/>
    <w:rsid w:val="004E0175"/>
    <w:rsid w:val="004E0F52"/>
    <w:rsid w:val="004E1032"/>
    <w:rsid w:val="004E2330"/>
    <w:rsid w:val="004E2867"/>
    <w:rsid w:val="004E3373"/>
    <w:rsid w:val="004E35F9"/>
    <w:rsid w:val="004E361B"/>
    <w:rsid w:val="004E3B5B"/>
    <w:rsid w:val="004E3B94"/>
    <w:rsid w:val="004E3CCD"/>
    <w:rsid w:val="004E4070"/>
    <w:rsid w:val="004E463B"/>
    <w:rsid w:val="004E4D83"/>
    <w:rsid w:val="004E4F55"/>
    <w:rsid w:val="004E4FA8"/>
    <w:rsid w:val="004E624A"/>
    <w:rsid w:val="004E6433"/>
    <w:rsid w:val="004E6E26"/>
    <w:rsid w:val="004E6E75"/>
    <w:rsid w:val="004E6F86"/>
    <w:rsid w:val="004E74A3"/>
    <w:rsid w:val="004E76CC"/>
    <w:rsid w:val="004E77C8"/>
    <w:rsid w:val="004E79EA"/>
    <w:rsid w:val="004F0778"/>
    <w:rsid w:val="004F0A21"/>
    <w:rsid w:val="004F0AA0"/>
    <w:rsid w:val="004F1078"/>
    <w:rsid w:val="004F116E"/>
    <w:rsid w:val="004F21DE"/>
    <w:rsid w:val="004F2368"/>
    <w:rsid w:val="004F2A99"/>
    <w:rsid w:val="004F2ABB"/>
    <w:rsid w:val="004F34A2"/>
    <w:rsid w:val="004F35C8"/>
    <w:rsid w:val="004F3B10"/>
    <w:rsid w:val="004F3C7A"/>
    <w:rsid w:val="004F4087"/>
    <w:rsid w:val="004F4161"/>
    <w:rsid w:val="004F484C"/>
    <w:rsid w:val="004F499B"/>
    <w:rsid w:val="004F4FC8"/>
    <w:rsid w:val="004F5050"/>
    <w:rsid w:val="004F5272"/>
    <w:rsid w:val="004F548F"/>
    <w:rsid w:val="004F59A0"/>
    <w:rsid w:val="004F61A4"/>
    <w:rsid w:val="004F6514"/>
    <w:rsid w:val="004F7005"/>
    <w:rsid w:val="004F75D4"/>
    <w:rsid w:val="004F789F"/>
    <w:rsid w:val="004F79EB"/>
    <w:rsid w:val="004F7BFF"/>
    <w:rsid w:val="00500F33"/>
    <w:rsid w:val="00502FBC"/>
    <w:rsid w:val="00503875"/>
    <w:rsid w:val="00503E3C"/>
    <w:rsid w:val="00503EA1"/>
    <w:rsid w:val="00503F5F"/>
    <w:rsid w:val="005051D5"/>
    <w:rsid w:val="0050589C"/>
    <w:rsid w:val="005059A6"/>
    <w:rsid w:val="00505A69"/>
    <w:rsid w:val="00505AB6"/>
    <w:rsid w:val="00506415"/>
    <w:rsid w:val="00506B4E"/>
    <w:rsid w:val="00506BA6"/>
    <w:rsid w:val="00506F46"/>
    <w:rsid w:val="0050700D"/>
    <w:rsid w:val="00507371"/>
    <w:rsid w:val="005076FC"/>
    <w:rsid w:val="005077A9"/>
    <w:rsid w:val="00507911"/>
    <w:rsid w:val="00507A51"/>
    <w:rsid w:val="00511161"/>
    <w:rsid w:val="00511337"/>
    <w:rsid w:val="005113B0"/>
    <w:rsid w:val="005116BE"/>
    <w:rsid w:val="00511816"/>
    <w:rsid w:val="005121FA"/>
    <w:rsid w:val="0051256E"/>
    <w:rsid w:val="005128E0"/>
    <w:rsid w:val="005129F3"/>
    <w:rsid w:val="00512B23"/>
    <w:rsid w:val="00513695"/>
    <w:rsid w:val="0051385E"/>
    <w:rsid w:val="00513D49"/>
    <w:rsid w:val="005140B4"/>
    <w:rsid w:val="00514132"/>
    <w:rsid w:val="005145E4"/>
    <w:rsid w:val="005149B7"/>
    <w:rsid w:val="00515385"/>
    <w:rsid w:val="005157A9"/>
    <w:rsid w:val="00515903"/>
    <w:rsid w:val="00515B12"/>
    <w:rsid w:val="00516A1F"/>
    <w:rsid w:val="00516CB2"/>
    <w:rsid w:val="005175C3"/>
    <w:rsid w:val="00517ACC"/>
    <w:rsid w:val="00517C7B"/>
    <w:rsid w:val="00517FB1"/>
    <w:rsid w:val="005207A5"/>
    <w:rsid w:val="00520E12"/>
    <w:rsid w:val="0052132D"/>
    <w:rsid w:val="00521B78"/>
    <w:rsid w:val="00521BBB"/>
    <w:rsid w:val="00522672"/>
    <w:rsid w:val="00522834"/>
    <w:rsid w:val="00523285"/>
    <w:rsid w:val="00524632"/>
    <w:rsid w:val="005247B7"/>
    <w:rsid w:val="005253B5"/>
    <w:rsid w:val="005254D2"/>
    <w:rsid w:val="00525651"/>
    <w:rsid w:val="00525B08"/>
    <w:rsid w:val="00525C1F"/>
    <w:rsid w:val="005263B6"/>
    <w:rsid w:val="005269A1"/>
    <w:rsid w:val="00526A10"/>
    <w:rsid w:val="005270A1"/>
    <w:rsid w:val="00527504"/>
    <w:rsid w:val="005277C6"/>
    <w:rsid w:val="00530825"/>
    <w:rsid w:val="005309A7"/>
    <w:rsid w:val="00530ABD"/>
    <w:rsid w:val="00530D7C"/>
    <w:rsid w:val="00530E0C"/>
    <w:rsid w:val="0053124E"/>
    <w:rsid w:val="0053145F"/>
    <w:rsid w:val="00532AAA"/>
    <w:rsid w:val="0053309D"/>
    <w:rsid w:val="005343A5"/>
    <w:rsid w:val="00534630"/>
    <w:rsid w:val="005346D5"/>
    <w:rsid w:val="00534A78"/>
    <w:rsid w:val="00534C8C"/>
    <w:rsid w:val="005351A7"/>
    <w:rsid w:val="005355F7"/>
    <w:rsid w:val="005360C3"/>
    <w:rsid w:val="00536ADB"/>
    <w:rsid w:val="00537363"/>
    <w:rsid w:val="00537649"/>
    <w:rsid w:val="00537D0F"/>
    <w:rsid w:val="005402C2"/>
    <w:rsid w:val="00540368"/>
    <w:rsid w:val="00540546"/>
    <w:rsid w:val="0054090E"/>
    <w:rsid w:val="00540C2D"/>
    <w:rsid w:val="00540C76"/>
    <w:rsid w:val="0054165B"/>
    <w:rsid w:val="00541739"/>
    <w:rsid w:val="00541BF2"/>
    <w:rsid w:val="00542086"/>
    <w:rsid w:val="00542248"/>
    <w:rsid w:val="005422D5"/>
    <w:rsid w:val="0054330D"/>
    <w:rsid w:val="00543FDE"/>
    <w:rsid w:val="00544E2E"/>
    <w:rsid w:val="00544FBC"/>
    <w:rsid w:val="005456A2"/>
    <w:rsid w:val="00545B02"/>
    <w:rsid w:val="00546509"/>
    <w:rsid w:val="00546663"/>
    <w:rsid w:val="005467FE"/>
    <w:rsid w:val="00547071"/>
    <w:rsid w:val="00547323"/>
    <w:rsid w:val="005510B0"/>
    <w:rsid w:val="0055139C"/>
    <w:rsid w:val="00551670"/>
    <w:rsid w:val="00552576"/>
    <w:rsid w:val="00552B17"/>
    <w:rsid w:val="00552BC2"/>
    <w:rsid w:val="00552C2E"/>
    <w:rsid w:val="0055364A"/>
    <w:rsid w:val="005539FE"/>
    <w:rsid w:val="00553B42"/>
    <w:rsid w:val="00554FF4"/>
    <w:rsid w:val="00555009"/>
    <w:rsid w:val="0055509C"/>
    <w:rsid w:val="00555504"/>
    <w:rsid w:val="005558A5"/>
    <w:rsid w:val="00555A8B"/>
    <w:rsid w:val="00555EA3"/>
    <w:rsid w:val="00555F74"/>
    <w:rsid w:val="005579DB"/>
    <w:rsid w:val="00557D03"/>
    <w:rsid w:val="00557DBF"/>
    <w:rsid w:val="0056054B"/>
    <w:rsid w:val="00561535"/>
    <w:rsid w:val="005615B3"/>
    <w:rsid w:val="00561A0D"/>
    <w:rsid w:val="00561A70"/>
    <w:rsid w:val="00561F3E"/>
    <w:rsid w:val="005621CB"/>
    <w:rsid w:val="005621DB"/>
    <w:rsid w:val="0056230C"/>
    <w:rsid w:val="00562580"/>
    <w:rsid w:val="00562A91"/>
    <w:rsid w:val="00562BAD"/>
    <w:rsid w:val="0056346A"/>
    <w:rsid w:val="005635A6"/>
    <w:rsid w:val="0056366C"/>
    <w:rsid w:val="0056372D"/>
    <w:rsid w:val="00563998"/>
    <w:rsid w:val="00563D37"/>
    <w:rsid w:val="00564AA2"/>
    <w:rsid w:val="005652D6"/>
    <w:rsid w:val="00565C0C"/>
    <w:rsid w:val="00565D41"/>
    <w:rsid w:val="00566074"/>
    <w:rsid w:val="00566827"/>
    <w:rsid w:val="00566ED4"/>
    <w:rsid w:val="005674E1"/>
    <w:rsid w:val="005675E7"/>
    <w:rsid w:val="00567763"/>
    <w:rsid w:val="00567A15"/>
    <w:rsid w:val="00570D3F"/>
    <w:rsid w:val="00571115"/>
    <w:rsid w:val="0057134E"/>
    <w:rsid w:val="00571638"/>
    <w:rsid w:val="00571E71"/>
    <w:rsid w:val="00571E99"/>
    <w:rsid w:val="0057216C"/>
    <w:rsid w:val="00572496"/>
    <w:rsid w:val="005724B8"/>
    <w:rsid w:val="0057252C"/>
    <w:rsid w:val="00572AC7"/>
    <w:rsid w:val="00572BC1"/>
    <w:rsid w:val="00573181"/>
    <w:rsid w:val="005731BC"/>
    <w:rsid w:val="0057353F"/>
    <w:rsid w:val="005736AB"/>
    <w:rsid w:val="00574253"/>
    <w:rsid w:val="00574AE6"/>
    <w:rsid w:val="0057537F"/>
    <w:rsid w:val="005753B3"/>
    <w:rsid w:val="00575A7D"/>
    <w:rsid w:val="00575E76"/>
    <w:rsid w:val="005763B5"/>
    <w:rsid w:val="00576F8A"/>
    <w:rsid w:val="005776AA"/>
    <w:rsid w:val="00577C3D"/>
    <w:rsid w:val="00577F8D"/>
    <w:rsid w:val="005808C3"/>
    <w:rsid w:val="0058176D"/>
    <w:rsid w:val="005822D6"/>
    <w:rsid w:val="00582BC3"/>
    <w:rsid w:val="00582EFA"/>
    <w:rsid w:val="00583641"/>
    <w:rsid w:val="005845BF"/>
    <w:rsid w:val="005846AA"/>
    <w:rsid w:val="00584A50"/>
    <w:rsid w:val="00584BF4"/>
    <w:rsid w:val="00584EDC"/>
    <w:rsid w:val="00585327"/>
    <w:rsid w:val="00586A73"/>
    <w:rsid w:val="00586DE8"/>
    <w:rsid w:val="00586FF9"/>
    <w:rsid w:val="00587923"/>
    <w:rsid w:val="005879AD"/>
    <w:rsid w:val="0059017C"/>
    <w:rsid w:val="00590A2F"/>
    <w:rsid w:val="00590A85"/>
    <w:rsid w:val="005912B3"/>
    <w:rsid w:val="005918C1"/>
    <w:rsid w:val="0059264C"/>
    <w:rsid w:val="00592779"/>
    <w:rsid w:val="00593010"/>
    <w:rsid w:val="00593819"/>
    <w:rsid w:val="00593D64"/>
    <w:rsid w:val="00594132"/>
    <w:rsid w:val="005944B6"/>
    <w:rsid w:val="00594672"/>
    <w:rsid w:val="0059470C"/>
    <w:rsid w:val="00594DE0"/>
    <w:rsid w:val="005950BC"/>
    <w:rsid w:val="00595C36"/>
    <w:rsid w:val="005961CC"/>
    <w:rsid w:val="0059754B"/>
    <w:rsid w:val="005975CE"/>
    <w:rsid w:val="00597B6B"/>
    <w:rsid w:val="005A0DF8"/>
    <w:rsid w:val="005A0FA1"/>
    <w:rsid w:val="005A12ED"/>
    <w:rsid w:val="005A1A29"/>
    <w:rsid w:val="005A1B8C"/>
    <w:rsid w:val="005A1EF8"/>
    <w:rsid w:val="005A2168"/>
    <w:rsid w:val="005A2665"/>
    <w:rsid w:val="005A2AD3"/>
    <w:rsid w:val="005A3191"/>
    <w:rsid w:val="005A3358"/>
    <w:rsid w:val="005A38B4"/>
    <w:rsid w:val="005A3E1B"/>
    <w:rsid w:val="005A3E23"/>
    <w:rsid w:val="005A3FE2"/>
    <w:rsid w:val="005A4682"/>
    <w:rsid w:val="005A46D1"/>
    <w:rsid w:val="005A4EEE"/>
    <w:rsid w:val="005A5562"/>
    <w:rsid w:val="005A57F8"/>
    <w:rsid w:val="005A622C"/>
    <w:rsid w:val="005A664A"/>
    <w:rsid w:val="005A6885"/>
    <w:rsid w:val="005A6EB7"/>
    <w:rsid w:val="005A6EDE"/>
    <w:rsid w:val="005A792F"/>
    <w:rsid w:val="005B01A1"/>
    <w:rsid w:val="005B0A6E"/>
    <w:rsid w:val="005B1401"/>
    <w:rsid w:val="005B1BDE"/>
    <w:rsid w:val="005B25C8"/>
    <w:rsid w:val="005B2638"/>
    <w:rsid w:val="005B2BFB"/>
    <w:rsid w:val="005B3DF2"/>
    <w:rsid w:val="005B5453"/>
    <w:rsid w:val="005B5515"/>
    <w:rsid w:val="005B5971"/>
    <w:rsid w:val="005B61B1"/>
    <w:rsid w:val="005B73E9"/>
    <w:rsid w:val="005B76BE"/>
    <w:rsid w:val="005B792C"/>
    <w:rsid w:val="005C0116"/>
    <w:rsid w:val="005C027F"/>
    <w:rsid w:val="005C0DD1"/>
    <w:rsid w:val="005C1A00"/>
    <w:rsid w:val="005C1B5A"/>
    <w:rsid w:val="005C1CEE"/>
    <w:rsid w:val="005C21AE"/>
    <w:rsid w:val="005C25CB"/>
    <w:rsid w:val="005C2750"/>
    <w:rsid w:val="005C292A"/>
    <w:rsid w:val="005C5681"/>
    <w:rsid w:val="005C5B27"/>
    <w:rsid w:val="005C5E04"/>
    <w:rsid w:val="005C6F6E"/>
    <w:rsid w:val="005C7A09"/>
    <w:rsid w:val="005C7B93"/>
    <w:rsid w:val="005C7F08"/>
    <w:rsid w:val="005D03D5"/>
    <w:rsid w:val="005D05A1"/>
    <w:rsid w:val="005D0DB1"/>
    <w:rsid w:val="005D1258"/>
    <w:rsid w:val="005D13BF"/>
    <w:rsid w:val="005D157E"/>
    <w:rsid w:val="005D1623"/>
    <w:rsid w:val="005D16BB"/>
    <w:rsid w:val="005D1AA2"/>
    <w:rsid w:val="005D1ECC"/>
    <w:rsid w:val="005D262F"/>
    <w:rsid w:val="005D30FB"/>
    <w:rsid w:val="005D34B6"/>
    <w:rsid w:val="005D47AC"/>
    <w:rsid w:val="005D48D2"/>
    <w:rsid w:val="005D4908"/>
    <w:rsid w:val="005D4998"/>
    <w:rsid w:val="005D4FFF"/>
    <w:rsid w:val="005D5C19"/>
    <w:rsid w:val="005D5CB8"/>
    <w:rsid w:val="005D67CE"/>
    <w:rsid w:val="005D6AB0"/>
    <w:rsid w:val="005D6CA6"/>
    <w:rsid w:val="005D6EBA"/>
    <w:rsid w:val="005D72AC"/>
    <w:rsid w:val="005D7C28"/>
    <w:rsid w:val="005E0039"/>
    <w:rsid w:val="005E0CCE"/>
    <w:rsid w:val="005E0D57"/>
    <w:rsid w:val="005E0E65"/>
    <w:rsid w:val="005E1379"/>
    <w:rsid w:val="005E1EBC"/>
    <w:rsid w:val="005E2385"/>
    <w:rsid w:val="005E23D0"/>
    <w:rsid w:val="005E27DA"/>
    <w:rsid w:val="005E286B"/>
    <w:rsid w:val="005E33CD"/>
    <w:rsid w:val="005E35DD"/>
    <w:rsid w:val="005E3B05"/>
    <w:rsid w:val="005E3E83"/>
    <w:rsid w:val="005E4184"/>
    <w:rsid w:val="005E4680"/>
    <w:rsid w:val="005E473F"/>
    <w:rsid w:val="005E48AD"/>
    <w:rsid w:val="005E48D2"/>
    <w:rsid w:val="005E4B77"/>
    <w:rsid w:val="005E4B9F"/>
    <w:rsid w:val="005E5769"/>
    <w:rsid w:val="005E5C40"/>
    <w:rsid w:val="005E5EC1"/>
    <w:rsid w:val="005E612F"/>
    <w:rsid w:val="005E635B"/>
    <w:rsid w:val="005E79B6"/>
    <w:rsid w:val="005F0B77"/>
    <w:rsid w:val="005F0D69"/>
    <w:rsid w:val="005F0E0B"/>
    <w:rsid w:val="005F14CD"/>
    <w:rsid w:val="005F191D"/>
    <w:rsid w:val="005F19A6"/>
    <w:rsid w:val="005F1A99"/>
    <w:rsid w:val="005F1F6D"/>
    <w:rsid w:val="005F28A6"/>
    <w:rsid w:val="005F2C76"/>
    <w:rsid w:val="005F2E11"/>
    <w:rsid w:val="005F333F"/>
    <w:rsid w:val="005F45A1"/>
    <w:rsid w:val="005F4EB1"/>
    <w:rsid w:val="005F515D"/>
    <w:rsid w:val="005F55B5"/>
    <w:rsid w:val="005F591E"/>
    <w:rsid w:val="005F5B06"/>
    <w:rsid w:val="005F5E4F"/>
    <w:rsid w:val="006003F7"/>
    <w:rsid w:val="00600C75"/>
    <w:rsid w:val="00600EEC"/>
    <w:rsid w:val="00602AE6"/>
    <w:rsid w:val="00602EBA"/>
    <w:rsid w:val="00603093"/>
    <w:rsid w:val="0060310A"/>
    <w:rsid w:val="0060317F"/>
    <w:rsid w:val="0060353E"/>
    <w:rsid w:val="006035E3"/>
    <w:rsid w:val="00603C7F"/>
    <w:rsid w:val="00603E73"/>
    <w:rsid w:val="00606004"/>
    <w:rsid w:val="00606203"/>
    <w:rsid w:val="006068EB"/>
    <w:rsid w:val="00606C1B"/>
    <w:rsid w:val="00606DE5"/>
    <w:rsid w:val="006075C0"/>
    <w:rsid w:val="006100BA"/>
    <w:rsid w:val="00610D02"/>
    <w:rsid w:val="00610D87"/>
    <w:rsid w:val="006118A5"/>
    <w:rsid w:val="006122DD"/>
    <w:rsid w:val="0061260C"/>
    <w:rsid w:val="0061265F"/>
    <w:rsid w:val="00612A8C"/>
    <w:rsid w:val="006133B5"/>
    <w:rsid w:val="0061363C"/>
    <w:rsid w:val="00613780"/>
    <w:rsid w:val="00614273"/>
    <w:rsid w:val="006146BE"/>
    <w:rsid w:val="00614DF9"/>
    <w:rsid w:val="00614E43"/>
    <w:rsid w:val="006157BF"/>
    <w:rsid w:val="006158F1"/>
    <w:rsid w:val="00616092"/>
    <w:rsid w:val="006164B2"/>
    <w:rsid w:val="0061654E"/>
    <w:rsid w:val="00617190"/>
    <w:rsid w:val="00617476"/>
    <w:rsid w:val="006177A9"/>
    <w:rsid w:val="0062071E"/>
    <w:rsid w:val="006211FB"/>
    <w:rsid w:val="0062161A"/>
    <w:rsid w:val="00621A6A"/>
    <w:rsid w:val="00621EEC"/>
    <w:rsid w:val="00621FB0"/>
    <w:rsid w:val="00622367"/>
    <w:rsid w:val="0062267D"/>
    <w:rsid w:val="006227A4"/>
    <w:rsid w:val="00622A0F"/>
    <w:rsid w:val="00622B8B"/>
    <w:rsid w:val="00622F4B"/>
    <w:rsid w:val="00622FC0"/>
    <w:rsid w:val="0062310B"/>
    <w:rsid w:val="00623EDF"/>
    <w:rsid w:val="00624EE4"/>
    <w:rsid w:val="0062508F"/>
    <w:rsid w:val="00625182"/>
    <w:rsid w:val="006254E4"/>
    <w:rsid w:val="006255BB"/>
    <w:rsid w:val="00625AEE"/>
    <w:rsid w:val="00625C9F"/>
    <w:rsid w:val="00626133"/>
    <w:rsid w:val="00626832"/>
    <w:rsid w:val="00626B51"/>
    <w:rsid w:val="00627087"/>
    <w:rsid w:val="006274E0"/>
    <w:rsid w:val="0062775F"/>
    <w:rsid w:val="00627C4A"/>
    <w:rsid w:val="00630538"/>
    <w:rsid w:val="0063178D"/>
    <w:rsid w:val="0063199C"/>
    <w:rsid w:val="00632265"/>
    <w:rsid w:val="00632E5A"/>
    <w:rsid w:val="00633041"/>
    <w:rsid w:val="0063310A"/>
    <w:rsid w:val="006335D0"/>
    <w:rsid w:val="0063379D"/>
    <w:rsid w:val="00633B14"/>
    <w:rsid w:val="00634285"/>
    <w:rsid w:val="006345BD"/>
    <w:rsid w:val="006349B6"/>
    <w:rsid w:val="00634B1E"/>
    <w:rsid w:val="00636A12"/>
    <w:rsid w:val="00636A80"/>
    <w:rsid w:val="00636EDC"/>
    <w:rsid w:val="00637218"/>
    <w:rsid w:val="006373A4"/>
    <w:rsid w:val="0064007E"/>
    <w:rsid w:val="006407F6"/>
    <w:rsid w:val="00640DC5"/>
    <w:rsid w:val="0064131F"/>
    <w:rsid w:val="006417DB"/>
    <w:rsid w:val="00641CA9"/>
    <w:rsid w:val="00641EAF"/>
    <w:rsid w:val="0064287D"/>
    <w:rsid w:val="00642927"/>
    <w:rsid w:val="00642E41"/>
    <w:rsid w:val="006432AC"/>
    <w:rsid w:val="00643AE1"/>
    <w:rsid w:val="00643B69"/>
    <w:rsid w:val="00644885"/>
    <w:rsid w:val="006448E9"/>
    <w:rsid w:val="00644ABF"/>
    <w:rsid w:val="0064510C"/>
    <w:rsid w:val="00645193"/>
    <w:rsid w:val="00645279"/>
    <w:rsid w:val="00645A11"/>
    <w:rsid w:val="006464F6"/>
    <w:rsid w:val="006466ED"/>
    <w:rsid w:val="00646B92"/>
    <w:rsid w:val="006472EC"/>
    <w:rsid w:val="006473A6"/>
    <w:rsid w:val="00647780"/>
    <w:rsid w:val="00647E90"/>
    <w:rsid w:val="00650443"/>
    <w:rsid w:val="00650486"/>
    <w:rsid w:val="006505D7"/>
    <w:rsid w:val="006507FA"/>
    <w:rsid w:val="00650B8E"/>
    <w:rsid w:val="006516F3"/>
    <w:rsid w:val="00651E7C"/>
    <w:rsid w:val="006521DC"/>
    <w:rsid w:val="00653A24"/>
    <w:rsid w:val="0065419B"/>
    <w:rsid w:val="00654C8F"/>
    <w:rsid w:val="00654E81"/>
    <w:rsid w:val="00655385"/>
    <w:rsid w:val="006554DC"/>
    <w:rsid w:val="0065551E"/>
    <w:rsid w:val="006555F3"/>
    <w:rsid w:val="00655843"/>
    <w:rsid w:val="00655A4F"/>
    <w:rsid w:val="00655B1E"/>
    <w:rsid w:val="00656094"/>
    <w:rsid w:val="00657154"/>
    <w:rsid w:val="00657925"/>
    <w:rsid w:val="00660DA9"/>
    <w:rsid w:val="006610D2"/>
    <w:rsid w:val="00661695"/>
    <w:rsid w:val="0066298C"/>
    <w:rsid w:val="00662F8B"/>
    <w:rsid w:val="006635E9"/>
    <w:rsid w:val="006636E1"/>
    <w:rsid w:val="00663D2E"/>
    <w:rsid w:val="00664531"/>
    <w:rsid w:val="0066472C"/>
    <w:rsid w:val="00664811"/>
    <w:rsid w:val="006654AD"/>
    <w:rsid w:val="006658A6"/>
    <w:rsid w:val="00665B76"/>
    <w:rsid w:val="00666A17"/>
    <w:rsid w:val="00666BF9"/>
    <w:rsid w:val="00666CC6"/>
    <w:rsid w:val="00667725"/>
    <w:rsid w:val="0066799D"/>
    <w:rsid w:val="00667B3D"/>
    <w:rsid w:val="00670719"/>
    <w:rsid w:val="00670760"/>
    <w:rsid w:val="00670E2F"/>
    <w:rsid w:val="00670E45"/>
    <w:rsid w:val="00671637"/>
    <w:rsid w:val="006718D1"/>
    <w:rsid w:val="00671A65"/>
    <w:rsid w:val="00671EFD"/>
    <w:rsid w:val="006722E5"/>
    <w:rsid w:val="00672654"/>
    <w:rsid w:val="0067270F"/>
    <w:rsid w:val="00673D64"/>
    <w:rsid w:val="006740E7"/>
    <w:rsid w:val="00674A58"/>
    <w:rsid w:val="00675162"/>
    <w:rsid w:val="00675171"/>
    <w:rsid w:val="006752FB"/>
    <w:rsid w:val="006752FE"/>
    <w:rsid w:val="006756C1"/>
    <w:rsid w:val="006759D6"/>
    <w:rsid w:val="00675F71"/>
    <w:rsid w:val="00676A73"/>
    <w:rsid w:val="00677282"/>
    <w:rsid w:val="006776D5"/>
    <w:rsid w:val="00677C64"/>
    <w:rsid w:val="00677D69"/>
    <w:rsid w:val="00677FAD"/>
    <w:rsid w:val="0068047E"/>
    <w:rsid w:val="0068129A"/>
    <w:rsid w:val="006816B5"/>
    <w:rsid w:val="00681ADB"/>
    <w:rsid w:val="00681DAF"/>
    <w:rsid w:val="0068218F"/>
    <w:rsid w:val="00682332"/>
    <w:rsid w:val="0068263D"/>
    <w:rsid w:val="006837E4"/>
    <w:rsid w:val="00683B8B"/>
    <w:rsid w:val="00684288"/>
    <w:rsid w:val="006848B4"/>
    <w:rsid w:val="00684A86"/>
    <w:rsid w:val="00684ECE"/>
    <w:rsid w:val="00684FA7"/>
    <w:rsid w:val="006853B2"/>
    <w:rsid w:val="00685A7C"/>
    <w:rsid w:val="006861B7"/>
    <w:rsid w:val="0068661F"/>
    <w:rsid w:val="00686B1A"/>
    <w:rsid w:val="00686B52"/>
    <w:rsid w:val="006877A7"/>
    <w:rsid w:val="00690351"/>
    <w:rsid w:val="00691497"/>
    <w:rsid w:val="0069158A"/>
    <w:rsid w:val="006919C6"/>
    <w:rsid w:val="006923D0"/>
    <w:rsid w:val="006930DD"/>
    <w:rsid w:val="0069326D"/>
    <w:rsid w:val="00693756"/>
    <w:rsid w:val="00693F08"/>
    <w:rsid w:val="00694182"/>
    <w:rsid w:val="00694261"/>
    <w:rsid w:val="006944DB"/>
    <w:rsid w:val="0069456B"/>
    <w:rsid w:val="00694A2C"/>
    <w:rsid w:val="00694D07"/>
    <w:rsid w:val="00694D13"/>
    <w:rsid w:val="0069547C"/>
    <w:rsid w:val="006955A8"/>
    <w:rsid w:val="00695671"/>
    <w:rsid w:val="00695B6A"/>
    <w:rsid w:val="00695D28"/>
    <w:rsid w:val="00695F97"/>
    <w:rsid w:val="00696AA3"/>
    <w:rsid w:val="00696E7D"/>
    <w:rsid w:val="00696E95"/>
    <w:rsid w:val="00696F49"/>
    <w:rsid w:val="006970A3"/>
    <w:rsid w:val="0069740F"/>
    <w:rsid w:val="00697B58"/>
    <w:rsid w:val="00697E91"/>
    <w:rsid w:val="006A0111"/>
    <w:rsid w:val="006A0FF8"/>
    <w:rsid w:val="006A1217"/>
    <w:rsid w:val="006A159D"/>
    <w:rsid w:val="006A4083"/>
    <w:rsid w:val="006A43F5"/>
    <w:rsid w:val="006A4C1E"/>
    <w:rsid w:val="006A51AE"/>
    <w:rsid w:val="006A5988"/>
    <w:rsid w:val="006A5DAB"/>
    <w:rsid w:val="006A630C"/>
    <w:rsid w:val="006A63EE"/>
    <w:rsid w:val="006A6478"/>
    <w:rsid w:val="006A7274"/>
    <w:rsid w:val="006A7F85"/>
    <w:rsid w:val="006B0136"/>
    <w:rsid w:val="006B04BD"/>
    <w:rsid w:val="006B07C0"/>
    <w:rsid w:val="006B0A3D"/>
    <w:rsid w:val="006B2613"/>
    <w:rsid w:val="006B2680"/>
    <w:rsid w:val="006B2CE1"/>
    <w:rsid w:val="006B3D5D"/>
    <w:rsid w:val="006B4895"/>
    <w:rsid w:val="006B517C"/>
    <w:rsid w:val="006B5958"/>
    <w:rsid w:val="006B608A"/>
    <w:rsid w:val="006B60D8"/>
    <w:rsid w:val="006B6369"/>
    <w:rsid w:val="006B6B1B"/>
    <w:rsid w:val="006B6FBF"/>
    <w:rsid w:val="006B706C"/>
    <w:rsid w:val="006B7208"/>
    <w:rsid w:val="006B7261"/>
    <w:rsid w:val="006B74C0"/>
    <w:rsid w:val="006B756B"/>
    <w:rsid w:val="006C0619"/>
    <w:rsid w:val="006C0676"/>
    <w:rsid w:val="006C0841"/>
    <w:rsid w:val="006C0A68"/>
    <w:rsid w:val="006C0EE0"/>
    <w:rsid w:val="006C195D"/>
    <w:rsid w:val="006C1F96"/>
    <w:rsid w:val="006C2CD0"/>
    <w:rsid w:val="006C2E0E"/>
    <w:rsid w:val="006C31EB"/>
    <w:rsid w:val="006C4077"/>
    <w:rsid w:val="006C411C"/>
    <w:rsid w:val="006C4167"/>
    <w:rsid w:val="006C42C1"/>
    <w:rsid w:val="006C44A8"/>
    <w:rsid w:val="006C492A"/>
    <w:rsid w:val="006C4AC1"/>
    <w:rsid w:val="006C4C77"/>
    <w:rsid w:val="006C520D"/>
    <w:rsid w:val="006C55F4"/>
    <w:rsid w:val="006C5842"/>
    <w:rsid w:val="006C69B5"/>
    <w:rsid w:val="006C6BE1"/>
    <w:rsid w:val="006C7752"/>
    <w:rsid w:val="006C7800"/>
    <w:rsid w:val="006D01D7"/>
    <w:rsid w:val="006D0351"/>
    <w:rsid w:val="006D0615"/>
    <w:rsid w:val="006D08CE"/>
    <w:rsid w:val="006D0DF6"/>
    <w:rsid w:val="006D12E6"/>
    <w:rsid w:val="006D15E6"/>
    <w:rsid w:val="006D1C01"/>
    <w:rsid w:val="006D1FC1"/>
    <w:rsid w:val="006D327E"/>
    <w:rsid w:val="006D350F"/>
    <w:rsid w:val="006D4594"/>
    <w:rsid w:val="006D48FB"/>
    <w:rsid w:val="006D4BF1"/>
    <w:rsid w:val="006D4FE0"/>
    <w:rsid w:val="006D5AEF"/>
    <w:rsid w:val="006D5B2A"/>
    <w:rsid w:val="006D6003"/>
    <w:rsid w:val="006D66EE"/>
    <w:rsid w:val="006D698A"/>
    <w:rsid w:val="006D6F1D"/>
    <w:rsid w:val="006D73BE"/>
    <w:rsid w:val="006D7702"/>
    <w:rsid w:val="006E0301"/>
    <w:rsid w:val="006E0538"/>
    <w:rsid w:val="006E0AD5"/>
    <w:rsid w:val="006E0E73"/>
    <w:rsid w:val="006E0F64"/>
    <w:rsid w:val="006E10A9"/>
    <w:rsid w:val="006E241A"/>
    <w:rsid w:val="006E247C"/>
    <w:rsid w:val="006E2AD4"/>
    <w:rsid w:val="006E30A5"/>
    <w:rsid w:val="006E3792"/>
    <w:rsid w:val="006E387D"/>
    <w:rsid w:val="006E3921"/>
    <w:rsid w:val="006E3EB3"/>
    <w:rsid w:val="006E41DF"/>
    <w:rsid w:val="006E4332"/>
    <w:rsid w:val="006E44B0"/>
    <w:rsid w:val="006E46B8"/>
    <w:rsid w:val="006E483D"/>
    <w:rsid w:val="006E548B"/>
    <w:rsid w:val="006E5E9F"/>
    <w:rsid w:val="006E5F2E"/>
    <w:rsid w:val="006E6E25"/>
    <w:rsid w:val="006E7C6E"/>
    <w:rsid w:val="006E7F12"/>
    <w:rsid w:val="006F03E8"/>
    <w:rsid w:val="006F04D2"/>
    <w:rsid w:val="006F0C72"/>
    <w:rsid w:val="006F1631"/>
    <w:rsid w:val="006F20D5"/>
    <w:rsid w:val="006F2AD7"/>
    <w:rsid w:val="006F3D8C"/>
    <w:rsid w:val="006F4532"/>
    <w:rsid w:val="006F4747"/>
    <w:rsid w:val="006F4CFE"/>
    <w:rsid w:val="006F50E9"/>
    <w:rsid w:val="006F5679"/>
    <w:rsid w:val="006F5699"/>
    <w:rsid w:val="006F5AB6"/>
    <w:rsid w:val="006F64BC"/>
    <w:rsid w:val="006F665A"/>
    <w:rsid w:val="006F671C"/>
    <w:rsid w:val="006F687F"/>
    <w:rsid w:val="006F6EC0"/>
    <w:rsid w:val="006F70C0"/>
    <w:rsid w:val="006F7904"/>
    <w:rsid w:val="006F793E"/>
    <w:rsid w:val="006F7978"/>
    <w:rsid w:val="006F7F8E"/>
    <w:rsid w:val="0070006E"/>
    <w:rsid w:val="00700342"/>
    <w:rsid w:val="00700DAC"/>
    <w:rsid w:val="0070148B"/>
    <w:rsid w:val="00701A81"/>
    <w:rsid w:val="00701FF7"/>
    <w:rsid w:val="007021BE"/>
    <w:rsid w:val="00702379"/>
    <w:rsid w:val="007023ED"/>
    <w:rsid w:val="00702888"/>
    <w:rsid w:val="0070289B"/>
    <w:rsid w:val="00703320"/>
    <w:rsid w:val="00704331"/>
    <w:rsid w:val="007059C5"/>
    <w:rsid w:val="00705F49"/>
    <w:rsid w:val="00705FC8"/>
    <w:rsid w:val="00707927"/>
    <w:rsid w:val="00710ACB"/>
    <w:rsid w:val="00710CDF"/>
    <w:rsid w:val="00711558"/>
    <w:rsid w:val="0071186B"/>
    <w:rsid w:val="00711C37"/>
    <w:rsid w:val="00711E2B"/>
    <w:rsid w:val="00711E60"/>
    <w:rsid w:val="00712117"/>
    <w:rsid w:val="0071215B"/>
    <w:rsid w:val="00712325"/>
    <w:rsid w:val="007125B6"/>
    <w:rsid w:val="007134A1"/>
    <w:rsid w:val="00713D3E"/>
    <w:rsid w:val="007146DB"/>
    <w:rsid w:val="007148E0"/>
    <w:rsid w:val="00716950"/>
    <w:rsid w:val="0071696B"/>
    <w:rsid w:val="007173CB"/>
    <w:rsid w:val="0071755C"/>
    <w:rsid w:val="0071775C"/>
    <w:rsid w:val="00717768"/>
    <w:rsid w:val="00717E83"/>
    <w:rsid w:val="007206F8"/>
    <w:rsid w:val="00720FE6"/>
    <w:rsid w:val="00721128"/>
    <w:rsid w:val="007211F6"/>
    <w:rsid w:val="007214C6"/>
    <w:rsid w:val="0072156E"/>
    <w:rsid w:val="0072169B"/>
    <w:rsid w:val="00721743"/>
    <w:rsid w:val="00721925"/>
    <w:rsid w:val="00721EE3"/>
    <w:rsid w:val="0072296D"/>
    <w:rsid w:val="00722B15"/>
    <w:rsid w:val="00723049"/>
    <w:rsid w:val="00723099"/>
    <w:rsid w:val="00723572"/>
    <w:rsid w:val="00723717"/>
    <w:rsid w:val="00723EAA"/>
    <w:rsid w:val="00723FDF"/>
    <w:rsid w:val="00724A32"/>
    <w:rsid w:val="0072501A"/>
    <w:rsid w:val="00725841"/>
    <w:rsid w:val="007263F3"/>
    <w:rsid w:val="00726C39"/>
    <w:rsid w:val="007278DE"/>
    <w:rsid w:val="00727ABB"/>
    <w:rsid w:val="00727B75"/>
    <w:rsid w:val="00730F23"/>
    <w:rsid w:val="00731891"/>
    <w:rsid w:val="00731BD9"/>
    <w:rsid w:val="00731E8F"/>
    <w:rsid w:val="00731F1E"/>
    <w:rsid w:val="00732C18"/>
    <w:rsid w:val="00732F43"/>
    <w:rsid w:val="00733416"/>
    <w:rsid w:val="007344CC"/>
    <w:rsid w:val="00735523"/>
    <w:rsid w:val="00735673"/>
    <w:rsid w:val="00735710"/>
    <w:rsid w:val="00735CEB"/>
    <w:rsid w:val="00735E63"/>
    <w:rsid w:val="00735FF9"/>
    <w:rsid w:val="00736664"/>
    <w:rsid w:val="00736709"/>
    <w:rsid w:val="007369A6"/>
    <w:rsid w:val="00736D4C"/>
    <w:rsid w:val="0073709C"/>
    <w:rsid w:val="00737244"/>
    <w:rsid w:val="00737488"/>
    <w:rsid w:val="007376A2"/>
    <w:rsid w:val="007377D7"/>
    <w:rsid w:val="00737AAC"/>
    <w:rsid w:val="00737F44"/>
    <w:rsid w:val="00740243"/>
    <w:rsid w:val="007403C2"/>
    <w:rsid w:val="007413D1"/>
    <w:rsid w:val="00741A2D"/>
    <w:rsid w:val="00742386"/>
    <w:rsid w:val="0074280F"/>
    <w:rsid w:val="007429E6"/>
    <w:rsid w:val="0074391F"/>
    <w:rsid w:val="00743A39"/>
    <w:rsid w:val="00743D6F"/>
    <w:rsid w:val="00744775"/>
    <w:rsid w:val="00744BC6"/>
    <w:rsid w:val="00744FAC"/>
    <w:rsid w:val="00746667"/>
    <w:rsid w:val="00746B1E"/>
    <w:rsid w:val="00746E99"/>
    <w:rsid w:val="00747240"/>
    <w:rsid w:val="00747430"/>
    <w:rsid w:val="00747D91"/>
    <w:rsid w:val="00747E9F"/>
    <w:rsid w:val="0075018E"/>
    <w:rsid w:val="007507ED"/>
    <w:rsid w:val="00750821"/>
    <w:rsid w:val="00750CBA"/>
    <w:rsid w:val="00751621"/>
    <w:rsid w:val="007521C6"/>
    <w:rsid w:val="00752327"/>
    <w:rsid w:val="0075265F"/>
    <w:rsid w:val="00752A47"/>
    <w:rsid w:val="00752F38"/>
    <w:rsid w:val="00753272"/>
    <w:rsid w:val="007538B9"/>
    <w:rsid w:val="00753D59"/>
    <w:rsid w:val="00753E43"/>
    <w:rsid w:val="007541C8"/>
    <w:rsid w:val="007543D9"/>
    <w:rsid w:val="007543DB"/>
    <w:rsid w:val="007544DD"/>
    <w:rsid w:val="007546E4"/>
    <w:rsid w:val="007547D2"/>
    <w:rsid w:val="00754BC4"/>
    <w:rsid w:val="00754BE0"/>
    <w:rsid w:val="007558ED"/>
    <w:rsid w:val="007559CE"/>
    <w:rsid w:val="007561A2"/>
    <w:rsid w:val="0075626D"/>
    <w:rsid w:val="0075660A"/>
    <w:rsid w:val="00756711"/>
    <w:rsid w:val="00756A7A"/>
    <w:rsid w:val="00756CA6"/>
    <w:rsid w:val="007575F3"/>
    <w:rsid w:val="00757896"/>
    <w:rsid w:val="007601B1"/>
    <w:rsid w:val="007606B6"/>
    <w:rsid w:val="0076189A"/>
    <w:rsid w:val="007618FF"/>
    <w:rsid w:val="00761C98"/>
    <w:rsid w:val="00761EF3"/>
    <w:rsid w:val="00761F55"/>
    <w:rsid w:val="00761FDE"/>
    <w:rsid w:val="0076294C"/>
    <w:rsid w:val="00762FA5"/>
    <w:rsid w:val="00763522"/>
    <w:rsid w:val="00763BC6"/>
    <w:rsid w:val="00763EDE"/>
    <w:rsid w:val="0076439C"/>
    <w:rsid w:val="0076453D"/>
    <w:rsid w:val="0076465C"/>
    <w:rsid w:val="007648C3"/>
    <w:rsid w:val="007649C7"/>
    <w:rsid w:val="00764EDC"/>
    <w:rsid w:val="00764F8B"/>
    <w:rsid w:val="00765C28"/>
    <w:rsid w:val="00765E89"/>
    <w:rsid w:val="007662AD"/>
    <w:rsid w:val="00766685"/>
    <w:rsid w:val="00766996"/>
    <w:rsid w:val="00766CAB"/>
    <w:rsid w:val="0076719C"/>
    <w:rsid w:val="00767448"/>
    <w:rsid w:val="00767644"/>
    <w:rsid w:val="007677F7"/>
    <w:rsid w:val="0076789C"/>
    <w:rsid w:val="00767F2D"/>
    <w:rsid w:val="007703CC"/>
    <w:rsid w:val="007706AF"/>
    <w:rsid w:val="00770E5B"/>
    <w:rsid w:val="00771179"/>
    <w:rsid w:val="00771328"/>
    <w:rsid w:val="007714FC"/>
    <w:rsid w:val="00772066"/>
    <w:rsid w:val="0077222C"/>
    <w:rsid w:val="0077238B"/>
    <w:rsid w:val="007725F8"/>
    <w:rsid w:val="00773F6C"/>
    <w:rsid w:val="0077413D"/>
    <w:rsid w:val="00774989"/>
    <w:rsid w:val="00774F70"/>
    <w:rsid w:val="007755B6"/>
    <w:rsid w:val="00775C9F"/>
    <w:rsid w:val="00776DFD"/>
    <w:rsid w:val="0077790A"/>
    <w:rsid w:val="00777D98"/>
    <w:rsid w:val="0078081F"/>
    <w:rsid w:val="00780ACA"/>
    <w:rsid w:val="0078142F"/>
    <w:rsid w:val="0078151C"/>
    <w:rsid w:val="00781544"/>
    <w:rsid w:val="00781D0D"/>
    <w:rsid w:val="00782D36"/>
    <w:rsid w:val="00783132"/>
    <w:rsid w:val="00783663"/>
    <w:rsid w:val="0078386E"/>
    <w:rsid w:val="00783A39"/>
    <w:rsid w:val="00783BA9"/>
    <w:rsid w:val="00783CA4"/>
    <w:rsid w:val="00783D13"/>
    <w:rsid w:val="00783EA6"/>
    <w:rsid w:val="00784065"/>
    <w:rsid w:val="00784CF9"/>
    <w:rsid w:val="00785606"/>
    <w:rsid w:val="00785793"/>
    <w:rsid w:val="00786288"/>
    <w:rsid w:val="007863F2"/>
    <w:rsid w:val="00786ACD"/>
    <w:rsid w:val="00786B8E"/>
    <w:rsid w:val="00786E0D"/>
    <w:rsid w:val="0078747F"/>
    <w:rsid w:val="00787947"/>
    <w:rsid w:val="007902B7"/>
    <w:rsid w:val="007902FE"/>
    <w:rsid w:val="00790A21"/>
    <w:rsid w:val="007911A0"/>
    <w:rsid w:val="007912E0"/>
    <w:rsid w:val="00791B7E"/>
    <w:rsid w:val="00791C42"/>
    <w:rsid w:val="00792A02"/>
    <w:rsid w:val="00792A48"/>
    <w:rsid w:val="00792AC6"/>
    <w:rsid w:val="007934DC"/>
    <w:rsid w:val="007942F8"/>
    <w:rsid w:val="00795124"/>
    <w:rsid w:val="007952BB"/>
    <w:rsid w:val="007954C4"/>
    <w:rsid w:val="0079588A"/>
    <w:rsid w:val="00795997"/>
    <w:rsid w:val="00795FCB"/>
    <w:rsid w:val="007967C2"/>
    <w:rsid w:val="00796F1F"/>
    <w:rsid w:val="00797092"/>
    <w:rsid w:val="0079771D"/>
    <w:rsid w:val="00797C13"/>
    <w:rsid w:val="007A012F"/>
    <w:rsid w:val="007A0351"/>
    <w:rsid w:val="007A03B2"/>
    <w:rsid w:val="007A0B4F"/>
    <w:rsid w:val="007A100E"/>
    <w:rsid w:val="007A12FF"/>
    <w:rsid w:val="007A173C"/>
    <w:rsid w:val="007A199B"/>
    <w:rsid w:val="007A206A"/>
    <w:rsid w:val="007A25B0"/>
    <w:rsid w:val="007A25BE"/>
    <w:rsid w:val="007A2795"/>
    <w:rsid w:val="007A2D84"/>
    <w:rsid w:val="007A2ECF"/>
    <w:rsid w:val="007A335D"/>
    <w:rsid w:val="007A3572"/>
    <w:rsid w:val="007A42A9"/>
    <w:rsid w:val="007A49CB"/>
    <w:rsid w:val="007A4DD2"/>
    <w:rsid w:val="007A6893"/>
    <w:rsid w:val="007A6B17"/>
    <w:rsid w:val="007A7B20"/>
    <w:rsid w:val="007B008E"/>
    <w:rsid w:val="007B00F1"/>
    <w:rsid w:val="007B0350"/>
    <w:rsid w:val="007B0776"/>
    <w:rsid w:val="007B0BC1"/>
    <w:rsid w:val="007B11FE"/>
    <w:rsid w:val="007B12A4"/>
    <w:rsid w:val="007B191D"/>
    <w:rsid w:val="007B1977"/>
    <w:rsid w:val="007B19A8"/>
    <w:rsid w:val="007B19BF"/>
    <w:rsid w:val="007B1DBB"/>
    <w:rsid w:val="007B1F72"/>
    <w:rsid w:val="007B264D"/>
    <w:rsid w:val="007B32E8"/>
    <w:rsid w:val="007B3767"/>
    <w:rsid w:val="007B4349"/>
    <w:rsid w:val="007B5405"/>
    <w:rsid w:val="007B54D5"/>
    <w:rsid w:val="007B5A22"/>
    <w:rsid w:val="007B5BA9"/>
    <w:rsid w:val="007B5D93"/>
    <w:rsid w:val="007B5E5B"/>
    <w:rsid w:val="007B66BD"/>
    <w:rsid w:val="007B66D0"/>
    <w:rsid w:val="007B6AFA"/>
    <w:rsid w:val="007B6BB1"/>
    <w:rsid w:val="007B72A5"/>
    <w:rsid w:val="007C0032"/>
    <w:rsid w:val="007C03C6"/>
    <w:rsid w:val="007C0945"/>
    <w:rsid w:val="007C0EAC"/>
    <w:rsid w:val="007C0FD5"/>
    <w:rsid w:val="007C19B7"/>
    <w:rsid w:val="007C1B0A"/>
    <w:rsid w:val="007C1C53"/>
    <w:rsid w:val="007C1D61"/>
    <w:rsid w:val="007C252F"/>
    <w:rsid w:val="007C369C"/>
    <w:rsid w:val="007C3D36"/>
    <w:rsid w:val="007C49C1"/>
    <w:rsid w:val="007C5A88"/>
    <w:rsid w:val="007C61AC"/>
    <w:rsid w:val="007C666B"/>
    <w:rsid w:val="007C671D"/>
    <w:rsid w:val="007C6A06"/>
    <w:rsid w:val="007C705D"/>
    <w:rsid w:val="007C7B32"/>
    <w:rsid w:val="007D0120"/>
    <w:rsid w:val="007D05CB"/>
    <w:rsid w:val="007D06CD"/>
    <w:rsid w:val="007D15FE"/>
    <w:rsid w:val="007D1984"/>
    <w:rsid w:val="007D1A56"/>
    <w:rsid w:val="007D1C6F"/>
    <w:rsid w:val="007D205D"/>
    <w:rsid w:val="007D2A8E"/>
    <w:rsid w:val="007D3120"/>
    <w:rsid w:val="007D3466"/>
    <w:rsid w:val="007D42BA"/>
    <w:rsid w:val="007D44B4"/>
    <w:rsid w:val="007D4593"/>
    <w:rsid w:val="007D475D"/>
    <w:rsid w:val="007D4B24"/>
    <w:rsid w:val="007D4CF5"/>
    <w:rsid w:val="007D4DE3"/>
    <w:rsid w:val="007D5427"/>
    <w:rsid w:val="007D57D5"/>
    <w:rsid w:val="007D5D70"/>
    <w:rsid w:val="007D5D97"/>
    <w:rsid w:val="007D5E39"/>
    <w:rsid w:val="007D5FAE"/>
    <w:rsid w:val="007D7339"/>
    <w:rsid w:val="007D73DC"/>
    <w:rsid w:val="007E00D4"/>
    <w:rsid w:val="007E0158"/>
    <w:rsid w:val="007E0626"/>
    <w:rsid w:val="007E1090"/>
    <w:rsid w:val="007E12B2"/>
    <w:rsid w:val="007E1A99"/>
    <w:rsid w:val="007E28E4"/>
    <w:rsid w:val="007E2B7F"/>
    <w:rsid w:val="007E3194"/>
    <w:rsid w:val="007E351E"/>
    <w:rsid w:val="007E364D"/>
    <w:rsid w:val="007E44D3"/>
    <w:rsid w:val="007E511F"/>
    <w:rsid w:val="007E58F1"/>
    <w:rsid w:val="007E5959"/>
    <w:rsid w:val="007E6750"/>
    <w:rsid w:val="007E6A9A"/>
    <w:rsid w:val="007E705C"/>
    <w:rsid w:val="007E75B0"/>
    <w:rsid w:val="007F01F1"/>
    <w:rsid w:val="007F0AE3"/>
    <w:rsid w:val="007F0CC3"/>
    <w:rsid w:val="007F0EF1"/>
    <w:rsid w:val="007F0F87"/>
    <w:rsid w:val="007F103E"/>
    <w:rsid w:val="007F26D0"/>
    <w:rsid w:val="007F314A"/>
    <w:rsid w:val="007F34A9"/>
    <w:rsid w:val="007F3560"/>
    <w:rsid w:val="007F383B"/>
    <w:rsid w:val="007F3A0F"/>
    <w:rsid w:val="007F3A3D"/>
    <w:rsid w:val="007F3A6F"/>
    <w:rsid w:val="007F3D7B"/>
    <w:rsid w:val="007F3FFD"/>
    <w:rsid w:val="007F40EC"/>
    <w:rsid w:val="007F473F"/>
    <w:rsid w:val="007F4AAD"/>
    <w:rsid w:val="007F4C73"/>
    <w:rsid w:val="007F6490"/>
    <w:rsid w:val="007F6637"/>
    <w:rsid w:val="007F6810"/>
    <w:rsid w:val="007F6AD0"/>
    <w:rsid w:val="007F6B31"/>
    <w:rsid w:val="007F6CFA"/>
    <w:rsid w:val="007F73D5"/>
    <w:rsid w:val="007F7455"/>
    <w:rsid w:val="007F75AA"/>
    <w:rsid w:val="00801E47"/>
    <w:rsid w:val="00802687"/>
    <w:rsid w:val="008029C6"/>
    <w:rsid w:val="00803555"/>
    <w:rsid w:val="00803835"/>
    <w:rsid w:val="00803D86"/>
    <w:rsid w:val="00804113"/>
    <w:rsid w:val="008041D2"/>
    <w:rsid w:val="00804375"/>
    <w:rsid w:val="0080475F"/>
    <w:rsid w:val="00805737"/>
    <w:rsid w:val="00805813"/>
    <w:rsid w:val="0080587D"/>
    <w:rsid w:val="008058AD"/>
    <w:rsid w:val="00806229"/>
    <w:rsid w:val="0080650E"/>
    <w:rsid w:val="00806C0F"/>
    <w:rsid w:val="00806CD3"/>
    <w:rsid w:val="00806E3C"/>
    <w:rsid w:val="00807018"/>
    <w:rsid w:val="0081008E"/>
    <w:rsid w:val="00810C63"/>
    <w:rsid w:val="00810D80"/>
    <w:rsid w:val="00810DB8"/>
    <w:rsid w:val="00811917"/>
    <w:rsid w:val="00811F2A"/>
    <w:rsid w:val="008123F3"/>
    <w:rsid w:val="0081270C"/>
    <w:rsid w:val="00812D1C"/>
    <w:rsid w:val="008134E6"/>
    <w:rsid w:val="00813B14"/>
    <w:rsid w:val="00813CBC"/>
    <w:rsid w:val="00813F8E"/>
    <w:rsid w:val="00814CE4"/>
    <w:rsid w:val="00814FED"/>
    <w:rsid w:val="00815608"/>
    <w:rsid w:val="0081575E"/>
    <w:rsid w:val="0081598C"/>
    <w:rsid w:val="008167CA"/>
    <w:rsid w:val="00816847"/>
    <w:rsid w:val="008168CF"/>
    <w:rsid w:val="00816FAD"/>
    <w:rsid w:val="008172D9"/>
    <w:rsid w:val="00817568"/>
    <w:rsid w:val="00817D05"/>
    <w:rsid w:val="00820463"/>
    <w:rsid w:val="00820622"/>
    <w:rsid w:val="00820903"/>
    <w:rsid w:val="0082114D"/>
    <w:rsid w:val="0082140F"/>
    <w:rsid w:val="008217D7"/>
    <w:rsid w:val="00822353"/>
    <w:rsid w:val="00822D29"/>
    <w:rsid w:val="0082308D"/>
    <w:rsid w:val="00823835"/>
    <w:rsid w:val="00823CA2"/>
    <w:rsid w:val="00823CCE"/>
    <w:rsid w:val="00823FEC"/>
    <w:rsid w:val="00824D26"/>
    <w:rsid w:val="0082553E"/>
    <w:rsid w:val="00825D17"/>
    <w:rsid w:val="00825E60"/>
    <w:rsid w:val="008301FB"/>
    <w:rsid w:val="008306FE"/>
    <w:rsid w:val="00831005"/>
    <w:rsid w:val="008311C0"/>
    <w:rsid w:val="00831426"/>
    <w:rsid w:val="0083153F"/>
    <w:rsid w:val="00831D3E"/>
    <w:rsid w:val="00831F4E"/>
    <w:rsid w:val="008321AE"/>
    <w:rsid w:val="0083262F"/>
    <w:rsid w:val="008327E2"/>
    <w:rsid w:val="00832C32"/>
    <w:rsid w:val="00832D33"/>
    <w:rsid w:val="00832D83"/>
    <w:rsid w:val="008338F7"/>
    <w:rsid w:val="00834077"/>
    <w:rsid w:val="0083466F"/>
    <w:rsid w:val="00834AA5"/>
    <w:rsid w:val="008351C8"/>
    <w:rsid w:val="0083574F"/>
    <w:rsid w:val="00835A24"/>
    <w:rsid w:val="00835A31"/>
    <w:rsid w:val="00835DBD"/>
    <w:rsid w:val="00835F3D"/>
    <w:rsid w:val="00835FFF"/>
    <w:rsid w:val="00836104"/>
    <w:rsid w:val="008369EA"/>
    <w:rsid w:val="00837111"/>
    <w:rsid w:val="008379EF"/>
    <w:rsid w:val="00837C70"/>
    <w:rsid w:val="008401D8"/>
    <w:rsid w:val="0084168C"/>
    <w:rsid w:val="00841EEF"/>
    <w:rsid w:val="008421CF"/>
    <w:rsid w:val="0084225B"/>
    <w:rsid w:val="00842933"/>
    <w:rsid w:val="008436BB"/>
    <w:rsid w:val="008436DC"/>
    <w:rsid w:val="0084395B"/>
    <w:rsid w:val="00844269"/>
    <w:rsid w:val="00844307"/>
    <w:rsid w:val="0084463A"/>
    <w:rsid w:val="00844706"/>
    <w:rsid w:val="008450D7"/>
    <w:rsid w:val="008452E8"/>
    <w:rsid w:val="008453AE"/>
    <w:rsid w:val="0084586E"/>
    <w:rsid w:val="00845DBB"/>
    <w:rsid w:val="008460EA"/>
    <w:rsid w:val="008460FD"/>
    <w:rsid w:val="0084610A"/>
    <w:rsid w:val="008461F5"/>
    <w:rsid w:val="00846A6F"/>
    <w:rsid w:val="0084785D"/>
    <w:rsid w:val="00847881"/>
    <w:rsid w:val="008479C0"/>
    <w:rsid w:val="00847C20"/>
    <w:rsid w:val="00847C68"/>
    <w:rsid w:val="00850027"/>
    <w:rsid w:val="008501C1"/>
    <w:rsid w:val="0085063C"/>
    <w:rsid w:val="0085073F"/>
    <w:rsid w:val="00850A90"/>
    <w:rsid w:val="00850CA7"/>
    <w:rsid w:val="00850FCF"/>
    <w:rsid w:val="008512E3"/>
    <w:rsid w:val="008522DE"/>
    <w:rsid w:val="008526FE"/>
    <w:rsid w:val="00853353"/>
    <w:rsid w:val="00853AD9"/>
    <w:rsid w:val="00853EC3"/>
    <w:rsid w:val="00854026"/>
    <w:rsid w:val="0085575E"/>
    <w:rsid w:val="00855843"/>
    <w:rsid w:val="0085598B"/>
    <w:rsid w:val="00856081"/>
    <w:rsid w:val="008567B2"/>
    <w:rsid w:val="00856ADB"/>
    <w:rsid w:val="00856E2D"/>
    <w:rsid w:val="00857441"/>
    <w:rsid w:val="008574C7"/>
    <w:rsid w:val="00857515"/>
    <w:rsid w:val="00857654"/>
    <w:rsid w:val="00857B67"/>
    <w:rsid w:val="008600D7"/>
    <w:rsid w:val="00860454"/>
    <w:rsid w:val="008614F0"/>
    <w:rsid w:val="008626D6"/>
    <w:rsid w:val="00862700"/>
    <w:rsid w:val="008628C2"/>
    <w:rsid w:val="00863288"/>
    <w:rsid w:val="0086447D"/>
    <w:rsid w:val="008645CE"/>
    <w:rsid w:val="0086473B"/>
    <w:rsid w:val="00865605"/>
    <w:rsid w:val="00865705"/>
    <w:rsid w:val="008660FC"/>
    <w:rsid w:val="0086698F"/>
    <w:rsid w:val="0086743D"/>
    <w:rsid w:val="00867E4F"/>
    <w:rsid w:val="0087070C"/>
    <w:rsid w:val="00870F2C"/>
    <w:rsid w:val="00870FFE"/>
    <w:rsid w:val="008716B6"/>
    <w:rsid w:val="008718D6"/>
    <w:rsid w:val="00871E1F"/>
    <w:rsid w:val="00871FF6"/>
    <w:rsid w:val="0087216B"/>
    <w:rsid w:val="008726EA"/>
    <w:rsid w:val="00872F6F"/>
    <w:rsid w:val="00872FD4"/>
    <w:rsid w:val="00873218"/>
    <w:rsid w:val="00873515"/>
    <w:rsid w:val="008746D7"/>
    <w:rsid w:val="00874A47"/>
    <w:rsid w:val="00874BE9"/>
    <w:rsid w:val="00875067"/>
    <w:rsid w:val="00875F48"/>
    <w:rsid w:val="00876158"/>
    <w:rsid w:val="00876244"/>
    <w:rsid w:val="00876795"/>
    <w:rsid w:val="00877372"/>
    <w:rsid w:val="008773F3"/>
    <w:rsid w:val="00877DA3"/>
    <w:rsid w:val="00880227"/>
    <w:rsid w:val="00880AB1"/>
    <w:rsid w:val="00881125"/>
    <w:rsid w:val="00881651"/>
    <w:rsid w:val="00881EC0"/>
    <w:rsid w:val="0088293B"/>
    <w:rsid w:val="00882A78"/>
    <w:rsid w:val="00882BD1"/>
    <w:rsid w:val="00882E4F"/>
    <w:rsid w:val="008835AE"/>
    <w:rsid w:val="00883AB4"/>
    <w:rsid w:val="00883C5D"/>
    <w:rsid w:val="008841B0"/>
    <w:rsid w:val="00884555"/>
    <w:rsid w:val="00884862"/>
    <w:rsid w:val="00884880"/>
    <w:rsid w:val="008848D2"/>
    <w:rsid w:val="00884F20"/>
    <w:rsid w:val="008850EC"/>
    <w:rsid w:val="008853A3"/>
    <w:rsid w:val="00885901"/>
    <w:rsid w:val="00885F4C"/>
    <w:rsid w:val="00886080"/>
    <w:rsid w:val="00886A04"/>
    <w:rsid w:val="00887DCC"/>
    <w:rsid w:val="0089015A"/>
    <w:rsid w:val="008903B3"/>
    <w:rsid w:val="00890428"/>
    <w:rsid w:val="00890FCD"/>
    <w:rsid w:val="00891CE5"/>
    <w:rsid w:val="00891DAC"/>
    <w:rsid w:val="008923F2"/>
    <w:rsid w:val="0089313B"/>
    <w:rsid w:val="008931D5"/>
    <w:rsid w:val="0089326E"/>
    <w:rsid w:val="008933EA"/>
    <w:rsid w:val="00893438"/>
    <w:rsid w:val="0089349A"/>
    <w:rsid w:val="008935FC"/>
    <w:rsid w:val="00893A12"/>
    <w:rsid w:val="008947F0"/>
    <w:rsid w:val="00894B94"/>
    <w:rsid w:val="00894BB6"/>
    <w:rsid w:val="0089511C"/>
    <w:rsid w:val="00895670"/>
    <w:rsid w:val="00895836"/>
    <w:rsid w:val="00895D9C"/>
    <w:rsid w:val="00897996"/>
    <w:rsid w:val="008A0031"/>
    <w:rsid w:val="008A092C"/>
    <w:rsid w:val="008A0A14"/>
    <w:rsid w:val="008A12B2"/>
    <w:rsid w:val="008A1372"/>
    <w:rsid w:val="008A1564"/>
    <w:rsid w:val="008A1736"/>
    <w:rsid w:val="008A1B43"/>
    <w:rsid w:val="008A1E95"/>
    <w:rsid w:val="008A2264"/>
    <w:rsid w:val="008A259E"/>
    <w:rsid w:val="008A3593"/>
    <w:rsid w:val="008A3900"/>
    <w:rsid w:val="008A3A6E"/>
    <w:rsid w:val="008A4E1F"/>
    <w:rsid w:val="008A52EE"/>
    <w:rsid w:val="008A5529"/>
    <w:rsid w:val="008A5790"/>
    <w:rsid w:val="008A5AD2"/>
    <w:rsid w:val="008A61EC"/>
    <w:rsid w:val="008A6467"/>
    <w:rsid w:val="008A6855"/>
    <w:rsid w:val="008A6D28"/>
    <w:rsid w:val="008A6FB4"/>
    <w:rsid w:val="008A7069"/>
    <w:rsid w:val="008A79E1"/>
    <w:rsid w:val="008B018B"/>
    <w:rsid w:val="008B02D2"/>
    <w:rsid w:val="008B0767"/>
    <w:rsid w:val="008B0771"/>
    <w:rsid w:val="008B0C65"/>
    <w:rsid w:val="008B0F0B"/>
    <w:rsid w:val="008B190C"/>
    <w:rsid w:val="008B2B00"/>
    <w:rsid w:val="008B3247"/>
    <w:rsid w:val="008B32F3"/>
    <w:rsid w:val="008B34A9"/>
    <w:rsid w:val="008B374D"/>
    <w:rsid w:val="008B3B69"/>
    <w:rsid w:val="008B3C4C"/>
    <w:rsid w:val="008B3F5A"/>
    <w:rsid w:val="008B4287"/>
    <w:rsid w:val="008B43DB"/>
    <w:rsid w:val="008B4404"/>
    <w:rsid w:val="008B4E9A"/>
    <w:rsid w:val="008B4EB7"/>
    <w:rsid w:val="008B5271"/>
    <w:rsid w:val="008B5372"/>
    <w:rsid w:val="008B5424"/>
    <w:rsid w:val="008B57D9"/>
    <w:rsid w:val="008B58BC"/>
    <w:rsid w:val="008B5C5A"/>
    <w:rsid w:val="008B5F54"/>
    <w:rsid w:val="008B62EC"/>
    <w:rsid w:val="008B6668"/>
    <w:rsid w:val="008B69F5"/>
    <w:rsid w:val="008B6A73"/>
    <w:rsid w:val="008B6DBF"/>
    <w:rsid w:val="008B76D3"/>
    <w:rsid w:val="008B784B"/>
    <w:rsid w:val="008C03D6"/>
    <w:rsid w:val="008C0B34"/>
    <w:rsid w:val="008C1760"/>
    <w:rsid w:val="008C219B"/>
    <w:rsid w:val="008C2704"/>
    <w:rsid w:val="008C2BA4"/>
    <w:rsid w:val="008C320B"/>
    <w:rsid w:val="008C32B0"/>
    <w:rsid w:val="008C33F5"/>
    <w:rsid w:val="008C371D"/>
    <w:rsid w:val="008C42DB"/>
    <w:rsid w:val="008C4569"/>
    <w:rsid w:val="008C49D1"/>
    <w:rsid w:val="008C5F92"/>
    <w:rsid w:val="008C720E"/>
    <w:rsid w:val="008C75D3"/>
    <w:rsid w:val="008D0035"/>
    <w:rsid w:val="008D0385"/>
    <w:rsid w:val="008D0661"/>
    <w:rsid w:val="008D0AA3"/>
    <w:rsid w:val="008D1015"/>
    <w:rsid w:val="008D10E3"/>
    <w:rsid w:val="008D12E2"/>
    <w:rsid w:val="008D16F6"/>
    <w:rsid w:val="008D1D43"/>
    <w:rsid w:val="008D20A9"/>
    <w:rsid w:val="008D297F"/>
    <w:rsid w:val="008D2D9D"/>
    <w:rsid w:val="008D32DC"/>
    <w:rsid w:val="008D34C5"/>
    <w:rsid w:val="008D3521"/>
    <w:rsid w:val="008D4077"/>
    <w:rsid w:val="008D40BA"/>
    <w:rsid w:val="008D41B5"/>
    <w:rsid w:val="008D5835"/>
    <w:rsid w:val="008D5AF1"/>
    <w:rsid w:val="008D5C40"/>
    <w:rsid w:val="008D5D72"/>
    <w:rsid w:val="008D610E"/>
    <w:rsid w:val="008D6A5B"/>
    <w:rsid w:val="008D7C7B"/>
    <w:rsid w:val="008D7ECD"/>
    <w:rsid w:val="008D7F6B"/>
    <w:rsid w:val="008D7F92"/>
    <w:rsid w:val="008E004E"/>
    <w:rsid w:val="008E00D2"/>
    <w:rsid w:val="008E0498"/>
    <w:rsid w:val="008E0936"/>
    <w:rsid w:val="008E0E92"/>
    <w:rsid w:val="008E101C"/>
    <w:rsid w:val="008E161D"/>
    <w:rsid w:val="008E17EB"/>
    <w:rsid w:val="008E21D0"/>
    <w:rsid w:val="008E2375"/>
    <w:rsid w:val="008E23FF"/>
    <w:rsid w:val="008E24B6"/>
    <w:rsid w:val="008E265D"/>
    <w:rsid w:val="008E33A6"/>
    <w:rsid w:val="008E3D9B"/>
    <w:rsid w:val="008E3E61"/>
    <w:rsid w:val="008E5062"/>
    <w:rsid w:val="008E5188"/>
    <w:rsid w:val="008E561F"/>
    <w:rsid w:val="008E5BDA"/>
    <w:rsid w:val="008E5FC0"/>
    <w:rsid w:val="008E68E5"/>
    <w:rsid w:val="008E70E6"/>
    <w:rsid w:val="008E7E96"/>
    <w:rsid w:val="008E7EB9"/>
    <w:rsid w:val="008E7F75"/>
    <w:rsid w:val="008F026E"/>
    <w:rsid w:val="008F0B97"/>
    <w:rsid w:val="008F1B02"/>
    <w:rsid w:val="008F1E33"/>
    <w:rsid w:val="008F1EED"/>
    <w:rsid w:val="008F2313"/>
    <w:rsid w:val="008F2511"/>
    <w:rsid w:val="008F2C1A"/>
    <w:rsid w:val="008F2C38"/>
    <w:rsid w:val="008F3047"/>
    <w:rsid w:val="008F31B2"/>
    <w:rsid w:val="008F3904"/>
    <w:rsid w:val="008F503B"/>
    <w:rsid w:val="008F5B30"/>
    <w:rsid w:val="008F5FC8"/>
    <w:rsid w:val="008F6445"/>
    <w:rsid w:val="008F6A13"/>
    <w:rsid w:val="008F7443"/>
    <w:rsid w:val="009005A4"/>
    <w:rsid w:val="009011E4"/>
    <w:rsid w:val="00901736"/>
    <w:rsid w:val="00902821"/>
    <w:rsid w:val="00902EA4"/>
    <w:rsid w:val="00903886"/>
    <w:rsid w:val="00903A84"/>
    <w:rsid w:val="00903BA1"/>
    <w:rsid w:val="00903C0A"/>
    <w:rsid w:val="00903F44"/>
    <w:rsid w:val="00904259"/>
    <w:rsid w:val="00904778"/>
    <w:rsid w:val="00904E62"/>
    <w:rsid w:val="00905654"/>
    <w:rsid w:val="00906C1F"/>
    <w:rsid w:val="00907260"/>
    <w:rsid w:val="00907934"/>
    <w:rsid w:val="009079BD"/>
    <w:rsid w:val="00907E79"/>
    <w:rsid w:val="009102A6"/>
    <w:rsid w:val="00910527"/>
    <w:rsid w:val="009109C2"/>
    <w:rsid w:val="00910C8D"/>
    <w:rsid w:val="00910D28"/>
    <w:rsid w:val="00910FD7"/>
    <w:rsid w:val="009112D2"/>
    <w:rsid w:val="009118EF"/>
    <w:rsid w:val="00911952"/>
    <w:rsid w:val="00912435"/>
    <w:rsid w:val="009127B3"/>
    <w:rsid w:val="00912867"/>
    <w:rsid w:val="00912BF0"/>
    <w:rsid w:val="00912EFD"/>
    <w:rsid w:val="009136B2"/>
    <w:rsid w:val="009137AD"/>
    <w:rsid w:val="00914E7C"/>
    <w:rsid w:val="00914FC2"/>
    <w:rsid w:val="0091500E"/>
    <w:rsid w:val="00915048"/>
    <w:rsid w:val="009157AE"/>
    <w:rsid w:val="00915B18"/>
    <w:rsid w:val="0091643F"/>
    <w:rsid w:val="00917726"/>
    <w:rsid w:val="0091786D"/>
    <w:rsid w:val="009179C9"/>
    <w:rsid w:val="00917CA8"/>
    <w:rsid w:val="00920128"/>
    <w:rsid w:val="00920DDA"/>
    <w:rsid w:val="00921A14"/>
    <w:rsid w:val="00921E9D"/>
    <w:rsid w:val="00922138"/>
    <w:rsid w:val="00922F2E"/>
    <w:rsid w:val="00923344"/>
    <w:rsid w:val="009235DA"/>
    <w:rsid w:val="00923788"/>
    <w:rsid w:val="00923855"/>
    <w:rsid w:val="0092444B"/>
    <w:rsid w:val="009244C4"/>
    <w:rsid w:val="00924829"/>
    <w:rsid w:val="0092508F"/>
    <w:rsid w:val="00925277"/>
    <w:rsid w:val="00925614"/>
    <w:rsid w:val="009256EF"/>
    <w:rsid w:val="00925B7B"/>
    <w:rsid w:val="00925B8E"/>
    <w:rsid w:val="009266A4"/>
    <w:rsid w:val="00926E26"/>
    <w:rsid w:val="0092715D"/>
    <w:rsid w:val="009279A2"/>
    <w:rsid w:val="009279A8"/>
    <w:rsid w:val="00927AF8"/>
    <w:rsid w:val="00927BF2"/>
    <w:rsid w:val="00927E08"/>
    <w:rsid w:val="00930060"/>
    <w:rsid w:val="00930BF8"/>
    <w:rsid w:val="00930CCD"/>
    <w:rsid w:val="00930D27"/>
    <w:rsid w:val="00930D37"/>
    <w:rsid w:val="009312EB"/>
    <w:rsid w:val="0093183E"/>
    <w:rsid w:val="00931D66"/>
    <w:rsid w:val="0093218E"/>
    <w:rsid w:val="00932563"/>
    <w:rsid w:val="009326C5"/>
    <w:rsid w:val="0093283A"/>
    <w:rsid w:val="00932C94"/>
    <w:rsid w:val="009330A4"/>
    <w:rsid w:val="009337CE"/>
    <w:rsid w:val="009339F0"/>
    <w:rsid w:val="00934591"/>
    <w:rsid w:val="00934B11"/>
    <w:rsid w:val="00934D6C"/>
    <w:rsid w:val="0093502C"/>
    <w:rsid w:val="009351F5"/>
    <w:rsid w:val="00935519"/>
    <w:rsid w:val="00935A37"/>
    <w:rsid w:val="0093635F"/>
    <w:rsid w:val="00936A07"/>
    <w:rsid w:val="00936BF2"/>
    <w:rsid w:val="00937817"/>
    <w:rsid w:val="009379F8"/>
    <w:rsid w:val="00937A91"/>
    <w:rsid w:val="00937BAA"/>
    <w:rsid w:val="00937CA8"/>
    <w:rsid w:val="00937D43"/>
    <w:rsid w:val="00937E9C"/>
    <w:rsid w:val="00940632"/>
    <w:rsid w:val="009408D1"/>
    <w:rsid w:val="00940F1B"/>
    <w:rsid w:val="0094101F"/>
    <w:rsid w:val="0094120C"/>
    <w:rsid w:val="0094170B"/>
    <w:rsid w:val="00941D50"/>
    <w:rsid w:val="00942649"/>
    <w:rsid w:val="00942947"/>
    <w:rsid w:val="00942A95"/>
    <w:rsid w:val="009434FD"/>
    <w:rsid w:val="00943780"/>
    <w:rsid w:val="00944150"/>
    <w:rsid w:val="00944A42"/>
    <w:rsid w:val="00944A87"/>
    <w:rsid w:val="00945452"/>
    <w:rsid w:val="00945947"/>
    <w:rsid w:val="00945A8F"/>
    <w:rsid w:val="00945AA5"/>
    <w:rsid w:val="009461F0"/>
    <w:rsid w:val="009462C4"/>
    <w:rsid w:val="00946334"/>
    <w:rsid w:val="009468B5"/>
    <w:rsid w:val="00946EA6"/>
    <w:rsid w:val="00947DE7"/>
    <w:rsid w:val="00950121"/>
    <w:rsid w:val="00950343"/>
    <w:rsid w:val="0095075A"/>
    <w:rsid w:val="0095114E"/>
    <w:rsid w:val="00952754"/>
    <w:rsid w:val="009528C8"/>
    <w:rsid w:val="00952DC7"/>
    <w:rsid w:val="00952DCB"/>
    <w:rsid w:val="00953563"/>
    <w:rsid w:val="00953723"/>
    <w:rsid w:val="0095379F"/>
    <w:rsid w:val="009537C7"/>
    <w:rsid w:val="00953C2A"/>
    <w:rsid w:val="00954232"/>
    <w:rsid w:val="0095439A"/>
    <w:rsid w:val="00954D3D"/>
    <w:rsid w:val="00954EBE"/>
    <w:rsid w:val="00955134"/>
    <w:rsid w:val="00955725"/>
    <w:rsid w:val="0095636A"/>
    <w:rsid w:val="009564E7"/>
    <w:rsid w:val="00956561"/>
    <w:rsid w:val="0095665C"/>
    <w:rsid w:val="009567E2"/>
    <w:rsid w:val="00956B39"/>
    <w:rsid w:val="009571AB"/>
    <w:rsid w:val="00957D27"/>
    <w:rsid w:val="00960A2A"/>
    <w:rsid w:val="00960B49"/>
    <w:rsid w:val="00960CC1"/>
    <w:rsid w:val="00961428"/>
    <w:rsid w:val="009623ED"/>
    <w:rsid w:val="00962DD3"/>
    <w:rsid w:val="00962FEB"/>
    <w:rsid w:val="0096301D"/>
    <w:rsid w:val="009635D2"/>
    <w:rsid w:val="00963A85"/>
    <w:rsid w:val="00963B78"/>
    <w:rsid w:val="00963B98"/>
    <w:rsid w:val="00963BC4"/>
    <w:rsid w:val="00963D27"/>
    <w:rsid w:val="00963F32"/>
    <w:rsid w:val="00963F65"/>
    <w:rsid w:val="009641EC"/>
    <w:rsid w:val="00964BD3"/>
    <w:rsid w:val="009651CB"/>
    <w:rsid w:val="0096576B"/>
    <w:rsid w:val="00965B5E"/>
    <w:rsid w:val="00966101"/>
    <w:rsid w:val="009661F1"/>
    <w:rsid w:val="00966710"/>
    <w:rsid w:val="00966AAC"/>
    <w:rsid w:val="009677C5"/>
    <w:rsid w:val="00967B15"/>
    <w:rsid w:val="00970007"/>
    <w:rsid w:val="00970517"/>
    <w:rsid w:val="00970714"/>
    <w:rsid w:val="00970CC9"/>
    <w:rsid w:val="00970D4E"/>
    <w:rsid w:val="0097122C"/>
    <w:rsid w:val="009715CA"/>
    <w:rsid w:val="00971ADE"/>
    <w:rsid w:val="00971D9B"/>
    <w:rsid w:val="009721A3"/>
    <w:rsid w:val="00972C85"/>
    <w:rsid w:val="0097326B"/>
    <w:rsid w:val="0097328D"/>
    <w:rsid w:val="0097353F"/>
    <w:rsid w:val="00973DA7"/>
    <w:rsid w:val="00973E3C"/>
    <w:rsid w:val="00973E46"/>
    <w:rsid w:val="009741CB"/>
    <w:rsid w:val="009742BB"/>
    <w:rsid w:val="009743A3"/>
    <w:rsid w:val="00974927"/>
    <w:rsid w:val="00974E61"/>
    <w:rsid w:val="00974EB8"/>
    <w:rsid w:val="00975119"/>
    <w:rsid w:val="00975700"/>
    <w:rsid w:val="00975817"/>
    <w:rsid w:val="00975B3D"/>
    <w:rsid w:val="00976118"/>
    <w:rsid w:val="00976DFE"/>
    <w:rsid w:val="00977534"/>
    <w:rsid w:val="00977B0D"/>
    <w:rsid w:val="00977DDA"/>
    <w:rsid w:val="00980258"/>
    <w:rsid w:val="009802DF"/>
    <w:rsid w:val="009805BE"/>
    <w:rsid w:val="00980C90"/>
    <w:rsid w:val="00981789"/>
    <w:rsid w:val="00981DDB"/>
    <w:rsid w:val="009823DC"/>
    <w:rsid w:val="00982D60"/>
    <w:rsid w:val="00982EBD"/>
    <w:rsid w:val="00983196"/>
    <w:rsid w:val="009832C1"/>
    <w:rsid w:val="009834E2"/>
    <w:rsid w:val="00983DC2"/>
    <w:rsid w:val="009845A0"/>
    <w:rsid w:val="00984785"/>
    <w:rsid w:val="00985168"/>
    <w:rsid w:val="00986807"/>
    <w:rsid w:val="00986B7C"/>
    <w:rsid w:val="00986D57"/>
    <w:rsid w:val="00986F78"/>
    <w:rsid w:val="00987459"/>
    <w:rsid w:val="00987904"/>
    <w:rsid w:val="009908D2"/>
    <w:rsid w:val="00990BD8"/>
    <w:rsid w:val="00990FA2"/>
    <w:rsid w:val="0099152C"/>
    <w:rsid w:val="00991985"/>
    <w:rsid w:val="00991F4F"/>
    <w:rsid w:val="00992356"/>
    <w:rsid w:val="00992671"/>
    <w:rsid w:val="00993059"/>
    <w:rsid w:val="00993381"/>
    <w:rsid w:val="00993B61"/>
    <w:rsid w:val="0099436E"/>
    <w:rsid w:val="0099447C"/>
    <w:rsid w:val="00994612"/>
    <w:rsid w:val="00994E77"/>
    <w:rsid w:val="00995290"/>
    <w:rsid w:val="009952B5"/>
    <w:rsid w:val="009957EE"/>
    <w:rsid w:val="00996984"/>
    <w:rsid w:val="00996F56"/>
    <w:rsid w:val="00996FF5"/>
    <w:rsid w:val="009978B8"/>
    <w:rsid w:val="00997A9E"/>
    <w:rsid w:val="009A00AA"/>
    <w:rsid w:val="009A0610"/>
    <w:rsid w:val="009A0841"/>
    <w:rsid w:val="009A1915"/>
    <w:rsid w:val="009A1BF6"/>
    <w:rsid w:val="009A22B2"/>
    <w:rsid w:val="009A25DF"/>
    <w:rsid w:val="009A25FD"/>
    <w:rsid w:val="009A2800"/>
    <w:rsid w:val="009A2873"/>
    <w:rsid w:val="009A30B3"/>
    <w:rsid w:val="009A36A4"/>
    <w:rsid w:val="009A397A"/>
    <w:rsid w:val="009A3EA3"/>
    <w:rsid w:val="009A4096"/>
    <w:rsid w:val="009A48BC"/>
    <w:rsid w:val="009A58CB"/>
    <w:rsid w:val="009A5A4C"/>
    <w:rsid w:val="009A5E2C"/>
    <w:rsid w:val="009A5F1E"/>
    <w:rsid w:val="009A5F8B"/>
    <w:rsid w:val="009A5FE1"/>
    <w:rsid w:val="009A6163"/>
    <w:rsid w:val="009A6380"/>
    <w:rsid w:val="009A68C9"/>
    <w:rsid w:val="009A7411"/>
    <w:rsid w:val="009B00B5"/>
    <w:rsid w:val="009B0188"/>
    <w:rsid w:val="009B03D1"/>
    <w:rsid w:val="009B0DBF"/>
    <w:rsid w:val="009B1272"/>
    <w:rsid w:val="009B13FC"/>
    <w:rsid w:val="009B291B"/>
    <w:rsid w:val="009B33E8"/>
    <w:rsid w:val="009B33FD"/>
    <w:rsid w:val="009B391E"/>
    <w:rsid w:val="009B3C08"/>
    <w:rsid w:val="009B3C89"/>
    <w:rsid w:val="009B3FB6"/>
    <w:rsid w:val="009B4447"/>
    <w:rsid w:val="009B488B"/>
    <w:rsid w:val="009B4FBE"/>
    <w:rsid w:val="009B4FF7"/>
    <w:rsid w:val="009B5148"/>
    <w:rsid w:val="009B5183"/>
    <w:rsid w:val="009B55F5"/>
    <w:rsid w:val="009B571B"/>
    <w:rsid w:val="009B5F6D"/>
    <w:rsid w:val="009B632D"/>
    <w:rsid w:val="009B645A"/>
    <w:rsid w:val="009B64FC"/>
    <w:rsid w:val="009B7193"/>
    <w:rsid w:val="009B7289"/>
    <w:rsid w:val="009B72E7"/>
    <w:rsid w:val="009B733E"/>
    <w:rsid w:val="009B7358"/>
    <w:rsid w:val="009B74A7"/>
    <w:rsid w:val="009B7E39"/>
    <w:rsid w:val="009C07E1"/>
    <w:rsid w:val="009C0D74"/>
    <w:rsid w:val="009C19C5"/>
    <w:rsid w:val="009C21BA"/>
    <w:rsid w:val="009C359B"/>
    <w:rsid w:val="009C4DF3"/>
    <w:rsid w:val="009C5147"/>
    <w:rsid w:val="009C5550"/>
    <w:rsid w:val="009C587F"/>
    <w:rsid w:val="009C6BA8"/>
    <w:rsid w:val="009C7117"/>
    <w:rsid w:val="009C7D28"/>
    <w:rsid w:val="009C7DF0"/>
    <w:rsid w:val="009D0BF0"/>
    <w:rsid w:val="009D0D4D"/>
    <w:rsid w:val="009D1F7D"/>
    <w:rsid w:val="009D1F91"/>
    <w:rsid w:val="009D203B"/>
    <w:rsid w:val="009D214D"/>
    <w:rsid w:val="009D34AC"/>
    <w:rsid w:val="009D3917"/>
    <w:rsid w:val="009D3DCE"/>
    <w:rsid w:val="009D3E05"/>
    <w:rsid w:val="009D3FAE"/>
    <w:rsid w:val="009D493F"/>
    <w:rsid w:val="009D4D76"/>
    <w:rsid w:val="009D509E"/>
    <w:rsid w:val="009D6FCE"/>
    <w:rsid w:val="009D7D7A"/>
    <w:rsid w:val="009D7DE8"/>
    <w:rsid w:val="009E02B1"/>
    <w:rsid w:val="009E06A3"/>
    <w:rsid w:val="009E0C95"/>
    <w:rsid w:val="009E0FA8"/>
    <w:rsid w:val="009E11AA"/>
    <w:rsid w:val="009E1707"/>
    <w:rsid w:val="009E2230"/>
    <w:rsid w:val="009E27C0"/>
    <w:rsid w:val="009E280E"/>
    <w:rsid w:val="009E284D"/>
    <w:rsid w:val="009E3E7B"/>
    <w:rsid w:val="009E3EBB"/>
    <w:rsid w:val="009E4481"/>
    <w:rsid w:val="009E44E8"/>
    <w:rsid w:val="009E45EA"/>
    <w:rsid w:val="009E4948"/>
    <w:rsid w:val="009E53EC"/>
    <w:rsid w:val="009E5D33"/>
    <w:rsid w:val="009E5DD7"/>
    <w:rsid w:val="009E60AC"/>
    <w:rsid w:val="009E6300"/>
    <w:rsid w:val="009E69E0"/>
    <w:rsid w:val="009E7686"/>
    <w:rsid w:val="009E7713"/>
    <w:rsid w:val="009E778D"/>
    <w:rsid w:val="009E7C8E"/>
    <w:rsid w:val="009F0EB0"/>
    <w:rsid w:val="009F1481"/>
    <w:rsid w:val="009F1BF1"/>
    <w:rsid w:val="009F2B4C"/>
    <w:rsid w:val="009F301E"/>
    <w:rsid w:val="009F310E"/>
    <w:rsid w:val="009F352F"/>
    <w:rsid w:val="009F3AC0"/>
    <w:rsid w:val="009F3FB0"/>
    <w:rsid w:val="009F41AB"/>
    <w:rsid w:val="009F467D"/>
    <w:rsid w:val="009F4B6A"/>
    <w:rsid w:val="009F4D6A"/>
    <w:rsid w:val="009F50B8"/>
    <w:rsid w:val="009F5CFA"/>
    <w:rsid w:val="009F61F4"/>
    <w:rsid w:val="009F67A4"/>
    <w:rsid w:val="009F790A"/>
    <w:rsid w:val="009F7E63"/>
    <w:rsid w:val="00A0066B"/>
    <w:rsid w:val="00A00959"/>
    <w:rsid w:val="00A00968"/>
    <w:rsid w:val="00A00AD3"/>
    <w:rsid w:val="00A0106B"/>
    <w:rsid w:val="00A01FBF"/>
    <w:rsid w:val="00A0218C"/>
    <w:rsid w:val="00A021AF"/>
    <w:rsid w:val="00A021D0"/>
    <w:rsid w:val="00A02500"/>
    <w:rsid w:val="00A027C4"/>
    <w:rsid w:val="00A02D74"/>
    <w:rsid w:val="00A0306D"/>
    <w:rsid w:val="00A030B3"/>
    <w:rsid w:val="00A03312"/>
    <w:rsid w:val="00A03A5C"/>
    <w:rsid w:val="00A03DA9"/>
    <w:rsid w:val="00A0439F"/>
    <w:rsid w:val="00A043FC"/>
    <w:rsid w:val="00A0456A"/>
    <w:rsid w:val="00A04C0A"/>
    <w:rsid w:val="00A04EDA"/>
    <w:rsid w:val="00A04FBA"/>
    <w:rsid w:val="00A05137"/>
    <w:rsid w:val="00A05C8D"/>
    <w:rsid w:val="00A0623E"/>
    <w:rsid w:val="00A0636B"/>
    <w:rsid w:val="00A06D84"/>
    <w:rsid w:val="00A07304"/>
    <w:rsid w:val="00A07423"/>
    <w:rsid w:val="00A07478"/>
    <w:rsid w:val="00A0755A"/>
    <w:rsid w:val="00A07674"/>
    <w:rsid w:val="00A07A79"/>
    <w:rsid w:val="00A100F5"/>
    <w:rsid w:val="00A109B2"/>
    <w:rsid w:val="00A10B0E"/>
    <w:rsid w:val="00A11543"/>
    <w:rsid w:val="00A11D0F"/>
    <w:rsid w:val="00A125E7"/>
    <w:rsid w:val="00A12BF1"/>
    <w:rsid w:val="00A13016"/>
    <w:rsid w:val="00A1304B"/>
    <w:rsid w:val="00A130F9"/>
    <w:rsid w:val="00A13599"/>
    <w:rsid w:val="00A135B7"/>
    <w:rsid w:val="00A13BD0"/>
    <w:rsid w:val="00A13C4A"/>
    <w:rsid w:val="00A13E56"/>
    <w:rsid w:val="00A13F93"/>
    <w:rsid w:val="00A13FDE"/>
    <w:rsid w:val="00A14115"/>
    <w:rsid w:val="00A14209"/>
    <w:rsid w:val="00A144DC"/>
    <w:rsid w:val="00A14AEE"/>
    <w:rsid w:val="00A14DD5"/>
    <w:rsid w:val="00A1537F"/>
    <w:rsid w:val="00A154CA"/>
    <w:rsid w:val="00A158B3"/>
    <w:rsid w:val="00A15BD0"/>
    <w:rsid w:val="00A15C66"/>
    <w:rsid w:val="00A169A5"/>
    <w:rsid w:val="00A17005"/>
    <w:rsid w:val="00A1733B"/>
    <w:rsid w:val="00A1747E"/>
    <w:rsid w:val="00A175AC"/>
    <w:rsid w:val="00A17A60"/>
    <w:rsid w:val="00A17C8F"/>
    <w:rsid w:val="00A17ED5"/>
    <w:rsid w:val="00A17F21"/>
    <w:rsid w:val="00A21A2A"/>
    <w:rsid w:val="00A22149"/>
    <w:rsid w:val="00A22470"/>
    <w:rsid w:val="00A22588"/>
    <w:rsid w:val="00A2265F"/>
    <w:rsid w:val="00A2274D"/>
    <w:rsid w:val="00A2298D"/>
    <w:rsid w:val="00A2316B"/>
    <w:rsid w:val="00A23331"/>
    <w:rsid w:val="00A234EE"/>
    <w:rsid w:val="00A2398A"/>
    <w:rsid w:val="00A24C1D"/>
    <w:rsid w:val="00A24ED7"/>
    <w:rsid w:val="00A24FEF"/>
    <w:rsid w:val="00A2515E"/>
    <w:rsid w:val="00A2529C"/>
    <w:rsid w:val="00A2565F"/>
    <w:rsid w:val="00A256B9"/>
    <w:rsid w:val="00A256D9"/>
    <w:rsid w:val="00A2617F"/>
    <w:rsid w:val="00A26316"/>
    <w:rsid w:val="00A263DB"/>
    <w:rsid w:val="00A26654"/>
    <w:rsid w:val="00A267FE"/>
    <w:rsid w:val="00A26AF6"/>
    <w:rsid w:val="00A276A8"/>
    <w:rsid w:val="00A279C9"/>
    <w:rsid w:val="00A27FF1"/>
    <w:rsid w:val="00A3040F"/>
    <w:rsid w:val="00A30505"/>
    <w:rsid w:val="00A3065D"/>
    <w:rsid w:val="00A31027"/>
    <w:rsid w:val="00A314E0"/>
    <w:rsid w:val="00A315A5"/>
    <w:rsid w:val="00A31B34"/>
    <w:rsid w:val="00A31D95"/>
    <w:rsid w:val="00A32267"/>
    <w:rsid w:val="00A32331"/>
    <w:rsid w:val="00A3242C"/>
    <w:rsid w:val="00A327EB"/>
    <w:rsid w:val="00A32A1D"/>
    <w:rsid w:val="00A32C43"/>
    <w:rsid w:val="00A331BF"/>
    <w:rsid w:val="00A345BA"/>
    <w:rsid w:val="00A34A6C"/>
    <w:rsid w:val="00A34BC2"/>
    <w:rsid w:val="00A3619E"/>
    <w:rsid w:val="00A361DE"/>
    <w:rsid w:val="00A36561"/>
    <w:rsid w:val="00A36584"/>
    <w:rsid w:val="00A36B22"/>
    <w:rsid w:val="00A3721B"/>
    <w:rsid w:val="00A3767E"/>
    <w:rsid w:val="00A37BD8"/>
    <w:rsid w:val="00A37D76"/>
    <w:rsid w:val="00A40172"/>
    <w:rsid w:val="00A40C1E"/>
    <w:rsid w:val="00A40C58"/>
    <w:rsid w:val="00A40D99"/>
    <w:rsid w:val="00A41476"/>
    <w:rsid w:val="00A4173D"/>
    <w:rsid w:val="00A41A2A"/>
    <w:rsid w:val="00A41A9E"/>
    <w:rsid w:val="00A42707"/>
    <w:rsid w:val="00A42D8D"/>
    <w:rsid w:val="00A431BD"/>
    <w:rsid w:val="00A43440"/>
    <w:rsid w:val="00A43631"/>
    <w:rsid w:val="00A43D92"/>
    <w:rsid w:val="00A43E0B"/>
    <w:rsid w:val="00A442E2"/>
    <w:rsid w:val="00A446BD"/>
    <w:rsid w:val="00A4508A"/>
    <w:rsid w:val="00A450B5"/>
    <w:rsid w:val="00A452C6"/>
    <w:rsid w:val="00A45469"/>
    <w:rsid w:val="00A454BE"/>
    <w:rsid w:val="00A45513"/>
    <w:rsid w:val="00A455C7"/>
    <w:rsid w:val="00A45A2E"/>
    <w:rsid w:val="00A46170"/>
    <w:rsid w:val="00A46402"/>
    <w:rsid w:val="00A46449"/>
    <w:rsid w:val="00A469F6"/>
    <w:rsid w:val="00A46B53"/>
    <w:rsid w:val="00A479F0"/>
    <w:rsid w:val="00A50775"/>
    <w:rsid w:val="00A5101A"/>
    <w:rsid w:val="00A51779"/>
    <w:rsid w:val="00A51990"/>
    <w:rsid w:val="00A519A0"/>
    <w:rsid w:val="00A519B0"/>
    <w:rsid w:val="00A51B5C"/>
    <w:rsid w:val="00A51F9E"/>
    <w:rsid w:val="00A51FEF"/>
    <w:rsid w:val="00A522DC"/>
    <w:rsid w:val="00A52AA5"/>
    <w:rsid w:val="00A52AAA"/>
    <w:rsid w:val="00A531CD"/>
    <w:rsid w:val="00A539D5"/>
    <w:rsid w:val="00A53D3C"/>
    <w:rsid w:val="00A53DCF"/>
    <w:rsid w:val="00A54202"/>
    <w:rsid w:val="00A54A26"/>
    <w:rsid w:val="00A54A3C"/>
    <w:rsid w:val="00A54FF2"/>
    <w:rsid w:val="00A555BD"/>
    <w:rsid w:val="00A555DC"/>
    <w:rsid w:val="00A55A85"/>
    <w:rsid w:val="00A55BB9"/>
    <w:rsid w:val="00A5614D"/>
    <w:rsid w:val="00A57067"/>
    <w:rsid w:val="00A575CB"/>
    <w:rsid w:val="00A57830"/>
    <w:rsid w:val="00A57909"/>
    <w:rsid w:val="00A6038F"/>
    <w:rsid w:val="00A609C7"/>
    <w:rsid w:val="00A60C26"/>
    <w:rsid w:val="00A60CBC"/>
    <w:rsid w:val="00A60DDB"/>
    <w:rsid w:val="00A61AEC"/>
    <w:rsid w:val="00A622CE"/>
    <w:rsid w:val="00A62656"/>
    <w:rsid w:val="00A6331A"/>
    <w:rsid w:val="00A63D6B"/>
    <w:rsid w:val="00A646D0"/>
    <w:rsid w:val="00A649FA"/>
    <w:rsid w:val="00A64F38"/>
    <w:rsid w:val="00A6503A"/>
    <w:rsid w:val="00A65665"/>
    <w:rsid w:val="00A65B30"/>
    <w:rsid w:val="00A66542"/>
    <w:rsid w:val="00A66847"/>
    <w:rsid w:val="00A66A35"/>
    <w:rsid w:val="00A66BAD"/>
    <w:rsid w:val="00A67255"/>
    <w:rsid w:val="00A674EA"/>
    <w:rsid w:val="00A67AED"/>
    <w:rsid w:val="00A70305"/>
    <w:rsid w:val="00A7064C"/>
    <w:rsid w:val="00A709A9"/>
    <w:rsid w:val="00A7119F"/>
    <w:rsid w:val="00A71720"/>
    <w:rsid w:val="00A7184F"/>
    <w:rsid w:val="00A71CA8"/>
    <w:rsid w:val="00A7232C"/>
    <w:rsid w:val="00A7290D"/>
    <w:rsid w:val="00A72C69"/>
    <w:rsid w:val="00A72D40"/>
    <w:rsid w:val="00A732C6"/>
    <w:rsid w:val="00A732FF"/>
    <w:rsid w:val="00A73EB2"/>
    <w:rsid w:val="00A7464E"/>
    <w:rsid w:val="00A74D34"/>
    <w:rsid w:val="00A75708"/>
    <w:rsid w:val="00A75760"/>
    <w:rsid w:val="00A75806"/>
    <w:rsid w:val="00A7582E"/>
    <w:rsid w:val="00A75D54"/>
    <w:rsid w:val="00A75D68"/>
    <w:rsid w:val="00A761C8"/>
    <w:rsid w:val="00A7647E"/>
    <w:rsid w:val="00A76D1C"/>
    <w:rsid w:val="00A76FE8"/>
    <w:rsid w:val="00A773AA"/>
    <w:rsid w:val="00A777B2"/>
    <w:rsid w:val="00A77BF0"/>
    <w:rsid w:val="00A77C34"/>
    <w:rsid w:val="00A77D78"/>
    <w:rsid w:val="00A77F2B"/>
    <w:rsid w:val="00A77F47"/>
    <w:rsid w:val="00A77F78"/>
    <w:rsid w:val="00A8023B"/>
    <w:rsid w:val="00A80359"/>
    <w:rsid w:val="00A80581"/>
    <w:rsid w:val="00A80BD9"/>
    <w:rsid w:val="00A80FC2"/>
    <w:rsid w:val="00A811D7"/>
    <w:rsid w:val="00A81788"/>
    <w:rsid w:val="00A818CA"/>
    <w:rsid w:val="00A8363E"/>
    <w:rsid w:val="00A837B1"/>
    <w:rsid w:val="00A83F4B"/>
    <w:rsid w:val="00A83FED"/>
    <w:rsid w:val="00A8492F"/>
    <w:rsid w:val="00A85180"/>
    <w:rsid w:val="00A875E5"/>
    <w:rsid w:val="00A87C46"/>
    <w:rsid w:val="00A87DE9"/>
    <w:rsid w:val="00A90A04"/>
    <w:rsid w:val="00A90F4A"/>
    <w:rsid w:val="00A90FF2"/>
    <w:rsid w:val="00A9183E"/>
    <w:rsid w:val="00A9190E"/>
    <w:rsid w:val="00A91F70"/>
    <w:rsid w:val="00A9230A"/>
    <w:rsid w:val="00A923E3"/>
    <w:rsid w:val="00A924BB"/>
    <w:rsid w:val="00A92A5F"/>
    <w:rsid w:val="00A93EAE"/>
    <w:rsid w:val="00A9420A"/>
    <w:rsid w:val="00A944F1"/>
    <w:rsid w:val="00A94720"/>
    <w:rsid w:val="00A960F9"/>
    <w:rsid w:val="00A967D7"/>
    <w:rsid w:val="00A96F07"/>
    <w:rsid w:val="00A97513"/>
    <w:rsid w:val="00A9795B"/>
    <w:rsid w:val="00A97F9A"/>
    <w:rsid w:val="00AA07E2"/>
    <w:rsid w:val="00AA0A68"/>
    <w:rsid w:val="00AA0A6B"/>
    <w:rsid w:val="00AA0C4B"/>
    <w:rsid w:val="00AA0E91"/>
    <w:rsid w:val="00AA12AB"/>
    <w:rsid w:val="00AA19DE"/>
    <w:rsid w:val="00AA30E9"/>
    <w:rsid w:val="00AA31EF"/>
    <w:rsid w:val="00AA369E"/>
    <w:rsid w:val="00AA4512"/>
    <w:rsid w:val="00AA4723"/>
    <w:rsid w:val="00AA4BD3"/>
    <w:rsid w:val="00AA5102"/>
    <w:rsid w:val="00AA517B"/>
    <w:rsid w:val="00AA5BDB"/>
    <w:rsid w:val="00AA6137"/>
    <w:rsid w:val="00AA64B4"/>
    <w:rsid w:val="00AA66D7"/>
    <w:rsid w:val="00AA688B"/>
    <w:rsid w:val="00AA69BC"/>
    <w:rsid w:val="00AA6C2C"/>
    <w:rsid w:val="00AA6FE9"/>
    <w:rsid w:val="00AA7A87"/>
    <w:rsid w:val="00AA7DEE"/>
    <w:rsid w:val="00AB05C0"/>
    <w:rsid w:val="00AB0758"/>
    <w:rsid w:val="00AB0844"/>
    <w:rsid w:val="00AB1477"/>
    <w:rsid w:val="00AB1823"/>
    <w:rsid w:val="00AB18ED"/>
    <w:rsid w:val="00AB2466"/>
    <w:rsid w:val="00AB2F44"/>
    <w:rsid w:val="00AB40D7"/>
    <w:rsid w:val="00AB4243"/>
    <w:rsid w:val="00AB4274"/>
    <w:rsid w:val="00AB4315"/>
    <w:rsid w:val="00AB4714"/>
    <w:rsid w:val="00AB47C2"/>
    <w:rsid w:val="00AB47FE"/>
    <w:rsid w:val="00AB48FF"/>
    <w:rsid w:val="00AB4D12"/>
    <w:rsid w:val="00AB4EC6"/>
    <w:rsid w:val="00AB5711"/>
    <w:rsid w:val="00AB5E52"/>
    <w:rsid w:val="00AB61C9"/>
    <w:rsid w:val="00AB6DEC"/>
    <w:rsid w:val="00AB6EE1"/>
    <w:rsid w:val="00AB6F97"/>
    <w:rsid w:val="00AB7116"/>
    <w:rsid w:val="00AB7748"/>
    <w:rsid w:val="00AB7844"/>
    <w:rsid w:val="00AB7CEF"/>
    <w:rsid w:val="00AC0949"/>
    <w:rsid w:val="00AC0A1E"/>
    <w:rsid w:val="00AC0A79"/>
    <w:rsid w:val="00AC0BC6"/>
    <w:rsid w:val="00AC14AF"/>
    <w:rsid w:val="00AC1C7E"/>
    <w:rsid w:val="00AC1E8F"/>
    <w:rsid w:val="00AC2355"/>
    <w:rsid w:val="00AC2358"/>
    <w:rsid w:val="00AC2BE3"/>
    <w:rsid w:val="00AC2F7D"/>
    <w:rsid w:val="00AC3465"/>
    <w:rsid w:val="00AC38E9"/>
    <w:rsid w:val="00AC4220"/>
    <w:rsid w:val="00AC445A"/>
    <w:rsid w:val="00AC4659"/>
    <w:rsid w:val="00AC46E3"/>
    <w:rsid w:val="00AC4CDD"/>
    <w:rsid w:val="00AC4F89"/>
    <w:rsid w:val="00AC5EFC"/>
    <w:rsid w:val="00AC615D"/>
    <w:rsid w:val="00AC6371"/>
    <w:rsid w:val="00AC6516"/>
    <w:rsid w:val="00AC6A8A"/>
    <w:rsid w:val="00AC6B40"/>
    <w:rsid w:val="00AC6D2D"/>
    <w:rsid w:val="00AC6DD3"/>
    <w:rsid w:val="00AC7270"/>
    <w:rsid w:val="00AC78BF"/>
    <w:rsid w:val="00AC7A49"/>
    <w:rsid w:val="00AC7B51"/>
    <w:rsid w:val="00AC7F31"/>
    <w:rsid w:val="00AD00FD"/>
    <w:rsid w:val="00AD0144"/>
    <w:rsid w:val="00AD02B1"/>
    <w:rsid w:val="00AD06CD"/>
    <w:rsid w:val="00AD072E"/>
    <w:rsid w:val="00AD07B0"/>
    <w:rsid w:val="00AD07D3"/>
    <w:rsid w:val="00AD0873"/>
    <w:rsid w:val="00AD0D29"/>
    <w:rsid w:val="00AD0DD2"/>
    <w:rsid w:val="00AD0DF7"/>
    <w:rsid w:val="00AD1344"/>
    <w:rsid w:val="00AD1764"/>
    <w:rsid w:val="00AD1FD1"/>
    <w:rsid w:val="00AD26DD"/>
    <w:rsid w:val="00AD27E5"/>
    <w:rsid w:val="00AD4DE7"/>
    <w:rsid w:val="00AD5168"/>
    <w:rsid w:val="00AD538F"/>
    <w:rsid w:val="00AD5419"/>
    <w:rsid w:val="00AD5D65"/>
    <w:rsid w:val="00AD5E82"/>
    <w:rsid w:val="00AD5FD5"/>
    <w:rsid w:val="00AD60F7"/>
    <w:rsid w:val="00AD631E"/>
    <w:rsid w:val="00AD63CA"/>
    <w:rsid w:val="00AD6980"/>
    <w:rsid w:val="00AD6D16"/>
    <w:rsid w:val="00AD7537"/>
    <w:rsid w:val="00AD7721"/>
    <w:rsid w:val="00AD7747"/>
    <w:rsid w:val="00AD779A"/>
    <w:rsid w:val="00AD7B5F"/>
    <w:rsid w:val="00AE036B"/>
    <w:rsid w:val="00AE2386"/>
    <w:rsid w:val="00AE26B0"/>
    <w:rsid w:val="00AE2A25"/>
    <w:rsid w:val="00AE2BD5"/>
    <w:rsid w:val="00AE3136"/>
    <w:rsid w:val="00AE32D1"/>
    <w:rsid w:val="00AE38D0"/>
    <w:rsid w:val="00AE3BC4"/>
    <w:rsid w:val="00AE402A"/>
    <w:rsid w:val="00AE4883"/>
    <w:rsid w:val="00AE4BA5"/>
    <w:rsid w:val="00AE5BAA"/>
    <w:rsid w:val="00AE5DCD"/>
    <w:rsid w:val="00AE6036"/>
    <w:rsid w:val="00AE63B1"/>
    <w:rsid w:val="00AE66B6"/>
    <w:rsid w:val="00AE7374"/>
    <w:rsid w:val="00AE7715"/>
    <w:rsid w:val="00AE7E86"/>
    <w:rsid w:val="00AF042D"/>
    <w:rsid w:val="00AF0747"/>
    <w:rsid w:val="00AF09A0"/>
    <w:rsid w:val="00AF09EC"/>
    <w:rsid w:val="00AF0B24"/>
    <w:rsid w:val="00AF0C31"/>
    <w:rsid w:val="00AF105F"/>
    <w:rsid w:val="00AF17D0"/>
    <w:rsid w:val="00AF1D12"/>
    <w:rsid w:val="00AF1FB9"/>
    <w:rsid w:val="00AF3274"/>
    <w:rsid w:val="00AF32D7"/>
    <w:rsid w:val="00AF338A"/>
    <w:rsid w:val="00AF3869"/>
    <w:rsid w:val="00AF45CF"/>
    <w:rsid w:val="00AF46FF"/>
    <w:rsid w:val="00AF4910"/>
    <w:rsid w:val="00AF49ED"/>
    <w:rsid w:val="00AF4EF4"/>
    <w:rsid w:val="00AF5539"/>
    <w:rsid w:val="00AF55A6"/>
    <w:rsid w:val="00AF58EF"/>
    <w:rsid w:val="00AF6E4A"/>
    <w:rsid w:val="00AF7779"/>
    <w:rsid w:val="00B004A9"/>
    <w:rsid w:val="00B00B7F"/>
    <w:rsid w:val="00B00E96"/>
    <w:rsid w:val="00B01697"/>
    <w:rsid w:val="00B0214A"/>
    <w:rsid w:val="00B0265D"/>
    <w:rsid w:val="00B026AA"/>
    <w:rsid w:val="00B02742"/>
    <w:rsid w:val="00B0327F"/>
    <w:rsid w:val="00B036F5"/>
    <w:rsid w:val="00B03E40"/>
    <w:rsid w:val="00B03EED"/>
    <w:rsid w:val="00B04234"/>
    <w:rsid w:val="00B047AF"/>
    <w:rsid w:val="00B049A1"/>
    <w:rsid w:val="00B049F0"/>
    <w:rsid w:val="00B052D1"/>
    <w:rsid w:val="00B05395"/>
    <w:rsid w:val="00B05565"/>
    <w:rsid w:val="00B05727"/>
    <w:rsid w:val="00B05F62"/>
    <w:rsid w:val="00B0644C"/>
    <w:rsid w:val="00B06AD8"/>
    <w:rsid w:val="00B07288"/>
    <w:rsid w:val="00B0739F"/>
    <w:rsid w:val="00B07D03"/>
    <w:rsid w:val="00B07D78"/>
    <w:rsid w:val="00B07EC4"/>
    <w:rsid w:val="00B109F5"/>
    <w:rsid w:val="00B10FC0"/>
    <w:rsid w:val="00B11089"/>
    <w:rsid w:val="00B11616"/>
    <w:rsid w:val="00B117D6"/>
    <w:rsid w:val="00B121C7"/>
    <w:rsid w:val="00B12ADD"/>
    <w:rsid w:val="00B13274"/>
    <w:rsid w:val="00B13737"/>
    <w:rsid w:val="00B13770"/>
    <w:rsid w:val="00B13F5E"/>
    <w:rsid w:val="00B140A8"/>
    <w:rsid w:val="00B1463A"/>
    <w:rsid w:val="00B146A5"/>
    <w:rsid w:val="00B148ED"/>
    <w:rsid w:val="00B1514C"/>
    <w:rsid w:val="00B154A0"/>
    <w:rsid w:val="00B1594F"/>
    <w:rsid w:val="00B15D3A"/>
    <w:rsid w:val="00B16086"/>
    <w:rsid w:val="00B16143"/>
    <w:rsid w:val="00B165B1"/>
    <w:rsid w:val="00B16937"/>
    <w:rsid w:val="00B174FC"/>
    <w:rsid w:val="00B17669"/>
    <w:rsid w:val="00B1772F"/>
    <w:rsid w:val="00B20A9F"/>
    <w:rsid w:val="00B2144C"/>
    <w:rsid w:val="00B22B7A"/>
    <w:rsid w:val="00B22C47"/>
    <w:rsid w:val="00B23091"/>
    <w:rsid w:val="00B23739"/>
    <w:rsid w:val="00B23A01"/>
    <w:rsid w:val="00B23A5D"/>
    <w:rsid w:val="00B24864"/>
    <w:rsid w:val="00B24C4D"/>
    <w:rsid w:val="00B24C82"/>
    <w:rsid w:val="00B24ED6"/>
    <w:rsid w:val="00B25922"/>
    <w:rsid w:val="00B260A1"/>
    <w:rsid w:val="00B262F2"/>
    <w:rsid w:val="00B267C4"/>
    <w:rsid w:val="00B27272"/>
    <w:rsid w:val="00B27A17"/>
    <w:rsid w:val="00B27E23"/>
    <w:rsid w:val="00B30349"/>
    <w:rsid w:val="00B30BC1"/>
    <w:rsid w:val="00B3103C"/>
    <w:rsid w:val="00B31703"/>
    <w:rsid w:val="00B318E8"/>
    <w:rsid w:val="00B31DDE"/>
    <w:rsid w:val="00B31F37"/>
    <w:rsid w:val="00B3212F"/>
    <w:rsid w:val="00B32937"/>
    <w:rsid w:val="00B32FDC"/>
    <w:rsid w:val="00B338AE"/>
    <w:rsid w:val="00B3540B"/>
    <w:rsid w:val="00B354EA"/>
    <w:rsid w:val="00B35C60"/>
    <w:rsid w:val="00B360B6"/>
    <w:rsid w:val="00B3620E"/>
    <w:rsid w:val="00B362A5"/>
    <w:rsid w:val="00B36FE0"/>
    <w:rsid w:val="00B37685"/>
    <w:rsid w:val="00B40239"/>
    <w:rsid w:val="00B411C5"/>
    <w:rsid w:val="00B41360"/>
    <w:rsid w:val="00B41D3F"/>
    <w:rsid w:val="00B42214"/>
    <w:rsid w:val="00B42249"/>
    <w:rsid w:val="00B42380"/>
    <w:rsid w:val="00B427E5"/>
    <w:rsid w:val="00B42D57"/>
    <w:rsid w:val="00B434CD"/>
    <w:rsid w:val="00B43B40"/>
    <w:rsid w:val="00B44100"/>
    <w:rsid w:val="00B449E6"/>
    <w:rsid w:val="00B45289"/>
    <w:rsid w:val="00B4596E"/>
    <w:rsid w:val="00B45F0B"/>
    <w:rsid w:val="00B470EB"/>
    <w:rsid w:val="00B471C2"/>
    <w:rsid w:val="00B47C9E"/>
    <w:rsid w:val="00B503C0"/>
    <w:rsid w:val="00B50BAE"/>
    <w:rsid w:val="00B50C4E"/>
    <w:rsid w:val="00B514BB"/>
    <w:rsid w:val="00B51760"/>
    <w:rsid w:val="00B51A53"/>
    <w:rsid w:val="00B51DD6"/>
    <w:rsid w:val="00B525CB"/>
    <w:rsid w:val="00B52869"/>
    <w:rsid w:val="00B52B9A"/>
    <w:rsid w:val="00B5307B"/>
    <w:rsid w:val="00B531E8"/>
    <w:rsid w:val="00B5382D"/>
    <w:rsid w:val="00B540D9"/>
    <w:rsid w:val="00B5424E"/>
    <w:rsid w:val="00B54BAF"/>
    <w:rsid w:val="00B54D8C"/>
    <w:rsid w:val="00B55D15"/>
    <w:rsid w:val="00B55D8E"/>
    <w:rsid w:val="00B56C90"/>
    <w:rsid w:val="00B56DAD"/>
    <w:rsid w:val="00B56ECD"/>
    <w:rsid w:val="00B57171"/>
    <w:rsid w:val="00B571FE"/>
    <w:rsid w:val="00B57261"/>
    <w:rsid w:val="00B6004A"/>
    <w:rsid w:val="00B60F50"/>
    <w:rsid w:val="00B61113"/>
    <w:rsid w:val="00B613BB"/>
    <w:rsid w:val="00B619EC"/>
    <w:rsid w:val="00B61A2C"/>
    <w:rsid w:val="00B61B96"/>
    <w:rsid w:val="00B61C59"/>
    <w:rsid w:val="00B62052"/>
    <w:rsid w:val="00B62872"/>
    <w:rsid w:val="00B62A41"/>
    <w:rsid w:val="00B62DB1"/>
    <w:rsid w:val="00B62FFF"/>
    <w:rsid w:val="00B63340"/>
    <w:rsid w:val="00B649B1"/>
    <w:rsid w:val="00B64E94"/>
    <w:rsid w:val="00B650B4"/>
    <w:rsid w:val="00B65122"/>
    <w:rsid w:val="00B6583C"/>
    <w:rsid w:val="00B65981"/>
    <w:rsid w:val="00B65ACB"/>
    <w:rsid w:val="00B6604A"/>
    <w:rsid w:val="00B660DB"/>
    <w:rsid w:val="00B66105"/>
    <w:rsid w:val="00B661C1"/>
    <w:rsid w:val="00B663FA"/>
    <w:rsid w:val="00B6667F"/>
    <w:rsid w:val="00B66CAD"/>
    <w:rsid w:val="00B67F37"/>
    <w:rsid w:val="00B708A8"/>
    <w:rsid w:val="00B70D28"/>
    <w:rsid w:val="00B70EDD"/>
    <w:rsid w:val="00B710D9"/>
    <w:rsid w:val="00B713FD"/>
    <w:rsid w:val="00B718B5"/>
    <w:rsid w:val="00B71B35"/>
    <w:rsid w:val="00B71B46"/>
    <w:rsid w:val="00B721FD"/>
    <w:rsid w:val="00B72263"/>
    <w:rsid w:val="00B72778"/>
    <w:rsid w:val="00B72B1A"/>
    <w:rsid w:val="00B72B64"/>
    <w:rsid w:val="00B73523"/>
    <w:rsid w:val="00B74235"/>
    <w:rsid w:val="00B744F9"/>
    <w:rsid w:val="00B74525"/>
    <w:rsid w:val="00B7460B"/>
    <w:rsid w:val="00B7463A"/>
    <w:rsid w:val="00B74641"/>
    <w:rsid w:val="00B746D1"/>
    <w:rsid w:val="00B747CC"/>
    <w:rsid w:val="00B748B7"/>
    <w:rsid w:val="00B74CF6"/>
    <w:rsid w:val="00B750D5"/>
    <w:rsid w:val="00B75193"/>
    <w:rsid w:val="00B7557B"/>
    <w:rsid w:val="00B75FD2"/>
    <w:rsid w:val="00B76343"/>
    <w:rsid w:val="00B76B7D"/>
    <w:rsid w:val="00B76F3E"/>
    <w:rsid w:val="00B7741A"/>
    <w:rsid w:val="00B774A2"/>
    <w:rsid w:val="00B7767C"/>
    <w:rsid w:val="00B777B3"/>
    <w:rsid w:val="00B801BF"/>
    <w:rsid w:val="00B80987"/>
    <w:rsid w:val="00B809B8"/>
    <w:rsid w:val="00B8113F"/>
    <w:rsid w:val="00B81852"/>
    <w:rsid w:val="00B82176"/>
    <w:rsid w:val="00B82295"/>
    <w:rsid w:val="00B824AB"/>
    <w:rsid w:val="00B82516"/>
    <w:rsid w:val="00B82531"/>
    <w:rsid w:val="00B82931"/>
    <w:rsid w:val="00B83458"/>
    <w:rsid w:val="00B83504"/>
    <w:rsid w:val="00B83AA4"/>
    <w:rsid w:val="00B83C01"/>
    <w:rsid w:val="00B83C03"/>
    <w:rsid w:val="00B83FC6"/>
    <w:rsid w:val="00B84325"/>
    <w:rsid w:val="00B84492"/>
    <w:rsid w:val="00B847C3"/>
    <w:rsid w:val="00B8480C"/>
    <w:rsid w:val="00B849C3"/>
    <w:rsid w:val="00B84AA8"/>
    <w:rsid w:val="00B85123"/>
    <w:rsid w:val="00B857B0"/>
    <w:rsid w:val="00B860EF"/>
    <w:rsid w:val="00B8638C"/>
    <w:rsid w:val="00B863A0"/>
    <w:rsid w:val="00B87048"/>
    <w:rsid w:val="00B87101"/>
    <w:rsid w:val="00B87708"/>
    <w:rsid w:val="00B87D40"/>
    <w:rsid w:val="00B9020A"/>
    <w:rsid w:val="00B908E6"/>
    <w:rsid w:val="00B90D0A"/>
    <w:rsid w:val="00B90ED0"/>
    <w:rsid w:val="00B9150C"/>
    <w:rsid w:val="00B91E7A"/>
    <w:rsid w:val="00B920D3"/>
    <w:rsid w:val="00B927D8"/>
    <w:rsid w:val="00B92846"/>
    <w:rsid w:val="00B92B63"/>
    <w:rsid w:val="00B9317D"/>
    <w:rsid w:val="00B93364"/>
    <w:rsid w:val="00B933B1"/>
    <w:rsid w:val="00B9370C"/>
    <w:rsid w:val="00B9386B"/>
    <w:rsid w:val="00B93BBC"/>
    <w:rsid w:val="00B93ED5"/>
    <w:rsid w:val="00B93FD8"/>
    <w:rsid w:val="00B94141"/>
    <w:rsid w:val="00B94659"/>
    <w:rsid w:val="00B9472B"/>
    <w:rsid w:val="00B9487F"/>
    <w:rsid w:val="00B94CB9"/>
    <w:rsid w:val="00B95415"/>
    <w:rsid w:val="00B95B95"/>
    <w:rsid w:val="00B95F72"/>
    <w:rsid w:val="00B96B2D"/>
    <w:rsid w:val="00B96BB9"/>
    <w:rsid w:val="00B97B53"/>
    <w:rsid w:val="00B97FA3"/>
    <w:rsid w:val="00BA004B"/>
    <w:rsid w:val="00BA08F6"/>
    <w:rsid w:val="00BA0975"/>
    <w:rsid w:val="00BA0F26"/>
    <w:rsid w:val="00BA1700"/>
    <w:rsid w:val="00BA177A"/>
    <w:rsid w:val="00BA1E24"/>
    <w:rsid w:val="00BA22F0"/>
    <w:rsid w:val="00BA2516"/>
    <w:rsid w:val="00BA2542"/>
    <w:rsid w:val="00BA3E5C"/>
    <w:rsid w:val="00BA43D8"/>
    <w:rsid w:val="00BA47D1"/>
    <w:rsid w:val="00BA52F3"/>
    <w:rsid w:val="00BA5824"/>
    <w:rsid w:val="00BA5854"/>
    <w:rsid w:val="00BA5C8D"/>
    <w:rsid w:val="00BA5E4F"/>
    <w:rsid w:val="00BA60B4"/>
    <w:rsid w:val="00BA616F"/>
    <w:rsid w:val="00BA695A"/>
    <w:rsid w:val="00BA75A4"/>
    <w:rsid w:val="00BA7608"/>
    <w:rsid w:val="00BA7AB7"/>
    <w:rsid w:val="00BA7CED"/>
    <w:rsid w:val="00BA7F29"/>
    <w:rsid w:val="00BB01BF"/>
    <w:rsid w:val="00BB0356"/>
    <w:rsid w:val="00BB03A2"/>
    <w:rsid w:val="00BB0AB7"/>
    <w:rsid w:val="00BB0BA0"/>
    <w:rsid w:val="00BB0E85"/>
    <w:rsid w:val="00BB105F"/>
    <w:rsid w:val="00BB14D2"/>
    <w:rsid w:val="00BB188A"/>
    <w:rsid w:val="00BB1ADE"/>
    <w:rsid w:val="00BB1BF8"/>
    <w:rsid w:val="00BB2582"/>
    <w:rsid w:val="00BB29CE"/>
    <w:rsid w:val="00BB2F73"/>
    <w:rsid w:val="00BB2FB7"/>
    <w:rsid w:val="00BB31B8"/>
    <w:rsid w:val="00BB4EEB"/>
    <w:rsid w:val="00BB5251"/>
    <w:rsid w:val="00BB576A"/>
    <w:rsid w:val="00BB5AA8"/>
    <w:rsid w:val="00BB5EEF"/>
    <w:rsid w:val="00BB6235"/>
    <w:rsid w:val="00BB677B"/>
    <w:rsid w:val="00BB6B95"/>
    <w:rsid w:val="00BB74A2"/>
    <w:rsid w:val="00BB75F2"/>
    <w:rsid w:val="00BB795C"/>
    <w:rsid w:val="00BB7A39"/>
    <w:rsid w:val="00BC0257"/>
    <w:rsid w:val="00BC034D"/>
    <w:rsid w:val="00BC03DF"/>
    <w:rsid w:val="00BC03F5"/>
    <w:rsid w:val="00BC04C9"/>
    <w:rsid w:val="00BC0F7D"/>
    <w:rsid w:val="00BC1AAE"/>
    <w:rsid w:val="00BC1B55"/>
    <w:rsid w:val="00BC2691"/>
    <w:rsid w:val="00BC346A"/>
    <w:rsid w:val="00BC369C"/>
    <w:rsid w:val="00BC3DB1"/>
    <w:rsid w:val="00BC3E64"/>
    <w:rsid w:val="00BC42DE"/>
    <w:rsid w:val="00BC42E3"/>
    <w:rsid w:val="00BC43A8"/>
    <w:rsid w:val="00BC46CC"/>
    <w:rsid w:val="00BC4BBD"/>
    <w:rsid w:val="00BC52AA"/>
    <w:rsid w:val="00BC5346"/>
    <w:rsid w:val="00BC5A8C"/>
    <w:rsid w:val="00BC65E6"/>
    <w:rsid w:val="00BC65FB"/>
    <w:rsid w:val="00BC67D5"/>
    <w:rsid w:val="00BC6E99"/>
    <w:rsid w:val="00BC764B"/>
    <w:rsid w:val="00BC7CA6"/>
    <w:rsid w:val="00BC7F97"/>
    <w:rsid w:val="00BD03EF"/>
    <w:rsid w:val="00BD04D4"/>
    <w:rsid w:val="00BD085B"/>
    <w:rsid w:val="00BD0A95"/>
    <w:rsid w:val="00BD0D87"/>
    <w:rsid w:val="00BD1B33"/>
    <w:rsid w:val="00BD1DE4"/>
    <w:rsid w:val="00BD227D"/>
    <w:rsid w:val="00BD27B3"/>
    <w:rsid w:val="00BD28AA"/>
    <w:rsid w:val="00BD2E25"/>
    <w:rsid w:val="00BD2FE9"/>
    <w:rsid w:val="00BD303A"/>
    <w:rsid w:val="00BD35D3"/>
    <w:rsid w:val="00BD37B9"/>
    <w:rsid w:val="00BD3FBD"/>
    <w:rsid w:val="00BD4069"/>
    <w:rsid w:val="00BD43FC"/>
    <w:rsid w:val="00BD49E6"/>
    <w:rsid w:val="00BD513C"/>
    <w:rsid w:val="00BD5AC9"/>
    <w:rsid w:val="00BD5BB7"/>
    <w:rsid w:val="00BD5C06"/>
    <w:rsid w:val="00BD6581"/>
    <w:rsid w:val="00BD674D"/>
    <w:rsid w:val="00BD682E"/>
    <w:rsid w:val="00BD6B85"/>
    <w:rsid w:val="00BD6C05"/>
    <w:rsid w:val="00BD6CE3"/>
    <w:rsid w:val="00BD6EAE"/>
    <w:rsid w:val="00BD74C3"/>
    <w:rsid w:val="00BE0330"/>
    <w:rsid w:val="00BE036D"/>
    <w:rsid w:val="00BE07C7"/>
    <w:rsid w:val="00BE0AE4"/>
    <w:rsid w:val="00BE10B7"/>
    <w:rsid w:val="00BE1570"/>
    <w:rsid w:val="00BE195F"/>
    <w:rsid w:val="00BE283E"/>
    <w:rsid w:val="00BE2B3E"/>
    <w:rsid w:val="00BE2DE1"/>
    <w:rsid w:val="00BE3C16"/>
    <w:rsid w:val="00BE4363"/>
    <w:rsid w:val="00BE4D45"/>
    <w:rsid w:val="00BE64E1"/>
    <w:rsid w:val="00BE6561"/>
    <w:rsid w:val="00BE68E4"/>
    <w:rsid w:val="00BE69C1"/>
    <w:rsid w:val="00BE6F52"/>
    <w:rsid w:val="00BE6FAF"/>
    <w:rsid w:val="00BE726A"/>
    <w:rsid w:val="00BE7331"/>
    <w:rsid w:val="00BE7B00"/>
    <w:rsid w:val="00BE7EA3"/>
    <w:rsid w:val="00BF0456"/>
    <w:rsid w:val="00BF05B8"/>
    <w:rsid w:val="00BF0EA2"/>
    <w:rsid w:val="00BF0F49"/>
    <w:rsid w:val="00BF0F5C"/>
    <w:rsid w:val="00BF112C"/>
    <w:rsid w:val="00BF1930"/>
    <w:rsid w:val="00BF22EF"/>
    <w:rsid w:val="00BF234D"/>
    <w:rsid w:val="00BF27B6"/>
    <w:rsid w:val="00BF2E1E"/>
    <w:rsid w:val="00BF2E43"/>
    <w:rsid w:val="00BF3728"/>
    <w:rsid w:val="00BF3751"/>
    <w:rsid w:val="00BF3A4E"/>
    <w:rsid w:val="00BF3DF5"/>
    <w:rsid w:val="00BF3F8A"/>
    <w:rsid w:val="00BF43CC"/>
    <w:rsid w:val="00BF464C"/>
    <w:rsid w:val="00BF4EA3"/>
    <w:rsid w:val="00BF50AD"/>
    <w:rsid w:val="00BF541A"/>
    <w:rsid w:val="00BF59B5"/>
    <w:rsid w:val="00BF7067"/>
    <w:rsid w:val="00BF76AF"/>
    <w:rsid w:val="00BF7C86"/>
    <w:rsid w:val="00C00293"/>
    <w:rsid w:val="00C00627"/>
    <w:rsid w:val="00C00681"/>
    <w:rsid w:val="00C00E2E"/>
    <w:rsid w:val="00C01054"/>
    <w:rsid w:val="00C01591"/>
    <w:rsid w:val="00C0171F"/>
    <w:rsid w:val="00C01BE9"/>
    <w:rsid w:val="00C01F4F"/>
    <w:rsid w:val="00C01FE2"/>
    <w:rsid w:val="00C033C4"/>
    <w:rsid w:val="00C0355F"/>
    <w:rsid w:val="00C035F4"/>
    <w:rsid w:val="00C03FF9"/>
    <w:rsid w:val="00C04869"/>
    <w:rsid w:val="00C05265"/>
    <w:rsid w:val="00C05C96"/>
    <w:rsid w:val="00C05E6B"/>
    <w:rsid w:val="00C07900"/>
    <w:rsid w:val="00C0791F"/>
    <w:rsid w:val="00C07B63"/>
    <w:rsid w:val="00C07C89"/>
    <w:rsid w:val="00C106D6"/>
    <w:rsid w:val="00C11D37"/>
    <w:rsid w:val="00C11E3A"/>
    <w:rsid w:val="00C11EA9"/>
    <w:rsid w:val="00C12DC5"/>
    <w:rsid w:val="00C12DDC"/>
    <w:rsid w:val="00C12E65"/>
    <w:rsid w:val="00C13B2E"/>
    <w:rsid w:val="00C13C08"/>
    <w:rsid w:val="00C13E0F"/>
    <w:rsid w:val="00C14BA7"/>
    <w:rsid w:val="00C14BDC"/>
    <w:rsid w:val="00C14EB0"/>
    <w:rsid w:val="00C150C6"/>
    <w:rsid w:val="00C1546E"/>
    <w:rsid w:val="00C15494"/>
    <w:rsid w:val="00C15521"/>
    <w:rsid w:val="00C15A1D"/>
    <w:rsid w:val="00C16879"/>
    <w:rsid w:val="00C16C3F"/>
    <w:rsid w:val="00C16C80"/>
    <w:rsid w:val="00C179BD"/>
    <w:rsid w:val="00C179D1"/>
    <w:rsid w:val="00C20DAB"/>
    <w:rsid w:val="00C20E5C"/>
    <w:rsid w:val="00C20F02"/>
    <w:rsid w:val="00C211BB"/>
    <w:rsid w:val="00C215E8"/>
    <w:rsid w:val="00C218FC"/>
    <w:rsid w:val="00C21A3D"/>
    <w:rsid w:val="00C21BAD"/>
    <w:rsid w:val="00C21E95"/>
    <w:rsid w:val="00C22428"/>
    <w:rsid w:val="00C228CC"/>
    <w:rsid w:val="00C23104"/>
    <w:rsid w:val="00C23622"/>
    <w:rsid w:val="00C23E09"/>
    <w:rsid w:val="00C23EC3"/>
    <w:rsid w:val="00C2413B"/>
    <w:rsid w:val="00C24AC1"/>
    <w:rsid w:val="00C24B7F"/>
    <w:rsid w:val="00C24CF0"/>
    <w:rsid w:val="00C24D01"/>
    <w:rsid w:val="00C25996"/>
    <w:rsid w:val="00C259C0"/>
    <w:rsid w:val="00C2624D"/>
    <w:rsid w:val="00C267B5"/>
    <w:rsid w:val="00C277F1"/>
    <w:rsid w:val="00C27981"/>
    <w:rsid w:val="00C27C2E"/>
    <w:rsid w:val="00C27C52"/>
    <w:rsid w:val="00C30349"/>
    <w:rsid w:val="00C30F64"/>
    <w:rsid w:val="00C31391"/>
    <w:rsid w:val="00C31475"/>
    <w:rsid w:val="00C31DD8"/>
    <w:rsid w:val="00C32005"/>
    <w:rsid w:val="00C3263D"/>
    <w:rsid w:val="00C32C5F"/>
    <w:rsid w:val="00C335FF"/>
    <w:rsid w:val="00C33C2C"/>
    <w:rsid w:val="00C344CE"/>
    <w:rsid w:val="00C34543"/>
    <w:rsid w:val="00C34A46"/>
    <w:rsid w:val="00C34FF5"/>
    <w:rsid w:val="00C35E5B"/>
    <w:rsid w:val="00C35FCC"/>
    <w:rsid w:val="00C35FD7"/>
    <w:rsid w:val="00C362C4"/>
    <w:rsid w:val="00C3672D"/>
    <w:rsid w:val="00C36772"/>
    <w:rsid w:val="00C36877"/>
    <w:rsid w:val="00C36B39"/>
    <w:rsid w:val="00C36B7F"/>
    <w:rsid w:val="00C375AE"/>
    <w:rsid w:val="00C37CEF"/>
    <w:rsid w:val="00C4012E"/>
    <w:rsid w:val="00C40136"/>
    <w:rsid w:val="00C401AF"/>
    <w:rsid w:val="00C40841"/>
    <w:rsid w:val="00C40AE0"/>
    <w:rsid w:val="00C40DB4"/>
    <w:rsid w:val="00C43022"/>
    <w:rsid w:val="00C43485"/>
    <w:rsid w:val="00C437B4"/>
    <w:rsid w:val="00C44007"/>
    <w:rsid w:val="00C44335"/>
    <w:rsid w:val="00C443D9"/>
    <w:rsid w:val="00C44699"/>
    <w:rsid w:val="00C44829"/>
    <w:rsid w:val="00C44879"/>
    <w:rsid w:val="00C449BC"/>
    <w:rsid w:val="00C44E10"/>
    <w:rsid w:val="00C44E8A"/>
    <w:rsid w:val="00C44EC8"/>
    <w:rsid w:val="00C44EDF"/>
    <w:rsid w:val="00C4583D"/>
    <w:rsid w:val="00C45F5F"/>
    <w:rsid w:val="00C4657F"/>
    <w:rsid w:val="00C467B4"/>
    <w:rsid w:val="00C46FAA"/>
    <w:rsid w:val="00C474A7"/>
    <w:rsid w:val="00C47507"/>
    <w:rsid w:val="00C47F4E"/>
    <w:rsid w:val="00C500C9"/>
    <w:rsid w:val="00C506A4"/>
    <w:rsid w:val="00C50B00"/>
    <w:rsid w:val="00C5112F"/>
    <w:rsid w:val="00C51B21"/>
    <w:rsid w:val="00C5214D"/>
    <w:rsid w:val="00C531F2"/>
    <w:rsid w:val="00C5320A"/>
    <w:rsid w:val="00C536BB"/>
    <w:rsid w:val="00C5383E"/>
    <w:rsid w:val="00C539A9"/>
    <w:rsid w:val="00C5426B"/>
    <w:rsid w:val="00C54D65"/>
    <w:rsid w:val="00C54EE1"/>
    <w:rsid w:val="00C54FCD"/>
    <w:rsid w:val="00C552E1"/>
    <w:rsid w:val="00C5563B"/>
    <w:rsid w:val="00C559AD"/>
    <w:rsid w:val="00C55F5E"/>
    <w:rsid w:val="00C56155"/>
    <w:rsid w:val="00C567B4"/>
    <w:rsid w:val="00C568EE"/>
    <w:rsid w:val="00C56B4C"/>
    <w:rsid w:val="00C57293"/>
    <w:rsid w:val="00C57575"/>
    <w:rsid w:val="00C57D34"/>
    <w:rsid w:val="00C57ED5"/>
    <w:rsid w:val="00C60154"/>
    <w:rsid w:val="00C603F3"/>
    <w:rsid w:val="00C60722"/>
    <w:rsid w:val="00C60BFA"/>
    <w:rsid w:val="00C61039"/>
    <w:rsid w:val="00C6161E"/>
    <w:rsid w:val="00C61A26"/>
    <w:rsid w:val="00C61B48"/>
    <w:rsid w:val="00C62AE3"/>
    <w:rsid w:val="00C63954"/>
    <w:rsid w:val="00C643D7"/>
    <w:rsid w:val="00C6459D"/>
    <w:rsid w:val="00C6486B"/>
    <w:rsid w:val="00C64A5A"/>
    <w:rsid w:val="00C65176"/>
    <w:rsid w:val="00C65252"/>
    <w:rsid w:val="00C6568C"/>
    <w:rsid w:val="00C657E5"/>
    <w:rsid w:val="00C65A23"/>
    <w:rsid w:val="00C65C0A"/>
    <w:rsid w:val="00C65E3B"/>
    <w:rsid w:val="00C65F5C"/>
    <w:rsid w:val="00C663B6"/>
    <w:rsid w:val="00C66507"/>
    <w:rsid w:val="00C66637"/>
    <w:rsid w:val="00C6692C"/>
    <w:rsid w:val="00C669F9"/>
    <w:rsid w:val="00C66A70"/>
    <w:rsid w:val="00C678CC"/>
    <w:rsid w:val="00C67C0A"/>
    <w:rsid w:val="00C67CD9"/>
    <w:rsid w:val="00C70049"/>
    <w:rsid w:val="00C701B1"/>
    <w:rsid w:val="00C70E10"/>
    <w:rsid w:val="00C710CB"/>
    <w:rsid w:val="00C71C96"/>
    <w:rsid w:val="00C722FE"/>
    <w:rsid w:val="00C72405"/>
    <w:rsid w:val="00C726FA"/>
    <w:rsid w:val="00C7316F"/>
    <w:rsid w:val="00C73655"/>
    <w:rsid w:val="00C742D7"/>
    <w:rsid w:val="00C74613"/>
    <w:rsid w:val="00C757D8"/>
    <w:rsid w:val="00C7580E"/>
    <w:rsid w:val="00C758FD"/>
    <w:rsid w:val="00C75A87"/>
    <w:rsid w:val="00C75F3E"/>
    <w:rsid w:val="00C7605C"/>
    <w:rsid w:val="00C76BE9"/>
    <w:rsid w:val="00C76CB1"/>
    <w:rsid w:val="00C7762B"/>
    <w:rsid w:val="00C7788A"/>
    <w:rsid w:val="00C80492"/>
    <w:rsid w:val="00C80965"/>
    <w:rsid w:val="00C80998"/>
    <w:rsid w:val="00C80DB5"/>
    <w:rsid w:val="00C80E4A"/>
    <w:rsid w:val="00C82162"/>
    <w:rsid w:val="00C82963"/>
    <w:rsid w:val="00C82BBD"/>
    <w:rsid w:val="00C82CF5"/>
    <w:rsid w:val="00C82DEC"/>
    <w:rsid w:val="00C833A1"/>
    <w:rsid w:val="00C84616"/>
    <w:rsid w:val="00C8549A"/>
    <w:rsid w:val="00C854FA"/>
    <w:rsid w:val="00C85CAB"/>
    <w:rsid w:val="00C86771"/>
    <w:rsid w:val="00C87B04"/>
    <w:rsid w:val="00C90353"/>
    <w:rsid w:val="00C9042C"/>
    <w:rsid w:val="00C90461"/>
    <w:rsid w:val="00C904D5"/>
    <w:rsid w:val="00C90C46"/>
    <w:rsid w:val="00C91A2E"/>
    <w:rsid w:val="00C91D14"/>
    <w:rsid w:val="00C92CC9"/>
    <w:rsid w:val="00C9319B"/>
    <w:rsid w:val="00C9342B"/>
    <w:rsid w:val="00C93F3B"/>
    <w:rsid w:val="00C94235"/>
    <w:rsid w:val="00C95315"/>
    <w:rsid w:val="00C96110"/>
    <w:rsid w:val="00C9677A"/>
    <w:rsid w:val="00C971D8"/>
    <w:rsid w:val="00CA0616"/>
    <w:rsid w:val="00CA0CF6"/>
    <w:rsid w:val="00CA12AB"/>
    <w:rsid w:val="00CA14E1"/>
    <w:rsid w:val="00CA2128"/>
    <w:rsid w:val="00CA2CE1"/>
    <w:rsid w:val="00CA2CFE"/>
    <w:rsid w:val="00CA305C"/>
    <w:rsid w:val="00CA3F1A"/>
    <w:rsid w:val="00CA43CC"/>
    <w:rsid w:val="00CA4E7D"/>
    <w:rsid w:val="00CA500F"/>
    <w:rsid w:val="00CA552C"/>
    <w:rsid w:val="00CA5CA0"/>
    <w:rsid w:val="00CA5CA7"/>
    <w:rsid w:val="00CA5F7D"/>
    <w:rsid w:val="00CA5FD3"/>
    <w:rsid w:val="00CA604F"/>
    <w:rsid w:val="00CA61E8"/>
    <w:rsid w:val="00CA69EA"/>
    <w:rsid w:val="00CA6FA5"/>
    <w:rsid w:val="00CB015B"/>
    <w:rsid w:val="00CB0B30"/>
    <w:rsid w:val="00CB10C5"/>
    <w:rsid w:val="00CB10DD"/>
    <w:rsid w:val="00CB1AF7"/>
    <w:rsid w:val="00CB2158"/>
    <w:rsid w:val="00CB2D99"/>
    <w:rsid w:val="00CB354A"/>
    <w:rsid w:val="00CB354C"/>
    <w:rsid w:val="00CB3899"/>
    <w:rsid w:val="00CB3A73"/>
    <w:rsid w:val="00CB3BD4"/>
    <w:rsid w:val="00CB3C0A"/>
    <w:rsid w:val="00CB4A24"/>
    <w:rsid w:val="00CB4B5E"/>
    <w:rsid w:val="00CB4F15"/>
    <w:rsid w:val="00CB579C"/>
    <w:rsid w:val="00CB5ED4"/>
    <w:rsid w:val="00CB608A"/>
    <w:rsid w:val="00CB61FA"/>
    <w:rsid w:val="00CB65E2"/>
    <w:rsid w:val="00CB6A3A"/>
    <w:rsid w:val="00CB6BC0"/>
    <w:rsid w:val="00CB7EBF"/>
    <w:rsid w:val="00CC08B0"/>
    <w:rsid w:val="00CC1B07"/>
    <w:rsid w:val="00CC2669"/>
    <w:rsid w:val="00CC26A8"/>
    <w:rsid w:val="00CC2746"/>
    <w:rsid w:val="00CC2776"/>
    <w:rsid w:val="00CC3570"/>
    <w:rsid w:val="00CC3BA0"/>
    <w:rsid w:val="00CC3C51"/>
    <w:rsid w:val="00CC3C8D"/>
    <w:rsid w:val="00CC4409"/>
    <w:rsid w:val="00CC55BE"/>
    <w:rsid w:val="00CC5745"/>
    <w:rsid w:val="00CC60AC"/>
    <w:rsid w:val="00CC66B6"/>
    <w:rsid w:val="00CC6A27"/>
    <w:rsid w:val="00CC6A80"/>
    <w:rsid w:val="00CC6E08"/>
    <w:rsid w:val="00CC6E41"/>
    <w:rsid w:val="00CC70F7"/>
    <w:rsid w:val="00CC73C1"/>
    <w:rsid w:val="00CC74A8"/>
    <w:rsid w:val="00CC7544"/>
    <w:rsid w:val="00CC7679"/>
    <w:rsid w:val="00CCFCA4"/>
    <w:rsid w:val="00CD05A1"/>
    <w:rsid w:val="00CD06AD"/>
    <w:rsid w:val="00CD0BDC"/>
    <w:rsid w:val="00CD18B7"/>
    <w:rsid w:val="00CD25CA"/>
    <w:rsid w:val="00CD27F8"/>
    <w:rsid w:val="00CD2B6B"/>
    <w:rsid w:val="00CD2CED"/>
    <w:rsid w:val="00CD2D59"/>
    <w:rsid w:val="00CD333B"/>
    <w:rsid w:val="00CD36F3"/>
    <w:rsid w:val="00CD3996"/>
    <w:rsid w:val="00CD43E9"/>
    <w:rsid w:val="00CD4E06"/>
    <w:rsid w:val="00CD514F"/>
    <w:rsid w:val="00CD5C14"/>
    <w:rsid w:val="00CD62F6"/>
    <w:rsid w:val="00CD6547"/>
    <w:rsid w:val="00CD678D"/>
    <w:rsid w:val="00CD708E"/>
    <w:rsid w:val="00CD74FA"/>
    <w:rsid w:val="00CD7897"/>
    <w:rsid w:val="00CD7AB5"/>
    <w:rsid w:val="00CE015E"/>
    <w:rsid w:val="00CE0636"/>
    <w:rsid w:val="00CE0CDF"/>
    <w:rsid w:val="00CE0E6F"/>
    <w:rsid w:val="00CE10C6"/>
    <w:rsid w:val="00CE1B59"/>
    <w:rsid w:val="00CE1F6A"/>
    <w:rsid w:val="00CE2698"/>
    <w:rsid w:val="00CE2B96"/>
    <w:rsid w:val="00CE310E"/>
    <w:rsid w:val="00CE331A"/>
    <w:rsid w:val="00CE33AF"/>
    <w:rsid w:val="00CE3568"/>
    <w:rsid w:val="00CE36D9"/>
    <w:rsid w:val="00CE3EBF"/>
    <w:rsid w:val="00CE3EF0"/>
    <w:rsid w:val="00CE3F74"/>
    <w:rsid w:val="00CE4158"/>
    <w:rsid w:val="00CE4327"/>
    <w:rsid w:val="00CE44DB"/>
    <w:rsid w:val="00CE463B"/>
    <w:rsid w:val="00CE4D4A"/>
    <w:rsid w:val="00CE50C5"/>
    <w:rsid w:val="00CE537C"/>
    <w:rsid w:val="00CE539E"/>
    <w:rsid w:val="00CE5499"/>
    <w:rsid w:val="00CE5B4B"/>
    <w:rsid w:val="00CE5C20"/>
    <w:rsid w:val="00CE67A3"/>
    <w:rsid w:val="00CE67FF"/>
    <w:rsid w:val="00CE7158"/>
    <w:rsid w:val="00CE757D"/>
    <w:rsid w:val="00CE7E10"/>
    <w:rsid w:val="00CF004E"/>
    <w:rsid w:val="00CF06D5"/>
    <w:rsid w:val="00CF09F4"/>
    <w:rsid w:val="00CF0AFF"/>
    <w:rsid w:val="00CF1559"/>
    <w:rsid w:val="00CF1653"/>
    <w:rsid w:val="00CF17A8"/>
    <w:rsid w:val="00CF17F7"/>
    <w:rsid w:val="00CF19C2"/>
    <w:rsid w:val="00CF2873"/>
    <w:rsid w:val="00CF2AEA"/>
    <w:rsid w:val="00CF2DA8"/>
    <w:rsid w:val="00CF3030"/>
    <w:rsid w:val="00CF33E7"/>
    <w:rsid w:val="00CF383C"/>
    <w:rsid w:val="00CF3CE1"/>
    <w:rsid w:val="00CF4CDA"/>
    <w:rsid w:val="00CF5086"/>
    <w:rsid w:val="00CF52FA"/>
    <w:rsid w:val="00CF5588"/>
    <w:rsid w:val="00CF615C"/>
    <w:rsid w:val="00CF643B"/>
    <w:rsid w:val="00CF64EC"/>
    <w:rsid w:val="00CF6760"/>
    <w:rsid w:val="00CF6A4E"/>
    <w:rsid w:val="00CF734F"/>
    <w:rsid w:val="00CF792B"/>
    <w:rsid w:val="00D003F8"/>
    <w:rsid w:val="00D00552"/>
    <w:rsid w:val="00D0086F"/>
    <w:rsid w:val="00D00AC1"/>
    <w:rsid w:val="00D00E3E"/>
    <w:rsid w:val="00D00EAF"/>
    <w:rsid w:val="00D0112B"/>
    <w:rsid w:val="00D01F2E"/>
    <w:rsid w:val="00D023A3"/>
    <w:rsid w:val="00D02E45"/>
    <w:rsid w:val="00D02E72"/>
    <w:rsid w:val="00D0330A"/>
    <w:rsid w:val="00D0360F"/>
    <w:rsid w:val="00D03C51"/>
    <w:rsid w:val="00D0408F"/>
    <w:rsid w:val="00D04284"/>
    <w:rsid w:val="00D04675"/>
    <w:rsid w:val="00D0478D"/>
    <w:rsid w:val="00D048E1"/>
    <w:rsid w:val="00D0599F"/>
    <w:rsid w:val="00D05A69"/>
    <w:rsid w:val="00D06024"/>
    <w:rsid w:val="00D0677B"/>
    <w:rsid w:val="00D06A6B"/>
    <w:rsid w:val="00D06E8F"/>
    <w:rsid w:val="00D07694"/>
    <w:rsid w:val="00D076FB"/>
    <w:rsid w:val="00D07CD2"/>
    <w:rsid w:val="00D1053B"/>
    <w:rsid w:val="00D109F4"/>
    <w:rsid w:val="00D10AD9"/>
    <w:rsid w:val="00D10E2E"/>
    <w:rsid w:val="00D11528"/>
    <w:rsid w:val="00D1157A"/>
    <w:rsid w:val="00D11730"/>
    <w:rsid w:val="00D1178A"/>
    <w:rsid w:val="00D11C63"/>
    <w:rsid w:val="00D12120"/>
    <w:rsid w:val="00D13130"/>
    <w:rsid w:val="00D1351A"/>
    <w:rsid w:val="00D13883"/>
    <w:rsid w:val="00D13F76"/>
    <w:rsid w:val="00D1420D"/>
    <w:rsid w:val="00D142A6"/>
    <w:rsid w:val="00D14434"/>
    <w:rsid w:val="00D155A8"/>
    <w:rsid w:val="00D16A10"/>
    <w:rsid w:val="00D16AD7"/>
    <w:rsid w:val="00D16B5F"/>
    <w:rsid w:val="00D16E2D"/>
    <w:rsid w:val="00D17446"/>
    <w:rsid w:val="00D17ACD"/>
    <w:rsid w:val="00D17D5A"/>
    <w:rsid w:val="00D20570"/>
    <w:rsid w:val="00D20D36"/>
    <w:rsid w:val="00D20ED4"/>
    <w:rsid w:val="00D2105E"/>
    <w:rsid w:val="00D213A5"/>
    <w:rsid w:val="00D21596"/>
    <w:rsid w:val="00D21F26"/>
    <w:rsid w:val="00D21F54"/>
    <w:rsid w:val="00D21F8B"/>
    <w:rsid w:val="00D222DD"/>
    <w:rsid w:val="00D223C0"/>
    <w:rsid w:val="00D22465"/>
    <w:rsid w:val="00D22BB9"/>
    <w:rsid w:val="00D2368A"/>
    <w:rsid w:val="00D238AA"/>
    <w:rsid w:val="00D24F7B"/>
    <w:rsid w:val="00D25281"/>
    <w:rsid w:val="00D253B4"/>
    <w:rsid w:val="00D256C5"/>
    <w:rsid w:val="00D25700"/>
    <w:rsid w:val="00D26887"/>
    <w:rsid w:val="00D26ADB"/>
    <w:rsid w:val="00D26B0C"/>
    <w:rsid w:val="00D26B7F"/>
    <w:rsid w:val="00D27676"/>
    <w:rsid w:val="00D27743"/>
    <w:rsid w:val="00D279AC"/>
    <w:rsid w:val="00D27CD8"/>
    <w:rsid w:val="00D30482"/>
    <w:rsid w:val="00D30B8E"/>
    <w:rsid w:val="00D30EB0"/>
    <w:rsid w:val="00D31741"/>
    <w:rsid w:val="00D319F2"/>
    <w:rsid w:val="00D31D19"/>
    <w:rsid w:val="00D320A5"/>
    <w:rsid w:val="00D32B41"/>
    <w:rsid w:val="00D32CAF"/>
    <w:rsid w:val="00D32DAF"/>
    <w:rsid w:val="00D32E65"/>
    <w:rsid w:val="00D3368F"/>
    <w:rsid w:val="00D3388D"/>
    <w:rsid w:val="00D33A0A"/>
    <w:rsid w:val="00D345DF"/>
    <w:rsid w:val="00D348C4"/>
    <w:rsid w:val="00D35384"/>
    <w:rsid w:val="00D35677"/>
    <w:rsid w:val="00D35A15"/>
    <w:rsid w:val="00D35ABB"/>
    <w:rsid w:val="00D35F25"/>
    <w:rsid w:val="00D360E9"/>
    <w:rsid w:val="00D366C1"/>
    <w:rsid w:val="00D36C05"/>
    <w:rsid w:val="00D372B1"/>
    <w:rsid w:val="00D40482"/>
    <w:rsid w:val="00D40565"/>
    <w:rsid w:val="00D40A23"/>
    <w:rsid w:val="00D40A5A"/>
    <w:rsid w:val="00D41057"/>
    <w:rsid w:val="00D414C1"/>
    <w:rsid w:val="00D4168B"/>
    <w:rsid w:val="00D41802"/>
    <w:rsid w:val="00D429A6"/>
    <w:rsid w:val="00D42C27"/>
    <w:rsid w:val="00D430FE"/>
    <w:rsid w:val="00D436F2"/>
    <w:rsid w:val="00D4397A"/>
    <w:rsid w:val="00D43990"/>
    <w:rsid w:val="00D43C88"/>
    <w:rsid w:val="00D43D9F"/>
    <w:rsid w:val="00D44EE8"/>
    <w:rsid w:val="00D4559F"/>
    <w:rsid w:val="00D456C7"/>
    <w:rsid w:val="00D45AE1"/>
    <w:rsid w:val="00D460A4"/>
    <w:rsid w:val="00D462A2"/>
    <w:rsid w:val="00D464F3"/>
    <w:rsid w:val="00D4668D"/>
    <w:rsid w:val="00D468EB"/>
    <w:rsid w:val="00D46F1B"/>
    <w:rsid w:val="00D47A23"/>
    <w:rsid w:val="00D47AA7"/>
    <w:rsid w:val="00D47BC0"/>
    <w:rsid w:val="00D47E07"/>
    <w:rsid w:val="00D50922"/>
    <w:rsid w:val="00D50A69"/>
    <w:rsid w:val="00D50AE3"/>
    <w:rsid w:val="00D51703"/>
    <w:rsid w:val="00D51E25"/>
    <w:rsid w:val="00D52673"/>
    <w:rsid w:val="00D5350F"/>
    <w:rsid w:val="00D53607"/>
    <w:rsid w:val="00D54622"/>
    <w:rsid w:val="00D54938"/>
    <w:rsid w:val="00D54C35"/>
    <w:rsid w:val="00D54D66"/>
    <w:rsid w:val="00D54EA6"/>
    <w:rsid w:val="00D5567D"/>
    <w:rsid w:val="00D55861"/>
    <w:rsid w:val="00D55E0B"/>
    <w:rsid w:val="00D55FA0"/>
    <w:rsid w:val="00D56599"/>
    <w:rsid w:val="00D56D38"/>
    <w:rsid w:val="00D573E2"/>
    <w:rsid w:val="00D5764A"/>
    <w:rsid w:val="00D57AA8"/>
    <w:rsid w:val="00D57B2C"/>
    <w:rsid w:val="00D57D28"/>
    <w:rsid w:val="00D602C1"/>
    <w:rsid w:val="00D6103C"/>
    <w:rsid w:val="00D61273"/>
    <w:rsid w:val="00D614F8"/>
    <w:rsid w:val="00D621CC"/>
    <w:rsid w:val="00D623B9"/>
    <w:rsid w:val="00D62CF8"/>
    <w:rsid w:val="00D62FBA"/>
    <w:rsid w:val="00D63ABE"/>
    <w:rsid w:val="00D641AC"/>
    <w:rsid w:val="00D64706"/>
    <w:rsid w:val="00D650F0"/>
    <w:rsid w:val="00D65198"/>
    <w:rsid w:val="00D65379"/>
    <w:rsid w:val="00D65419"/>
    <w:rsid w:val="00D6573E"/>
    <w:rsid w:val="00D657FB"/>
    <w:rsid w:val="00D65DA2"/>
    <w:rsid w:val="00D666EE"/>
    <w:rsid w:val="00D6688D"/>
    <w:rsid w:val="00D66CD4"/>
    <w:rsid w:val="00D66F03"/>
    <w:rsid w:val="00D67100"/>
    <w:rsid w:val="00D673F4"/>
    <w:rsid w:val="00D6761C"/>
    <w:rsid w:val="00D67D84"/>
    <w:rsid w:val="00D70038"/>
    <w:rsid w:val="00D703E2"/>
    <w:rsid w:val="00D7061D"/>
    <w:rsid w:val="00D712B6"/>
    <w:rsid w:val="00D713A9"/>
    <w:rsid w:val="00D71861"/>
    <w:rsid w:val="00D7190A"/>
    <w:rsid w:val="00D71D06"/>
    <w:rsid w:val="00D72085"/>
    <w:rsid w:val="00D72324"/>
    <w:rsid w:val="00D7289E"/>
    <w:rsid w:val="00D72B20"/>
    <w:rsid w:val="00D73633"/>
    <w:rsid w:val="00D73D48"/>
    <w:rsid w:val="00D740A3"/>
    <w:rsid w:val="00D7458C"/>
    <w:rsid w:val="00D74694"/>
    <w:rsid w:val="00D74EBB"/>
    <w:rsid w:val="00D75039"/>
    <w:rsid w:val="00D755B8"/>
    <w:rsid w:val="00D7588C"/>
    <w:rsid w:val="00D7643F"/>
    <w:rsid w:val="00D764CC"/>
    <w:rsid w:val="00D7655C"/>
    <w:rsid w:val="00D76CC3"/>
    <w:rsid w:val="00D76E2D"/>
    <w:rsid w:val="00D77279"/>
    <w:rsid w:val="00D774D8"/>
    <w:rsid w:val="00D77986"/>
    <w:rsid w:val="00D80160"/>
    <w:rsid w:val="00D806AF"/>
    <w:rsid w:val="00D806CB"/>
    <w:rsid w:val="00D80A2D"/>
    <w:rsid w:val="00D80C65"/>
    <w:rsid w:val="00D80CBC"/>
    <w:rsid w:val="00D815B8"/>
    <w:rsid w:val="00D81A55"/>
    <w:rsid w:val="00D81FD8"/>
    <w:rsid w:val="00D81FDD"/>
    <w:rsid w:val="00D83360"/>
    <w:rsid w:val="00D83690"/>
    <w:rsid w:val="00D83DFA"/>
    <w:rsid w:val="00D84C70"/>
    <w:rsid w:val="00D84D12"/>
    <w:rsid w:val="00D84D43"/>
    <w:rsid w:val="00D85660"/>
    <w:rsid w:val="00D85956"/>
    <w:rsid w:val="00D85963"/>
    <w:rsid w:val="00D85E91"/>
    <w:rsid w:val="00D863B1"/>
    <w:rsid w:val="00D8649F"/>
    <w:rsid w:val="00D86647"/>
    <w:rsid w:val="00D86A26"/>
    <w:rsid w:val="00D86C1C"/>
    <w:rsid w:val="00D87B2D"/>
    <w:rsid w:val="00D87B45"/>
    <w:rsid w:val="00D87B9F"/>
    <w:rsid w:val="00D87F70"/>
    <w:rsid w:val="00D9024A"/>
    <w:rsid w:val="00D90812"/>
    <w:rsid w:val="00D90FC7"/>
    <w:rsid w:val="00D91493"/>
    <w:rsid w:val="00D91A22"/>
    <w:rsid w:val="00D91A96"/>
    <w:rsid w:val="00D91B53"/>
    <w:rsid w:val="00D923C1"/>
    <w:rsid w:val="00D9279D"/>
    <w:rsid w:val="00D9287B"/>
    <w:rsid w:val="00D928EE"/>
    <w:rsid w:val="00D92C1E"/>
    <w:rsid w:val="00D92E31"/>
    <w:rsid w:val="00D93569"/>
    <w:rsid w:val="00D9368C"/>
    <w:rsid w:val="00D93D10"/>
    <w:rsid w:val="00D9476C"/>
    <w:rsid w:val="00D94C26"/>
    <w:rsid w:val="00D9518F"/>
    <w:rsid w:val="00D95535"/>
    <w:rsid w:val="00D95B78"/>
    <w:rsid w:val="00D95E61"/>
    <w:rsid w:val="00D96D99"/>
    <w:rsid w:val="00D96DA3"/>
    <w:rsid w:val="00D97751"/>
    <w:rsid w:val="00D97921"/>
    <w:rsid w:val="00D97AFE"/>
    <w:rsid w:val="00DA07EE"/>
    <w:rsid w:val="00DA0A75"/>
    <w:rsid w:val="00DA18B4"/>
    <w:rsid w:val="00DA18BB"/>
    <w:rsid w:val="00DA23F0"/>
    <w:rsid w:val="00DA25A8"/>
    <w:rsid w:val="00DA2D8C"/>
    <w:rsid w:val="00DA4209"/>
    <w:rsid w:val="00DA42EC"/>
    <w:rsid w:val="00DA45FF"/>
    <w:rsid w:val="00DA51A5"/>
    <w:rsid w:val="00DA5BEC"/>
    <w:rsid w:val="00DA5CBE"/>
    <w:rsid w:val="00DA5D63"/>
    <w:rsid w:val="00DA5E12"/>
    <w:rsid w:val="00DA684C"/>
    <w:rsid w:val="00DA6BA8"/>
    <w:rsid w:val="00DB02C2"/>
    <w:rsid w:val="00DB040D"/>
    <w:rsid w:val="00DB0679"/>
    <w:rsid w:val="00DB08E6"/>
    <w:rsid w:val="00DB0A52"/>
    <w:rsid w:val="00DB0EFB"/>
    <w:rsid w:val="00DB11C4"/>
    <w:rsid w:val="00DB1473"/>
    <w:rsid w:val="00DB1556"/>
    <w:rsid w:val="00DB1B0A"/>
    <w:rsid w:val="00DB1D18"/>
    <w:rsid w:val="00DB1F37"/>
    <w:rsid w:val="00DB217C"/>
    <w:rsid w:val="00DB24E6"/>
    <w:rsid w:val="00DB270B"/>
    <w:rsid w:val="00DB280F"/>
    <w:rsid w:val="00DB2E87"/>
    <w:rsid w:val="00DB2F2A"/>
    <w:rsid w:val="00DB35C2"/>
    <w:rsid w:val="00DB3847"/>
    <w:rsid w:val="00DB3B20"/>
    <w:rsid w:val="00DB411D"/>
    <w:rsid w:val="00DB448A"/>
    <w:rsid w:val="00DB4AFD"/>
    <w:rsid w:val="00DB4D80"/>
    <w:rsid w:val="00DB4D8F"/>
    <w:rsid w:val="00DB4E49"/>
    <w:rsid w:val="00DB4FB7"/>
    <w:rsid w:val="00DB5188"/>
    <w:rsid w:val="00DB5A4B"/>
    <w:rsid w:val="00DB5B80"/>
    <w:rsid w:val="00DB60A5"/>
    <w:rsid w:val="00DB60DC"/>
    <w:rsid w:val="00DB6947"/>
    <w:rsid w:val="00DB6972"/>
    <w:rsid w:val="00DB6980"/>
    <w:rsid w:val="00DB6CA5"/>
    <w:rsid w:val="00DB6F58"/>
    <w:rsid w:val="00DB73E2"/>
    <w:rsid w:val="00DB76E1"/>
    <w:rsid w:val="00DB7981"/>
    <w:rsid w:val="00DB7DA8"/>
    <w:rsid w:val="00DC0474"/>
    <w:rsid w:val="00DC0749"/>
    <w:rsid w:val="00DC0B96"/>
    <w:rsid w:val="00DC13B5"/>
    <w:rsid w:val="00DC15D2"/>
    <w:rsid w:val="00DC25DC"/>
    <w:rsid w:val="00DC27A5"/>
    <w:rsid w:val="00DC2F5B"/>
    <w:rsid w:val="00DC380B"/>
    <w:rsid w:val="00DC4322"/>
    <w:rsid w:val="00DC4404"/>
    <w:rsid w:val="00DC457F"/>
    <w:rsid w:val="00DC466B"/>
    <w:rsid w:val="00DC4CAE"/>
    <w:rsid w:val="00DC4DA3"/>
    <w:rsid w:val="00DC5171"/>
    <w:rsid w:val="00DC539D"/>
    <w:rsid w:val="00DC5A0E"/>
    <w:rsid w:val="00DC5FBF"/>
    <w:rsid w:val="00DC60CF"/>
    <w:rsid w:val="00DC615B"/>
    <w:rsid w:val="00DC6894"/>
    <w:rsid w:val="00DC6CBA"/>
    <w:rsid w:val="00DC6D15"/>
    <w:rsid w:val="00DC7568"/>
    <w:rsid w:val="00DC7656"/>
    <w:rsid w:val="00DC7CA3"/>
    <w:rsid w:val="00DD2686"/>
    <w:rsid w:val="00DD2828"/>
    <w:rsid w:val="00DD2B47"/>
    <w:rsid w:val="00DD2F3B"/>
    <w:rsid w:val="00DD3015"/>
    <w:rsid w:val="00DD388A"/>
    <w:rsid w:val="00DD454A"/>
    <w:rsid w:val="00DD4E48"/>
    <w:rsid w:val="00DD5116"/>
    <w:rsid w:val="00DD5AF1"/>
    <w:rsid w:val="00DD7065"/>
    <w:rsid w:val="00DD7193"/>
    <w:rsid w:val="00DD7680"/>
    <w:rsid w:val="00DD7CD4"/>
    <w:rsid w:val="00DD7E06"/>
    <w:rsid w:val="00DD7F26"/>
    <w:rsid w:val="00DE0B5A"/>
    <w:rsid w:val="00DE280E"/>
    <w:rsid w:val="00DE2BB4"/>
    <w:rsid w:val="00DE2D3B"/>
    <w:rsid w:val="00DE3832"/>
    <w:rsid w:val="00DE3930"/>
    <w:rsid w:val="00DE3C66"/>
    <w:rsid w:val="00DE4521"/>
    <w:rsid w:val="00DE4744"/>
    <w:rsid w:val="00DE4BC2"/>
    <w:rsid w:val="00DE5097"/>
    <w:rsid w:val="00DE5172"/>
    <w:rsid w:val="00DE5527"/>
    <w:rsid w:val="00DE571B"/>
    <w:rsid w:val="00DE5D96"/>
    <w:rsid w:val="00DE6BFB"/>
    <w:rsid w:val="00DE6EB0"/>
    <w:rsid w:val="00DE730B"/>
    <w:rsid w:val="00DE7EE9"/>
    <w:rsid w:val="00DF0A71"/>
    <w:rsid w:val="00DF13D3"/>
    <w:rsid w:val="00DF1721"/>
    <w:rsid w:val="00DF1974"/>
    <w:rsid w:val="00DF24BD"/>
    <w:rsid w:val="00DF3AB0"/>
    <w:rsid w:val="00DF3EDA"/>
    <w:rsid w:val="00DF4227"/>
    <w:rsid w:val="00DF478A"/>
    <w:rsid w:val="00DF4AF6"/>
    <w:rsid w:val="00DF4B04"/>
    <w:rsid w:val="00DF4B2E"/>
    <w:rsid w:val="00DF4BE3"/>
    <w:rsid w:val="00DF4C23"/>
    <w:rsid w:val="00DF4FDF"/>
    <w:rsid w:val="00DF52F0"/>
    <w:rsid w:val="00DF5DA1"/>
    <w:rsid w:val="00DF5E45"/>
    <w:rsid w:val="00DF5E49"/>
    <w:rsid w:val="00DF6300"/>
    <w:rsid w:val="00DF6812"/>
    <w:rsid w:val="00DF6894"/>
    <w:rsid w:val="00DF6982"/>
    <w:rsid w:val="00DF6B2E"/>
    <w:rsid w:val="00DF6BD0"/>
    <w:rsid w:val="00DF70D2"/>
    <w:rsid w:val="00DF79F5"/>
    <w:rsid w:val="00DF7B5E"/>
    <w:rsid w:val="00DF7C22"/>
    <w:rsid w:val="00DF7E30"/>
    <w:rsid w:val="00E00915"/>
    <w:rsid w:val="00E0099C"/>
    <w:rsid w:val="00E009EE"/>
    <w:rsid w:val="00E00E06"/>
    <w:rsid w:val="00E00E22"/>
    <w:rsid w:val="00E01304"/>
    <w:rsid w:val="00E016EF"/>
    <w:rsid w:val="00E01C21"/>
    <w:rsid w:val="00E01F84"/>
    <w:rsid w:val="00E022AB"/>
    <w:rsid w:val="00E02BE0"/>
    <w:rsid w:val="00E02C85"/>
    <w:rsid w:val="00E032C3"/>
    <w:rsid w:val="00E032D0"/>
    <w:rsid w:val="00E039C5"/>
    <w:rsid w:val="00E03CC4"/>
    <w:rsid w:val="00E0407F"/>
    <w:rsid w:val="00E047EA"/>
    <w:rsid w:val="00E04BE6"/>
    <w:rsid w:val="00E04C56"/>
    <w:rsid w:val="00E0527E"/>
    <w:rsid w:val="00E05645"/>
    <w:rsid w:val="00E05AA7"/>
    <w:rsid w:val="00E06331"/>
    <w:rsid w:val="00E06A25"/>
    <w:rsid w:val="00E06BFA"/>
    <w:rsid w:val="00E06D5C"/>
    <w:rsid w:val="00E06DF9"/>
    <w:rsid w:val="00E075CC"/>
    <w:rsid w:val="00E07632"/>
    <w:rsid w:val="00E10402"/>
    <w:rsid w:val="00E106C4"/>
    <w:rsid w:val="00E10829"/>
    <w:rsid w:val="00E10989"/>
    <w:rsid w:val="00E110FA"/>
    <w:rsid w:val="00E1163D"/>
    <w:rsid w:val="00E11748"/>
    <w:rsid w:val="00E11908"/>
    <w:rsid w:val="00E11CC0"/>
    <w:rsid w:val="00E1248B"/>
    <w:rsid w:val="00E12652"/>
    <w:rsid w:val="00E12E49"/>
    <w:rsid w:val="00E13097"/>
    <w:rsid w:val="00E131F5"/>
    <w:rsid w:val="00E132A8"/>
    <w:rsid w:val="00E133D9"/>
    <w:rsid w:val="00E13CA8"/>
    <w:rsid w:val="00E1424C"/>
    <w:rsid w:val="00E14944"/>
    <w:rsid w:val="00E14C81"/>
    <w:rsid w:val="00E1502C"/>
    <w:rsid w:val="00E15580"/>
    <w:rsid w:val="00E1575A"/>
    <w:rsid w:val="00E15C8E"/>
    <w:rsid w:val="00E15E2E"/>
    <w:rsid w:val="00E16759"/>
    <w:rsid w:val="00E16796"/>
    <w:rsid w:val="00E16905"/>
    <w:rsid w:val="00E16AAD"/>
    <w:rsid w:val="00E16CC7"/>
    <w:rsid w:val="00E16D93"/>
    <w:rsid w:val="00E172A2"/>
    <w:rsid w:val="00E17F7B"/>
    <w:rsid w:val="00E2092A"/>
    <w:rsid w:val="00E20D33"/>
    <w:rsid w:val="00E213FE"/>
    <w:rsid w:val="00E21944"/>
    <w:rsid w:val="00E21B83"/>
    <w:rsid w:val="00E22977"/>
    <w:rsid w:val="00E22C08"/>
    <w:rsid w:val="00E23481"/>
    <w:rsid w:val="00E243A4"/>
    <w:rsid w:val="00E24F2C"/>
    <w:rsid w:val="00E2581E"/>
    <w:rsid w:val="00E25A64"/>
    <w:rsid w:val="00E25B71"/>
    <w:rsid w:val="00E25BFB"/>
    <w:rsid w:val="00E25DB3"/>
    <w:rsid w:val="00E2600D"/>
    <w:rsid w:val="00E26221"/>
    <w:rsid w:val="00E26237"/>
    <w:rsid w:val="00E2642D"/>
    <w:rsid w:val="00E2657B"/>
    <w:rsid w:val="00E266B2"/>
    <w:rsid w:val="00E27280"/>
    <w:rsid w:val="00E27A4C"/>
    <w:rsid w:val="00E27E84"/>
    <w:rsid w:val="00E3001B"/>
    <w:rsid w:val="00E30B1D"/>
    <w:rsid w:val="00E31283"/>
    <w:rsid w:val="00E31612"/>
    <w:rsid w:val="00E317AC"/>
    <w:rsid w:val="00E31FD7"/>
    <w:rsid w:val="00E32306"/>
    <w:rsid w:val="00E32ADD"/>
    <w:rsid w:val="00E32F14"/>
    <w:rsid w:val="00E33CA9"/>
    <w:rsid w:val="00E341FA"/>
    <w:rsid w:val="00E34392"/>
    <w:rsid w:val="00E346ED"/>
    <w:rsid w:val="00E34788"/>
    <w:rsid w:val="00E34915"/>
    <w:rsid w:val="00E34B14"/>
    <w:rsid w:val="00E34D36"/>
    <w:rsid w:val="00E34D5D"/>
    <w:rsid w:val="00E34E66"/>
    <w:rsid w:val="00E34F04"/>
    <w:rsid w:val="00E3569B"/>
    <w:rsid w:val="00E35AC4"/>
    <w:rsid w:val="00E35F73"/>
    <w:rsid w:val="00E3729E"/>
    <w:rsid w:val="00E37664"/>
    <w:rsid w:val="00E37EB0"/>
    <w:rsid w:val="00E400C8"/>
    <w:rsid w:val="00E4015D"/>
    <w:rsid w:val="00E403EA"/>
    <w:rsid w:val="00E40D36"/>
    <w:rsid w:val="00E415BE"/>
    <w:rsid w:val="00E4177B"/>
    <w:rsid w:val="00E41995"/>
    <w:rsid w:val="00E41B3D"/>
    <w:rsid w:val="00E425E7"/>
    <w:rsid w:val="00E4282F"/>
    <w:rsid w:val="00E42998"/>
    <w:rsid w:val="00E42CC1"/>
    <w:rsid w:val="00E43C70"/>
    <w:rsid w:val="00E44013"/>
    <w:rsid w:val="00E44144"/>
    <w:rsid w:val="00E4418D"/>
    <w:rsid w:val="00E44BFC"/>
    <w:rsid w:val="00E454FB"/>
    <w:rsid w:val="00E45E4E"/>
    <w:rsid w:val="00E4668A"/>
    <w:rsid w:val="00E46BE8"/>
    <w:rsid w:val="00E46D2F"/>
    <w:rsid w:val="00E471AD"/>
    <w:rsid w:val="00E4735B"/>
    <w:rsid w:val="00E4785A"/>
    <w:rsid w:val="00E47E0E"/>
    <w:rsid w:val="00E50E7D"/>
    <w:rsid w:val="00E50F7E"/>
    <w:rsid w:val="00E51006"/>
    <w:rsid w:val="00E5143E"/>
    <w:rsid w:val="00E5229F"/>
    <w:rsid w:val="00E52335"/>
    <w:rsid w:val="00E5274B"/>
    <w:rsid w:val="00E53212"/>
    <w:rsid w:val="00E532DE"/>
    <w:rsid w:val="00E538E5"/>
    <w:rsid w:val="00E54C3F"/>
    <w:rsid w:val="00E54F76"/>
    <w:rsid w:val="00E55178"/>
    <w:rsid w:val="00E5530B"/>
    <w:rsid w:val="00E55CCB"/>
    <w:rsid w:val="00E564FB"/>
    <w:rsid w:val="00E56CEB"/>
    <w:rsid w:val="00E57361"/>
    <w:rsid w:val="00E57511"/>
    <w:rsid w:val="00E5780A"/>
    <w:rsid w:val="00E57DA9"/>
    <w:rsid w:val="00E57F91"/>
    <w:rsid w:val="00E60166"/>
    <w:rsid w:val="00E6027B"/>
    <w:rsid w:val="00E61F87"/>
    <w:rsid w:val="00E62148"/>
    <w:rsid w:val="00E6232F"/>
    <w:rsid w:val="00E62407"/>
    <w:rsid w:val="00E6240D"/>
    <w:rsid w:val="00E62541"/>
    <w:rsid w:val="00E62B45"/>
    <w:rsid w:val="00E62EDF"/>
    <w:rsid w:val="00E633C1"/>
    <w:rsid w:val="00E63A89"/>
    <w:rsid w:val="00E63B15"/>
    <w:rsid w:val="00E641FD"/>
    <w:rsid w:val="00E6461C"/>
    <w:rsid w:val="00E646C9"/>
    <w:rsid w:val="00E64DE8"/>
    <w:rsid w:val="00E65479"/>
    <w:rsid w:val="00E6569C"/>
    <w:rsid w:val="00E662AA"/>
    <w:rsid w:val="00E66754"/>
    <w:rsid w:val="00E66816"/>
    <w:rsid w:val="00E66A39"/>
    <w:rsid w:val="00E66FDF"/>
    <w:rsid w:val="00E67307"/>
    <w:rsid w:val="00E67495"/>
    <w:rsid w:val="00E67A75"/>
    <w:rsid w:val="00E67A84"/>
    <w:rsid w:val="00E7037F"/>
    <w:rsid w:val="00E71000"/>
    <w:rsid w:val="00E714ED"/>
    <w:rsid w:val="00E71516"/>
    <w:rsid w:val="00E716D5"/>
    <w:rsid w:val="00E7356D"/>
    <w:rsid w:val="00E7386E"/>
    <w:rsid w:val="00E738E9"/>
    <w:rsid w:val="00E73D28"/>
    <w:rsid w:val="00E74FCC"/>
    <w:rsid w:val="00E7501F"/>
    <w:rsid w:val="00E75146"/>
    <w:rsid w:val="00E752D1"/>
    <w:rsid w:val="00E7628D"/>
    <w:rsid w:val="00E7658A"/>
    <w:rsid w:val="00E765BD"/>
    <w:rsid w:val="00E76637"/>
    <w:rsid w:val="00E767BF"/>
    <w:rsid w:val="00E76965"/>
    <w:rsid w:val="00E770C7"/>
    <w:rsid w:val="00E7721E"/>
    <w:rsid w:val="00E777CC"/>
    <w:rsid w:val="00E77B56"/>
    <w:rsid w:val="00E77E58"/>
    <w:rsid w:val="00E77E92"/>
    <w:rsid w:val="00E80D4C"/>
    <w:rsid w:val="00E812F7"/>
    <w:rsid w:val="00E816DD"/>
    <w:rsid w:val="00E8237E"/>
    <w:rsid w:val="00E824B0"/>
    <w:rsid w:val="00E825FB"/>
    <w:rsid w:val="00E82EAD"/>
    <w:rsid w:val="00E82F91"/>
    <w:rsid w:val="00E84294"/>
    <w:rsid w:val="00E84636"/>
    <w:rsid w:val="00E847F7"/>
    <w:rsid w:val="00E848B7"/>
    <w:rsid w:val="00E84B61"/>
    <w:rsid w:val="00E85418"/>
    <w:rsid w:val="00E86B82"/>
    <w:rsid w:val="00E87954"/>
    <w:rsid w:val="00E9030F"/>
    <w:rsid w:val="00E90A70"/>
    <w:rsid w:val="00E90B5C"/>
    <w:rsid w:val="00E90BE4"/>
    <w:rsid w:val="00E917F9"/>
    <w:rsid w:val="00E927A2"/>
    <w:rsid w:val="00E93B3E"/>
    <w:rsid w:val="00E93FF6"/>
    <w:rsid w:val="00E94157"/>
    <w:rsid w:val="00E9483F"/>
    <w:rsid w:val="00E948FB"/>
    <w:rsid w:val="00E949A3"/>
    <w:rsid w:val="00E94E7A"/>
    <w:rsid w:val="00E95A1C"/>
    <w:rsid w:val="00E95C4E"/>
    <w:rsid w:val="00E96248"/>
    <w:rsid w:val="00E96610"/>
    <w:rsid w:val="00E966A7"/>
    <w:rsid w:val="00E976B8"/>
    <w:rsid w:val="00E977A4"/>
    <w:rsid w:val="00E97D7D"/>
    <w:rsid w:val="00EA0432"/>
    <w:rsid w:val="00EA043D"/>
    <w:rsid w:val="00EA045E"/>
    <w:rsid w:val="00EA04A8"/>
    <w:rsid w:val="00EA079A"/>
    <w:rsid w:val="00EA0842"/>
    <w:rsid w:val="00EA0D7A"/>
    <w:rsid w:val="00EA1906"/>
    <w:rsid w:val="00EA1CFF"/>
    <w:rsid w:val="00EA1DAA"/>
    <w:rsid w:val="00EA1DB1"/>
    <w:rsid w:val="00EA27A0"/>
    <w:rsid w:val="00EA29B3"/>
    <w:rsid w:val="00EA2B04"/>
    <w:rsid w:val="00EA31E4"/>
    <w:rsid w:val="00EA390C"/>
    <w:rsid w:val="00EA3BD2"/>
    <w:rsid w:val="00EA3E47"/>
    <w:rsid w:val="00EA402F"/>
    <w:rsid w:val="00EA42AC"/>
    <w:rsid w:val="00EA45A6"/>
    <w:rsid w:val="00EA5508"/>
    <w:rsid w:val="00EA55B8"/>
    <w:rsid w:val="00EA6EA1"/>
    <w:rsid w:val="00EA6F27"/>
    <w:rsid w:val="00EA7465"/>
    <w:rsid w:val="00EA7769"/>
    <w:rsid w:val="00EA7924"/>
    <w:rsid w:val="00EA7A19"/>
    <w:rsid w:val="00EA7A8C"/>
    <w:rsid w:val="00EB0014"/>
    <w:rsid w:val="00EB00AE"/>
    <w:rsid w:val="00EB02DC"/>
    <w:rsid w:val="00EB0771"/>
    <w:rsid w:val="00EB15ED"/>
    <w:rsid w:val="00EB19C0"/>
    <w:rsid w:val="00EB19D5"/>
    <w:rsid w:val="00EB1EA8"/>
    <w:rsid w:val="00EB254C"/>
    <w:rsid w:val="00EB3830"/>
    <w:rsid w:val="00EB3B9F"/>
    <w:rsid w:val="00EB3F51"/>
    <w:rsid w:val="00EB450C"/>
    <w:rsid w:val="00EB4684"/>
    <w:rsid w:val="00EB4C9A"/>
    <w:rsid w:val="00EB4D1E"/>
    <w:rsid w:val="00EB5554"/>
    <w:rsid w:val="00EB665F"/>
    <w:rsid w:val="00EB67B9"/>
    <w:rsid w:val="00EB704E"/>
    <w:rsid w:val="00EB7914"/>
    <w:rsid w:val="00EB7EC2"/>
    <w:rsid w:val="00EC01BD"/>
    <w:rsid w:val="00EC0333"/>
    <w:rsid w:val="00EC095C"/>
    <w:rsid w:val="00EC0C7C"/>
    <w:rsid w:val="00EC1287"/>
    <w:rsid w:val="00EC1A89"/>
    <w:rsid w:val="00EC1AC9"/>
    <w:rsid w:val="00EC1B4F"/>
    <w:rsid w:val="00EC1D2B"/>
    <w:rsid w:val="00EC229C"/>
    <w:rsid w:val="00EC25E7"/>
    <w:rsid w:val="00EC2636"/>
    <w:rsid w:val="00EC307C"/>
    <w:rsid w:val="00EC3140"/>
    <w:rsid w:val="00EC3AC6"/>
    <w:rsid w:val="00EC4274"/>
    <w:rsid w:val="00EC4804"/>
    <w:rsid w:val="00EC4C56"/>
    <w:rsid w:val="00EC67D7"/>
    <w:rsid w:val="00EC6EA6"/>
    <w:rsid w:val="00EC6F11"/>
    <w:rsid w:val="00EC7605"/>
    <w:rsid w:val="00EC79B2"/>
    <w:rsid w:val="00EC7B4B"/>
    <w:rsid w:val="00EC7EE7"/>
    <w:rsid w:val="00EC7FA2"/>
    <w:rsid w:val="00ED065A"/>
    <w:rsid w:val="00ED0841"/>
    <w:rsid w:val="00ED0B5E"/>
    <w:rsid w:val="00ED11B7"/>
    <w:rsid w:val="00ED168F"/>
    <w:rsid w:val="00ED259E"/>
    <w:rsid w:val="00ED388F"/>
    <w:rsid w:val="00ED3F10"/>
    <w:rsid w:val="00ED3FB2"/>
    <w:rsid w:val="00ED434F"/>
    <w:rsid w:val="00ED43AA"/>
    <w:rsid w:val="00ED4E26"/>
    <w:rsid w:val="00ED5737"/>
    <w:rsid w:val="00ED5DF4"/>
    <w:rsid w:val="00ED5E8B"/>
    <w:rsid w:val="00ED6544"/>
    <w:rsid w:val="00ED6B03"/>
    <w:rsid w:val="00ED726E"/>
    <w:rsid w:val="00ED7F39"/>
    <w:rsid w:val="00EE13B7"/>
    <w:rsid w:val="00EE1430"/>
    <w:rsid w:val="00EE151E"/>
    <w:rsid w:val="00EE178C"/>
    <w:rsid w:val="00EE1A1D"/>
    <w:rsid w:val="00EE1A44"/>
    <w:rsid w:val="00EE2024"/>
    <w:rsid w:val="00EE2290"/>
    <w:rsid w:val="00EE2641"/>
    <w:rsid w:val="00EE2807"/>
    <w:rsid w:val="00EE29EE"/>
    <w:rsid w:val="00EE2CC8"/>
    <w:rsid w:val="00EE2EBB"/>
    <w:rsid w:val="00EE30A3"/>
    <w:rsid w:val="00EE36CE"/>
    <w:rsid w:val="00EE377E"/>
    <w:rsid w:val="00EE3DCB"/>
    <w:rsid w:val="00EE3DD7"/>
    <w:rsid w:val="00EE3E81"/>
    <w:rsid w:val="00EE4331"/>
    <w:rsid w:val="00EE526C"/>
    <w:rsid w:val="00EE57BA"/>
    <w:rsid w:val="00EE583C"/>
    <w:rsid w:val="00EE5D29"/>
    <w:rsid w:val="00EE6279"/>
    <w:rsid w:val="00EE65E0"/>
    <w:rsid w:val="00EE693A"/>
    <w:rsid w:val="00EE7499"/>
    <w:rsid w:val="00EE7E01"/>
    <w:rsid w:val="00EE7FF4"/>
    <w:rsid w:val="00EF014E"/>
    <w:rsid w:val="00EF0D06"/>
    <w:rsid w:val="00EF0EF3"/>
    <w:rsid w:val="00EF16C5"/>
    <w:rsid w:val="00EF250C"/>
    <w:rsid w:val="00EF2657"/>
    <w:rsid w:val="00EF2D75"/>
    <w:rsid w:val="00EF4298"/>
    <w:rsid w:val="00EF44B6"/>
    <w:rsid w:val="00EF453F"/>
    <w:rsid w:val="00EF468C"/>
    <w:rsid w:val="00EF4DD1"/>
    <w:rsid w:val="00EF53B7"/>
    <w:rsid w:val="00EF5C71"/>
    <w:rsid w:val="00EF6BE4"/>
    <w:rsid w:val="00EF7C86"/>
    <w:rsid w:val="00EF7CBB"/>
    <w:rsid w:val="00F00396"/>
    <w:rsid w:val="00F005A8"/>
    <w:rsid w:val="00F005E2"/>
    <w:rsid w:val="00F0087D"/>
    <w:rsid w:val="00F0122F"/>
    <w:rsid w:val="00F01B2F"/>
    <w:rsid w:val="00F01F5A"/>
    <w:rsid w:val="00F02577"/>
    <w:rsid w:val="00F02946"/>
    <w:rsid w:val="00F02BD2"/>
    <w:rsid w:val="00F03079"/>
    <w:rsid w:val="00F03657"/>
    <w:rsid w:val="00F03901"/>
    <w:rsid w:val="00F039CB"/>
    <w:rsid w:val="00F03F15"/>
    <w:rsid w:val="00F04E12"/>
    <w:rsid w:val="00F04E37"/>
    <w:rsid w:val="00F051B5"/>
    <w:rsid w:val="00F054FC"/>
    <w:rsid w:val="00F05F45"/>
    <w:rsid w:val="00F06413"/>
    <w:rsid w:val="00F065DA"/>
    <w:rsid w:val="00F066DA"/>
    <w:rsid w:val="00F06743"/>
    <w:rsid w:val="00F07064"/>
    <w:rsid w:val="00F071C1"/>
    <w:rsid w:val="00F07A53"/>
    <w:rsid w:val="00F10318"/>
    <w:rsid w:val="00F10A3E"/>
    <w:rsid w:val="00F10A76"/>
    <w:rsid w:val="00F11A97"/>
    <w:rsid w:val="00F11AC1"/>
    <w:rsid w:val="00F11B94"/>
    <w:rsid w:val="00F11E0F"/>
    <w:rsid w:val="00F121BD"/>
    <w:rsid w:val="00F12977"/>
    <w:rsid w:val="00F12ECB"/>
    <w:rsid w:val="00F13003"/>
    <w:rsid w:val="00F13015"/>
    <w:rsid w:val="00F131DF"/>
    <w:rsid w:val="00F13369"/>
    <w:rsid w:val="00F135F2"/>
    <w:rsid w:val="00F13B3D"/>
    <w:rsid w:val="00F13CC1"/>
    <w:rsid w:val="00F13E87"/>
    <w:rsid w:val="00F13FF8"/>
    <w:rsid w:val="00F1482D"/>
    <w:rsid w:val="00F14AA4"/>
    <w:rsid w:val="00F15296"/>
    <w:rsid w:val="00F153CC"/>
    <w:rsid w:val="00F15449"/>
    <w:rsid w:val="00F155EF"/>
    <w:rsid w:val="00F1563C"/>
    <w:rsid w:val="00F15685"/>
    <w:rsid w:val="00F156E3"/>
    <w:rsid w:val="00F15B9A"/>
    <w:rsid w:val="00F15FC9"/>
    <w:rsid w:val="00F16129"/>
    <w:rsid w:val="00F16EBB"/>
    <w:rsid w:val="00F17468"/>
    <w:rsid w:val="00F17B2C"/>
    <w:rsid w:val="00F17E06"/>
    <w:rsid w:val="00F20951"/>
    <w:rsid w:val="00F20A2D"/>
    <w:rsid w:val="00F21AD2"/>
    <w:rsid w:val="00F229A0"/>
    <w:rsid w:val="00F229B0"/>
    <w:rsid w:val="00F22B4B"/>
    <w:rsid w:val="00F22CBE"/>
    <w:rsid w:val="00F22DF7"/>
    <w:rsid w:val="00F235DC"/>
    <w:rsid w:val="00F23FC4"/>
    <w:rsid w:val="00F2465D"/>
    <w:rsid w:val="00F2478B"/>
    <w:rsid w:val="00F25F82"/>
    <w:rsid w:val="00F26551"/>
    <w:rsid w:val="00F268A1"/>
    <w:rsid w:val="00F26ACD"/>
    <w:rsid w:val="00F27284"/>
    <w:rsid w:val="00F276BC"/>
    <w:rsid w:val="00F27874"/>
    <w:rsid w:val="00F27B0C"/>
    <w:rsid w:val="00F30598"/>
    <w:rsid w:val="00F30884"/>
    <w:rsid w:val="00F30A30"/>
    <w:rsid w:val="00F30EE2"/>
    <w:rsid w:val="00F3190E"/>
    <w:rsid w:val="00F31BE1"/>
    <w:rsid w:val="00F31EB8"/>
    <w:rsid w:val="00F31F42"/>
    <w:rsid w:val="00F31FAA"/>
    <w:rsid w:val="00F337C3"/>
    <w:rsid w:val="00F340F5"/>
    <w:rsid w:val="00F3445C"/>
    <w:rsid w:val="00F34BD0"/>
    <w:rsid w:val="00F34D38"/>
    <w:rsid w:val="00F3566E"/>
    <w:rsid w:val="00F3572C"/>
    <w:rsid w:val="00F36113"/>
    <w:rsid w:val="00F36703"/>
    <w:rsid w:val="00F37147"/>
    <w:rsid w:val="00F3730E"/>
    <w:rsid w:val="00F3747D"/>
    <w:rsid w:val="00F3749C"/>
    <w:rsid w:val="00F374F2"/>
    <w:rsid w:val="00F37D8D"/>
    <w:rsid w:val="00F37D92"/>
    <w:rsid w:val="00F40935"/>
    <w:rsid w:val="00F40C22"/>
    <w:rsid w:val="00F4182F"/>
    <w:rsid w:val="00F418E5"/>
    <w:rsid w:val="00F41B32"/>
    <w:rsid w:val="00F41BA1"/>
    <w:rsid w:val="00F429DC"/>
    <w:rsid w:val="00F42E6D"/>
    <w:rsid w:val="00F432A1"/>
    <w:rsid w:val="00F4362E"/>
    <w:rsid w:val="00F440BC"/>
    <w:rsid w:val="00F44396"/>
    <w:rsid w:val="00F44832"/>
    <w:rsid w:val="00F44E73"/>
    <w:rsid w:val="00F450A1"/>
    <w:rsid w:val="00F4551A"/>
    <w:rsid w:val="00F45761"/>
    <w:rsid w:val="00F45999"/>
    <w:rsid w:val="00F459D7"/>
    <w:rsid w:val="00F46785"/>
    <w:rsid w:val="00F469D5"/>
    <w:rsid w:val="00F4740C"/>
    <w:rsid w:val="00F47C02"/>
    <w:rsid w:val="00F50145"/>
    <w:rsid w:val="00F50358"/>
    <w:rsid w:val="00F508C0"/>
    <w:rsid w:val="00F51048"/>
    <w:rsid w:val="00F5106E"/>
    <w:rsid w:val="00F51513"/>
    <w:rsid w:val="00F51755"/>
    <w:rsid w:val="00F51D3A"/>
    <w:rsid w:val="00F522E7"/>
    <w:rsid w:val="00F52573"/>
    <w:rsid w:val="00F52708"/>
    <w:rsid w:val="00F52C15"/>
    <w:rsid w:val="00F53067"/>
    <w:rsid w:val="00F530ED"/>
    <w:rsid w:val="00F53363"/>
    <w:rsid w:val="00F5358C"/>
    <w:rsid w:val="00F53B00"/>
    <w:rsid w:val="00F53D96"/>
    <w:rsid w:val="00F5434E"/>
    <w:rsid w:val="00F5487D"/>
    <w:rsid w:val="00F54A9B"/>
    <w:rsid w:val="00F55E92"/>
    <w:rsid w:val="00F56C1A"/>
    <w:rsid w:val="00F5769C"/>
    <w:rsid w:val="00F5792C"/>
    <w:rsid w:val="00F6035C"/>
    <w:rsid w:val="00F6094F"/>
    <w:rsid w:val="00F61214"/>
    <w:rsid w:val="00F61524"/>
    <w:rsid w:val="00F61C54"/>
    <w:rsid w:val="00F61E68"/>
    <w:rsid w:val="00F6250A"/>
    <w:rsid w:val="00F629C7"/>
    <w:rsid w:val="00F632FD"/>
    <w:rsid w:val="00F63F8E"/>
    <w:rsid w:val="00F644A2"/>
    <w:rsid w:val="00F64CB0"/>
    <w:rsid w:val="00F64DF8"/>
    <w:rsid w:val="00F65069"/>
    <w:rsid w:val="00F6515D"/>
    <w:rsid w:val="00F658FF"/>
    <w:rsid w:val="00F65A5C"/>
    <w:rsid w:val="00F65C2E"/>
    <w:rsid w:val="00F65CBC"/>
    <w:rsid w:val="00F66756"/>
    <w:rsid w:val="00F66BA4"/>
    <w:rsid w:val="00F66CF9"/>
    <w:rsid w:val="00F66DCE"/>
    <w:rsid w:val="00F6763D"/>
    <w:rsid w:val="00F6792C"/>
    <w:rsid w:val="00F67F12"/>
    <w:rsid w:val="00F70389"/>
    <w:rsid w:val="00F7072D"/>
    <w:rsid w:val="00F70B50"/>
    <w:rsid w:val="00F70B86"/>
    <w:rsid w:val="00F70FB8"/>
    <w:rsid w:val="00F71494"/>
    <w:rsid w:val="00F71823"/>
    <w:rsid w:val="00F72040"/>
    <w:rsid w:val="00F72D09"/>
    <w:rsid w:val="00F72FF8"/>
    <w:rsid w:val="00F73173"/>
    <w:rsid w:val="00F7385C"/>
    <w:rsid w:val="00F73890"/>
    <w:rsid w:val="00F73A34"/>
    <w:rsid w:val="00F74AA7"/>
    <w:rsid w:val="00F755B7"/>
    <w:rsid w:val="00F75717"/>
    <w:rsid w:val="00F758EE"/>
    <w:rsid w:val="00F760EE"/>
    <w:rsid w:val="00F76D4B"/>
    <w:rsid w:val="00F77201"/>
    <w:rsid w:val="00F7739C"/>
    <w:rsid w:val="00F77B20"/>
    <w:rsid w:val="00F77BE8"/>
    <w:rsid w:val="00F77FC6"/>
    <w:rsid w:val="00F804A6"/>
    <w:rsid w:val="00F8093B"/>
    <w:rsid w:val="00F80D5D"/>
    <w:rsid w:val="00F81592"/>
    <w:rsid w:val="00F8172F"/>
    <w:rsid w:val="00F81837"/>
    <w:rsid w:val="00F818DF"/>
    <w:rsid w:val="00F818EF"/>
    <w:rsid w:val="00F8193C"/>
    <w:rsid w:val="00F821BA"/>
    <w:rsid w:val="00F822BC"/>
    <w:rsid w:val="00F824CC"/>
    <w:rsid w:val="00F8293F"/>
    <w:rsid w:val="00F83B22"/>
    <w:rsid w:val="00F849BD"/>
    <w:rsid w:val="00F84F8A"/>
    <w:rsid w:val="00F856FE"/>
    <w:rsid w:val="00F85D56"/>
    <w:rsid w:val="00F86198"/>
    <w:rsid w:val="00F8620B"/>
    <w:rsid w:val="00F863CC"/>
    <w:rsid w:val="00F865EF"/>
    <w:rsid w:val="00F86800"/>
    <w:rsid w:val="00F86A03"/>
    <w:rsid w:val="00F86A18"/>
    <w:rsid w:val="00F8739E"/>
    <w:rsid w:val="00F87B97"/>
    <w:rsid w:val="00F87BCB"/>
    <w:rsid w:val="00F87F51"/>
    <w:rsid w:val="00F903AC"/>
    <w:rsid w:val="00F905E7"/>
    <w:rsid w:val="00F9139B"/>
    <w:rsid w:val="00F9177E"/>
    <w:rsid w:val="00F91980"/>
    <w:rsid w:val="00F91AE8"/>
    <w:rsid w:val="00F91ECB"/>
    <w:rsid w:val="00F92425"/>
    <w:rsid w:val="00F92ACB"/>
    <w:rsid w:val="00F92C49"/>
    <w:rsid w:val="00F92E69"/>
    <w:rsid w:val="00F92F82"/>
    <w:rsid w:val="00F93596"/>
    <w:rsid w:val="00F945EA"/>
    <w:rsid w:val="00F94D9D"/>
    <w:rsid w:val="00F94E9A"/>
    <w:rsid w:val="00F95458"/>
    <w:rsid w:val="00F95597"/>
    <w:rsid w:val="00F95D17"/>
    <w:rsid w:val="00F9609C"/>
    <w:rsid w:val="00F968C1"/>
    <w:rsid w:val="00F96983"/>
    <w:rsid w:val="00F96DA4"/>
    <w:rsid w:val="00F97222"/>
    <w:rsid w:val="00FA0720"/>
    <w:rsid w:val="00FA0F71"/>
    <w:rsid w:val="00FA1466"/>
    <w:rsid w:val="00FA1BA0"/>
    <w:rsid w:val="00FA1E1A"/>
    <w:rsid w:val="00FA289C"/>
    <w:rsid w:val="00FA2EB5"/>
    <w:rsid w:val="00FA30D1"/>
    <w:rsid w:val="00FA3377"/>
    <w:rsid w:val="00FA3EE4"/>
    <w:rsid w:val="00FA4DB3"/>
    <w:rsid w:val="00FA513D"/>
    <w:rsid w:val="00FA5A89"/>
    <w:rsid w:val="00FA5EF5"/>
    <w:rsid w:val="00FA75A8"/>
    <w:rsid w:val="00FA785C"/>
    <w:rsid w:val="00FB0254"/>
    <w:rsid w:val="00FB03B1"/>
    <w:rsid w:val="00FB0567"/>
    <w:rsid w:val="00FB07A3"/>
    <w:rsid w:val="00FB0D48"/>
    <w:rsid w:val="00FB0D8A"/>
    <w:rsid w:val="00FB0F05"/>
    <w:rsid w:val="00FB0F4D"/>
    <w:rsid w:val="00FB11AE"/>
    <w:rsid w:val="00FB12B7"/>
    <w:rsid w:val="00FB1B4D"/>
    <w:rsid w:val="00FB1F40"/>
    <w:rsid w:val="00FB2203"/>
    <w:rsid w:val="00FB2371"/>
    <w:rsid w:val="00FB2BD9"/>
    <w:rsid w:val="00FB311B"/>
    <w:rsid w:val="00FB32FE"/>
    <w:rsid w:val="00FB405E"/>
    <w:rsid w:val="00FB5E34"/>
    <w:rsid w:val="00FB5E38"/>
    <w:rsid w:val="00FB6367"/>
    <w:rsid w:val="00FB67CA"/>
    <w:rsid w:val="00FB7147"/>
    <w:rsid w:val="00FB72D6"/>
    <w:rsid w:val="00FB7380"/>
    <w:rsid w:val="00FB77D3"/>
    <w:rsid w:val="00FB7B2C"/>
    <w:rsid w:val="00FB7C66"/>
    <w:rsid w:val="00FB7CCE"/>
    <w:rsid w:val="00FB7E9B"/>
    <w:rsid w:val="00FC0EFE"/>
    <w:rsid w:val="00FC11C7"/>
    <w:rsid w:val="00FC1599"/>
    <w:rsid w:val="00FC1AD0"/>
    <w:rsid w:val="00FC2445"/>
    <w:rsid w:val="00FC271B"/>
    <w:rsid w:val="00FC2C1B"/>
    <w:rsid w:val="00FC2DC7"/>
    <w:rsid w:val="00FC42D0"/>
    <w:rsid w:val="00FC45BF"/>
    <w:rsid w:val="00FC45C6"/>
    <w:rsid w:val="00FC48EA"/>
    <w:rsid w:val="00FC51D1"/>
    <w:rsid w:val="00FC5622"/>
    <w:rsid w:val="00FC5DC9"/>
    <w:rsid w:val="00FC6710"/>
    <w:rsid w:val="00FC6A5B"/>
    <w:rsid w:val="00FC6C90"/>
    <w:rsid w:val="00FC753E"/>
    <w:rsid w:val="00FC782D"/>
    <w:rsid w:val="00FC7841"/>
    <w:rsid w:val="00FC7890"/>
    <w:rsid w:val="00FD0143"/>
    <w:rsid w:val="00FD0F6E"/>
    <w:rsid w:val="00FD15F7"/>
    <w:rsid w:val="00FD27D0"/>
    <w:rsid w:val="00FD2EB4"/>
    <w:rsid w:val="00FD3859"/>
    <w:rsid w:val="00FD3D75"/>
    <w:rsid w:val="00FD418D"/>
    <w:rsid w:val="00FD44D7"/>
    <w:rsid w:val="00FD44EE"/>
    <w:rsid w:val="00FD4F75"/>
    <w:rsid w:val="00FD529F"/>
    <w:rsid w:val="00FD5EAC"/>
    <w:rsid w:val="00FD6206"/>
    <w:rsid w:val="00FD6A60"/>
    <w:rsid w:val="00FD6E57"/>
    <w:rsid w:val="00FD718A"/>
    <w:rsid w:val="00FD76B2"/>
    <w:rsid w:val="00FD7C40"/>
    <w:rsid w:val="00FE07C6"/>
    <w:rsid w:val="00FE0829"/>
    <w:rsid w:val="00FE0921"/>
    <w:rsid w:val="00FE0926"/>
    <w:rsid w:val="00FE0AB8"/>
    <w:rsid w:val="00FE0AFD"/>
    <w:rsid w:val="00FE0DC1"/>
    <w:rsid w:val="00FE134A"/>
    <w:rsid w:val="00FE19CF"/>
    <w:rsid w:val="00FE1BED"/>
    <w:rsid w:val="00FE1C34"/>
    <w:rsid w:val="00FE2020"/>
    <w:rsid w:val="00FE2366"/>
    <w:rsid w:val="00FE274A"/>
    <w:rsid w:val="00FE2882"/>
    <w:rsid w:val="00FE29F9"/>
    <w:rsid w:val="00FE2F36"/>
    <w:rsid w:val="00FE4AAB"/>
    <w:rsid w:val="00FE4E81"/>
    <w:rsid w:val="00FE5549"/>
    <w:rsid w:val="00FE57F8"/>
    <w:rsid w:val="00FE6A61"/>
    <w:rsid w:val="00FE6BBC"/>
    <w:rsid w:val="00FE73EC"/>
    <w:rsid w:val="00FE7405"/>
    <w:rsid w:val="00FE78A5"/>
    <w:rsid w:val="00FE79AF"/>
    <w:rsid w:val="00FE7B8C"/>
    <w:rsid w:val="00FE7E8E"/>
    <w:rsid w:val="00FF000F"/>
    <w:rsid w:val="00FF0071"/>
    <w:rsid w:val="00FF014C"/>
    <w:rsid w:val="00FF04A2"/>
    <w:rsid w:val="00FF0931"/>
    <w:rsid w:val="00FF1142"/>
    <w:rsid w:val="00FF174C"/>
    <w:rsid w:val="00FF192C"/>
    <w:rsid w:val="00FF229F"/>
    <w:rsid w:val="00FF26D1"/>
    <w:rsid w:val="00FF292C"/>
    <w:rsid w:val="00FF2EA5"/>
    <w:rsid w:val="00FF344D"/>
    <w:rsid w:val="00FF3F7B"/>
    <w:rsid w:val="00FF4CC7"/>
    <w:rsid w:val="00FF4F47"/>
    <w:rsid w:val="00FF536D"/>
    <w:rsid w:val="00FF54C3"/>
    <w:rsid w:val="00FF60F8"/>
    <w:rsid w:val="00FF6D12"/>
    <w:rsid w:val="00FF6DDF"/>
    <w:rsid w:val="00FF6F5C"/>
    <w:rsid w:val="00FF6FBF"/>
    <w:rsid w:val="01142005"/>
    <w:rsid w:val="012B95F7"/>
    <w:rsid w:val="01519E91"/>
    <w:rsid w:val="016208CD"/>
    <w:rsid w:val="016B7F69"/>
    <w:rsid w:val="019A094A"/>
    <w:rsid w:val="01CE1133"/>
    <w:rsid w:val="01D86994"/>
    <w:rsid w:val="021332F5"/>
    <w:rsid w:val="02292A2B"/>
    <w:rsid w:val="02301841"/>
    <w:rsid w:val="025362DD"/>
    <w:rsid w:val="027B378B"/>
    <w:rsid w:val="02B56EA9"/>
    <w:rsid w:val="03273172"/>
    <w:rsid w:val="03293C48"/>
    <w:rsid w:val="03511C9F"/>
    <w:rsid w:val="035B1BA2"/>
    <w:rsid w:val="037922DC"/>
    <w:rsid w:val="03C963B4"/>
    <w:rsid w:val="03E61131"/>
    <w:rsid w:val="04221686"/>
    <w:rsid w:val="04354F75"/>
    <w:rsid w:val="045A31AF"/>
    <w:rsid w:val="046E5A97"/>
    <w:rsid w:val="04B40D7A"/>
    <w:rsid w:val="053A2C32"/>
    <w:rsid w:val="056A1A11"/>
    <w:rsid w:val="05700779"/>
    <w:rsid w:val="05B35D6A"/>
    <w:rsid w:val="064ED7FC"/>
    <w:rsid w:val="066362C6"/>
    <w:rsid w:val="068BC487"/>
    <w:rsid w:val="069E2356"/>
    <w:rsid w:val="06C422AB"/>
    <w:rsid w:val="06D65E69"/>
    <w:rsid w:val="071BB699"/>
    <w:rsid w:val="07231444"/>
    <w:rsid w:val="073BB6FB"/>
    <w:rsid w:val="076D05BF"/>
    <w:rsid w:val="0848BBE3"/>
    <w:rsid w:val="084AB065"/>
    <w:rsid w:val="0886DA2E"/>
    <w:rsid w:val="08AC0FDA"/>
    <w:rsid w:val="0909C1EB"/>
    <w:rsid w:val="0913033E"/>
    <w:rsid w:val="0940C286"/>
    <w:rsid w:val="0941625B"/>
    <w:rsid w:val="098BB0F0"/>
    <w:rsid w:val="09CE27D9"/>
    <w:rsid w:val="0A3A19D7"/>
    <w:rsid w:val="0A716494"/>
    <w:rsid w:val="0AB6351E"/>
    <w:rsid w:val="0B27035A"/>
    <w:rsid w:val="0B59DE22"/>
    <w:rsid w:val="0B6473AD"/>
    <w:rsid w:val="0B6A7B4A"/>
    <w:rsid w:val="0B7B6799"/>
    <w:rsid w:val="0B9F45C4"/>
    <w:rsid w:val="0BC80AAE"/>
    <w:rsid w:val="0C3E262A"/>
    <w:rsid w:val="0C43808A"/>
    <w:rsid w:val="0C483CB5"/>
    <w:rsid w:val="0C70E0A9"/>
    <w:rsid w:val="0C75DDD4"/>
    <w:rsid w:val="0C822079"/>
    <w:rsid w:val="0CA04344"/>
    <w:rsid w:val="0CD220E4"/>
    <w:rsid w:val="0D078324"/>
    <w:rsid w:val="0D4B6ECB"/>
    <w:rsid w:val="0D6773AD"/>
    <w:rsid w:val="0DA133B4"/>
    <w:rsid w:val="0DB05806"/>
    <w:rsid w:val="0DBA51EC"/>
    <w:rsid w:val="0E05D2A5"/>
    <w:rsid w:val="0E2F7D31"/>
    <w:rsid w:val="0E5C7E9D"/>
    <w:rsid w:val="0E5E5287"/>
    <w:rsid w:val="0EBD33B9"/>
    <w:rsid w:val="0ECC6F0F"/>
    <w:rsid w:val="0EF5F255"/>
    <w:rsid w:val="0F3D3DA1"/>
    <w:rsid w:val="0F3E7C3A"/>
    <w:rsid w:val="0F697A08"/>
    <w:rsid w:val="0F787370"/>
    <w:rsid w:val="0F7D4F38"/>
    <w:rsid w:val="0F7F477C"/>
    <w:rsid w:val="0FB376EF"/>
    <w:rsid w:val="0FD8FBCD"/>
    <w:rsid w:val="0FDE4899"/>
    <w:rsid w:val="0FF029B7"/>
    <w:rsid w:val="100DAEF8"/>
    <w:rsid w:val="102B0B10"/>
    <w:rsid w:val="107E484D"/>
    <w:rsid w:val="109765E1"/>
    <w:rsid w:val="10AA3E19"/>
    <w:rsid w:val="10D4F2F6"/>
    <w:rsid w:val="110C4E23"/>
    <w:rsid w:val="1181748C"/>
    <w:rsid w:val="11CF4D09"/>
    <w:rsid w:val="11DC205D"/>
    <w:rsid w:val="124F6B19"/>
    <w:rsid w:val="126035C1"/>
    <w:rsid w:val="12992F89"/>
    <w:rsid w:val="12AA9ED0"/>
    <w:rsid w:val="12BE2E04"/>
    <w:rsid w:val="13020803"/>
    <w:rsid w:val="133F7EED"/>
    <w:rsid w:val="13451F80"/>
    <w:rsid w:val="13B03021"/>
    <w:rsid w:val="140B289C"/>
    <w:rsid w:val="14173F06"/>
    <w:rsid w:val="142B2446"/>
    <w:rsid w:val="146224CF"/>
    <w:rsid w:val="146A7CD6"/>
    <w:rsid w:val="14825CCA"/>
    <w:rsid w:val="14AC43F9"/>
    <w:rsid w:val="14EF6FFF"/>
    <w:rsid w:val="14F03036"/>
    <w:rsid w:val="14F67CF1"/>
    <w:rsid w:val="152B0248"/>
    <w:rsid w:val="1530AC63"/>
    <w:rsid w:val="1561E0FB"/>
    <w:rsid w:val="15766538"/>
    <w:rsid w:val="15C80049"/>
    <w:rsid w:val="15CD7D54"/>
    <w:rsid w:val="15D5CDAA"/>
    <w:rsid w:val="160DEFB2"/>
    <w:rsid w:val="162E0217"/>
    <w:rsid w:val="16322717"/>
    <w:rsid w:val="16473EDC"/>
    <w:rsid w:val="1663647D"/>
    <w:rsid w:val="1673ED5D"/>
    <w:rsid w:val="16B1BFF2"/>
    <w:rsid w:val="16BA2983"/>
    <w:rsid w:val="16DE0FB1"/>
    <w:rsid w:val="17235746"/>
    <w:rsid w:val="17236D69"/>
    <w:rsid w:val="173C1C86"/>
    <w:rsid w:val="17725E86"/>
    <w:rsid w:val="179BC5AD"/>
    <w:rsid w:val="17EE79CE"/>
    <w:rsid w:val="180325C9"/>
    <w:rsid w:val="18787932"/>
    <w:rsid w:val="18B34294"/>
    <w:rsid w:val="18D57CCC"/>
    <w:rsid w:val="18F4657D"/>
    <w:rsid w:val="1902E2C9"/>
    <w:rsid w:val="19132EF8"/>
    <w:rsid w:val="19170CAF"/>
    <w:rsid w:val="19285CBF"/>
    <w:rsid w:val="197247DE"/>
    <w:rsid w:val="197CA45F"/>
    <w:rsid w:val="197F9E3D"/>
    <w:rsid w:val="19B263B5"/>
    <w:rsid w:val="1A666E50"/>
    <w:rsid w:val="1AAD7F5E"/>
    <w:rsid w:val="1AB6D33C"/>
    <w:rsid w:val="1AC00AF1"/>
    <w:rsid w:val="1ACC4751"/>
    <w:rsid w:val="1B3E325C"/>
    <w:rsid w:val="1B825829"/>
    <w:rsid w:val="1B844B72"/>
    <w:rsid w:val="1B861220"/>
    <w:rsid w:val="1B9D156A"/>
    <w:rsid w:val="1B9E6BFD"/>
    <w:rsid w:val="1BA145EF"/>
    <w:rsid w:val="1BDF774F"/>
    <w:rsid w:val="1C0424BF"/>
    <w:rsid w:val="1C22FA20"/>
    <w:rsid w:val="1C2834AF"/>
    <w:rsid w:val="1C77FE13"/>
    <w:rsid w:val="1CA9A818"/>
    <w:rsid w:val="1CB44F76"/>
    <w:rsid w:val="1CB91B43"/>
    <w:rsid w:val="1CD4E7AB"/>
    <w:rsid w:val="1CF710F5"/>
    <w:rsid w:val="1D3939D6"/>
    <w:rsid w:val="1D56F01B"/>
    <w:rsid w:val="1D8E42B8"/>
    <w:rsid w:val="1DBD26D8"/>
    <w:rsid w:val="1E63D0A8"/>
    <w:rsid w:val="1E6F0D02"/>
    <w:rsid w:val="1E95493A"/>
    <w:rsid w:val="1E9A7764"/>
    <w:rsid w:val="1EA30B1F"/>
    <w:rsid w:val="1EA9512E"/>
    <w:rsid w:val="1EAB74B5"/>
    <w:rsid w:val="1EAD41B2"/>
    <w:rsid w:val="1EBD114A"/>
    <w:rsid w:val="1F041483"/>
    <w:rsid w:val="1F516372"/>
    <w:rsid w:val="1F6F35BA"/>
    <w:rsid w:val="1F71361F"/>
    <w:rsid w:val="1F9307D0"/>
    <w:rsid w:val="1FA1A8B0"/>
    <w:rsid w:val="2000D8F7"/>
    <w:rsid w:val="20053897"/>
    <w:rsid w:val="201B15B6"/>
    <w:rsid w:val="2042BD61"/>
    <w:rsid w:val="204E3C4A"/>
    <w:rsid w:val="208F5A61"/>
    <w:rsid w:val="20A5530B"/>
    <w:rsid w:val="20BC1CBC"/>
    <w:rsid w:val="21055E8E"/>
    <w:rsid w:val="2111585C"/>
    <w:rsid w:val="21363721"/>
    <w:rsid w:val="213F011B"/>
    <w:rsid w:val="21920495"/>
    <w:rsid w:val="2192F9C0"/>
    <w:rsid w:val="21BF60EB"/>
    <w:rsid w:val="21D06385"/>
    <w:rsid w:val="2234768E"/>
    <w:rsid w:val="22420BCB"/>
    <w:rsid w:val="22542A6A"/>
    <w:rsid w:val="2275A8CA"/>
    <w:rsid w:val="2282700B"/>
    <w:rsid w:val="22842BFE"/>
    <w:rsid w:val="22A918EC"/>
    <w:rsid w:val="22E771D2"/>
    <w:rsid w:val="22EAFB8C"/>
    <w:rsid w:val="237F079A"/>
    <w:rsid w:val="242E25A5"/>
    <w:rsid w:val="244E0445"/>
    <w:rsid w:val="246C4A50"/>
    <w:rsid w:val="246C786B"/>
    <w:rsid w:val="246FA4ED"/>
    <w:rsid w:val="24927EB4"/>
    <w:rsid w:val="249B07E2"/>
    <w:rsid w:val="24B01F9D"/>
    <w:rsid w:val="24D665AE"/>
    <w:rsid w:val="2511531A"/>
    <w:rsid w:val="253D18A5"/>
    <w:rsid w:val="258A71B5"/>
    <w:rsid w:val="25A17B3F"/>
    <w:rsid w:val="25AFFFEA"/>
    <w:rsid w:val="25BE70C8"/>
    <w:rsid w:val="25E916A8"/>
    <w:rsid w:val="25F87E5C"/>
    <w:rsid w:val="260A1044"/>
    <w:rsid w:val="261529DB"/>
    <w:rsid w:val="262475DA"/>
    <w:rsid w:val="26410EB0"/>
    <w:rsid w:val="264456F5"/>
    <w:rsid w:val="26492326"/>
    <w:rsid w:val="264B3483"/>
    <w:rsid w:val="26C53B4E"/>
    <w:rsid w:val="26D56143"/>
    <w:rsid w:val="26E6A31F"/>
    <w:rsid w:val="27345A28"/>
    <w:rsid w:val="274C4F75"/>
    <w:rsid w:val="2752A580"/>
    <w:rsid w:val="275C3A29"/>
    <w:rsid w:val="276673E4"/>
    <w:rsid w:val="27781086"/>
    <w:rsid w:val="27C449F3"/>
    <w:rsid w:val="27E920BD"/>
    <w:rsid w:val="2823FF74"/>
    <w:rsid w:val="282DB530"/>
    <w:rsid w:val="2896731B"/>
    <w:rsid w:val="28FA5252"/>
    <w:rsid w:val="292A27FF"/>
    <w:rsid w:val="2990BA06"/>
    <w:rsid w:val="29CA4D51"/>
    <w:rsid w:val="2A372406"/>
    <w:rsid w:val="2A402DE3"/>
    <w:rsid w:val="2A874F1C"/>
    <w:rsid w:val="2AF32D0A"/>
    <w:rsid w:val="2B0F8280"/>
    <w:rsid w:val="2B5C2B0E"/>
    <w:rsid w:val="2B8F34BD"/>
    <w:rsid w:val="2B9F562E"/>
    <w:rsid w:val="2BD5A3E0"/>
    <w:rsid w:val="2BE1C1D9"/>
    <w:rsid w:val="2C0B981F"/>
    <w:rsid w:val="2C237C55"/>
    <w:rsid w:val="2C279CE8"/>
    <w:rsid w:val="2C7AB449"/>
    <w:rsid w:val="2C7E0ED1"/>
    <w:rsid w:val="2CC7AD0F"/>
    <w:rsid w:val="2CF156C9"/>
    <w:rsid w:val="2D116C63"/>
    <w:rsid w:val="2D510ADE"/>
    <w:rsid w:val="2D6D7EC2"/>
    <w:rsid w:val="2D7C0C0A"/>
    <w:rsid w:val="2D9A673C"/>
    <w:rsid w:val="2DA1300D"/>
    <w:rsid w:val="2DA14F11"/>
    <w:rsid w:val="2DECD6F8"/>
    <w:rsid w:val="2E37A112"/>
    <w:rsid w:val="2E51F5A1"/>
    <w:rsid w:val="2E6515D7"/>
    <w:rsid w:val="2E81EEC5"/>
    <w:rsid w:val="2E8602A4"/>
    <w:rsid w:val="2E91AE6A"/>
    <w:rsid w:val="2EB740D0"/>
    <w:rsid w:val="2EBD4764"/>
    <w:rsid w:val="2EE316FC"/>
    <w:rsid w:val="2F006CDD"/>
    <w:rsid w:val="2F035C92"/>
    <w:rsid w:val="2F222786"/>
    <w:rsid w:val="2F484384"/>
    <w:rsid w:val="2F52CB88"/>
    <w:rsid w:val="2F87EA10"/>
    <w:rsid w:val="2F952EC1"/>
    <w:rsid w:val="2FD7548C"/>
    <w:rsid w:val="30193D24"/>
    <w:rsid w:val="305CCDEB"/>
    <w:rsid w:val="30A88A98"/>
    <w:rsid w:val="30AF402D"/>
    <w:rsid w:val="30D2AD1F"/>
    <w:rsid w:val="30E03740"/>
    <w:rsid w:val="31545C7D"/>
    <w:rsid w:val="31617D4F"/>
    <w:rsid w:val="317E3D62"/>
    <w:rsid w:val="31BED2D3"/>
    <w:rsid w:val="31E10D64"/>
    <w:rsid w:val="327369A5"/>
    <w:rsid w:val="329F6B99"/>
    <w:rsid w:val="33352ABC"/>
    <w:rsid w:val="33472EF7"/>
    <w:rsid w:val="33A93D1A"/>
    <w:rsid w:val="33B92B69"/>
    <w:rsid w:val="33C259F7"/>
    <w:rsid w:val="33E162AB"/>
    <w:rsid w:val="34040BC2"/>
    <w:rsid w:val="34420818"/>
    <w:rsid w:val="3445D29F"/>
    <w:rsid w:val="34654306"/>
    <w:rsid w:val="3468D665"/>
    <w:rsid w:val="34708544"/>
    <w:rsid w:val="348C84C4"/>
    <w:rsid w:val="34B93C32"/>
    <w:rsid w:val="35897C86"/>
    <w:rsid w:val="35907387"/>
    <w:rsid w:val="359A773B"/>
    <w:rsid w:val="359D5F0C"/>
    <w:rsid w:val="35C07A3B"/>
    <w:rsid w:val="35E96DD5"/>
    <w:rsid w:val="35F4920E"/>
    <w:rsid w:val="35F7121A"/>
    <w:rsid w:val="360366CF"/>
    <w:rsid w:val="36091134"/>
    <w:rsid w:val="361A6E50"/>
    <w:rsid w:val="36877F33"/>
    <w:rsid w:val="3697E107"/>
    <w:rsid w:val="36B014EE"/>
    <w:rsid w:val="3711A6D6"/>
    <w:rsid w:val="37455A6A"/>
    <w:rsid w:val="37846529"/>
    <w:rsid w:val="379CAA7F"/>
    <w:rsid w:val="37B3544C"/>
    <w:rsid w:val="37FE0CBD"/>
    <w:rsid w:val="380D0904"/>
    <w:rsid w:val="38197E8D"/>
    <w:rsid w:val="381D531B"/>
    <w:rsid w:val="384493DD"/>
    <w:rsid w:val="38586E8F"/>
    <w:rsid w:val="385D5E44"/>
    <w:rsid w:val="38604B0B"/>
    <w:rsid w:val="386B671F"/>
    <w:rsid w:val="38A39D73"/>
    <w:rsid w:val="38B2026D"/>
    <w:rsid w:val="38F2F9A4"/>
    <w:rsid w:val="391868B7"/>
    <w:rsid w:val="39223469"/>
    <w:rsid w:val="394FDA80"/>
    <w:rsid w:val="395A33F7"/>
    <w:rsid w:val="399A1677"/>
    <w:rsid w:val="39C26CD1"/>
    <w:rsid w:val="3A0B2B0C"/>
    <w:rsid w:val="3A0C40DF"/>
    <w:rsid w:val="3A2434F2"/>
    <w:rsid w:val="3A491BF2"/>
    <w:rsid w:val="3A7F071F"/>
    <w:rsid w:val="3A8AAA62"/>
    <w:rsid w:val="3A9337A6"/>
    <w:rsid w:val="3AE400AD"/>
    <w:rsid w:val="3B0A7CED"/>
    <w:rsid w:val="3B135379"/>
    <w:rsid w:val="3B274878"/>
    <w:rsid w:val="3B48262E"/>
    <w:rsid w:val="3B7674D0"/>
    <w:rsid w:val="3B7E7B1E"/>
    <w:rsid w:val="3B8D2AC4"/>
    <w:rsid w:val="3BAB67F1"/>
    <w:rsid w:val="3BB10F60"/>
    <w:rsid w:val="3C027200"/>
    <w:rsid w:val="3C427F31"/>
    <w:rsid w:val="3C5EA4AE"/>
    <w:rsid w:val="3CCAC22E"/>
    <w:rsid w:val="3CD44C4F"/>
    <w:rsid w:val="3CDBBC6E"/>
    <w:rsid w:val="3D28055E"/>
    <w:rsid w:val="3D6C4254"/>
    <w:rsid w:val="3D81F27C"/>
    <w:rsid w:val="3DC2E537"/>
    <w:rsid w:val="3DF144AD"/>
    <w:rsid w:val="3E17A45F"/>
    <w:rsid w:val="3E2568F8"/>
    <w:rsid w:val="3E44E0DC"/>
    <w:rsid w:val="3E605DE6"/>
    <w:rsid w:val="3E9E48BD"/>
    <w:rsid w:val="3EBB51FB"/>
    <w:rsid w:val="3EF362FE"/>
    <w:rsid w:val="3EF839DA"/>
    <w:rsid w:val="3F365FFB"/>
    <w:rsid w:val="3F464800"/>
    <w:rsid w:val="3F577277"/>
    <w:rsid w:val="3F81305F"/>
    <w:rsid w:val="3FEBEAFD"/>
    <w:rsid w:val="3FEF3F72"/>
    <w:rsid w:val="3FFB2904"/>
    <w:rsid w:val="401062A1"/>
    <w:rsid w:val="40300DAB"/>
    <w:rsid w:val="406A527A"/>
    <w:rsid w:val="40BF7BF9"/>
    <w:rsid w:val="40CB06BA"/>
    <w:rsid w:val="40DCCBEC"/>
    <w:rsid w:val="4139E197"/>
    <w:rsid w:val="41416862"/>
    <w:rsid w:val="414A38DB"/>
    <w:rsid w:val="4168CBB0"/>
    <w:rsid w:val="418A0ADB"/>
    <w:rsid w:val="41A920CF"/>
    <w:rsid w:val="41BE33DD"/>
    <w:rsid w:val="41D7517D"/>
    <w:rsid w:val="42046630"/>
    <w:rsid w:val="424500DB"/>
    <w:rsid w:val="425F17A9"/>
    <w:rsid w:val="429576C9"/>
    <w:rsid w:val="42B958CE"/>
    <w:rsid w:val="42BD3C12"/>
    <w:rsid w:val="42F25C1B"/>
    <w:rsid w:val="42F34A42"/>
    <w:rsid w:val="4347B85A"/>
    <w:rsid w:val="43C117D3"/>
    <w:rsid w:val="43CADB17"/>
    <w:rsid w:val="43EB0161"/>
    <w:rsid w:val="44030607"/>
    <w:rsid w:val="4406925F"/>
    <w:rsid w:val="4417AA76"/>
    <w:rsid w:val="444B1319"/>
    <w:rsid w:val="448C7B84"/>
    <w:rsid w:val="44EE4C50"/>
    <w:rsid w:val="45290EC3"/>
    <w:rsid w:val="455532AB"/>
    <w:rsid w:val="458D3C74"/>
    <w:rsid w:val="45FF57CA"/>
    <w:rsid w:val="46623642"/>
    <w:rsid w:val="4696A40F"/>
    <w:rsid w:val="46FA6316"/>
    <w:rsid w:val="470D43A0"/>
    <w:rsid w:val="47302C86"/>
    <w:rsid w:val="4750030C"/>
    <w:rsid w:val="475A8151"/>
    <w:rsid w:val="478232F3"/>
    <w:rsid w:val="47874069"/>
    <w:rsid w:val="47B50031"/>
    <w:rsid w:val="48346DC0"/>
    <w:rsid w:val="48B02852"/>
    <w:rsid w:val="48E85A96"/>
    <w:rsid w:val="48EF5D2E"/>
    <w:rsid w:val="48F1EA26"/>
    <w:rsid w:val="48FF25D1"/>
    <w:rsid w:val="492960A0"/>
    <w:rsid w:val="496D13DE"/>
    <w:rsid w:val="4970DD6D"/>
    <w:rsid w:val="49881DF7"/>
    <w:rsid w:val="49C17076"/>
    <w:rsid w:val="49C2663C"/>
    <w:rsid w:val="49D4059C"/>
    <w:rsid w:val="49EFA215"/>
    <w:rsid w:val="4A391054"/>
    <w:rsid w:val="4A3D60B1"/>
    <w:rsid w:val="4A40A860"/>
    <w:rsid w:val="4A415C18"/>
    <w:rsid w:val="4A4F0FFA"/>
    <w:rsid w:val="4A50B447"/>
    <w:rsid w:val="4AAC10BE"/>
    <w:rsid w:val="4AD833F0"/>
    <w:rsid w:val="4B3190E7"/>
    <w:rsid w:val="4B5AC96A"/>
    <w:rsid w:val="4B7145D4"/>
    <w:rsid w:val="4B865A05"/>
    <w:rsid w:val="4BB92D96"/>
    <w:rsid w:val="4BEA8E08"/>
    <w:rsid w:val="4BEC84A8"/>
    <w:rsid w:val="4C0009C0"/>
    <w:rsid w:val="4C103B59"/>
    <w:rsid w:val="4C1D6C6B"/>
    <w:rsid w:val="4C322AA9"/>
    <w:rsid w:val="4C477D64"/>
    <w:rsid w:val="4C5DF6D6"/>
    <w:rsid w:val="4C810632"/>
    <w:rsid w:val="4CA1359B"/>
    <w:rsid w:val="4CB12BCE"/>
    <w:rsid w:val="4CB61EC5"/>
    <w:rsid w:val="4CD25F76"/>
    <w:rsid w:val="4CF81E64"/>
    <w:rsid w:val="4D6EDA71"/>
    <w:rsid w:val="4D85BABB"/>
    <w:rsid w:val="4D8A04C7"/>
    <w:rsid w:val="4D9FB100"/>
    <w:rsid w:val="4DB8EBDA"/>
    <w:rsid w:val="4DD208BB"/>
    <w:rsid w:val="4DDF64C4"/>
    <w:rsid w:val="4DF542F3"/>
    <w:rsid w:val="4E0BAF62"/>
    <w:rsid w:val="4E2D04A8"/>
    <w:rsid w:val="4E835C89"/>
    <w:rsid w:val="4E98737F"/>
    <w:rsid w:val="4ED367A4"/>
    <w:rsid w:val="4F020FAD"/>
    <w:rsid w:val="4F2D7873"/>
    <w:rsid w:val="4F4A2B54"/>
    <w:rsid w:val="4F590DDB"/>
    <w:rsid w:val="4F5C03C2"/>
    <w:rsid w:val="4F707062"/>
    <w:rsid w:val="4F8A0435"/>
    <w:rsid w:val="4FCE73FC"/>
    <w:rsid w:val="4FDB42B3"/>
    <w:rsid w:val="4FE88F2D"/>
    <w:rsid w:val="501036E9"/>
    <w:rsid w:val="50303C1D"/>
    <w:rsid w:val="507FF263"/>
    <w:rsid w:val="509F4074"/>
    <w:rsid w:val="50A1CCF3"/>
    <w:rsid w:val="50AD79AB"/>
    <w:rsid w:val="50B85B1B"/>
    <w:rsid w:val="50C1350C"/>
    <w:rsid w:val="510E7D88"/>
    <w:rsid w:val="516EEFD1"/>
    <w:rsid w:val="5197226B"/>
    <w:rsid w:val="51B0CD3D"/>
    <w:rsid w:val="51F44ECD"/>
    <w:rsid w:val="5269ACE7"/>
    <w:rsid w:val="5276C534"/>
    <w:rsid w:val="5293701C"/>
    <w:rsid w:val="52989B0E"/>
    <w:rsid w:val="5299A919"/>
    <w:rsid w:val="529BF7BE"/>
    <w:rsid w:val="52CC28C5"/>
    <w:rsid w:val="53160CD0"/>
    <w:rsid w:val="53283123"/>
    <w:rsid w:val="533AE18A"/>
    <w:rsid w:val="533D001D"/>
    <w:rsid w:val="535F6D78"/>
    <w:rsid w:val="539A54BD"/>
    <w:rsid w:val="54469930"/>
    <w:rsid w:val="5483FF3F"/>
    <w:rsid w:val="54B3F73A"/>
    <w:rsid w:val="54BF0519"/>
    <w:rsid w:val="55100A8D"/>
    <w:rsid w:val="553BE36C"/>
    <w:rsid w:val="553D0DE7"/>
    <w:rsid w:val="55433947"/>
    <w:rsid w:val="55463476"/>
    <w:rsid w:val="558F536E"/>
    <w:rsid w:val="5595437A"/>
    <w:rsid w:val="559801FC"/>
    <w:rsid w:val="55A76793"/>
    <w:rsid w:val="5612D83B"/>
    <w:rsid w:val="564715FE"/>
    <w:rsid w:val="56558003"/>
    <w:rsid w:val="56561C24"/>
    <w:rsid w:val="573749BC"/>
    <w:rsid w:val="574F7CFD"/>
    <w:rsid w:val="57503CCA"/>
    <w:rsid w:val="579D5CDC"/>
    <w:rsid w:val="57D595E7"/>
    <w:rsid w:val="581D5B1D"/>
    <w:rsid w:val="585C42C5"/>
    <w:rsid w:val="58667207"/>
    <w:rsid w:val="58683905"/>
    <w:rsid w:val="58AE820E"/>
    <w:rsid w:val="58AF3741"/>
    <w:rsid w:val="58DB6DB4"/>
    <w:rsid w:val="58E40D03"/>
    <w:rsid w:val="58E81270"/>
    <w:rsid w:val="59285CA6"/>
    <w:rsid w:val="59F2429E"/>
    <w:rsid w:val="5A0C1BEF"/>
    <w:rsid w:val="5A2556E0"/>
    <w:rsid w:val="5A461DE7"/>
    <w:rsid w:val="5A60C194"/>
    <w:rsid w:val="5AC3394B"/>
    <w:rsid w:val="5ACA2BDD"/>
    <w:rsid w:val="5AE73CAD"/>
    <w:rsid w:val="5B502DA6"/>
    <w:rsid w:val="5B745BED"/>
    <w:rsid w:val="5B9EC7AA"/>
    <w:rsid w:val="5BB00D7C"/>
    <w:rsid w:val="5BBD1BB1"/>
    <w:rsid w:val="5BD45455"/>
    <w:rsid w:val="5C0B238F"/>
    <w:rsid w:val="5C239FCA"/>
    <w:rsid w:val="5C3B2EDE"/>
    <w:rsid w:val="5C49DC6C"/>
    <w:rsid w:val="5C4C8D80"/>
    <w:rsid w:val="5C500D4E"/>
    <w:rsid w:val="5C6528FD"/>
    <w:rsid w:val="5CC93149"/>
    <w:rsid w:val="5CCB1497"/>
    <w:rsid w:val="5CD4F827"/>
    <w:rsid w:val="5CF31B7E"/>
    <w:rsid w:val="5D3A980B"/>
    <w:rsid w:val="5D9058E8"/>
    <w:rsid w:val="5DD33EEC"/>
    <w:rsid w:val="5DEDECFE"/>
    <w:rsid w:val="5DEE0957"/>
    <w:rsid w:val="5DF47CB1"/>
    <w:rsid w:val="5E3D709A"/>
    <w:rsid w:val="5E5D76E0"/>
    <w:rsid w:val="5E68C652"/>
    <w:rsid w:val="5E7F6CE6"/>
    <w:rsid w:val="5EAC4E0A"/>
    <w:rsid w:val="5EF1A9D0"/>
    <w:rsid w:val="5F10562F"/>
    <w:rsid w:val="5F13398C"/>
    <w:rsid w:val="5F86A5EA"/>
    <w:rsid w:val="5FB34AFF"/>
    <w:rsid w:val="5FCBEA25"/>
    <w:rsid w:val="60149B23"/>
    <w:rsid w:val="60170CB3"/>
    <w:rsid w:val="60315F0E"/>
    <w:rsid w:val="6083AA2C"/>
    <w:rsid w:val="60D93C76"/>
    <w:rsid w:val="60DDB121"/>
    <w:rsid w:val="61015361"/>
    <w:rsid w:val="613B0C96"/>
    <w:rsid w:val="614F152C"/>
    <w:rsid w:val="61841BD9"/>
    <w:rsid w:val="61F0374B"/>
    <w:rsid w:val="62325AA7"/>
    <w:rsid w:val="629C2BE8"/>
    <w:rsid w:val="62D1432C"/>
    <w:rsid w:val="62D64BBF"/>
    <w:rsid w:val="63756CE0"/>
    <w:rsid w:val="637B8E2D"/>
    <w:rsid w:val="63B8E37F"/>
    <w:rsid w:val="63D0C398"/>
    <w:rsid w:val="63FBDDF9"/>
    <w:rsid w:val="64135FBD"/>
    <w:rsid w:val="641D997E"/>
    <w:rsid w:val="641F6922"/>
    <w:rsid w:val="644C250B"/>
    <w:rsid w:val="645731F9"/>
    <w:rsid w:val="645B1C35"/>
    <w:rsid w:val="649CC950"/>
    <w:rsid w:val="64F94FB6"/>
    <w:rsid w:val="6531C3B5"/>
    <w:rsid w:val="653B34A1"/>
    <w:rsid w:val="656995AD"/>
    <w:rsid w:val="65702EB3"/>
    <w:rsid w:val="6581B835"/>
    <w:rsid w:val="658CCC77"/>
    <w:rsid w:val="65F124E6"/>
    <w:rsid w:val="65F80BC2"/>
    <w:rsid w:val="65FF12A6"/>
    <w:rsid w:val="668B64F1"/>
    <w:rsid w:val="66A96EFB"/>
    <w:rsid w:val="66F3E4C3"/>
    <w:rsid w:val="67342042"/>
    <w:rsid w:val="6746E450"/>
    <w:rsid w:val="677862CF"/>
    <w:rsid w:val="6781326F"/>
    <w:rsid w:val="67EB05D9"/>
    <w:rsid w:val="68006630"/>
    <w:rsid w:val="68069DCF"/>
    <w:rsid w:val="68136AD4"/>
    <w:rsid w:val="6856A8BC"/>
    <w:rsid w:val="68C30012"/>
    <w:rsid w:val="68CD1022"/>
    <w:rsid w:val="68DA2AFE"/>
    <w:rsid w:val="6904E4D7"/>
    <w:rsid w:val="69152A61"/>
    <w:rsid w:val="691C06AA"/>
    <w:rsid w:val="6948F566"/>
    <w:rsid w:val="69875CD9"/>
    <w:rsid w:val="6987DE84"/>
    <w:rsid w:val="69B417E2"/>
    <w:rsid w:val="69F128F9"/>
    <w:rsid w:val="6A474A8F"/>
    <w:rsid w:val="6A63251A"/>
    <w:rsid w:val="6A76596A"/>
    <w:rsid w:val="6AF71969"/>
    <w:rsid w:val="6B8CA734"/>
    <w:rsid w:val="6BF07677"/>
    <w:rsid w:val="6C0DC33C"/>
    <w:rsid w:val="6C31C242"/>
    <w:rsid w:val="6C774AFB"/>
    <w:rsid w:val="6CAE27A9"/>
    <w:rsid w:val="6CDCD4F1"/>
    <w:rsid w:val="6D76D9E0"/>
    <w:rsid w:val="6D985E7E"/>
    <w:rsid w:val="6DAD449C"/>
    <w:rsid w:val="6DAFE1C1"/>
    <w:rsid w:val="6DE17ED2"/>
    <w:rsid w:val="6E4175D8"/>
    <w:rsid w:val="6E5E3B35"/>
    <w:rsid w:val="6E6371A6"/>
    <w:rsid w:val="6E8610AD"/>
    <w:rsid w:val="6E9E3B08"/>
    <w:rsid w:val="6EAA12F9"/>
    <w:rsid w:val="6EB75ED9"/>
    <w:rsid w:val="6EDE6324"/>
    <w:rsid w:val="6F547DB4"/>
    <w:rsid w:val="6F5D2FFA"/>
    <w:rsid w:val="6F80797E"/>
    <w:rsid w:val="6F8D1212"/>
    <w:rsid w:val="6F930731"/>
    <w:rsid w:val="70237187"/>
    <w:rsid w:val="70598C0E"/>
    <w:rsid w:val="7094135B"/>
    <w:rsid w:val="70B24294"/>
    <w:rsid w:val="70C9E734"/>
    <w:rsid w:val="70D859B1"/>
    <w:rsid w:val="71275730"/>
    <w:rsid w:val="712979B9"/>
    <w:rsid w:val="71D00147"/>
    <w:rsid w:val="72441CD8"/>
    <w:rsid w:val="7252521E"/>
    <w:rsid w:val="725A074B"/>
    <w:rsid w:val="727D7D80"/>
    <w:rsid w:val="72B31DBB"/>
    <w:rsid w:val="731B5455"/>
    <w:rsid w:val="73445AAB"/>
    <w:rsid w:val="73887997"/>
    <w:rsid w:val="739048A5"/>
    <w:rsid w:val="739C58BB"/>
    <w:rsid w:val="73C7EADF"/>
    <w:rsid w:val="73D00072"/>
    <w:rsid w:val="73E30C8A"/>
    <w:rsid w:val="73E90791"/>
    <w:rsid w:val="742E10AC"/>
    <w:rsid w:val="743325CE"/>
    <w:rsid w:val="745F3C79"/>
    <w:rsid w:val="74BB0B0F"/>
    <w:rsid w:val="74C2159B"/>
    <w:rsid w:val="74C57CCB"/>
    <w:rsid w:val="74F13CD4"/>
    <w:rsid w:val="75341A1F"/>
    <w:rsid w:val="759BCD5F"/>
    <w:rsid w:val="75AC171D"/>
    <w:rsid w:val="75ADFD00"/>
    <w:rsid w:val="75C433A4"/>
    <w:rsid w:val="75D730A3"/>
    <w:rsid w:val="7663FA81"/>
    <w:rsid w:val="766A270D"/>
    <w:rsid w:val="768CCD70"/>
    <w:rsid w:val="76A2369E"/>
    <w:rsid w:val="7701801F"/>
    <w:rsid w:val="7702FF6D"/>
    <w:rsid w:val="7719CFBE"/>
    <w:rsid w:val="77974740"/>
    <w:rsid w:val="77A92C7B"/>
    <w:rsid w:val="78231C5B"/>
    <w:rsid w:val="784A17C4"/>
    <w:rsid w:val="784F7772"/>
    <w:rsid w:val="78846947"/>
    <w:rsid w:val="7898E4D6"/>
    <w:rsid w:val="78FA1C63"/>
    <w:rsid w:val="78FE2D8D"/>
    <w:rsid w:val="791E32C2"/>
    <w:rsid w:val="79276150"/>
    <w:rsid w:val="79437A1E"/>
    <w:rsid w:val="79A0F0D2"/>
    <w:rsid w:val="79AC9157"/>
    <w:rsid w:val="79C46E32"/>
    <w:rsid w:val="7A1E0406"/>
    <w:rsid w:val="7A2C6180"/>
    <w:rsid w:val="7A2D6D03"/>
    <w:rsid w:val="7A812409"/>
    <w:rsid w:val="7AAAC068"/>
    <w:rsid w:val="7AC5A7B0"/>
    <w:rsid w:val="7AD13F8D"/>
    <w:rsid w:val="7AD22102"/>
    <w:rsid w:val="7B001259"/>
    <w:rsid w:val="7B4151AD"/>
    <w:rsid w:val="7B5233FE"/>
    <w:rsid w:val="7B5AE9FF"/>
    <w:rsid w:val="7B62387C"/>
    <w:rsid w:val="7BA829DF"/>
    <w:rsid w:val="7BE9594E"/>
    <w:rsid w:val="7BF5A502"/>
    <w:rsid w:val="7C4DE462"/>
    <w:rsid w:val="7C8C82F5"/>
    <w:rsid w:val="7CC6EC0F"/>
    <w:rsid w:val="7CF85AFD"/>
    <w:rsid w:val="7D1C0F6B"/>
    <w:rsid w:val="7D307488"/>
    <w:rsid w:val="7D3CB895"/>
    <w:rsid w:val="7D424A23"/>
    <w:rsid w:val="7D4EFB09"/>
    <w:rsid w:val="7DA27900"/>
    <w:rsid w:val="7DA550EB"/>
    <w:rsid w:val="7DE34AEF"/>
    <w:rsid w:val="7DF25744"/>
    <w:rsid w:val="7E0B3F4A"/>
    <w:rsid w:val="7E0D595D"/>
    <w:rsid w:val="7E701788"/>
    <w:rsid w:val="7EBE5090"/>
    <w:rsid w:val="7ED83E28"/>
    <w:rsid w:val="7EEE081D"/>
    <w:rsid w:val="7F207352"/>
    <w:rsid w:val="7F731732"/>
    <w:rsid w:val="7F820573"/>
    <w:rsid w:val="7FA258FB"/>
    <w:rsid w:val="7FAD3E28"/>
    <w:rsid w:val="7FFD6189"/>
  </w:rsids>
  <m:mathPr>
    <m:mathFont m:val="Cambria Math"/>
    <m:brkBin m:val="before"/>
    <m:brkBinSub m:val="--"/>
    <m:smallFrac m:val="0"/>
    <m:dispDef/>
    <m:lMargin m:val="0"/>
    <m:rMargin m:val="0"/>
    <m:defJc m:val="centerGroup"/>
    <m:wrapIndent m:val="1440"/>
    <m:intLim m:val="subSup"/>
    <m:naryLim m:val="undOvr"/>
  </m:mathPr>
  <w:themeFontLang w:val="el-G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43B3305"/>
  <w15:docId w15:val="{185673B2-7318-4378-8E08-D68A5B64D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nhideWhenUsed="1" w:qFormat="1"/>
    <w:lsdException w:name="header" w:unhideWhenUsed="1" w:qFormat="1"/>
    <w:lsdException w:name="footer"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qFormat="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4D65"/>
    <w:pPr>
      <w:spacing w:after="160" w:line="259" w:lineRule="auto"/>
    </w:pPr>
    <w:rPr>
      <w:rFonts w:asciiTheme="minorHAnsi" w:eastAsiaTheme="minorHAnsi" w:hAnsiTheme="minorHAnsi" w:cstheme="minorBidi"/>
      <w:kern w:val="2"/>
      <w:sz w:val="22"/>
      <w:szCs w:val="22"/>
      <w:lang w:val="el-GR"/>
      <w14:ligatures w14:val="standardContextual"/>
    </w:rPr>
  </w:style>
  <w:style w:type="paragraph" w:styleId="Heading1">
    <w:name w:val="heading 1"/>
    <w:basedOn w:val="ListParagraph"/>
    <w:next w:val="Normal"/>
    <w:link w:val="Heading1Char"/>
    <w:autoRedefine/>
    <w:uiPriority w:val="9"/>
    <w:qFormat/>
    <w:rsid w:val="00D863B1"/>
    <w:pPr>
      <w:keepNext/>
      <w:keepLines/>
      <w:spacing w:after="0" w:line="360" w:lineRule="auto"/>
      <w:ind w:left="0" w:right="-24"/>
      <w:jc w:val="center"/>
      <w:outlineLvl w:val="0"/>
    </w:pPr>
    <w:rPr>
      <w:rFonts w:ascii="Times New Roman" w:eastAsiaTheme="majorEastAsia" w:hAnsi="Times New Roman" w:cs="Times New Roman"/>
      <w:sz w:val="24"/>
      <w:szCs w:val="24"/>
      <w:lang w:val="en-US"/>
    </w:rPr>
  </w:style>
  <w:style w:type="paragraph" w:styleId="Heading2">
    <w:name w:val="heading 2"/>
    <w:basedOn w:val="BodyText"/>
    <w:next w:val="Normal"/>
    <w:link w:val="Heading2Char"/>
    <w:autoRedefine/>
    <w:uiPriority w:val="9"/>
    <w:unhideWhenUsed/>
    <w:qFormat/>
    <w:rsid w:val="00BE195F"/>
    <w:pPr>
      <w:spacing w:before="120" w:line="240" w:lineRule="auto"/>
      <w:ind w:right="122"/>
      <w:jc w:val="center"/>
      <w:outlineLvl w:val="1"/>
    </w:pPr>
    <w:rPr>
      <w:rFonts w:ascii="Times New Roman" w:eastAsia="Calibri" w:hAnsi="Times New Roman" w:cs="Times New Roman"/>
      <w:sz w:val="20"/>
      <w:szCs w:val="20"/>
      <w:lang w:val="sr-Cyrl-RS" w:eastAsia="el-GR"/>
    </w:rPr>
  </w:style>
  <w:style w:type="paragraph" w:styleId="Heading3">
    <w:name w:val="heading 3"/>
    <w:basedOn w:val="Normal"/>
    <w:next w:val="Normal"/>
    <w:link w:val="Heading3Char"/>
    <w:uiPriority w:val="9"/>
    <w:unhideWhenUsed/>
    <w:qFormat/>
    <w:pPr>
      <w:keepNext/>
      <w:keepLines/>
      <w:spacing w:after="0" w:line="360" w:lineRule="auto"/>
      <w:outlineLvl w:val="2"/>
    </w:pPr>
    <w:rPr>
      <w:rFonts w:ascii="Arial" w:eastAsiaTheme="majorEastAsia" w:hAnsi="Arial" w:cstheme="majorBidi"/>
      <w:b/>
      <w:color w:val="27163F" w:themeColor="accent1" w:themeShade="80"/>
      <w:sz w:val="24"/>
      <w:szCs w:val="24"/>
    </w:rPr>
  </w:style>
  <w:style w:type="paragraph" w:styleId="Heading4">
    <w:name w:val="heading 4"/>
    <w:basedOn w:val="Normal"/>
    <w:next w:val="Normal"/>
    <w:link w:val="Heading4Char"/>
    <w:uiPriority w:val="9"/>
    <w:semiHidden/>
    <w:unhideWhenUsed/>
    <w:qFormat/>
    <w:pPr>
      <w:keepNext/>
      <w:keepLines/>
      <w:spacing w:before="40" w:after="0"/>
      <w:outlineLvl w:val="3"/>
    </w:pPr>
    <w:rPr>
      <w:rFonts w:asciiTheme="majorHAnsi" w:eastAsiaTheme="majorEastAsia" w:hAnsiTheme="majorHAnsi" w:cstheme="majorBidi"/>
      <w:i/>
      <w:iCs/>
      <w:color w:val="3A215E" w:themeColor="accent1" w:themeShade="BF"/>
    </w:rPr>
  </w:style>
  <w:style w:type="paragraph" w:styleId="Heading5">
    <w:name w:val="heading 5"/>
    <w:basedOn w:val="Normal"/>
    <w:next w:val="Normal"/>
    <w:link w:val="Heading5Char"/>
    <w:uiPriority w:val="9"/>
    <w:semiHidden/>
    <w:unhideWhenUsed/>
    <w:qFormat/>
    <w:pPr>
      <w:keepNext/>
      <w:keepLines/>
      <w:spacing w:before="80" w:after="40" w:line="240" w:lineRule="auto"/>
      <w:outlineLvl w:val="4"/>
    </w:pPr>
    <w:rPr>
      <w:rFonts w:ascii="Calibri" w:eastAsiaTheme="majorEastAsia" w:hAnsi="Calibri" w:cstheme="majorBidi"/>
      <w:color w:val="3A215E" w:themeColor="accent1" w:themeShade="BF"/>
      <w:kern w:val="0"/>
    </w:rPr>
  </w:style>
  <w:style w:type="paragraph" w:styleId="Heading6">
    <w:name w:val="heading 6"/>
    <w:basedOn w:val="Normal"/>
    <w:next w:val="Normal"/>
    <w:link w:val="Heading6Char"/>
    <w:uiPriority w:val="9"/>
    <w:semiHidden/>
    <w:unhideWhenUsed/>
    <w:qFormat/>
    <w:pPr>
      <w:keepNext/>
      <w:keepLines/>
      <w:spacing w:before="40" w:after="0" w:line="240" w:lineRule="auto"/>
      <w:outlineLvl w:val="5"/>
    </w:pPr>
    <w:rPr>
      <w:rFonts w:ascii="Calibri" w:eastAsiaTheme="majorEastAsia" w:hAnsi="Calibri" w:cstheme="majorBidi"/>
      <w:i/>
      <w:iCs/>
      <w:color w:val="595959" w:themeColor="text1" w:themeTint="A6"/>
      <w:kern w:val="0"/>
    </w:rPr>
  </w:style>
  <w:style w:type="paragraph" w:styleId="Heading7">
    <w:name w:val="heading 7"/>
    <w:basedOn w:val="Normal"/>
    <w:next w:val="Normal"/>
    <w:link w:val="Heading7Char"/>
    <w:uiPriority w:val="9"/>
    <w:semiHidden/>
    <w:unhideWhenUsed/>
    <w:qFormat/>
    <w:pPr>
      <w:keepNext/>
      <w:keepLines/>
      <w:spacing w:before="40" w:after="0" w:line="240" w:lineRule="auto"/>
      <w:outlineLvl w:val="6"/>
    </w:pPr>
    <w:rPr>
      <w:rFonts w:ascii="Calibri" w:eastAsiaTheme="majorEastAsia" w:hAnsi="Calibri" w:cstheme="majorBidi"/>
      <w:color w:val="595959" w:themeColor="text1" w:themeTint="A6"/>
      <w:kern w:val="0"/>
    </w:rPr>
  </w:style>
  <w:style w:type="paragraph" w:styleId="Heading8">
    <w:name w:val="heading 8"/>
    <w:basedOn w:val="Normal"/>
    <w:next w:val="Normal"/>
    <w:link w:val="Heading8Char"/>
    <w:uiPriority w:val="9"/>
    <w:semiHidden/>
    <w:unhideWhenUsed/>
    <w:qFormat/>
    <w:pPr>
      <w:keepNext/>
      <w:keepLines/>
      <w:spacing w:after="0" w:line="240" w:lineRule="auto"/>
      <w:outlineLvl w:val="7"/>
    </w:pPr>
    <w:rPr>
      <w:rFonts w:ascii="Calibri" w:eastAsiaTheme="majorEastAsia" w:hAnsi="Calibri" w:cstheme="majorBidi"/>
      <w:i/>
      <w:iCs/>
      <w:color w:val="262626" w:themeColor="text1" w:themeTint="D9"/>
      <w:kern w:val="0"/>
    </w:rPr>
  </w:style>
  <w:style w:type="paragraph" w:styleId="Heading9">
    <w:name w:val="heading 9"/>
    <w:basedOn w:val="Normal"/>
    <w:next w:val="Normal"/>
    <w:link w:val="Heading9Char"/>
    <w:uiPriority w:val="9"/>
    <w:semiHidden/>
    <w:unhideWhenUsed/>
    <w:qFormat/>
    <w:pPr>
      <w:keepNext/>
      <w:keepLines/>
      <w:spacing w:after="0" w:line="240" w:lineRule="auto"/>
      <w:outlineLvl w:val="8"/>
    </w:pPr>
    <w:rPr>
      <w:rFonts w:ascii="Calibri" w:eastAsiaTheme="majorEastAsia" w:hAnsi="Calibri" w:cstheme="majorBidi"/>
      <w:color w:val="262626" w:themeColor="text1" w:themeTint="D9"/>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eading 41,Heading 411,List Paragraph1,List (Mannvit),lp1,Resume Title,Citation List,Ha,Heading 4111,Liste 1,heading 4,Numbered List Paragraph,References,Numbered Paragraph,Main numbered paragraph,Colorful List - Accent 11,List_Paragraph"/>
    <w:basedOn w:val="Normal"/>
    <w:link w:val="ListParagraphChar"/>
    <w:uiPriority w:val="34"/>
    <w:qFormat/>
    <w:pPr>
      <w:ind w:left="720"/>
      <w:contextualSpacing/>
    </w:pPr>
  </w:style>
  <w:style w:type="paragraph" w:styleId="BodyText">
    <w:name w:val="Body Text"/>
    <w:basedOn w:val="Normal"/>
    <w:link w:val="BodyTextChar"/>
    <w:uiPriority w:val="1"/>
    <w:qFormat/>
    <w:pPr>
      <w:spacing w:after="120" w:line="240" w:lineRule="atLeast"/>
      <w:jc w:val="both"/>
    </w:pPr>
    <w:rPr>
      <w:rFonts w:eastAsia="Times New Roman" w:cs="Arial"/>
      <w:kern w:val="0"/>
      <w:lang w:val="da-DK"/>
      <w14:ligatures w14:val="none"/>
    </w:rPr>
  </w:style>
  <w:style w:type="paragraph" w:styleId="BalloonText">
    <w:name w:val="Balloon Text"/>
    <w:basedOn w:val="Normal"/>
    <w:link w:val="BalloonTextChar"/>
    <w:uiPriority w:val="99"/>
    <w:semiHidden/>
    <w:unhideWhenUsed/>
    <w:qFormat/>
    <w:pPr>
      <w:spacing w:after="0" w:line="240" w:lineRule="auto"/>
    </w:pPr>
    <w:rPr>
      <w:rFonts w:ascii="Segoe UI" w:hAnsi="Segoe UI" w:cs="Segoe UI"/>
      <w:kern w:val="0"/>
      <w:sz w:val="18"/>
      <w:szCs w:val="18"/>
      <w:lang w:val="en-US"/>
      <w14:ligatures w14:val="none"/>
    </w:rPr>
  </w:style>
  <w:style w:type="paragraph" w:styleId="Caption">
    <w:name w:val="caption"/>
    <w:basedOn w:val="Normal"/>
    <w:next w:val="Normal"/>
    <w:link w:val="CaptionChar"/>
    <w:uiPriority w:val="35"/>
    <w:unhideWhenUsed/>
    <w:qFormat/>
    <w:pPr>
      <w:spacing w:after="200" w:line="240" w:lineRule="atLeast"/>
      <w:jc w:val="center"/>
    </w:pPr>
    <w:rPr>
      <w:rFonts w:eastAsia="Times New Roman" w:cs="Arial"/>
      <w:i/>
      <w:iCs/>
      <w:color w:val="44546A" w:themeColor="text2"/>
      <w:kern w:val="0"/>
      <w:lang w:val="da-DK"/>
      <w14:ligatures w14:val="none"/>
    </w:rPr>
  </w:style>
  <w:style w:type="character" w:styleId="CommentReference">
    <w:name w:val="annotation reference"/>
    <w:basedOn w:val="DefaultParagraphFont"/>
    <w:uiPriority w:val="99"/>
    <w:semiHidden/>
    <w:unhideWhenUsed/>
    <w:qFormat/>
    <w:rPr>
      <w:sz w:val="16"/>
      <w:szCs w:val="16"/>
      <w:lang w:val="en-GB"/>
    </w:rPr>
  </w:style>
  <w:style w:type="paragraph" w:styleId="CommentText">
    <w:name w:val="annotation text"/>
    <w:basedOn w:val="Normal"/>
    <w:link w:val="CommentTextChar"/>
    <w:uiPriority w:val="99"/>
    <w:unhideWhenUsed/>
    <w:qFormat/>
    <w:pPr>
      <w:spacing w:after="120" w:line="240" w:lineRule="atLeast"/>
    </w:pPr>
    <w:rPr>
      <w:rFonts w:eastAsia="Times New Roman" w:cs="Arial"/>
      <w:kern w:val="0"/>
      <w:sz w:val="20"/>
      <w:szCs w:val="20"/>
      <w:lang w:val="da-DK"/>
      <w14:ligatures w14:val="none"/>
    </w:rPr>
  </w:style>
  <w:style w:type="paragraph" w:styleId="CommentSubject">
    <w:name w:val="annotation subject"/>
    <w:basedOn w:val="CommentText"/>
    <w:next w:val="CommentText"/>
    <w:link w:val="CommentSubjectChar"/>
    <w:uiPriority w:val="99"/>
    <w:semiHidden/>
    <w:unhideWhenUsed/>
    <w:qFormat/>
    <w:pPr>
      <w:spacing w:after="160" w:line="240" w:lineRule="auto"/>
    </w:pPr>
    <w:rPr>
      <w:rFonts w:eastAsiaTheme="minorHAnsi" w:cstheme="minorBidi"/>
      <w:b/>
      <w:bCs/>
      <w:kern w:val="2"/>
      <w:lang w:val="el-GR"/>
      <w14:ligatures w14:val="standardContextual"/>
    </w:rPr>
  </w:style>
  <w:style w:type="character" w:styleId="FollowedHyperlink">
    <w:name w:val="FollowedHyperlink"/>
    <w:basedOn w:val="DefaultParagraphFont"/>
    <w:uiPriority w:val="99"/>
    <w:semiHidden/>
    <w:unhideWhenUsed/>
    <w:qFormat/>
    <w:rPr>
      <w:color w:val="00A7B5" w:themeColor="followedHyperlink"/>
      <w:u w:val="single"/>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uiPriority w:val="99"/>
    <w:unhideWhenUsed/>
    <w:qFormat/>
    <w:pPr>
      <w:tabs>
        <w:tab w:val="center" w:pos="4153"/>
        <w:tab w:val="right" w:pos="8306"/>
      </w:tabs>
      <w:spacing w:after="0" w:line="240" w:lineRule="auto"/>
    </w:pPr>
  </w:style>
  <w:style w:type="character" w:styleId="FootnoteReference">
    <w:name w:val="footnote reference"/>
    <w:basedOn w:val="DefaultParagraphFont"/>
    <w:link w:val="BVIfnrCarCar"/>
    <w:uiPriority w:val="99"/>
    <w:unhideWhenUsed/>
    <w:qFormat/>
    <w:rPr>
      <w:rFonts w:cs="Arial"/>
      <w:vertAlign w:val="superscript"/>
      <w:lang w:val="da-DK"/>
    </w:rPr>
  </w:style>
  <w:style w:type="paragraph" w:customStyle="1" w:styleId="BVIfnrCarCar">
    <w:name w:val="BVI fnr Car Car"/>
    <w:basedOn w:val="Normal"/>
    <w:link w:val="FootnoteReference"/>
    <w:uiPriority w:val="99"/>
    <w:qFormat/>
    <w:pPr>
      <w:spacing w:before="240" w:after="0" w:line="240" w:lineRule="atLeast"/>
      <w:jc w:val="both"/>
    </w:pPr>
    <w:rPr>
      <w:rFonts w:cs="Arial"/>
      <w:vertAlign w:val="superscript"/>
      <w:lang w:val="da-DK"/>
    </w:rPr>
  </w:style>
  <w:style w:type="paragraph" w:styleId="FootnoteText">
    <w:name w:val="footnote text"/>
    <w:basedOn w:val="Normal"/>
    <w:link w:val="FootnoteTextChar"/>
    <w:uiPriority w:val="99"/>
    <w:unhideWhenUsed/>
    <w:qFormat/>
    <w:pPr>
      <w:spacing w:after="0" w:line="240" w:lineRule="atLeast"/>
    </w:pPr>
    <w:rPr>
      <w:rFonts w:eastAsia="Times New Roman" w:cs="Arial"/>
      <w:kern w:val="0"/>
      <w:sz w:val="20"/>
      <w:szCs w:val="20"/>
      <w:lang w:val="da-DK"/>
      <w14:ligatures w14:val="none"/>
    </w:rPr>
  </w:style>
  <w:style w:type="paragraph" w:styleId="Header">
    <w:name w:val="header"/>
    <w:basedOn w:val="Normal"/>
    <w:link w:val="HeaderChar"/>
    <w:uiPriority w:val="99"/>
    <w:unhideWhenUsed/>
    <w:qFormat/>
    <w:pPr>
      <w:tabs>
        <w:tab w:val="center" w:pos="4153"/>
        <w:tab w:val="right" w:pos="8306"/>
      </w:tabs>
      <w:spacing w:after="0" w:line="240" w:lineRule="auto"/>
    </w:pPr>
  </w:style>
  <w:style w:type="paragraph" w:styleId="HTMLPreformatted">
    <w:name w:val="HTML Preformatted"/>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eastAsia="zh-CN"/>
    </w:rPr>
  </w:style>
  <w:style w:type="character" w:styleId="Hyperlink">
    <w:name w:val="Hyperlink"/>
    <w:basedOn w:val="DefaultParagraphFont"/>
    <w:uiPriority w:val="99"/>
    <w:unhideWhenUsed/>
    <w:qFormat/>
    <w:rPr>
      <w:color w:val="4F2D7F" w:themeColor="hyperlink"/>
      <w:u w:val="single"/>
    </w:rPr>
  </w:style>
  <w:style w:type="paragraph" w:styleId="NormalWeb">
    <w:name w:val="Normal (Web)"/>
    <w:basedOn w:val="Normal"/>
    <w:uiPriority w:val="99"/>
    <w:unhideWhenUsed/>
    <w:qFormat/>
    <w:pPr>
      <w:spacing w:after="120" w:line="240" w:lineRule="atLeast"/>
    </w:pPr>
    <w:rPr>
      <w:rFonts w:eastAsia="Times New Roman" w:cs="Arial"/>
      <w:kern w:val="0"/>
      <w:sz w:val="24"/>
      <w:szCs w:val="24"/>
      <w:lang w:val="da-DK"/>
      <w14:ligatures w14:val="none"/>
    </w:rPr>
  </w:style>
  <w:style w:type="character" w:styleId="Strong">
    <w:name w:val="Strong"/>
    <w:basedOn w:val="DefaultParagraphFont"/>
    <w:uiPriority w:val="22"/>
    <w:qFormat/>
    <w:rPr>
      <w:b/>
      <w:bCs/>
    </w:rPr>
  </w:style>
  <w:style w:type="paragraph" w:styleId="Subtitle">
    <w:name w:val="Subtitle"/>
    <w:basedOn w:val="Normal"/>
    <w:next w:val="Normal"/>
    <w:link w:val="SubtitleChar"/>
    <w:uiPriority w:val="11"/>
    <w:qFormat/>
    <w:pPr>
      <w:spacing w:after="0" w:line="240" w:lineRule="auto"/>
    </w:pPr>
    <w:rPr>
      <w:rFonts w:ascii="Calibri" w:eastAsiaTheme="majorEastAsia" w:hAnsi="Calibri" w:cstheme="majorBidi"/>
      <w:color w:val="595959" w:themeColor="text1" w:themeTint="A6"/>
      <w:spacing w:val="15"/>
      <w:kern w:val="0"/>
      <w:sz w:val="28"/>
      <w:szCs w:val="28"/>
    </w:rPr>
  </w:style>
  <w:style w:type="table" w:styleId="TableGrid">
    <w:name w:val="Table Grid"/>
    <w:basedOn w:val="TableNormal"/>
    <w:uiPriority w:val="39"/>
    <w:qFormat/>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paragraph" w:styleId="TOC1">
    <w:name w:val="toc 1"/>
    <w:basedOn w:val="Normal"/>
    <w:next w:val="Normal"/>
    <w:autoRedefine/>
    <w:uiPriority w:val="39"/>
    <w:unhideWhenUsed/>
    <w:qFormat/>
    <w:pPr>
      <w:spacing w:after="100"/>
    </w:pPr>
  </w:style>
  <w:style w:type="paragraph" w:styleId="TOC2">
    <w:name w:val="toc 2"/>
    <w:basedOn w:val="Normal"/>
    <w:next w:val="Normal"/>
    <w:autoRedefine/>
    <w:uiPriority w:val="39"/>
    <w:unhideWhenUsed/>
    <w:qFormat/>
    <w:pPr>
      <w:tabs>
        <w:tab w:val="right" w:leader="dot" w:pos="10456"/>
      </w:tabs>
      <w:spacing w:after="100"/>
      <w:ind w:left="220"/>
    </w:pPr>
  </w:style>
  <w:style w:type="paragraph" w:styleId="TOC3">
    <w:name w:val="toc 3"/>
    <w:basedOn w:val="Normal"/>
    <w:next w:val="Normal"/>
    <w:autoRedefine/>
    <w:uiPriority w:val="39"/>
    <w:unhideWhenUsed/>
    <w:qFormat/>
    <w:pPr>
      <w:spacing w:after="100"/>
      <w:ind w:left="440"/>
    </w:pPr>
  </w:style>
  <w:style w:type="table" w:styleId="LightList-Accent4">
    <w:name w:val="Light List Accent 4"/>
    <w:basedOn w:val="TableNormal"/>
    <w:uiPriority w:val="61"/>
    <w:semiHidden/>
    <w:unhideWhenUsed/>
    <w:qFormat/>
    <w:tblPr>
      <w:tblBorders>
        <w:top w:val="single" w:sz="8" w:space="0" w:color="9BD732" w:themeColor="accent4"/>
        <w:left w:val="single" w:sz="8" w:space="0" w:color="9BD732" w:themeColor="accent4"/>
        <w:bottom w:val="single" w:sz="8" w:space="0" w:color="9BD732" w:themeColor="accent4"/>
        <w:right w:val="single" w:sz="8" w:space="0" w:color="9BD732" w:themeColor="accent4"/>
      </w:tblBorders>
    </w:tblPr>
    <w:tblStylePr w:type="firstRow">
      <w:pPr>
        <w:spacing w:before="0" w:after="0" w:line="240" w:lineRule="auto"/>
      </w:pPr>
      <w:rPr>
        <w:b/>
        <w:bCs/>
        <w:color w:val="FFFFFF" w:themeColor="background1"/>
      </w:rPr>
      <w:tblPr/>
      <w:tcPr>
        <w:shd w:val="clear" w:color="auto" w:fill="9BD732" w:themeFill="accent4"/>
      </w:tcPr>
    </w:tblStylePr>
    <w:tblStylePr w:type="lastRow">
      <w:pPr>
        <w:spacing w:before="0" w:after="0" w:line="240" w:lineRule="auto"/>
      </w:pPr>
      <w:rPr>
        <w:b/>
        <w:bCs/>
      </w:rPr>
      <w:tblPr/>
      <w:tcPr>
        <w:tcBorders>
          <w:top w:val="double" w:sz="6" w:space="0" w:color="9BD732" w:themeColor="accent4"/>
          <w:left w:val="single" w:sz="8" w:space="0" w:color="9BD732" w:themeColor="accent4"/>
          <w:bottom w:val="single" w:sz="8" w:space="0" w:color="9BD732" w:themeColor="accent4"/>
          <w:right w:val="single" w:sz="8" w:space="0" w:color="9BD732" w:themeColor="accent4"/>
        </w:tcBorders>
      </w:tcPr>
    </w:tblStylePr>
    <w:tblStylePr w:type="firstCol">
      <w:rPr>
        <w:b/>
        <w:bCs/>
      </w:rPr>
    </w:tblStylePr>
    <w:tblStylePr w:type="lastCol">
      <w:rPr>
        <w:b/>
        <w:bCs/>
      </w:rPr>
    </w:tblStylePr>
    <w:tblStylePr w:type="band1Vert">
      <w:tblPr/>
      <w:tcPr>
        <w:tcBorders>
          <w:top w:val="single" w:sz="8" w:space="0" w:color="9BD732" w:themeColor="accent4"/>
          <w:left w:val="single" w:sz="8" w:space="0" w:color="9BD732" w:themeColor="accent4"/>
          <w:bottom w:val="single" w:sz="8" w:space="0" w:color="9BD732" w:themeColor="accent4"/>
          <w:right w:val="single" w:sz="8" w:space="0" w:color="9BD732" w:themeColor="accent4"/>
        </w:tcBorders>
      </w:tcPr>
    </w:tblStylePr>
    <w:tblStylePr w:type="band1Horz">
      <w:tblPr/>
      <w:tcPr>
        <w:tcBorders>
          <w:top w:val="single" w:sz="8" w:space="0" w:color="9BD732" w:themeColor="accent4"/>
          <w:left w:val="single" w:sz="8" w:space="0" w:color="9BD732" w:themeColor="accent4"/>
          <w:bottom w:val="single" w:sz="8" w:space="0" w:color="9BD732" w:themeColor="accent4"/>
          <w:right w:val="single" w:sz="8" w:space="0" w:color="9BD732" w:themeColor="accent4"/>
        </w:tcBorders>
      </w:tcPr>
    </w:tblStylePr>
  </w:style>
  <w:style w:type="paragraph" w:customStyle="1" w:styleId="paragraph">
    <w:name w:val="paragraph"/>
    <w:basedOn w:val="Normal"/>
    <w:uiPriority w:val="99"/>
    <w:qFormat/>
    <w:pPr>
      <w:spacing w:beforeAutospacing="1" w:after="120" w:afterAutospacing="1" w:line="240" w:lineRule="atLeast"/>
    </w:pPr>
    <w:rPr>
      <w:rFonts w:eastAsia="Times New Roman" w:cs="Arial"/>
      <w:kern w:val="0"/>
      <w:sz w:val="24"/>
      <w:szCs w:val="24"/>
      <w:lang w:val="da-DK" w:eastAsia="en-GB"/>
      <w14:ligatures w14:val="none"/>
    </w:rPr>
  </w:style>
  <w:style w:type="character" w:customStyle="1" w:styleId="normaltextrun">
    <w:name w:val="normaltextrun"/>
    <w:basedOn w:val="DefaultParagraphFont"/>
    <w:qFormat/>
  </w:style>
  <w:style w:type="character" w:customStyle="1" w:styleId="eop">
    <w:name w:val="eop"/>
    <w:basedOn w:val="DefaultParagraphFont"/>
    <w:qFormat/>
  </w:style>
  <w:style w:type="paragraph" w:customStyle="1" w:styleId="Revision1">
    <w:name w:val="Revision1"/>
    <w:hidden/>
    <w:uiPriority w:val="99"/>
    <w:semiHidden/>
    <w:qFormat/>
    <w:rPr>
      <w:rFonts w:asciiTheme="minorHAnsi" w:eastAsiaTheme="minorHAnsi" w:hAnsiTheme="minorHAnsi" w:cstheme="minorBidi"/>
      <w:kern w:val="2"/>
      <w:sz w:val="22"/>
      <w:szCs w:val="22"/>
      <w:lang w:val="el-GR"/>
      <w14:ligatures w14:val="standardContextual"/>
    </w:rPr>
  </w:style>
  <w:style w:type="character" w:customStyle="1" w:styleId="HeaderChar">
    <w:name w:val="Header Char"/>
    <w:basedOn w:val="DefaultParagraphFont"/>
    <w:link w:val="Header"/>
    <w:uiPriority w:val="99"/>
    <w:qFormat/>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qFormat/>
  </w:style>
  <w:style w:type="character" w:customStyle="1" w:styleId="Heading1Char">
    <w:name w:val="Heading 1 Char"/>
    <w:basedOn w:val="DefaultParagraphFont"/>
    <w:link w:val="Heading1"/>
    <w:uiPriority w:val="9"/>
    <w:qFormat/>
    <w:rsid w:val="00D863B1"/>
    <w:rPr>
      <w:rFonts w:eastAsiaTheme="majorEastAsia"/>
      <w:kern w:val="2"/>
      <w:sz w:val="24"/>
      <w:szCs w:val="24"/>
      <w14:ligatures w14:val="standardContextual"/>
    </w:rPr>
  </w:style>
  <w:style w:type="paragraph" w:customStyle="1" w:styleId="TOCHeading1">
    <w:name w:val="TOC Heading1"/>
    <w:basedOn w:val="Heading1"/>
    <w:next w:val="Normal"/>
    <w:uiPriority w:val="39"/>
    <w:unhideWhenUsed/>
    <w:qFormat/>
    <w:pPr>
      <w:outlineLvl w:val="9"/>
    </w:pPr>
    <w:rPr>
      <w:kern w:val="0"/>
      <w14:ligatures w14:val="none"/>
    </w:rPr>
  </w:style>
  <w:style w:type="character" w:customStyle="1" w:styleId="Heading2Char">
    <w:name w:val="Heading 2 Char"/>
    <w:basedOn w:val="DefaultParagraphFont"/>
    <w:link w:val="Heading2"/>
    <w:uiPriority w:val="9"/>
    <w:qFormat/>
    <w:rsid w:val="00BE195F"/>
    <w:rPr>
      <w:rFonts w:eastAsia="Calibri"/>
      <w:lang w:val="sr-Cyrl-RS" w:eastAsia="el-GR"/>
    </w:rPr>
  </w:style>
  <w:style w:type="character" w:customStyle="1" w:styleId="Heading3Char">
    <w:name w:val="Heading 3 Char"/>
    <w:basedOn w:val="DefaultParagraphFont"/>
    <w:link w:val="Heading3"/>
    <w:uiPriority w:val="9"/>
    <w:qFormat/>
    <w:rPr>
      <w:rFonts w:ascii="Arial" w:eastAsiaTheme="majorEastAsia" w:hAnsi="Arial" w:cstheme="majorBidi"/>
      <w:b/>
      <w:color w:val="27163F" w:themeColor="accent1" w:themeShade="80"/>
      <w:sz w:val="24"/>
      <w:szCs w:val="24"/>
    </w:rPr>
  </w:style>
  <w:style w:type="paragraph" w:styleId="NoSpacing">
    <w:name w:val="No Spacing"/>
    <w:uiPriority w:val="1"/>
    <w:qFormat/>
    <w:rPr>
      <w:rFonts w:asciiTheme="minorHAnsi" w:eastAsia="Times New Roman" w:hAnsiTheme="minorHAnsi" w:cs="Arial"/>
      <w:sz w:val="18"/>
      <w:lang w:val="en-GB"/>
    </w:rPr>
  </w:style>
  <w:style w:type="character" w:customStyle="1" w:styleId="CommentTextChar">
    <w:name w:val="Comment Text Char"/>
    <w:basedOn w:val="DefaultParagraphFont"/>
    <w:link w:val="CommentText"/>
    <w:uiPriority w:val="99"/>
    <w:qFormat/>
    <w:rPr>
      <w:rFonts w:eastAsia="Times New Roman" w:cs="Arial"/>
      <w:kern w:val="0"/>
      <w:sz w:val="20"/>
      <w:szCs w:val="20"/>
      <w:lang w:val="da-DK"/>
      <w14:ligatures w14:val="none"/>
    </w:rPr>
  </w:style>
  <w:style w:type="character" w:customStyle="1" w:styleId="FootnoteTextChar">
    <w:name w:val="Footnote Text Char"/>
    <w:basedOn w:val="DefaultParagraphFont"/>
    <w:link w:val="FootnoteText"/>
    <w:uiPriority w:val="99"/>
    <w:qFormat/>
    <w:rPr>
      <w:rFonts w:eastAsia="Times New Roman" w:cs="Arial"/>
      <w:kern w:val="0"/>
      <w:sz w:val="20"/>
      <w:szCs w:val="20"/>
      <w:lang w:val="da-DK"/>
      <w14:ligatures w14:val="none"/>
    </w:rPr>
  </w:style>
  <w:style w:type="character" w:customStyle="1" w:styleId="ListParagraphChar">
    <w:name w:val="List Paragraph Char"/>
    <w:aliases w:val="Heading 41 Char,Heading 411 Char,List Paragraph1 Char,List (Mannvit) Char,lp1 Char,Resume Title Char,Citation List Char,Ha Char,Heading 4111 Char,Liste 1 Char,heading 4 Char,Numbered List Paragraph Char,References Char"/>
    <w:basedOn w:val="DefaultParagraphFont"/>
    <w:link w:val="ListParagraph"/>
    <w:uiPriority w:val="34"/>
    <w:qFormat/>
  </w:style>
  <w:style w:type="character" w:customStyle="1" w:styleId="CaptionChar">
    <w:name w:val="Caption Char"/>
    <w:basedOn w:val="DefaultParagraphFont"/>
    <w:link w:val="Caption"/>
    <w:uiPriority w:val="35"/>
    <w:qFormat/>
    <w:rPr>
      <w:rFonts w:eastAsia="Times New Roman" w:cs="Arial"/>
      <w:i/>
      <w:iCs/>
      <w:color w:val="44546A" w:themeColor="text2"/>
      <w:kern w:val="0"/>
      <w:lang w:val="da-DK"/>
      <w14:ligatures w14:val="none"/>
    </w:rPr>
  </w:style>
  <w:style w:type="character" w:customStyle="1" w:styleId="CommentSubjectChar">
    <w:name w:val="Comment Subject Char"/>
    <w:basedOn w:val="CommentTextChar"/>
    <w:link w:val="CommentSubject"/>
    <w:uiPriority w:val="99"/>
    <w:semiHidden/>
    <w:qFormat/>
    <w:rPr>
      <w:rFonts w:eastAsia="Times New Roman" w:cs="Arial"/>
      <w:b/>
      <w:bCs/>
      <w:kern w:val="0"/>
      <w:sz w:val="20"/>
      <w:szCs w:val="20"/>
      <w:lang w:val="da-DK"/>
      <w14:ligatures w14:val="none"/>
    </w:rPr>
  </w:style>
  <w:style w:type="character" w:customStyle="1" w:styleId="GTChar">
    <w:name w:val="GT Char"/>
    <w:link w:val="GT"/>
    <w:uiPriority w:val="1"/>
    <w:qFormat/>
    <w:rPr>
      <w:rFonts w:cs="Arial"/>
      <w:lang w:val="da-DK" w:eastAsia="el-GR"/>
    </w:rPr>
  </w:style>
  <w:style w:type="paragraph" w:customStyle="1" w:styleId="GT">
    <w:name w:val="GT"/>
    <w:basedOn w:val="Normal"/>
    <w:link w:val="GTChar"/>
    <w:uiPriority w:val="1"/>
    <w:qFormat/>
    <w:pPr>
      <w:spacing w:before="120" w:after="120" w:line="240" w:lineRule="atLeast"/>
      <w:jc w:val="both"/>
    </w:pPr>
    <w:rPr>
      <w:rFonts w:cs="Arial"/>
      <w:lang w:val="da-DK" w:eastAsia="el-GR"/>
    </w:rPr>
  </w:style>
  <w:style w:type="paragraph" w:customStyle="1" w:styleId="Default">
    <w:name w:val="Default"/>
    <w:qFormat/>
    <w:pPr>
      <w:autoSpaceDE w:val="0"/>
      <w:autoSpaceDN w:val="0"/>
      <w:adjustRightInd w:val="0"/>
    </w:pPr>
    <w:rPr>
      <w:rFonts w:ascii="Arial" w:eastAsia="Times New Roman" w:hAnsi="Arial" w:cs="Arial"/>
      <w:color w:val="000000"/>
      <w:sz w:val="24"/>
      <w:szCs w:val="24"/>
      <w:lang w:val="el-GR"/>
    </w:rPr>
  </w:style>
  <w:style w:type="character" w:customStyle="1" w:styleId="BodyTextChar">
    <w:name w:val="Body Text Char"/>
    <w:basedOn w:val="DefaultParagraphFont"/>
    <w:link w:val="BodyText"/>
    <w:uiPriority w:val="1"/>
    <w:qFormat/>
    <w:rPr>
      <w:rFonts w:eastAsia="Times New Roman" w:cs="Arial"/>
      <w:kern w:val="0"/>
      <w:lang w:val="da-DK"/>
      <w14:ligatures w14:val="none"/>
    </w:rPr>
  </w:style>
  <w:style w:type="paragraph" w:customStyle="1" w:styleId="Bodytextprebullet">
    <w:name w:val="Body text pre bullet"/>
    <w:basedOn w:val="Normal"/>
    <w:qFormat/>
    <w:pPr>
      <w:keepNext/>
      <w:spacing w:before="140" w:after="140" w:line="240" w:lineRule="auto"/>
    </w:pPr>
    <w:rPr>
      <w:rFonts w:ascii="Univers 45 Light" w:hAnsi="Univers 45 Light"/>
      <w:color w:val="000000" w:themeColor="text1"/>
      <w:kern w:val="0"/>
      <w:sz w:val="20"/>
      <w:lang w:val="en-GB"/>
      <w14:ligatures w14:val="none"/>
    </w:rPr>
  </w:style>
  <w:style w:type="paragraph" w:customStyle="1" w:styleId="pf0">
    <w:name w:val="pf0"/>
    <w:basedOn w:val="Normal"/>
    <w:uiPriority w:val="99"/>
    <w:qFormat/>
    <w:pPr>
      <w:spacing w:before="100" w:beforeAutospacing="1" w:after="100" w:afterAutospacing="1" w:line="240" w:lineRule="auto"/>
    </w:pPr>
    <w:rPr>
      <w:rFonts w:ascii="Times New Roman" w:eastAsia="Times New Roman" w:hAnsi="Times New Roman" w:cs="Times New Roman"/>
      <w:kern w:val="0"/>
      <w:sz w:val="24"/>
      <w:szCs w:val="24"/>
      <w:lang w:eastAsia="el-GR"/>
      <w14:ligatures w14:val="none"/>
    </w:rPr>
  </w:style>
  <w:style w:type="character" w:customStyle="1" w:styleId="Heading4Char">
    <w:name w:val="Heading 4 Char"/>
    <w:basedOn w:val="DefaultParagraphFont"/>
    <w:link w:val="Heading4"/>
    <w:uiPriority w:val="9"/>
    <w:semiHidden/>
    <w:qFormat/>
    <w:rPr>
      <w:rFonts w:asciiTheme="majorHAnsi" w:eastAsiaTheme="majorEastAsia" w:hAnsiTheme="majorHAnsi" w:cstheme="majorBidi"/>
      <w:i/>
      <w:iCs/>
      <w:color w:val="3A215E" w:themeColor="accent1" w:themeShade="BF"/>
    </w:rPr>
  </w:style>
  <w:style w:type="paragraph" w:customStyle="1" w:styleId="Style2">
    <w:name w:val="Style2"/>
    <w:basedOn w:val="Normal"/>
    <w:uiPriority w:val="9"/>
    <w:qFormat/>
    <w:pPr>
      <w:numPr>
        <w:ilvl w:val="2"/>
        <w:numId w:val="1"/>
      </w:numPr>
      <w:spacing w:before="120" w:after="240" w:line="240" w:lineRule="atLeast"/>
      <w:ind w:right="1151"/>
      <w:outlineLvl w:val="1"/>
    </w:pPr>
    <w:rPr>
      <w:rFonts w:eastAsia="Arial"/>
      <w:b/>
      <w:iCs/>
      <w:color w:val="4F2D7F" w:themeColor="accent1"/>
      <w:kern w:val="0"/>
      <w:sz w:val="24"/>
      <w:szCs w:val="28"/>
      <w:lang w:val="da-DK"/>
      <w14:ligatures w14:val="none"/>
    </w:rPr>
  </w:style>
  <w:style w:type="table" w:customStyle="1" w:styleId="LightList-Accent41">
    <w:name w:val="Light List - Accent 41"/>
    <w:basedOn w:val="TableNormal"/>
    <w:uiPriority w:val="61"/>
    <w:qFormat/>
    <w:tblPr>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character" w:customStyle="1" w:styleId="Mention1">
    <w:name w:val="Mention1"/>
    <w:basedOn w:val="DefaultParagraphFont"/>
    <w:uiPriority w:val="99"/>
    <w:unhideWhenUsed/>
    <w:qFormat/>
    <w:rPr>
      <w:color w:val="2B579A"/>
      <w:shd w:val="clear" w:color="auto" w:fill="E1DFDD"/>
    </w:rPr>
  </w:style>
  <w:style w:type="character" w:customStyle="1" w:styleId="Heading5Char">
    <w:name w:val="Heading 5 Char"/>
    <w:basedOn w:val="DefaultParagraphFont"/>
    <w:link w:val="Heading5"/>
    <w:uiPriority w:val="9"/>
    <w:semiHidden/>
    <w:qFormat/>
    <w:rPr>
      <w:rFonts w:ascii="Calibri" w:eastAsiaTheme="majorEastAsia" w:hAnsi="Calibri" w:cstheme="majorBidi"/>
      <w:color w:val="3A215E" w:themeColor="accent1" w:themeShade="BF"/>
      <w:kern w:val="0"/>
    </w:rPr>
  </w:style>
  <w:style w:type="character" w:customStyle="1" w:styleId="Heading6Char">
    <w:name w:val="Heading 6 Char"/>
    <w:basedOn w:val="DefaultParagraphFont"/>
    <w:link w:val="Heading6"/>
    <w:uiPriority w:val="9"/>
    <w:semiHidden/>
    <w:qFormat/>
    <w:rPr>
      <w:rFonts w:ascii="Calibri" w:eastAsiaTheme="majorEastAsia" w:hAnsi="Calibri" w:cstheme="majorBidi"/>
      <w:i/>
      <w:iCs/>
      <w:color w:val="595959" w:themeColor="text1" w:themeTint="A6"/>
      <w:kern w:val="0"/>
    </w:rPr>
  </w:style>
  <w:style w:type="character" w:customStyle="1" w:styleId="Heading7Char">
    <w:name w:val="Heading 7 Char"/>
    <w:basedOn w:val="DefaultParagraphFont"/>
    <w:link w:val="Heading7"/>
    <w:uiPriority w:val="9"/>
    <w:semiHidden/>
    <w:qFormat/>
    <w:rPr>
      <w:rFonts w:ascii="Calibri" w:eastAsiaTheme="majorEastAsia" w:hAnsi="Calibri" w:cstheme="majorBidi"/>
      <w:color w:val="595959" w:themeColor="text1" w:themeTint="A6"/>
      <w:kern w:val="0"/>
    </w:rPr>
  </w:style>
  <w:style w:type="character" w:customStyle="1" w:styleId="Heading8Char">
    <w:name w:val="Heading 8 Char"/>
    <w:basedOn w:val="DefaultParagraphFont"/>
    <w:link w:val="Heading8"/>
    <w:uiPriority w:val="9"/>
    <w:semiHidden/>
    <w:qFormat/>
    <w:rPr>
      <w:rFonts w:ascii="Calibri" w:eastAsiaTheme="majorEastAsia" w:hAnsi="Calibri" w:cstheme="majorBidi"/>
      <w:i/>
      <w:iCs/>
      <w:color w:val="262626" w:themeColor="text1" w:themeTint="D9"/>
      <w:kern w:val="0"/>
    </w:rPr>
  </w:style>
  <w:style w:type="character" w:customStyle="1" w:styleId="Heading9Char">
    <w:name w:val="Heading 9 Char"/>
    <w:basedOn w:val="DefaultParagraphFont"/>
    <w:link w:val="Heading9"/>
    <w:uiPriority w:val="9"/>
    <w:semiHidden/>
    <w:qFormat/>
    <w:rPr>
      <w:rFonts w:ascii="Calibri" w:eastAsiaTheme="majorEastAsia" w:hAnsi="Calibri" w:cstheme="majorBidi"/>
      <w:color w:val="262626" w:themeColor="text1" w:themeTint="D9"/>
      <w:kern w:val="0"/>
    </w:rPr>
  </w:style>
  <w:style w:type="character" w:customStyle="1" w:styleId="TitleChar">
    <w:name w:val="Title Char"/>
    <w:basedOn w:val="DefaultParagraphFont"/>
    <w:link w:val="Title"/>
    <w:uiPriority w:val="10"/>
    <w:qFormat/>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qFormat/>
    <w:rPr>
      <w:rFonts w:ascii="Calibri" w:eastAsiaTheme="majorEastAsia" w:hAnsi="Calibri" w:cstheme="majorBidi"/>
      <w:color w:val="595959" w:themeColor="text1" w:themeTint="A6"/>
      <w:spacing w:val="15"/>
      <w:kern w:val="0"/>
      <w:sz w:val="28"/>
      <w:szCs w:val="28"/>
    </w:rPr>
  </w:style>
  <w:style w:type="paragraph" w:styleId="Quote">
    <w:name w:val="Quote"/>
    <w:basedOn w:val="Normal"/>
    <w:next w:val="Normal"/>
    <w:link w:val="QuoteChar"/>
    <w:uiPriority w:val="29"/>
    <w:qFormat/>
    <w:pPr>
      <w:spacing w:before="160" w:after="0" w:line="240" w:lineRule="auto"/>
      <w:jc w:val="center"/>
    </w:pPr>
    <w:rPr>
      <w:rFonts w:ascii="Calibri" w:hAnsi="Calibri" w:cs="Calibri"/>
      <w:i/>
      <w:iCs/>
      <w:color w:val="404040" w:themeColor="text1" w:themeTint="BF"/>
      <w:kern w:val="0"/>
    </w:rPr>
  </w:style>
  <w:style w:type="character" w:customStyle="1" w:styleId="QuoteChar">
    <w:name w:val="Quote Char"/>
    <w:basedOn w:val="DefaultParagraphFont"/>
    <w:link w:val="Quote"/>
    <w:uiPriority w:val="29"/>
    <w:qFormat/>
    <w:rPr>
      <w:rFonts w:ascii="Calibri" w:hAnsi="Calibri" w:cs="Calibri"/>
      <w:i/>
      <w:iCs/>
      <w:color w:val="404040" w:themeColor="text1" w:themeTint="BF"/>
      <w:kern w:val="0"/>
    </w:rPr>
  </w:style>
  <w:style w:type="character" w:customStyle="1" w:styleId="IntenseEmphasis1">
    <w:name w:val="Intense Emphasis1"/>
    <w:basedOn w:val="DefaultParagraphFont"/>
    <w:uiPriority w:val="21"/>
    <w:qFormat/>
    <w:rPr>
      <w:i/>
      <w:iCs/>
      <w:color w:val="3A215E" w:themeColor="accent1" w:themeShade="BF"/>
    </w:rPr>
  </w:style>
  <w:style w:type="paragraph" w:styleId="IntenseQuote">
    <w:name w:val="Intense Quote"/>
    <w:basedOn w:val="Normal"/>
    <w:next w:val="Normal"/>
    <w:link w:val="IntenseQuoteChar"/>
    <w:uiPriority w:val="30"/>
    <w:qFormat/>
    <w:pPr>
      <w:pBdr>
        <w:top w:val="single" w:sz="4" w:space="10" w:color="3A215E" w:themeColor="accent1" w:themeShade="BF"/>
        <w:bottom w:val="single" w:sz="4" w:space="10" w:color="3A215E" w:themeColor="accent1" w:themeShade="BF"/>
      </w:pBdr>
      <w:spacing w:before="360" w:after="360" w:line="240" w:lineRule="auto"/>
      <w:ind w:left="864" w:right="864"/>
      <w:jc w:val="center"/>
    </w:pPr>
    <w:rPr>
      <w:rFonts w:ascii="Calibri" w:hAnsi="Calibri" w:cs="Calibri"/>
      <w:i/>
      <w:iCs/>
      <w:color w:val="3A215E" w:themeColor="accent1" w:themeShade="BF"/>
      <w:kern w:val="0"/>
    </w:rPr>
  </w:style>
  <w:style w:type="character" w:customStyle="1" w:styleId="IntenseQuoteChar">
    <w:name w:val="Intense Quote Char"/>
    <w:basedOn w:val="DefaultParagraphFont"/>
    <w:link w:val="IntenseQuote"/>
    <w:uiPriority w:val="30"/>
    <w:qFormat/>
    <w:rPr>
      <w:rFonts w:ascii="Calibri" w:hAnsi="Calibri" w:cs="Calibri"/>
      <w:i/>
      <w:iCs/>
      <w:color w:val="3A215E" w:themeColor="accent1" w:themeShade="BF"/>
      <w:kern w:val="0"/>
    </w:rPr>
  </w:style>
  <w:style w:type="character" w:customStyle="1" w:styleId="IntenseReference1">
    <w:name w:val="Intense Reference1"/>
    <w:basedOn w:val="DefaultParagraphFont"/>
    <w:uiPriority w:val="32"/>
    <w:qFormat/>
    <w:rPr>
      <w:b/>
      <w:bCs/>
      <w:smallCaps/>
      <w:color w:val="3A215E" w:themeColor="accent1" w:themeShade="BF"/>
      <w:spacing w:val="5"/>
    </w:rPr>
  </w:style>
  <w:style w:type="character" w:customStyle="1" w:styleId="ui-provider">
    <w:name w:val="ui-provider"/>
    <w:basedOn w:val="DefaultParagraphFont"/>
    <w:qFormat/>
  </w:style>
  <w:style w:type="paragraph" w:customStyle="1" w:styleId="xmsonormal">
    <w:name w:val="x_msonormal"/>
    <w:basedOn w:val="Normal"/>
    <w:qFormat/>
    <w:pPr>
      <w:spacing w:after="0" w:line="240" w:lineRule="auto"/>
    </w:pPr>
    <w:rPr>
      <w:rFonts w:ascii="Calibri" w:hAnsi="Calibri" w:cs="Calibri"/>
      <w:kern w:val="0"/>
      <w:lang w:eastAsia="el-GR"/>
      <w14:ligatures w14:val="none"/>
    </w:rPr>
  </w:style>
  <w:style w:type="table" w:customStyle="1" w:styleId="TableGridLight1">
    <w:name w:val="Table Grid Light1"/>
    <w:basedOn w:val="TableNormal"/>
    <w:uiPriority w:val="40"/>
    <w:qFormat/>
    <w:pPr>
      <w:spacing w:after="120"/>
    </w:pPr>
    <w:rPr>
      <w:rFonts w:ascii="Arial" w:eastAsia="Arial" w:hAnsi="Arial" w:cs="Arial"/>
      <w:lang w:val="da-DK" w:eastAsia="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BalloonTextChar">
    <w:name w:val="Balloon Text Char"/>
    <w:basedOn w:val="DefaultParagraphFont"/>
    <w:link w:val="BalloonText"/>
    <w:uiPriority w:val="99"/>
    <w:semiHidden/>
    <w:qFormat/>
    <w:rPr>
      <w:rFonts w:ascii="Segoe UI" w:hAnsi="Segoe UI" w:cs="Segoe UI"/>
      <w:kern w:val="0"/>
      <w:sz w:val="18"/>
      <w:szCs w:val="18"/>
      <w:lang w:val="en-US"/>
      <w14:ligatures w14:val="none"/>
    </w:rPr>
  </w:style>
  <w:style w:type="character" w:customStyle="1" w:styleId="BalloonTextChar1">
    <w:name w:val="Balloon Text Char1"/>
    <w:basedOn w:val="DefaultParagraphFont"/>
    <w:uiPriority w:val="99"/>
    <w:semiHidden/>
    <w:qFormat/>
    <w:rPr>
      <w:rFonts w:ascii="Segoe UI" w:hAnsi="Segoe UI" w:cs="Segoe UI"/>
      <w:sz w:val="18"/>
      <w:szCs w:val="18"/>
    </w:rPr>
  </w:style>
  <w:style w:type="table" w:customStyle="1" w:styleId="TableGridLight2">
    <w:name w:val="Table Grid Light2"/>
    <w:basedOn w:val="TableNormal"/>
    <w:uiPriority w:val="40"/>
    <w:qFormat/>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1">
    <w:name w:val="Table Grid1"/>
    <w:basedOn w:val="TableNormal"/>
    <w:uiPriority w:val="39"/>
    <w:qFormat/>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cf01">
    <w:name w:val="cf01"/>
    <w:basedOn w:val="DefaultParagraphFont"/>
    <w:qFormat/>
    <w:rPr>
      <w:rFonts w:ascii="Segoe UI" w:hAnsi="Segoe UI" w:cs="Segoe UI" w:hint="default"/>
      <w:sz w:val="18"/>
      <w:szCs w:val="18"/>
    </w:rPr>
  </w:style>
  <w:style w:type="paragraph" w:styleId="Revision">
    <w:name w:val="Revision"/>
    <w:hidden/>
    <w:uiPriority w:val="99"/>
    <w:unhideWhenUsed/>
    <w:rsid w:val="00ED726E"/>
    <w:rPr>
      <w:rFonts w:asciiTheme="minorHAnsi" w:eastAsiaTheme="minorHAnsi" w:hAnsiTheme="minorHAnsi" w:cstheme="minorBidi"/>
      <w:kern w:val="2"/>
      <w:sz w:val="22"/>
      <w:szCs w:val="22"/>
      <w:lang w:val="el-GR"/>
      <w14:ligatures w14:val="standardContextual"/>
    </w:rPr>
  </w:style>
  <w:style w:type="paragraph" w:customStyle="1" w:styleId="basic-paragraph">
    <w:name w:val="basic-paragraph"/>
    <w:basedOn w:val="Normal"/>
    <w:rsid w:val="00A030B3"/>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character" w:customStyle="1" w:styleId="italik">
    <w:name w:val="italik"/>
    <w:basedOn w:val="DefaultParagraphFont"/>
    <w:rsid w:val="00A030B3"/>
  </w:style>
  <w:style w:type="paragraph" w:customStyle="1" w:styleId="msonormal0">
    <w:name w:val="msonormal"/>
    <w:basedOn w:val="Normal"/>
    <w:rsid w:val="00B0265D"/>
    <w:pPr>
      <w:spacing w:before="100" w:beforeAutospacing="1" w:after="100" w:afterAutospacing="1" w:line="240" w:lineRule="auto"/>
    </w:pPr>
    <w:rPr>
      <w:rFonts w:eastAsiaTheme="minorEastAsia"/>
      <w:kern w:val="0"/>
      <w:lang w:val="en-US"/>
      <w14:ligatures w14:val="none"/>
    </w:rPr>
  </w:style>
  <w:style w:type="character" w:customStyle="1" w:styleId="auto-style4">
    <w:name w:val="auto-style4"/>
    <w:basedOn w:val="DefaultParagraphFont"/>
    <w:rsid w:val="00F81837"/>
  </w:style>
  <w:style w:type="paragraph" w:styleId="BodyTextIndent">
    <w:name w:val="Body Text Indent"/>
    <w:basedOn w:val="Normal"/>
    <w:link w:val="BodyTextIndentChar"/>
    <w:uiPriority w:val="99"/>
    <w:semiHidden/>
    <w:unhideWhenUsed/>
    <w:rsid w:val="004A1B5D"/>
    <w:pPr>
      <w:spacing w:after="120" w:line="254" w:lineRule="auto"/>
      <w:ind w:left="360"/>
    </w:pPr>
    <w:rPr>
      <w:kern w:val="0"/>
      <w:lang w:val="sr-Cyrl-RS"/>
      <w14:ligatures w14:val="none"/>
    </w:rPr>
  </w:style>
  <w:style w:type="character" w:customStyle="1" w:styleId="BodyTextIndentChar">
    <w:name w:val="Body Text Indent Char"/>
    <w:basedOn w:val="DefaultParagraphFont"/>
    <w:link w:val="BodyTextIndent"/>
    <w:uiPriority w:val="99"/>
    <w:semiHidden/>
    <w:rsid w:val="004A1B5D"/>
    <w:rPr>
      <w:rFonts w:asciiTheme="minorHAnsi" w:eastAsiaTheme="minorHAnsi" w:hAnsiTheme="minorHAnsi" w:cstheme="minorBidi"/>
      <w:sz w:val="22"/>
      <w:szCs w:val="22"/>
      <w:lang w:val="sr-Cyrl-RS"/>
    </w:rPr>
  </w:style>
  <w:style w:type="paragraph" w:customStyle="1" w:styleId="1tekst">
    <w:name w:val="1tekst"/>
    <w:basedOn w:val="Normal"/>
    <w:rsid w:val="00B1463A"/>
    <w:pPr>
      <w:spacing w:before="100" w:after="100" w:line="240" w:lineRule="auto"/>
      <w:ind w:firstLine="240"/>
      <w:jc w:val="both"/>
    </w:pPr>
    <w:rPr>
      <w:rFonts w:ascii="Times New Roman" w:eastAsia="Times New Roman" w:hAnsi="Times New Roman" w:cs="Times New Roman"/>
      <w:kern w:val="0"/>
      <w:sz w:val="24"/>
      <w:szCs w:val="20"/>
      <w:lang w:val="en-US"/>
      <w14:ligatures w14:val="none"/>
    </w:rPr>
  </w:style>
  <w:style w:type="character" w:styleId="PageNumber">
    <w:name w:val="page number"/>
    <w:basedOn w:val="DefaultParagraphFont"/>
    <w:uiPriority w:val="99"/>
    <w:unhideWhenUsed/>
    <w:rsid w:val="00A60C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980185">
      <w:bodyDiv w:val="1"/>
      <w:marLeft w:val="0"/>
      <w:marRight w:val="0"/>
      <w:marTop w:val="0"/>
      <w:marBottom w:val="0"/>
      <w:divBdr>
        <w:top w:val="none" w:sz="0" w:space="0" w:color="auto"/>
        <w:left w:val="none" w:sz="0" w:space="0" w:color="auto"/>
        <w:bottom w:val="none" w:sz="0" w:space="0" w:color="auto"/>
        <w:right w:val="none" w:sz="0" w:space="0" w:color="auto"/>
      </w:divBdr>
    </w:div>
    <w:div w:id="1326278859">
      <w:bodyDiv w:val="1"/>
      <w:marLeft w:val="0"/>
      <w:marRight w:val="0"/>
      <w:marTop w:val="0"/>
      <w:marBottom w:val="0"/>
      <w:divBdr>
        <w:top w:val="none" w:sz="0" w:space="0" w:color="auto"/>
        <w:left w:val="none" w:sz="0" w:space="0" w:color="auto"/>
        <w:bottom w:val="none" w:sz="0" w:space="0" w:color="auto"/>
        <w:right w:val="none" w:sz="0" w:space="0" w:color="auto"/>
      </w:divBdr>
    </w:div>
    <w:div w:id="1806463267">
      <w:bodyDiv w:val="1"/>
      <w:marLeft w:val="0"/>
      <w:marRight w:val="0"/>
      <w:marTop w:val="0"/>
      <w:marBottom w:val="0"/>
      <w:divBdr>
        <w:top w:val="none" w:sz="0" w:space="0" w:color="auto"/>
        <w:left w:val="none" w:sz="0" w:space="0" w:color="auto"/>
        <w:bottom w:val="none" w:sz="0" w:space="0" w:color="auto"/>
        <w:right w:val="none" w:sz="0" w:space="0" w:color="auto"/>
      </w:divBdr>
    </w:div>
    <w:div w:id="1882399702">
      <w:bodyDiv w:val="1"/>
      <w:marLeft w:val="0"/>
      <w:marRight w:val="0"/>
      <w:marTop w:val="0"/>
      <w:marBottom w:val="0"/>
      <w:divBdr>
        <w:top w:val="none" w:sz="0" w:space="0" w:color="auto"/>
        <w:left w:val="none" w:sz="0" w:space="0" w:color="auto"/>
        <w:bottom w:val="none" w:sz="0" w:space="0" w:color="auto"/>
        <w:right w:val="none" w:sz="0" w:space="0" w:color="auto"/>
      </w:divBdr>
    </w:div>
    <w:div w:id="2036685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s://neighbourhood-enlargement.ec.europa.eu/document/download/7525f2fd-1758-4d0f-9560-4f6bfa366708_en?filename=EIP_5_new_flagships_December_2023.pdf" TargetMode="External"/><Relationship Id="rId13" Type="http://schemas.openxmlformats.org/officeDocument/2006/relationships/hyperlink" Target="https://www.eda.admin.ch/schweizerbeitrag/en/home/zweiter-schweizer-beitrag/umsetzung-kohaesionteil.html" TargetMode="External"/><Relationship Id="rId18" Type="http://schemas.openxmlformats.org/officeDocument/2006/relationships/hyperlink" Target="https://www.unicef.org/media/161371/file/Spotlight%20Global%20Thematic%20Fund%20CEED.pdf.pdf" TargetMode="External"/><Relationship Id="rId3" Type="http://schemas.openxmlformats.org/officeDocument/2006/relationships/hyperlink" Target="https://eur-lex.europa.eu/legal-content/EN/TXT/?uri=CELEX%3A32021R1056" TargetMode="External"/><Relationship Id="rId21" Type="http://schemas.openxmlformats.org/officeDocument/2006/relationships/hyperlink" Target="https://www.eib.org/attachments/lucalli/20240053_energy_overview_2024_en.pdf" TargetMode="External"/><Relationship Id="rId7" Type="http://schemas.openxmlformats.org/officeDocument/2006/relationships/hyperlink" Target="https://neighbourhood-enlargement.ec.europa.eu/enlargement-policy/overview-instrument-pre-accession-assistance_en" TargetMode="External"/><Relationship Id="rId12" Type="http://schemas.openxmlformats.org/officeDocument/2006/relationships/hyperlink" Target="https://www.undp.org/serbia/news/eu-green-agenda-serbia-presented" TargetMode="External"/><Relationship Id="rId17" Type="http://schemas.openxmlformats.org/officeDocument/2006/relationships/hyperlink" Target="https://www.unicef.org/media/161371/file/Spotlight%20Global%20Thematic%20Fund%20CEED.pdf.pdf" TargetMode="External"/><Relationship Id="rId2" Type="http://schemas.openxmlformats.org/officeDocument/2006/relationships/hyperlink" Target="https://jppeu.rs/wp-content/uploads/2023/12/INFORMATOR-O-RADU-JP-PEU-RESAVICA.pdf?lang=lat" TargetMode="External"/><Relationship Id="rId16" Type="http://schemas.openxmlformats.org/officeDocument/2006/relationships/hyperlink" Target="https://www.soroseconomicdevelopmentfund.org/newsroom/open-society-invests-25-million-to-boost-global-climate-projects" TargetMode="External"/><Relationship Id="rId20" Type="http://schemas.openxmlformats.org/officeDocument/2006/relationships/hyperlink" Target="https://www.giz.de/en/downloads/giz2023-en-green-agenda-decarbonisation-of-the-electricity-sector-in-the-western-balkans.pdf" TargetMode="External"/><Relationship Id="rId1" Type="http://schemas.openxmlformats.org/officeDocument/2006/relationships/hyperlink" Target="https://jppeu.rs/wp-content/uploads/2023/12/INFORMATOR-O-RADU-JP-PEU-RESAVICA.pdf?lang=lat" TargetMode="External"/><Relationship Id="rId6" Type="http://schemas.openxmlformats.org/officeDocument/2006/relationships/hyperlink" Target="https://research-and-innovation.ec.europa.eu/news/all-research-and-innovation-news/results-horizon-2020-european-green-deal-call-following-kick-event-celebrate-73-projects-selected-2021-11-05_en" TargetMode="External"/><Relationship Id="rId11" Type="http://schemas.openxmlformats.org/officeDocument/2006/relationships/hyperlink" Target="https://documents1.worldbank.org/curated/en/099040524061582128/pdf/P5006481fb98fb0db1a9401e200293e761d.pdf?_gl=1*9xdxq4*_gcl_au*MTY0NzYyMDAxOS4xNzI3MjQ5MzQ0" TargetMode="External"/><Relationship Id="rId5" Type="http://schemas.openxmlformats.org/officeDocument/2006/relationships/hyperlink" Target="https://www.ilo.org/wcmsp5/groups/public/---ed_dialogue/---actrav/documents/publication/wcms_826060.pdf" TargetMode="External"/><Relationship Id="rId15" Type="http://schemas.openxmlformats.org/officeDocument/2006/relationships/hyperlink" Target="https://www.opensocietyfoundations.org/newsroom/open-society-foundations-to-commit-400-million-to-support-economic-and-climate-prosperity" TargetMode="External"/><Relationship Id="rId23" Type="http://schemas.openxmlformats.org/officeDocument/2006/relationships/hyperlink" Target="https://balkangreenenergynews.com/german-deg-acquired-10-percent-stake-cibuk-wind-farm-serbia/" TargetMode="External"/><Relationship Id="rId10" Type="http://schemas.openxmlformats.org/officeDocument/2006/relationships/hyperlink" Target="https://neighbourhood-enlargement.ec.europa.eu/document/download/84e99c21-e4a8-4c4d-9102-f478dd6b145d_en?filename=WBIF%20Brochure%20Endorsed%20Flagship%20Investments%20Dec%208%20updates.pdf" TargetMode="External"/><Relationship Id="rId19" Type="http://schemas.openxmlformats.org/officeDocument/2006/relationships/hyperlink" Target="https://www.giz.de/en/downloads/giz2024-en-eu4et-western-balkans-t%C3%BCrkiye.pdf" TargetMode="External"/><Relationship Id="rId4" Type="http://schemas.openxmlformats.org/officeDocument/2006/relationships/hyperlink" Target="https://ec.europa.eu/regional_policy/en/funding/jtf/just-transition-platform/" TargetMode="External"/><Relationship Id="rId9" Type="http://schemas.openxmlformats.org/officeDocument/2006/relationships/hyperlink" Target="https://www.ebrd.com/work-with-us/projects/psd/53344.html" TargetMode="External"/><Relationship Id="rId14" Type="http://schemas.openxmlformats.org/officeDocument/2006/relationships/hyperlink" Target="https://www.opensocietyfoundations.org/newsroom/open-society-foundations-to-commit-400-million-to-support-economic-and-climate-prosperity" TargetMode="External"/><Relationship Id="rId22" Type="http://schemas.openxmlformats.org/officeDocument/2006/relationships/hyperlink" Target="https://www.eib.org/en/press/all/2023-382-eib-global-to-ramp-up-support-for-the-green-transition-digitalisation-and-connectivity-in-the-western-balkans-boosting-convergence-with-the-eu" TargetMode="External"/></Relationships>
</file>

<file path=word/theme/theme1.xml><?xml version="1.0" encoding="utf-8"?>
<a:theme xmlns:a="http://schemas.openxmlformats.org/drawingml/2006/main" name="Office Theme">
  <a:themeElements>
    <a:clrScheme name="GT">
      <a:dk1>
        <a:sysClr val="windowText" lastClr="000000"/>
      </a:dk1>
      <a:lt1>
        <a:sysClr val="window" lastClr="FFFFFF"/>
      </a:lt1>
      <a:dk2>
        <a:srgbClr val="44546A"/>
      </a:dk2>
      <a:lt2>
        <a:srgbClr val="E7E6E6"/>
      </a:lt2>
      <a:accent1>
        <a:srgbClr val="4F2D7F"/>
      </a:accent1>
      <a:accent2>
        <a:srgbClr val="CBC4BC"/>
      </a:accent2>
      <a:accent3>
        <a:srgbClr val="00A7B5"/>
      </a:accent3>
      <a:accent4>
        <a:srgbClr val="9BD732"/>
      </a:accent4>
      <a:accent5>
        <a:srgbClr val="FF7D1E"/>
      </a:accent5>
      <a:accent6>
        <a:srgbClr val="E92841"/>
      </a:accent6>
      <a:hlink>
        <a:srgbClr val="4F2D7F"/>
      </a:hlink>
      <a:folHlink>
        <a:srgbClr val="00A7B5"/>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24BF5B802E3E4DB1F0E707AD8FB8EB" ma:contentTypeVersion="5" ma:contentTypeDescription="Create a new document." ma:contentTypeScope="" ma:versionID="0d450c97711cb1bc52dd2d2f6903d05a">
  <xsd:schema xmlns:xsd="http://www.w3.org/2001/XMLSchema" xmlns:xs="http://www.w3.org/2001/XMLSchema" xmlns:p="http://schemas.microsoft.com/office/2006/metadata/properties" xmlns:ns3="a776b36c-5b82-4458-a220-b3f8c8afc9a7" targetNamespace="http://schemas.microsoft.com/office/2006/metadata/properties" ma:root="true" ma:fieldsID="8a13c919d13d13fd8e78a45837978954" ns3:_="">
    <xsd:import namespace="a776b36c-5b82-4458-a220-b3f8c8afc9a7"/>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76b36c-5b82-4458-a220-b3f8c8afc9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CE16386-BA37-4D44-A457-873C10E1B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76b36c-5b82-4458-a220-b3f8c8afc9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5AA9407A-F6C5-4B5C-B3A5-CA8E389708FA}">
  <ds:schemaRefs>
    <ds:schemaRef ds:uri="http://schemas.microsoft.com/sharepoint/v3/contenttype/forms"/>
  </ds:schemaRefs>
</ds:datastoreItem>
</file>

<file path=customXml/itemProps4.xml><?xml version="1.0" encoding="utf-8"?>
<ds:datastoreItem xmlns:ds="http://schemas.openxmlformats.org/officeDocument/2006/customXml" ds:itemID="{440CD176-6396-42EB-8A6A-74FA1BBA4421}">
  <ds:schemaRefs>
    <ds:schemaRef ds:uri="http://schemas.openxmlformats.org/officeDocument/2006/bibliography"/>
  </ds:schemaRefs>
</ds:datastoreItem>
</file>

<file path=customXml/itemProps5.xml><?xml version="1.0" encoding="utf-8"?>
<ds:datastoreItem xmlns:ds="http://schemas.openxmlformats.org/officeDocument/2006/customXml" ds:itemID="{BE1A31D9-1730-439A-90FE-3C81A284C24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15996</Words>
  <Characters>91182</Characters>
  <Application>Microsoft Office Word</Application>
  <DocSecurity>0</DocSecurity>
  <Lines>759</Lines>
  <Paragraphs>213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Grant Thornton Greece</Company>
  <LinksUpToDate>false</LinksUpToDate>
  <CharactersWithSpaces>106965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Thodoris Kanavaros</dc:creator>
  <cp:keywords/>
  <dc:description/>
  <cp:lastModifiedBy>Bojan Grgić</cp:lastModifiedBy>
  <cp:revision>2</cp:revision>
  <cp:lastPrinted>2025-07-30T05:12:00Z</cp:lastPrinted>
  <dcterms:created xsi:type="dcterms:W3CDTF">2025-07-30T07:48:00Z</dcterms:created>
  <dcterms:modified xsi:type="dcterms:W3CDTF">2025-07-30T07:48:00Z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MediaServiceImageTags">
    <vt:lpwstr/>
  </property>
  <property fmtid="{D5CDD505-2E9C-101B-9397-08002B2CF9AE}" pid="4" name="ExpertIn">
    <vt:lpwstr/>
  </property>
  <property fmtid="{D5CDD505-2E9C-101B-9397-08002B2CF9AE}" pid="5" name="ClassificationContentMarkingHeaderShapeIds">
    <vt:lpwstr>1,3,4,5,6,7</vt:lpwstr>
  </property>
  <property fmtid="{D5CDD505-2E9C-101B-9397-08002B2CF9AE}" pid="6" name="ClassificationContentMarkingHeaderFontProps">
    <vt:lpwstr>#0000ff,10,Calibri</vt:lpwstr>
  </property>
  <property fmtid="{D5CDD505-2E9C-101B-9397-08002B2CF9AE}" pid="7" name="ClassificationContentMarkingHeaderText">
    <vt:lpwstr>OFFICIAL USE</vt:lpwstr>
  </property>
  <property fmtid="{D5CDD505-2E9C-101B-9397-08002B2CF9AE}" pid="8" name="ClassificationContentMarkingFooterShapeIds">
    <vt:lpwstr>8,9,a,b,c,e</vt:lpwstr>
  </property>
  <property fmtid="{D5CDD505-2E9C-101B-9397-08002B2CF9AE}" pid="9" name="ClassificationContentMarkingFooterFontProps">
    <vt:lpwstr>#0000ff,10,Calibri</vt:lpwstr>
  </property>
  <property fmtid="{D5CDD505-2E9C-101B-9397-08002B2CF9AE}" pid="10" name="ClassificationContentMarkingFooterText">
    <vt:lpwstr>OFFICIAL USE</vt:lpwstr>
  </property>
  <property fmtid="{D5CDD505-2E9C-101B-9397-08002B2CF9AE}" pid="11" name="j58bd6c1a5e04739961ec993afce87a7">
    <vt:lpwstr/>
  </property>
  <property fmtid="{D5CDD505-2E9C-101B-9397-08002B2CF9AE}" pid="12" name="Record_x0020_Status">
    <vt:lpwstr/>
  </property>
  <property fmtid="{D5CDD505-2E9C-101B-9397-08002B2CF9AE}" pid="13" name="Record Status">
    <vt:lpwstr/>
  </property>
  <property fmtid="{D5CDD505-2E9C-101B-9397-08002B2CF9AE}" pid="14" name="ContentTypeId">
    <vt:lpwstr>0x0101001124BF5B802E3E4DB1F0E707AD8FB8EB</vt:lpwstr>
  </property>
  <property fmtid="{D5CDD505-2E9C-101B-9397-08002B2CF9AE}" pid="15" name="KSOProductBuildVer">
    <vt:lpwstr>1033-12.2.0.18911</vt:lpwstr>
  </property>
  <property fmtid="{D5CDD505-2E9C-101B-9397-08002B2CF9AE}" pid="16" name="ICV">
    <vt:lpwstr>0ECEF078B2D44358A866E0B06F73F3FA_12</vt:lpwstr>
  </property>
</Properties>
</file>